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9F37A" w14:textId="17712DEA" w:rsidR="00963420" w:rsidRPr="00FC36E1" w:rsidRDefault="00963420" w:rsidP="00D877ED">
      <w:pPr>
        <w:spacing w:after="720"/>
        <w:jc w:val="center"/>
        <w:rPr>
          <w:rFonts w:ascii="Times New Roman" w:hAnsi="Times New Roman"/>
          <w:b/>
          <w:bCs/>
          <w:szCs w:val="24"/>
          <w:lang w:val="en-IE"/>
        </w:rPr>
      </w:pPr>
      <w:r w:rsidRPr="00FC36E1">
        <w:rPr>
          <w:rFonts w:ascii="Times New Roman" w:hAnsi="Times New Roman"/>
          <w:b/>
          <w:szCs w:val="24"/>
          <w:lang w:val="en-IE"/>
        </w:rPr>
        <w:t xml:space="preserve">Follow-up to the European Parliament non-legislative resolution </w:t>
      </w:r>
      <w:r w:rsidRPr="00FC36E1">
        <w:rPr>
          <w:rFonts w:ascii="Times New Roman" w:hAnsi="Times New Roman"/>
          <w:b/>
          <w:bCs/>
          <w:szCs w:val="24"/>
          <w:lang w:val="en-IE"/>
        </w:rPr>
        <w:t>on</w:t>
      </w:r>
      <w:r w:rsidR="00D877ED" w:rsidRPr="00391425">
        <w:rPr>
          <w:rFonts w:ascii="Times New Roman" w:hAnsi="Times New Roman"/>
          <w:b/>
          <w:bCs/>
          <w:lang w:val="en-IE"/>
        </w:rPr>
        <w:t xml:space="preserve"> the role of cohesion policy in supporting the just transition</w:t>
      </w:r>
    </w:p>
    <w:p w14:paraId="389F7847" w14:textId="4E268E73" w:rsidR="00165656" w:rsidRPr="00FC36E1" w:rsidRDefault="003F2785" w:rsidP="7FF7C3D1">
      <w:pPr>
        <w:numPr>
          <w:ilvl w:val="0"/>
          <w:numId w:val="39"/>
        </w:numPr>
        <w:ind w:left="567" w:hanging="567"/>
        <w:rPr>
          <w:rFonts w:ascii="Times New Roman" w:hAnsi="Times New Roman"/>
          <w:i/>
          <w:iCs/>
          <w:lang w:val="en-IE"/>
        </w:rPr>
      </w:pPr>
      <w:r w:rsidRPr="00FC36E1">
        <w:rPr>
          <w:rFonts w:ascii="Times New Roman" w:hAnsi="Times New Roman"/>
          <w:b/>
          <w:bCs/>
          <w:lang w:val="en-IE"/>
        </w:rPr>
        <w:t>Rapporteur :</w:t>
      </w:r>
      <w:r w:rsidR="00165656" w:rsidRPr="00FC36E1">
        <w:rPr>
          <w:rFonts w:ascii="Times New Roman" w:hAnsi="Times New Roman"/>
          <w:lang w:val="en-IE"/>
        </w:rPr>
        <w:t xml:space="preserve"> Ciaran MULLOOLY (RE</w:t>
      </w:r>
      <w:r w:rsidR="00797F7F" w:rsidRPr="00FC36E1">
        <w:rPr>
          <w:rFonts w:ascii="Times New Roman" w:hAnsi="Times New Roman"/>
          <w:lang w:val="en-IE"/>
        </w:rPr>
        <w:t xml:space="preserve">NEW </w:t>
      </w:r>
      <w:r w:rsidR="00165656" w:rsidRPr="00FC36E1">
        <w:rPr>
          <w:rFonts w:ascii="Times New Roman" w:hAnsi="Times New Roman"/>
          <w:lang w:val="en-IE"/>
        </w:rPr>
        <w:t>/</w:t>
      </w:r>
      <w:r w:rsidR="00797F7F" w:rsidRPr="00FC36E1">
        <w:rPr>
          <w:rFonts w:ascii="Times New Roman" w:hAnsi="Times New Roman"/>
          <w:lang w:val="en-IE"/>
        </w:rPr>
        <w:t xml:space="preserve"> </w:t>
      </w:r>
      <w:r w:rsidR="00165656" w:rsidRPr="00FC36E1">
        <w:rPr>
          <w:rFonts w:ascii="Times New Roman" w:hAnsi="Times New Roman"/>
          <w:lang w:val="en-IE"/>
        </w:rPr>
        <w:t>IE)</w:t>
      </w:r>
    </w:p>
    <w:p w14:paraId="58D616E8" w14:textId="21DE71E4" w:rsidR="00165656" w:rsidRPr="00FC36E1" w:rsidRDefault="003F2785" w:rsidP="00165656">
      <w:pPr>
        <w:pStyle w:val="Default"/>
        <w:numPr>
          <w:ilvl w:val="0"/>
          <w:numId w:val="39"/>
        </w:numPr>
        <w:spacing w:after="240"/>
        <w:ind w:left="567" w:hanging="567"/>
        <w:jc w:val="both"/>
        <w:rPr>
          <w:color w:val="auto"/>
          <w:lang w:val="en-IE"/>
        </w:rPr>
      </w:pPr>
      <w:r w:rsidRPr="00FC36E1">
        <w:rPr>
          <w:b/>
          <w:bCs/>
          <w:color w:val="auto"/>
          <w:lang w:val="en-IE"/>
        </w:rPr>
        <w:t>References :</w:t>
      </w:r>
      <w:r w:rsidR="72A250D3" w:rsidRPr="00EE3DBE">
        <w:rPr>
          <w:color w:val="auto"/>
          <w:lang w:val="en-IE"/>
        </w:rPr>
        <w:t xml:space="preserve"> </w:t>
      </w:r>
      <w:r w:rsidR="00D71A9B" w:rsidRPr="00EE3DBE">
        <w:rPr>
          <w:color w:val="auto"/>
          <w:lang w:val="en-IE"/>
        </w:rPr>
        <w:t>2</w:t>
      </w:r>
      <w:hyperlink r:id="rId11">
        <w:r w:rsidR="72A250D3" w:rsidRPr="00FC36E1">
          <w:rPr>
            <w:lang w:val="en-IE"/>
          </w:rPr>
          <w:t>024/2121(INI)</w:t>
        </w:r>
      </w:hyperlink>
      <w:r w:rsidR="3EF7E667" w:rsidRPr="00FC36E1">
        <w:rPr>
          <w:lang w:val="en-IE"/>
        </w:rPr>
        <w:t xml:space="preserve"> /</w:t>
      </w:r>
      <w:r w:rsidR="72A250D3" w:rsidRPr="00FC36E1">
        <w:rPr>
          <w:lang w:val="en-IE"/>
        </w:rPr>
        <w:t xml:space="preserve"> A10-0137/2025 / P10_</w:t>
      </w:r>
      <w:r w:rsidRPr="00FC36E1">
        <w:rPr>
          <w:lang w:val="en-IE"/>
        </w:rPr>
        <w:t>TA(</w:t>
      </w:r>
      <w:r w:rsidR="72A250D3" w:rsidRPr="00FC36E1">
        <w:rPr>
          <w:lang w:val="en-IE"/>
        </w:rPr>
        <w:t xml:space="preserve">2025)0186 </w:t>
      </w:r>
    </w:p>
    <w:p w14:paraId="28399754" w14:textId="77777777" w:rsidR="00165656" w:rsidRPr="00FC36E1" w:rsidRDefault="00165656" w:rsidP="00165656">
      <w:pPr>
        <w:numPr>
          <w:ilvl w:val="0"/>
          <w:numId w:val="39"/>
        </w:numPr>
        <w:ind w:left="567" w:hanging="567"/>
        <w:rPr>
          <w:rFonts w:ascii="Times New Roman" w:hAnsi="Times New Roman"/>
          <w:i/>
          <w:szCs w:val="24"/>
          <w:lang w:val="en-IE"/>
        </w:rPr>
      </w:pPr>
      <w:r w:rsidRPr="00FC36E1">
        <w:rPr>
          <w:rFonts w:ascii="Times New Roman" w:hAnsi="Times New Roman"/>
          <w:b/>
          <w:szCs w:val="24"/>
          <w:lang w:val="en-IE"/>
        </w:rPr>
        <w:t>Date of adoption of the resolution:</w:t>
      </w:r>
      <w:r w:rsidRPr="00FC36E1">
        <w:rPr>
          <w:rFonts w:ascii="Times New Roman" w:hAnsi="Times New Roman"/>
          <w:szCs w:val="24"/>
          <w:lang w:val="en-IE"/>
        </w:rPr>
        <w:t xml:space="preserve"> 10 September 2025</w:t>
      </w:r>
    </w:p>
    <w:p w14:paraId="446F2B36" w14:textId="6F73018B" w:rsidR="00165656" w:rsidRPr="00FC36E1" w:rsidRDefault="00165656" w:rsidP="7FF7C3D1">
      <w:pPr>
        <w:numPr>
          <w:ilvl w:val="0"/>
          <w:numId w:val="39"/>
        </w:numPr>
        <w:ind w:left="567" w:hanging="567"/>
        <w:rPr>
          <w:rFonts w:ascii="Times New Roman" w:hAnsi="Times New Roman"/>
          <w:i/>
          <w:iCs/>
          <w:lang w:val="en-IE"/>
        </w:rPr>
      </w:pPr>
      <w:r w:rsidRPr="00FC36E1">
        <w:rPr>
          <w:rFonts w:ascii="Times New Roman" w:hAnsi="Times New Roman"/>
          <w:b/>
          <w:bCs/>
          <w:lang w:val="en-IE"/>
        </w:rPr>
        <w:t xml:space="preserve">Competent Parliamentary Committee: </w:t>
      </w:r>
      <w:r w:rsidRPr="00FC36E1">
        <w:rPr>
          <w:rFonts w:ascii="Times New Roman" w:hAnsi="Times New Roman"/>
          <w:lang w:val="en-IE"/>
        </w:rPr>
        <w:t xml:space="preserve">Committee </w:t>
      </w:r>
      <w:r w:rsidR="77B287A5" w:rsidRPr="00FC36E1">
        <w:rPr>
          <w:rFonts w:ascii="Times New Roman" w:hAnsi="Times New Roman"/>
          <w:lang w:val="en-IE"/>
        </w:rPr>
        <w:t xml:space="preserve">on </w:t>
      </w:r>
      <w:r w:rsidRPr="00FC36E1">
        <w:rPr>
          <w:rFonts w:ascii="Times New Roman" w:hAnsi="Times New Roman"/>
          <w:lang w:val="en-IE"/>
        </w:rPr>
        <w:t>Regional Development (REGI)</w:t>
      </w:r>
    </w:p>
    <w:p w14:paraId="68BBDBA0" w14:textId="77777777" w:rsidR="00165656" w:rsidRPr="00FC36E1" w:rsidRDefault="00165656" w:rsidP="00165656">
      <w:pPr>
        <w:widowControl w:val="0"/>
        <w:numPr>
          <w:ilvl w:val="0"/>
          <w:numId w:val="39"/>
        </w:numPr>
        <w:ind w:left="567" w:hanging="567"/>
        <w:rPr>
          <w:rFonts w:ascii="Times New Roman" w:hAnsi="Times New Roman"/>
          <w:b/>
          <w:szCs w:val="24"/>
          <w:lang w:val="en-IE"/>
        </w:rPr>
      </w:pPr>
      <w:r w:rsidRPr="00FC36E1">
        <w:rPr>
          <w:rFonts w:ascii="Times New Roman" w:hAnsi="Times New Roman"/>
          <w:b/>
          <w:bCs/>
          <w:lang w:val="en-IE"/>
        </w:rPr>
        <w:t xml:space="preserve">Brief analysis/ assessment of the resolution and requests made in it: </w:t>
      </w:r>
    </w:p>
    <w:p w14:paraId="4FADFE60" w14:textId="6DC3F09F" w:rsidR="6154688F" w:rsidRPr="00FC36E1" w:rsidRDefault="6154688F" w:rsidP="002752B9">
      <w:pPr>
        <w:widowControl w:val="0"/>
        <w:rPr>
          <w:rFonts w:ascii="Times New Roman" w:hAnsi="Times New Roman"/>
          <w:lang w:val="en-IE"/>
        </w:rPr>
      </w:pPr>
      <w:r w:rsidRPr="00FC36E1">
        <w:rPr>
          <w:rFonts w:ascii="Times New Roman" w:hAnsi="Times New Roman"/>
          <w:lang w:val="en-IE"/>
        </w:rPr>
        <w:t xml:space="preserve">The </w:t>
      </w:r>
      <w:r w:rsidR="00C02DAA" w:rsidRPr="00FC36E1">
        <w:rPr>
          <w:rFonts w:ascii="Times New Roman" w:hAnsi="Times New Roman"/>
          <w:lang w:val="en-IE"/>
        </w:rPr>
        <w:t xml:space="preserve">Parliament </w:t>
      </w:r>
      <w:r w:rsidRPr="00FC36E1">
        <w:rPr>
          <w:rFonts w:ascii="Times New Roman" w:hAnsi="Times New Roman"/>
          <w:lang w:val="en-IE"/>
        </w:rPr>
        <w:t xml:space="preserve">resolution places the just transition in a wider context, looking beyond cohesion policy support alone, </w:t>
      </w:r>
      <w:r w:rsidR="00C02DAA" w:rsidRPr="00FC36E1">
        <w:rPr>
          <w:rFonts w:ascii="Times New Roman" w:hAnsi="Times New Roman"/>
          <w:lang w:val="en-IE"/>
        </w:rPr>
        <w:t xml:space="preserve">and </w:t>
      </w:r>
      <w:r w:rsidRPr="00FC36E1">
        <w:rPr>
          <w:rFonts w:ascii="Times New Roman" w:hAnsi="Times New Roman"/>
          <w:lang w:val="en-IE"/>
        </w:rPr>
        <w:t xml:space="preserve">noting that the shift to a </w:t>
      </w:r>
      <w:r w:rsidR="00665B5C" w:rsidRPr="00FC36E1">
        <w:rPr>
          <w:rFonts w:ascii="Times New Roman" w:hAnsi="Times New Roman"/>
          <w:lang w:val="en-IE"/>
        </w:rPr>
        <w:t>climate</w:t>
      </w:r>
      <w:r w:rsidRPr="00FC36E1">
        <w:rPr>
          <w:rFonts w:ascii="Times New Roman" w:hAnsi="Times New Roman"/>
          <w:lang w:val="en-IE"/>
        </w:rPr>
        <w:t xml:space="preserve">-neutral economy by 2050 could deepen regional disparities, particularly for vulnerable populations and carbon-intensive regions. Since EU regions differ greatly in their socio-economic characteristics, tailored solutions are needed. The green and digital transition must therefore uphold social justice and tackle workplace discrimination. </w:t>
      </w:r>
      <w:r w:rsidR="6350DB94" w:rsidRPr="00FC36E1">
        <w:rPr>
          <w:rFonts w:ascii="Times New Roman" w:hAnsi="Times New Roman"/>
          <w:lang w:val="en-IE"/>
        </w:rPr>
        <w:t>According to the Parliament, e</w:t>
      </w:r>
      <w:r w:rsidR="30AD5BEC" w:rsidRPr="00FC36E1">
        <w:rPr>
          <w:rFonts w:ascii="Times New Roman" w:hAnsi="Times New Roman"/>
          <w:lang w:val="en-IE"/>
        </w:rPr>
        <w:t xml:space="preserve">ffective just transition strategies require a coherent use of EU financial instruments and the active involvement of local authorities. It also stresses the importance of simplifying the implementation of the Just Transition Fund (JTF) to make it more accessible and to accelerate the deployment of resources. The </w:t>
      </w:r>
      <w:r w:rsidR="7121BC4E" w:rsidRPr="00FC36E1">
        <w:rPr>
          <w:rFonts w:ascii="Times New Roman" w:hAnsi="Times New Roman"/>
          <w:lang w:val="en-IE"/>
        </w:rPr>
        <w:t>resolution</w:t>
      </w:r>
      <w:r w:rsidR="30AD5BEC" w:rsidRPr="00FC36E1">
        <w:rPr>
          <w:rFonts w:ascii="Times New Roman" w:hAnsi="Times New Roman"/>
          <w:lang w:val="en-IE"/>
        </w:rPr>
        <w:t xml:space="preserve"> further proposes the creation of special JTF economic zones, </w:t>
      </w:r>
      <w:r w:rsidR="71FCDCCA" w:rsidRPr="00FC36E1">
        <w:rPr>
          <w:rFonts w:ascii="Times New Roman" w:hAnsi="Times New Roman"/>
          <w:lang w:val="en-IE"/>
        </w:rPr>
        <w:t xml:space="preserve">in cooperation </w:t>
      </w:r>
      <w:r w:rsidR="30AD5BEC" w:rsidRPr="00FC36E1">
        <w:rPr>
          <w:rFonts w:ascii="Times New Roman" w:hAnsi="Times New Roman"/>
          <w:lang w:val="en-IE"/>
        </w:rPr>
        <w:t>with Member States and local government</w:t>
      </w:r>
      <w:r w:rsidR="21F6E1CF" w:rsidRPr="00FC36E1">
        <w:rPr>
          <w:rFonts w:ascii="Times New Roman" w:hAnsi="Times New Roman"/>
          <w:lang w:val="en-IE"/>
        </w:rPr>
        <w:t>al structures</w:t>
      </w:r>
      <w:r w:rsidR="30AD5BEC" w:rsidRPr="00FC36E1">
        <w:rPr>
          <w:rFonts w:ascii="Times New Roman" w:hAnsi="Times New Roman"/>
          <w:lang w:val="en-IE"/>
        </w:rPr>
        <w:t>, which could help mitigate negative social impacts, stimulate investment, and foster growth</w:t>
      </w:r>
      <w:r w:rsidR="7477FDB5" w:rsidRPr="00FC36E1">
        <w:rPr>
          <w:rFonts w:ascii="Times New Roman" w:hAnsi="Times New Roman"/>
          <w:lang w:val="en-IE"/>
        </w:rPr>
        <w:t xml:space="preserve"> in regions, </w:t>
      </w:r>
      <w:r w:rsidR="30AD5BEC" w:rsidRPr="00FC36E1">
        <w:rPr>
          <w:rFonts w:ascii="Times New Roman" w:hAnsi="Times New Roman"/>
          <w:lang w:val="en-IE"/>
        </w:rPr>
        <w:t>as has been achieved in other special economic zones across the EU. Island regions, facing higher transition and living costs, should also benefit from such zones</w:t>
      </w:r>
      <w:r w:rsidR="72A250D3" w:rsidRPr="00FC36E1">
        <w:rPr>
          <w:rFonts w:ascii="Times New Roman" w:hAnsi="Times New Roman"/>
          <w:lang w:val="en-IE"/>
        </w:rPr>
        <w:t xml:space="preserve">. </w:t>
      </w:r>
      <w:r w:rsidR="00895AB8" w:rsidRPr="00FC36E1">
        <w:rPr>
          <w:rFonts w:ascii="Times New Roman" w:hAnsi="Times New Roman"/>
          <w:lang w:val="en-IE"/>
        </w:rPr>
        <w:t>The report mentions the n</w:t>
      </w:r>
      <w:r w:rsidR="72A250D3" w:rsidRPr="00FC36E1">
        <w:rPr>
          <w:rFonts w:ascii="Times New Roman" w:hAnsi="Times New Roman"/>
          <w:lang w:val="en-IE"/>
        </w:rPr>
        <w:t>eed for swifter planning decisions along with special measures, financial instruments, including tax incentives in compliance with the rules of single market.</w:t>
      </w:r>
      <w:r w:rsidR="56E519CE" w:rsidRPr="00FC36E1">
        <w:rPr>
          <w:rFonts w:ascii="Times New Roman" w:hAnsi="Times New Roman"/>
          <w:lang w:val="en-IE"/>
        </w:rPr>
        <w:t xml:space="preserve"> </w:t>
      </w:r>
      <w:r w:rsidR="5F9FC781" w:rsidRPr="00FC36E1">
        <w:rPr>
          <w:rFonts w:ascii="Times New Roman" w:hAnsi="Times New Roman"/>
          <w:lang w:val="en-IE"/>
        </w:rPr>
        <w:t>It also</w:t>
      </w:r>
      <w:r w:rsidR="7230383C" w:rsidRPr="00FC36E1">
        <w:rPr>
          <w:rFonts w:ascii="Times New Roman" w:hAnsi="Times New Roman"/>
          <w:lang w:val="en-IE"/>
        </w:rPr>
        <w:t xml:space="preserve"> recommends that </w:t>
      </w:r>
      <w:r w:rsidR="72A250D3" w:rsidRPr="00FC36E1">
        <w:rPr>
          <w:rFonts w:ascii="Times New Roman" w:hAnsi="Times New Roman"/>
          <w:lang w:val="en-IE"/>
        </w:rPr>
        <w:t xml:space="preserve">ESF+ and JTF should support education and training in regions undergoing industrial </w:t>
      </w:r>
      <w:r w:rsidR="00665B5C" w:rsidRPr="00FC36E1">
        <w:rPr>
          <w:rFonts w:ascii="Times New Roman" w:hAnsi="Times New Roman"/>
          <w:lang w:val="en-IE"/>
        </w:rPr>
        <w:t>tran</w:t>
      </w:r>
      <w:r w:rsidR="00A404E0" w:rsidRPr="00FC36E1">
        <w:rPr>
          <w:rFonts w:ascii="Times New Roman" w:hAnsi="Times New Roman"/>
          <w:lang w:val="en-IE"/>
        </w:rPr>
        <w:t>s</w:t>
      </w:r>
      <w:r w:rsidR="00665B5C" w:rsidRPr="00FC36E1">
        <w:rPr>
          <w:rFonts w:ascii="Times New Roman" w:hAnsi="Times New Roman"/>
          <w:lang w:val="en-IE"/>
        </w:rPr>
        <w:t>formation</w:t>
      </w:r>
      <w:r w:rsidR="72A250D3" w:rsidRPr="00FC36E1">
        <w:rPr>
          <w:rFonts w:ascii="Times New Roman" w:hAnsi="Times New Roman"/>
          <w:lang w:val="en-IE"/>
        </w:rPr>
        <w:t>, prioriti</w:t>
      </w:r>
      <w:r w:rsidR="00756786" w:rsidRPr="00FC36E1">
        <w:rPr>
          <w:rFonts w:ascii="Times New Roman" w:hAnsi="Times New Roman"/>
          <w:lang w:val="en-IE"/>
        </w:rPr>
        <w:t>s</w:t>
      </w:r>
      <w:r w:rsidR="72A250D3" w:rsidRPr="00FC36E1">
        <w:rPr>
          <w:rFonts w:ascii="Times New Roman" w:hAnsi="Times New Roman"/>
          <w:lang w:val="en-IE"/>
        </w:rPr>
        <w:t xml:space="preserve">ing reskilling </w:t>
      </w:r>
      <w:r w:rsidR="00895AB8" w:rsidRPr="00FC36E1">
        <w:rPr>
          <w:rFonts w:ascii="Times New Roman" w:hAnsi="Times New Roman"/>
          <w:lang w:val="en-IE"/>
        </w:rPr>
        <w:t xml:space="preserve">of </w:t>
      </w:r>
      <w:r w:rsidR="72A250D3" w:rsidRPr="00FC36E1">
        <w:rPr>
          <w:rFonts w:ascii="Times New Roman" w:hAnsi="Times New Roman"/>
          <w:lang w:val="en-IE"/>
        </w:rPr>
        <w:t>workers</w:t>
      </w:r>
      <w:r w:rsidR="00180844" w:rsidRPr="00FC36E1">
        <w:rPr>
          <w:rFonts w:ascii="Times New Roman" w:hAnsi="Times New Roman"/>
          <w:lang w:val="en-IE"/>
        </w:rPr>
        <w:t>, vocational education and training</w:t>
      </w:r>
      <w:r w:rsidR="72A250D3" w:rsidRPr="00FC36E1">
        <w:rPr>
          <w:rFonts w:ascii="Times New Roman" w:hAnsi="Times New Roman"/>
          <w:lang w:val="en-IE"/>
        </w:rPr>
        <w:t xml:space="preserve"> and apprenticeships, especially for women, young people, and marginali</w:t>
      </w:r>
      <w:r w:rsidR="00AE0B68" w:rsidRPr="00FC36E1">
        <w:rPr>
          <w:rFonts w:ascii="Times New Roman" w:hAnsi="Times New Roman"/>
          <w:lang w:val="en-IE"/>
        </w:rPr>
        <w:t>s</w:t>
      </w:r>
      <w:r w:rsidR="72A250D3" w:rsidRPr="00FC36E1">
        <w:rPr>
          <w:rFonts w:ascii="Times New Roman" w:hAnsi="Times New Roman"/>
          <w:lang w:val="en-IE"/>
        </w:rPr>
        <w:t>ed communities</w:t>
      </w:r>
      <w:r w:rsidR="00546E3B" w:rsidRPr="00FC36E1">
        <w:rPr>
          <w:rFonts w:ascii="Times New Roman" w:hAnsi="Times New Roman"/>
          <w:lang w:val="en-IE"/>
        </w:rPr>
        <w:t xml:space="preserve"> as well as cultural heritage</w:t>
      </w:r>
      <w:r w:rsidR="72A250D3" w:rsidRPr="00FC36E1">
        <w:rPr>
          <w:rFonts w:ascii="Times New Roman" w:hAnsi="Times New Roman"/>
          <w:lang w:val="en-IE"/>
        </w:rPr>
        <w:t>. Investment should focus on green and digital skills,</w:t>
      </w:r>
      <w:r w:rsidR="005A501A" w:rsidRPr="00FC36E1">
        <w:rPr>
          <w:lang w:val="en-IE"/>
        </w:rPr>
        <w:t xml:space="preserve"> </w:t>
      </w:r>
      <w:r w:rsidR="005A501A" w:rsidRPr="00FC36E1">
        <w:rPr>
          <w:rFonts w:ascii="Times New Roman" w:hAnsi="Times New Roman"/>
          <w:lang w:val="en-IE"/>
        </w:rPr>
        <w:t>Science, Technology, Engineering, and Mathematics</w:t>
      </w:r>
      <w:r w:rsidR="72A250D3" w:rsidRPr="00FC36E1">
        <w:rPr>
          <w:rFonts w:ascii="Times New Roman" w:hAnsi="Times New Roman"/>
          <w:lang w:val="en-IE"/>
        </w:rPr>
        <w:t xml:space="preserve"> </w:t>
      </w:r>
      <w:r w:rsidR="005A501A" w:rsidRPr="00FC36E1">
        <w:rPr>
          <w:rFonts w:ascii="Times New Roman" w:hAnsi="Times New Roman"/>
          <w:lang w:val="en-IE"/>
        </w:rPr>
        <w:t>(</w:t>
      </w:r>
      <w:r w:rsidR="00DB63D2" w:rsidRPr="00FC36E1">
        <w:rPr>
          <w:rFonts w:ascii="Times New Roman" w:hAnsi="Times New Roman"/>
          <w:lang w:val="en-IE"/>
        </w:rPr>
        <w:t>STEM</w:t>
      </w:r>
      <w:r w:rsidR="005A501A" w:rsidRPr="00FC36E1">
        <w:rPr>
          <w:rFonts w:ascii="Times New Roman" w:hAnsi="Times New Roman"/>
          <w:lang w:val="en-IE"/>
        </w:rPr>
        <w:t>)</w:t>
      </w:r>
      <w:r w:rsidR="00DB63D2" w:rsidRPr="00FC36E1">
        <w:rPr>
          <w:rFonts w:ascii="Times New Roman" w:hAnsi="Times New Roman"/>
          <w:lang w:val="en-IE"/>
        </w:rPr>
        <w:t>,</w:t>
      </w:r>
      <w:r w:rsidR="72A250D3" w:rsidRPr="00FC36E1">
        <w:rPr>
          <w:rFonts w:ascii="Times New Roman" w:hAnsi="Times New Roman"/>
          <w:lang w:val="en-IE"/>
        </w:rPr>
        <w:t xml:space="preserve"> and basic literacy. Affordable housing programs are also crucial. </w:t>
      </w:r>
      <w:r w:rsidR="473CFDF5" w:rsidRPr="00FC36E1">
        <w:rPr>
          <w:rFonts w:ascii="Times New Roman" w:hAnsi="Times New Roman"/>
          <w:lang w:val="en-IE"/>
        </w:rPr>
        <w:t xml:space="preserve">The report points out that in some JTF-eligible regions the transition is not yet finished, </w:t>
      </w:r>
      <w:r w:rsidR="005A501A" w:rsidRPr="00FC36E1">
        <w:rPr>
          <w:rFonts w:ascii="Times New Roman" w:hAnsi="Times New Roman"/>
          <w:lang w:val="en-IE"/>
        </w:rPr>
        <w:t xml:space="preserve">stressing that </w:t>
      </w:r>
      <w:r w:rsidR="473CFDF5" w:rsidRPr="00FC36E1">
        <w:rPr>
          <w:rFonts w:ascii="Times New Roman" w:hAnsi="Times New Roman"/>
          <w:lang w:val="en-IE"/>
        </w:rPr>
        <w:t xml:space="preserve">continued support remains necessary. To this </w:t>
      </w:r>
      <w:r w:rsidR="7274C3BC" w:rsidRPr="00FC36E1">
        <w:rPr>
          <w:rFonts w:ascii="Times New Roman" w:hAnsi="Times New Roman"/>
          <w:lang w:val="en-IE"/>
        </w:rPr>
        <w:t>end, the Parliament calls for the</w:t>
      </w:r>
      <w:r w:rsidR="473CFDF5" w:rsidRPr="00FC36E1">
        <w:rPr>
          <w:rFonts w:ascii="Times New Roman" w:hAnsi="Times New Roman"/>
          <w:lang w:val="en-IE"/>
        </w:rPr>
        <w:t xml:space="preserve"> establishment of a stand-alone fund – called Just T</w:t>
      </w:r>
      <w:r w:rsidR="6B0C027E" w:rsidRPr="00FC36E1">
        <w:rPr>
          <w:rFonts w:ascii="Times New Roman" w:hAnsi="Times New Roman"/>
          <w:lang w:val="en-IE"/>
        </w:rPr>
        <w:t xml:space="preserve">ransition </w:t>
      </w:r>
      <w:r w:rsidR="473CFDF5" w:rsidRPr="00FC36E1">
        <w:rPr>
          <w:rFonts w:ascii="Times New Roman" w:hAnsi="Times New Roman"/>
          <w:lang w:val="en-IE"/>
        </w:rPr>
        <w:t>F</w:t>
      </w:r>
      <w:r w:rsidR="185B4B45" w:rsidRPr="00FC36E1">
        <w:rPr>
          <w:rFonts w:ascii="Times New Roman" w:hAnsi="Times New Roman"/>
          <w:lang w:val="en-IE"/>
        </w:rPr>
        <w:t>und</w:t>
      </w:r>
      <w:r w:rsidR="473CFDF5" w:rsidRPr="00FC36E1">
        <w:rPr>
          <w:rFonts w:ascii="Times New Roman" w:hAnsi="Times New Roman"/>
          <w:lang w:val="en-IE"/>
        </w:rPr>
        <w:t xml:space="preserve"> </w:t>
      </w:r>
      <w:r w:rsidR="005A501A" w:rsidRPr="00FC36E1">
        <w:rPr>
          <w:rFonts w:ascii="Times New Roman" w:hAnsi="Times New Roman"/>
          <w:lang w:val="en-IE"/>
        </w:rPr>
        <w:t>2.0</w:t>
      </w:r>
      <w:r w:rsidR="473CFDF5" w:rsidRPr="00FC36E1">
        <w:rPr>
          <w:rFonts w:ascii="Times New Roman" w:hAnsi="Times New Roman"/>
          <w:lang w:val="en-IE"/>
        </w:rPr>
        <w:t>.</w:t>
      </w:r>
    </w:p>
    <w:p w14:paraId="780B6643" w14:textId="335C744D" w:rsidR="00963420" w:rsidRPr="00FC36E1" w:rsidRDefault="00963420" w:rsidP="002752B9">
      <w:pPr>
        <w:widowControl w:val="0"/>
        <w:numPr>
          <w:ilvl w:val="0"/>
          <w:numId w:val="39"/>
        </w:numPr>
        <w:ind w:left="567" w:hanging="567"/>
        <w:rPr>
          <w:rFonts w:ascii="Times New Roman" w:hAnsi="Times New Roman"/>
          <w:b/>
          <w:szCs w:val="24"/>
          <w:lang w:val="en-IE"/>
        </w:rPr>
      </w:pPr>
      <w:r w:rsidRPr="00FC36E1">
        <w:rPr>
          <w:rFonts w:ascii="Times New Roman" w:hAnsi="Times New Roman"/>
          <w:b/>
          <w:szCs w:val="24"/>
          <w:lang w:val="en-IE"/>
        </w:rPr>
        <w:t>Response to requests and overview of action</w:t>
      </w:r>
      <w:r w:rsidR="001946EE" w:rsidRPr="00FC36E1">
        <w:rPr>
          <w:rFonts w:ascii="Times New Roman" w:hAnsi="Times New Roman"/>
          <w:b/>
          <w:szCs w:val="24"/>
          <w:lang w:val="en-IE"/>
        </w:rPr>
        <w:t>s</w:t>
      </w:r>
      <w:r w:rsidRPr="00FC36E1">
        <w:rPr>
          <w:rFonts w:ascii="Times New Roman" w:hAnsi="Times New Roman"/>
          <w:b/>
          <w:szCs w:val="24"/>
          <w:lang w:val="en-IE"/>
        </w:rPr>
        <w:t xml:space="preserve"> taken, or intended to be taken, by the Commission:</w:t>
      </w:r>
      <w:r w:rsidR="00146971" w:rsidRPr="00FC36E1">
        <w:rPr>
          <w:rFonts w:ascii="Times New Roman" w:hAnsi="Times New Roman"/>
          <w:b/>
          <w:szCs w:val="24"/>
          <w:lang w:val="en-IE"/>
        </w:rPr>
        <w:t xml:space="preserve"> </w:t>
      </w:r>
    </w:p>
    <w:p w14:paraId="6C8309FC" w14:textId="6E8588F4" w:rsidR="007903DE" w:rsidRPr="00FC36E1" w:rsidRDefault="225D501C" w:rsidP="002752B9">
      <w:pPr>
        <w:spacing w:before="120" w:after="120"/>
        <w:rPr>
          <w:rFonts w:ascii="Times New Roman" w:hAnsi="Times New Roman"/>
          <w:lang w:val="en-IE"/>
        </w:rPr>
      </w:pPr>
      <w:r w:rsidRPr="00FC36E1">
        <w:rPr>
          <w:rFonts w:ascii="Times New Roman" w:hAnsi="Times New Roman"/>
          <w:lang w:val="en-IE"/>
        </w:rPr>
        <w:t xml:space="preserve">The European Commission would like to thank the European Parliament for the resolution </w:t>
      </w:r>
      <w:r w:rsidRPr="00391425">
        <w:rPr>
          <w:rFonts w:ascii="Times New Roman" w:hAnsi="Times New Roman"/>
          <w:lang w:val="en-IE"/>
        </w:rPr>
        <w:t>of 10 September 2025 on the role of cohesion policy in supporting the just transition</w:t>
      </w:r>
      <w:r w:rsidRPr="00FC36E1">
        <w:rPr>
          <w:rFonts w:ascii="Times New Roman" w:hAnsi="Times New Roman"/>
          <w:lang w:val="en-IE"/>
        </w:rPr>
        <w:t xml:space="preserve">. </w:t>
      </w:r>
      <w:r w:rsidR="001A9854" w:rsidRPr="00FC36E1">
        <w:rPr>
          <w:rFonts w:ascii="Times New Roman" w:hAnsi="Times New Roman"/>
          <w:lang w:val="en-IE"/>
        </w:rPr>
        <w:t>The European Commission agrees with the European Parliament that cohesion policy</w:t>
      </w:r>
      <w:r w:rsidR="00E33D5C" w:rsidRPr="00FC36E1">
        <w:rPr>
          <w:rFonts w:ascii="Times New Roman" w:hAnsi="Times New Roman"/>
          <w:lang w:val="en-IE"/>
        </w:rPr>
        <w:t>’s role</w:t>
      </w:r>
      <w:r w:rsidR="001A9854" w:rsidRPr="00FC36E1">
        <w:rPr>
          <w:rFonts w:ascii="Times New Roman" w:hAnsi="Times New Roman"/>
          <w:lang w:val="en-IE"/>
        </w:rPr>
        <w:t xml:space="preserve"> in ensuring </w:t>
      </w:r>
      <w:r w:rsidR="00E33D5C" w:rsidRPr="00FC36E1">
        <w:rPr>
          <w:rFonts w:ascii="Times New Roman" w:hAnsi="Times New Roman"/>
          <w:lang w:val="en-IE"/>
        </w:rPr>
        <w:t xml:space="preserve">a </w:t>
      </w:r>
      <w:r w:rsidR="001A9854" w:rsidRPr="00FC36E1">
        <w:rPr>
          <w:rFonts w:ascii="Times New Roman" w:hAnsi="Times New Roman"/>
          <w:lang w:val="en-IE"/>
        </w:rPr>
        <w:t xml:space="preserve">just transition for most vulnerable coal and carbon-intensive regions is crucial. </w:t>
      </w:r>
    </w:p>
    <w:p w14:paraId="5C13C875" w14:textId="21478964" w:rsidR="009D4F45" w:rsidRPr="00FC36E1" w:rsidRDefault="51574E9F" w:rsidP="007073E5">
      <w:pPr>
        <w:spacing w:before="120" w:after="0"/>
        <w:rPr>
          <w:rFonts w:ascii="Times New Roman" w:hAnsi="Times New Roman"/>
          <w:lang w:val="en-IE"/>
        </w:rPr>
      </w:pPr>
      <w:r w:rsidRPr="00FC36E1">
        <w:rPr>
          <w:rFonts w:ascii="Times New Roman" w:hAnsi="Times New Roman"/>
          <w:lang w:val="en-IE"/>
        </w:rPr>
        <w:t>The Commission re</w:t>
      </w:r>
      <w:r w:rsidR="003D06D7" w:rsidRPr="00FC36E1">
        <w:rPr>
          <w:rFonts w:ascii="Times New Roman" w:hAnsi="Times New Roman"/>
          <w:lang w:val="en-IE"/>
        </w:rPr>
        <w:t>calls</w:t>
      </w:r>
      <w:r w:rsidRPr="00FC36E1">
        <w:rPr>
          <w:rFonts w:ascii="Times New Roman" w:hAnsi="Times New Roman"/>
          <w:lang w:val="en-IE"/>
        </w:rPr>
        <w:t xml:space="preserve"> that</w:t>
      </w:r>
      <w:r w:rsidR="26616C2D" w:rsidRPr="00FC36E1">
        <w:rPr>
          <w:rFonts w:ascii="Times New Roman" w:hAnsi="Times New Roman"/>
          <w:lang w:val="en-IE"/>
        </w:rPr>
        <w:t xml:space="preserve"> planning and establishing</w:t>
      </w:r>
      <w:r w:rsidRPr="00FC36E1">
        <w:rPr>
          <w:rFonts w:ascii="Times New Roman" w:hAnsi="Times New Roman"/>
          <w:lang w:val="en-IE"/>
        </w:rPr>
        <w:t xml:space="preserve"> special economic zones</w:t>
      </w:r>
      <w:r w:rsidR="71F37090" w:rsidRPr="00FC36E1">
        <w:rPr>
          <w:rFonts w:ascii="Times New Roman" w:hAnsi="Times New Roman"/>
          <w:lang w:val="en-IE"/>
        </w:rPr>
        <w:t>, as well as</w:t>
      </w:r>
      <w:r w:rsidR="302A09D3" w:rsidRPr="00FC36E1">
        <w:rPr>
          <w:rFonts w:ascii="Times New Roman" w:hAnsi="Times New Roman"/>
          <w:lang w:val="en-IE"/>
        </w:rPr>
        <w:t xml:space="preserve"> related </w:t>
      </w:r>
      <w:r w:rsidR="7997F761" w:rsidRPr="00FC36E1">
        <w:rPr>
          <w:rFonts w:ascii="Times New Roman" w:hAnsi="Times New Roman"/>
          <w:lang w:val="en-IE"/>
        </w:rPr>
        <w:t xml:space="preserve">fiscal </w:t>
      </w:r>
      <w:r w:rsidR="302A09D3" w:rsidRPr="00FC36E1">
        <w:rPr>
          <w:rFonts w:ascii="Times New Roman" w:hAnsi="Times New Roman"/>
          <w:lang w:val="en-IE"/>
        </w:rPr>
        <w:t>incentives</w:t>
      </w:r>
      <w:r w:rsidR="34F03EF4" w:rsidRPr="00FC36E1">
        <w:rPr>
          <w:rFonts w:ascii="Times New Roman" w:hAnsi="Times New Roman"/>
          <w:lang w:val="en-IE"/>
        </w:rPr>
        <w:t>,</w:t>
      </w:r>
      <w:r w:rsidRPr="00FC36E1">
        <w:rPr>
          <w:rFonts w:ascii="Times New Roman" w:hAnsi="Times New Roman"/>
          <w:lang w:val="en-IE"/>
        </w:rPr>
        <w:t xml:space="preserve"> is the competence of Member States</w:t>
      </w:r>
      <w:r w:rsidR="216501CA" w:rsidRPr="00FC36E1">
        <w:rPr>
          <w:rFonts w:ascii="Times New Roman" w:hAnsi="Times New Roman"/>
          <w:lang w:val="en-IE"/>
        </w:rPr>
        <w:t xml:space="preserve">. </w:t>
      </w:r>
      <w:r w:rsidR="003D06D7" w:rsidRPr="00FC36E1">
        <w:rPr>
          <w:rFonts w:ascii="Times New Roman" w:hAnsi="Times New Roman"/>
          <w:lang w:val="en-IE"/>
        </w:rPr>
        <w:t>T</w:t>
      </w:r>
      <w:r w:rsidRPr="00FC36E1">
        <w:rPr>
          <w:rFonts w:ascii="Times New Roman" w:hAnsi="Times New Roman"/>
          <w:lang w:val="en-IE"/>
        </w:rPr>
        <w:t xml:space="preserve">he Commission </w:t>
      </w:r>
      <w:r w:rsidR="7B438BFB" w:rsidRPr="00FC36E1">
        <w:rPr>
          <w:rFonts w:ascii="Times New Roman" w:hAnsi="Times New Roman"/>
          <w:lang w:val="en-IE"/>
        </w:rPr>
        <w:t>can be</w:t>
      </w:r>
      <w:r w:rsidRPr="00FC36E1">
        <w:rPr>
          <w:rFonts w:ascii="Times New Roman" w:hAnsi="Times New Roman"/>
          <w:lang w:val="en-IE"/>
        </w:rPr>
        <w:t xml:space="preserve"> involved </w:t>
      </w:r>
      <w:r w:rsidR="11124BBE" w:rsidRPr="00FC36E1">
        <w:rPr>
          <w:rFonts w:ascii="Times New Roman" w:hAnsi="Times New Roman"/>
          <w:lang w:val="en-IE"/>
        </w:rPr>
        <w:t>in</w:t>
      </w:r>
      <w:r w:rsidR="09C905FE" w:rsidRPr="00FC36E1">
        <w:rPr>
          <w:rFonts w:ascii="Times New Roman" w:hAnsi="Times New Roman"/>
          <w:lang w:val="en-IE"/>
        </w:rPr>
        <w:t xml:space="preserve"> framing</w:t>
      </w:r>
      <w:r w:rsidR="69123290" w:rsidRPr="00FC36E1">
        <w:rPr>
          <w:rFonts w:ascii="Times New Roman" w:hAnsi="Times New Roman"/>
          <w:lang w:val="en-IE"/>
        </w:rPr>
        <w:t xml:space="preserve"> </w:t>
      </w:r>
      <w:r w:rsidR="0E581EED" w:rsidRPr="00FC36E1">
        <w:rPr>
          <w:rFonts w:ascii="Times New Roman" w:hAnsi="Times New Roman"/>
          <w:lang w:val="en-IE"/>
        </w:rPr>
        <w:t>complementary</w:t>
      </w:r>
      <w:r w:rsidR="09C905FE" w:rsidRPr="00FC36E1">
        <w:rPr>
          <w:rFonts w:ascii="Times New Roman" w:hAnsi="Times New Roman"/>
          <w:lang w:val="en-IE"/>
        </w:rPr>
        <w:t xml:space="preserve"> </w:t>
      </w:r>
      <w:r w:rsidR="53B08F18" w:rsidRPr="00FC36E1">
        <w:rPr>
          <w:rFonts w:ascii="Times New Roman" w:hAnsi="Times New Roman"/>
          <w:lang w:val="en-IE"/>
        </w:rPr>
        <w:t>support from EU funds</w:t>
      </w:r>
      <w:r w:rsidR="003D06D7" w:rsidRPr="00FC36E1">
        <w:rPr>
          <w:rFonts w:ascii="Times New Roman" w:hAnsi="Times New Roman"/>
          <w:lang w:val="en-IE"/>
        </w:rPr>
        <w:t xml:space="preserve"> for those zones and may have to assess State aid for the economic operators concern</w:t>
      </w:r>
      <w:r w:rsidR="00546E3B" w:rsidRPr="00FC36E1">
        <w:rPr>
          <w:rFonts w:ascii="Times New Roman" w:hAnsi="Times New Roman"/>
          <w:lang w:val="en-IE"/>
        </w:rPr>
        <w:t>ed</w:t>
      </w:r>
      <w:r w:rsidRPr="00FC36E1">
        <w:rPr>
          <w:rFonts w:ascii="Times New Roman" w:hAnsi="Times New Roman"/>
          <w:lang w:val="en-IE"/>
        </w:rPr>
        <w:t xml:space="preserve">. </w:t>
      </w:r>
      <w:r w:rsidR="7543132E" w:rsidRPr="00FC36E1">
        <w:rPr>
          <w:rFonts w:ascii="Times New Roman" w:hAnsi="Times New Roman"/>
          <w:lang w:val="en-IE"/>
        </w:rPr>
        <w:t>The Commission agrees with the Parliament that priority access to</w:t>
      </w:r>
      <w:r w:rsidR="5F07DA0B" w:rsidRPr="00FC36E1">
        <w:rPr>
          <w:rFonts w:ascii="Times New Roman" w:hAnsi="Times New Roman"/>
          <w:lang w:val="en-IE"/>
        </w:rPr>
        <w:t xml:space="preserve"> the</w:t>
      </w:r>
      <w:r w:rsidR="7543132E" w:rsidRPr="00FC36E1">
        <w:rPr>
          <w:rFonts w:ascii="Times New Roman" w:hAnsi="Times New Roman"/>
          <w:lang w:val="en-IE"/>
        </w:rPr>
        <w:t xml:space="preserve"> JTF </w:t>
      </w:r>
      <w:r w:rsidR="1366EF89" w:rsidRPr="00FC36E1">
        <w:rPr>
          <w:rFonts w:ascii="Times New Roman" w:hAnsi="Times New Roman"/>
          <w:lang w:val="en-IE"/>
        </w:rPr>
        <w:t>be</w:t>
      </w:r>
      <w:r w:rsidR="7543132E" w:rsidRPr="00FC36E1">
        <w:rPr>
          <w:rFonts w:ascii="Times New Roman" w:hAnsi="Times New Roman"/>
          <w:lang w:val="en-IE"/>
        </w:rPr>
        <w:t xml:space="preserve"> given to locations directly affected by the transition</w:t>
      </w:r>
      <w:r w:rsidR="00665B5C" w:rsidRPr="00FC36E1">
        <w:rPr>
          <w:rFonts w:ascii="Times New Roman" w:hAnsi="Times New Roman"/>
          <w:lang w:val="en-IE"/>
        </w:rPr>
        <w:t xml:space="preserve"> to climate neutrality</w:t>
      </w:r>
      <w:r w:rsidR="7543132E" w:rsidRPr="00FC36E1">
        <w:rPr>
          <w:rFonts w:ascii="Times New Roman" w:hAnsi="Times New Roman"/>
          <w:lang w:val="en-IE"/>
        </w:rPr>
        <w:t xml:space="preserve">. </w:t>
      </w:r>
      <w:r w:rsidR="5B27325D" w:rsidRPr="00FC36E1">
        <w:rPr>
          <w:rFonts w:ascii="Times New Roman" w:hAnsi="Times New Roman"/>
          <w:lang w:val="en-IE"/>
        </w:rPr>
        <w:t>By consequence, w</w:t>
      </w:r>
      <w:r w:rsidR="7543132E" w:rsidRPr="00FC36E1">
        <w:rPr>
          <w:rFonts w:ascii="Times New Roman" w:hAnsi="Times New Roman"/>
          <w:lang w:val="en-IE"/>
        </w:rPr>
        <w:t xml:space="preserve">hen negotiating </w:t>
      </w:r>
      <w:r w:rsidR="1368C536" w:rsidRPr="00FC36E1">
        <w:rPr>
          <w:rFonts w:ascii="Times New Roman" w:hAnsi="Times New Roman"/>
          <w:lang w:val="en-IE"/>
        </w:rPr>
        <w:t xml:space="preserve">the </w:t>
      </w:r>
      <w:r w:rsidR="7543132E" w:rsidRPr="00FC36E1">
        <w:rPr>
          <w:rFonts w:ascii="Times New Roman" w:hAnsi="Times New Roman"/>
          <w:lang w:val="en-IE"/>
        </w:rPr>
        <w:t>geographical scope</w:t>
      </w:r>
      <w:r w:rsidR="28DBBC91" w:rsidRPr="00FC36E1">
        <w:rPr>
          <w:rFonts w:ascii="Times New Roman" w:hAnsi="Times New Roman"/>
          <w:lang w:val="en-IE"/>
        </w:rPr>
        <w:t xml:space="preserve"> of </w:t>
      </w:r>
      <w:r w:rsidR="28DBBC91" w:rsidRPr="00FC36E1">
        <w:rPr>
          <w:rFonts w:ascii="Times New Roman" w:hAnsi="Times New Roman"/>
          <w:lang w:val="en-IE"/>
        </w:rPr>
        <w:lastRenderedPageBreak/>
        <w:t>JTF support</w:t>
      </w:r>
      <w:r w:rsidR="7543132E" w:rsidRPr="00FC36E1">
        <w:rPr>
          <w:rFonts w:ascii="Times New Roman" w:hAnsi="Times New Roman"/>
          <w:lang w:val="en-IE"/>
        </w:rPr>
        <w:t>, the Commission focus</w:t>
      </w:r>
      <w:r w:rsidR="7996F9B1" w:rsidRPr="00FC36E1">
        <w:rPr>
          <w:rFonts w:ascii="Times New Roman" w:hAnsi="Times New Roman"/>
          <w:lang w:val="en-IE"/>
        </w:rPr>
        <w:t>ed</w:t>
      </w:r>
      <w:r w:rsidR="7543132E" w:rsidRPr="00FC36E1">
        <w:rPr>
          <w:rFonts w:ascii="Times New Roman" w:hAnsi="Times New Roman"/>
          <w:lang w:val="en-IE"/>
        </w:rPr>
        <w:t xml:space="preserve"> on the territories most affected by the</w:t>
      </w:r>
      <w:r w:rsidR="4641598A" w:rsidRPr="00FC36E1">
        <w:rPr>
          <w:rFonts w:ascii="Times New Roman" w:hAnsi="Times New Roman"/>
          <w:lang w:val="en-IE"/>
        </w:rPr>
        <w:t xml:space="preserve"> </w:t>
      </w:r>
      <w:r w:rsidR="7543132E" w:rsidRPr="00FC36E1">
        <w:rPr>
          <w:rFonts w:ascii="Times New Roman" w:hAnsi="Times New Roman"/>
          <w:lang w:val="en-IE"/>
        </w:rPr>
        <w:t>transition</w:t>
      </w:r>
      <w:r w:rsidR="783002CF" w:rsidRPr="00FC36E1">
        <w:rPr>
          <w:rFonts w:ascii="Times New Roman" w:hAnsi="Times New Roman"/>
          <w:lang w:val="en-IE"/>
        </w:rPr>
        <w:t xml:space="preserve"> towards climate-neutrality</w:t>
      </w:r>
      <w:r w:rsidR="3F05FB9A" w:rsidRPr="00FC36E1">
        <w:rPr>
          <w:rFonts w:ascii="Times New Roman" w:hAnsi="Times New Roman"/>
          <w:lang w:val="en-IE"/>
        </w:rPr>
        <w:t xml:space="preserve">, </w:t>
      </w:r>
      <w:r w:rsidR="59770D75" w:rsidRPr="00FC36E1">
        <w:rPr>
          <w:rFonts w:ascii="Times New Roman" w:hAnsi="Times New Roman"/>
          <w:lang w:val="en-IE"/>
        </w:rPr>
        <w:t>which were experiencing or were expected to experience</w:t>
      </w:r>
      <w:r w:rsidR="3F05FB9A" w:rsidRPr="00FC36E1">
        <w:rPr>
          <w:rFonts w:ascii="Times New Roman" w:hAnsi="Times New Roman"/>
          <w:lang w:val="en-IE"/>
        </w:rPr>
        <w:t xml:space="preserve"> </w:t>
      </w:r>
      <w:r w:rsidR="00DEF33A" w:rsidRPr="00FC36E1">
        <w:rPr>
          <w:rFonts w:ascii="Times New Roman" w:hAnsi="Times New Roman"/>
          <w:lang w:val="en-IE"/>
        </w:rPr>
        <w:t>related negative impacts (including on local employment)</w:t>
      </w:r>
      <w:r w:rsidR="69CECC05" w:rsidRPr="00FC36E1">
        <w:rPr>
          <w:rFonts w:ascii="Times New Roman" w:hAnsi="Times New Roman"/>
          <w:lang w:val="en-IE"/>
        </w:rPr>
        <w:t xml:space="preserve"> (§1-3)</w:t>
      </w:r>
      <w:r w:rsidR="7543132E" w:rsidRPr="00FC36E1">
        <w:rPr>
          <w:rFonts w:ascii="Times New Roman" w:hAnsi="Times New Roman"/>
          <w:lang w:val="en-IE"/>
        </w:rPr>
        <w:t>.</w:t>
      </w:r>
    </w:p>
    <w:p w14:paraId="085343D2" w14:textId="126A2851" w:rsidR="69E80384" w:rsidRPr="00FC36E1" w:rsidRDefault="0EF7F49C" w:rsidP="007073E5">
      <w:pPr>
        <w:spacing w:before="120" w:after="0"/>
        <w:rPr>
          <w:rFonts w:ascii="Times New Roman" w:hAnsi="Times New Roman"/>
          <w:lang w:val="en-IE"/>
        </w:rPr>
      </w:pPr>
      <w:r w:rsidRPr="00FC36E1">
        <w:rPr>
          <w:rFonts w:ascii="Times New Roman" w:hAnsi="Times New Roman"/>
          <w:lang w:val="en-IE"/>
        </w:rPr>
        <w:t>The Commission acknowle</w:t>
      </w:r>
      <w:r w:rsidR="3F3896BF" w:rsidRPr="00FC36E1">
        <w:rPr>
          <w:rFonts w:ascii="Times New Roman" w:hAnsi="Times New Roman"/>
          <w:lang w:val="en-IE"/>
        </w:rPr>
        <w:t xml:space="preserve">dges the importance of supporting </w:t>
      </w:r>
      <w:r w:rsidR="001D0804" w:rsidRPr="00FC36E1">
        <w:rPr>
          <w:rFonts w:ascii="Times New Roman" w:hAnsi="Times New Roman"/>
          <w:lang w:val="en-IE"/>
        </w:rPr>
        <w:t xml:space="preserve">education and the teaching profession, the development of skills and competencies, and </w:t>
      </w:r>
      <w:r w:rsidR="3F3896BF" w:rsidRPr="00FC36E1">
        <w:rPr>
          <w:rFonts w:ascii="Times New Roman" w:hAnsi="Times New Roman"/>
          <w:lang w:val="en-IE"/>
        </w:rPr>
        <w:t>upskilling and reskilling</w:t>
      </w:r>
      <w:r w:rsidR="7628AE6C" w:rsidRPr="00FC36E1">
        <w:rPr>
          <w:rFonts w:ascii="Times New Roman" w:hAnsi="Times New Roman"/>
          <w:lang w:val="en-IE"/>
        </w:rPr>
        <w:t xml:space="preserve"> in </w:t>
      </w:r>
      <w:r w:rsidR="756584C5" w:rsidRPr="00FC36E1">
        <w:rPr>
          <w:rFonts w:ascii="Times New Roman" w:hAnsi="Times New Roman"/>
          <w:lang w:val="en-IE"/>
        </w:rPr>
        <w:t>ensuring</w:t>
      </w:r>
      <w:r w:rsidR="7628AE6C" w:rsidRPr="00FC36E1">
        <w:rPr>
          <w:rFonts w:ascii="Times New Roman" w:hAnsi="Times New Roman"/>
          <w:lang w:val="en-IE"/>
        </w:rPr>
        <w:t xml:space="preserve"> a just transition, as well as in boosting EU’s competitiveness</w:t>
      </w:r>
      <w:r w:rsidR="3F3896BF" w:rsidRPr="00FC36E1">
        <w:rPr>
          <w:rFonts w:ascii="Times New Roman" w:hAnsi="Times New Roman"/>
          <w:lang w:val="en-IE"/>
        </w:rPr>
        <w:t>. A</w:t>
      </w:r>
      <w:r w:rsidR="75CB186E" w:rsidRPr="00FC36E1">
        <w:rPr>
          <w:rFonts w:ascii="Times New Roman" w:hAnsi="Times New Roman"/>
          <w:lang w:val="en-IE"/>
        </w:rPr>
        <w:t>t</w:t>
      </w:r>
      <w:r w:rsidR="3F3896BF" w:rsidRPr="00FC36E1">
        <w:rPr>
          <w:rFonts w:ascii="Times New Roman" w:hAnsi="Times New Roman"/>
          <w:lang w:val="en-IE"/>
        </w:rPr>
        <w:t xml:space="preserve"> the same time, it </w:t>
      </w:r>
      <w:r w:rsidRPr="00FC36E1">
        <w:rPr>
          <w:rFonts w:ascii="Times New Roman" w:hAnsi="Times New Roman"/>
          <w:lang w:val="en-IE"/>
        </w:rPr>
        <w:t>re</w:t>
      </w:r>
      <w:r w:rsidR="003D06D7" w:rsidRPr="00FC36E1">
        <w:rPr>
          <w:rFonts w:ascii="Times New Roman" w:hAnsi="Times New Roman"/>
          <w:lang w:val="en-IE"/>
        </w:rPr>
        <w:t>calls</w:t>
      </w:r>
      <w:r w:rsidRPr="00FC36E1">
        <w:rPr>
          <w:rFonts w:ascii="Times New Roman" w:hAnsi="Times New Roman"/>
          <w:lang w:val="en-IE"/>
        </w:rPr>
        <w:t xml:space="preserve"> that support </w:t>
      </w:r>
      <w:r w:rsidR="43BF1C17" w:rsidRPr="00FC36E1">
        <w:rPr>
          <w:rFonts w:ascii="Times New Roman" w:hAnsi="Times New Roman"/>
          <w:lang w:val="en-IE"/>
        </w:rPr>
        <w:t xml:space="preserve">for </w:t>
      </w:r>
      <w:r w:rsidR="3B8B4D94" w:rsidRPr="00FC36E1">
        <w:rPr>
          <w:rFonts w:ascii="Times New Roman" w:hAnsi="Times New Roman"/>
          <w:lang w:val="en-IE"/>
        </w:rPr>
        <w:t>quality</w:t>
      </w:r>
      <w:r w:rsidR="2456E1C3" w:rsidRPr="00FC36E1">
        <w:rPr>
          <w:rFonts w:ascii="Times New Roman" w:hAnsi="Times New Roman"/>
          <w:lang w:val="en-IE"/>
        </w:rPr>
        <w:t xml:space="preserve"> (vocational)</w:t>
      </w:r>
      <w:r w:rsidR="3B8B4D94" w:rsidRPr="00FC36E1">
        <w:rPr>
          <w:rFonts w:ascii="Times New Roman" w:hAnsi="Times New Roman"/>
          <w:lang w:val="en-IE"/>
        </w:rPr>
        <w:t xml:space="preserve"> </w:t>
      </w:r>
      <w:r w:rsidR="43BF1C17" w:rsidRPr="00FC36E1">
        <w:rPr>
          <w:rFonts w:ascii="Times New Roman" w:hAnsi="Times New Roman"/>
          <w:lang w:val="en-IE"/>
        </w:rPr>
        <w:t>education</w:t>
      </w:r>
      <w:r w:rsidR="00180844" w:rsidRPr="00FC36E1">
        <w:rPr>
          <w:rFonts w:ascii="Times New Roman" w:hAnsi="Times New Roman"/>
          <w:lang w:val="en-IE"/>
        </w:rPr>
        <w:t xml:space="preserve"> and</w:t>
      </w:r>
      <w:r w:rsidRPr="00FC36E1">
        <w:rPr>
          <w:rFonts w:ascii="Times New Roman" w:hAnsi="Times New Roman"/>
          <w:lang w:val="en-IE"/>
        </w:rPr>
        <w:t xml:space="preserve"> </w:t>
      </w:r>
      <w:r w:rsidR="00DB63D2" w:rsidRPr="00FC36E1">
        <w:rPr>
          <w:rFonts w:ascii="Times New Roman" w:hAnsi="Times New Roman"/>
          <w:lang w:val="en-IE"/>
        </w:rPr>
        <w:t>training,</w:t>
      </w:r>
      <w:r w:rsidRPr="00FC36E1">
        <w:rPr>
          <w:rFonts w:ascii="Times New Roman" w:hAnsi="Times New Roman"/>
          <w:lang w:val="en-IE"/>
        </w:rPr>
        <w:t xml:space="preserve"> and apprenticeship</w:t>
      </w:r>
      <w:r w:rsidR="00C099A7" w:rsidRPr="00FC36E1">
        <w:rPr>
          <w:rFonts w:ascii="Times New Roman" w:hAnsi="Times New Roman"/>
          <w:lang w:val="en-IE"/>
        </w:rPr>
        <w:t xml:space="preserve">, </w:t>
      </w:r>
      <w:r w:rsidR="15A10267" w:rsidRPr="00FC36E1">
        <w:rPr>
          <w:rFonts w:ascii="Times New Roman" w:hAnsi="Times New Roman"/>
          <w:lang w:val="en-IE"/>
        </w:rPr>
        <w:t>especially for</w:t>
      </w:r>
      <w:r w:rsidR="00C099A7" w:rsidRPr="00FC36E1">
        <w:rPr>
          <w:rFonts w:ascii="Times New Roman" w:hAnsi="Times New Roman"/>
          <w:lang w:val="en-IE"/>
        </w:rPr>
        <w:t xml:space="preserve"> vulnerable groups</w:t>
      </w:r>
      <w:r w:rsidR="41BBD7A7" w:rsidRPr="00FC36E1">
        <w:rPr>
          <w:rFonts w:ascii="Times New Roman" w:hAnsi="Times New Roman"/>
          <w:lang w:val="en-IE"/>
        </w:rPr>
        <w:t xml:space="preserve"> identified </w:t>
      </w:r>
      <w:r w:rsidR="511077E6" w:rsidRPr="00FC36E1">
        <w:rPr>
          <w:rFonts w:ascii="Times New Roman" w:hAnsi="Times New Roman"/>
          <w:lang w:val="en-IE"/>
        </w:rPr>
        <w:t>in the territories</w:t>
      </w:r>
      <w:r w:rsidR="00C099A7" w:rsidRPr="00FC36E1">
        <w:rPr>
          <w:rFonts w:ascii="Times New Roman" w:hAnsi="Times New Roman"/>
          <w:lang w:val="en-IE"/>
        </w:rPr>
        <w:t>,</w:t>
      </w:r>
      <w:r w:rsidR="7F68D9B7" w:rsidRPr="00FC36E1">
        <w:rPr>
          <w:rFonts w:ascii="Times New Roman" w:hAnsi="Times New Roman"/>
          <w:lang w:val="en-IE"/>
        </w:rPr>
        <w:t xml:space="preserve"> is</w:t>
      </w:r>
      <w:r w:rsidR="7DD0A991" w:rsidRPr="00FC36E1">
        <w:rPr>
          <w:rFonts w:ascii="Times New Roman" w:hAnsi="Times New Roman"/>
          <w:lang w:val="en-IE"/>
        </w:rPr>
        <w:t xml:space="preserve"> already possible </w:t>
      </w:r>
      <w:r w:rsidR="4D208320" w:rsidRPr="00FC36E1">
        <w:rPr>
          <w:rFonts w:ascii="Times New Roman" w:hAnsi="Times New Roman"/>
          <w:lang w:val="en-IE"/>
        </w:rPr>
        <w:t xml:space="preserve">and ongoing </w:t>
      </w:r>
      <w:r w:rsidR="7DD0A991" w:rsidRPr="00FC36E1">
        <w:rPr>
          <w:rFonts w:ascii="Times New Roman" w:hAnsi="Times New Roman"/>
          <w:lang w:val="en-IE"/>
        </w:rPr>
        <w:t>under the JTF</w:t>
      </w:r>
      <w:r w:rsidR="6B5FA894" w:rsidRPr="00FC36E1">
        <w:rPr>
          <w:rFonts w:ascii="Times New Roman" w:hAnsi="Times New Roman"/>
          <w:lang w:val="en-IE"/>
        </w:rPr>
        <w:t>.</w:t>
      </w:r>
      <w:r w:rsidR="47711B1E" w:rsidRPr="00FC36E1">
        <w:rPr>
          <w:rFonts w:ascii="Times New Roman" w:hAnsi="Times New Roman"/>
          <w:lang w:val="en-IE"/>
        </w:rPr>
        <w:t xml:space="preserve"> </w:t>
      </w:r>
      <w:r w:rsidR="2AC7D222" w:rsidRPr="00FC36E1">
        <w:rPr>
          <w:rFonts w:ascii="Times New Roman" w:hAnsi="Times New Roman"/>
          <w:lang w:val="en-IE"/>
        </w:rPr>
        <w:t>T</w:t>
      </w:r>
      <w:r w:rsidR="77C0E13A" w:rsidRPr="00FC36E1">
        <w:rPr>
          <w:rFonts w:ascii="Times New Roman" w:hAnsi="Times New Roman"/>
          <w:lang w:val="en-IE"/>
        </w:rPr>
        <w:t xml:space="preserve">he Commission </w:t>
      </w:r>
      <w:r w:rsidR="003D06D7" w:rsidRPr="00FC36E1">
        <w:rPr>
          <w:rFonts w:ascii="Times New Roman" w:hAnsi="Times New Roman"/>
          <w:lang w:val="en-IE"/>
        </w:rPr>
        <w:t>underlines</w:t>
      </w:r>
      <w:r w:rsidR="77C0E13A" w:rsidRPr="00FC36E1">
        <w:rPr>
          <w:rFonts w:ascii="Times New Roman" w:hAnsi="Times New Roman"/>
          <w:lang w:val="en-IE"/>
        </w:rPr>
        <w:t xml:space="preserve"> that skills are a portable asset. </w:t>
      </w:r>
      <w:r w:rsidR="003D06D7" w:rsidRPr="00FC36E1">
        <w:rPr>
          <w:rFonts w:ascii="Times New Roman" w:hAnsi="Times New Roman"/>
          <w:lang w:val="en-IE"/>
        </w:rPr>
        <w:t>To ensure that people in territories undergoing transition should not be forced to leave their homes or communities in search of jobs, services, or opportunities</w:t>
      </w:r>
      <w:r w:rsidR="716DF9A4" w:rsidRPr="00FC36E1">
        <w:rPr>
          <w:rFonts w:ascii="Times New Roman" w:hAnsi="Times New Roman"/>
          <w:lang w:val="en-IE"/>
        </w:rPr>
        <w:t xml:space="preserve"> </w:t>
      </w:r>
      <w:r w:rsidR="003D06D7" w:rsidRPr="00FC36E1">
        <w:rPr>
          <w:rFonts w:ascii="Times New Roman" w:hAnsi="Times New Roman"/>
          <w:lang w:val="en-IE"/>
        </w:rPr>
        <w:t>(</w:t>
      </w:r>
      <w:r w:rsidR="716DF9A4" w:rsidRPr="00FC36E1">
        <w:rPr>
          <w:rFonts w:ascii="Times New Roman" w:hAnsi="Times New Roman"/>
          <w:lang w:val="en-IE"/>
        </w:rPr>
        <w:t>right to stay</w:t>
      </w:r>
      <w:r w:rsidR="003D06D7" w:rsidRPr="00FC36E1">
        <w:rPr>
          <w:rFonts w:ascii="Times New Roman" w:hAnsi="Times New Roman"/>
          <w:lang w:val="en-IE"/>
        </w:rPr>
        <w:t>)</w:t>
      </w:r>
      <w:r w:rsidR="716DF9A4" w:rsidRPr="00FC36E1">
        <w:rPr>
          <w:rFonts w:ascii="Times New Roman" w:hAnsi="Times New Roman"/>
          <w:lang w:val="en-IE"/>
        </w:rPr>
        <w:t>,</w:t>
      </w:r>
      <w:r w:rsidR="2AC7D222" w:rsidRPr="00FC36E1">
        <w:rPr>
          <w:rFonts w:ascii="Times New Roman" w:hAnsi="Times New Roman"/>
          <w:lang w:val="en-IE"/>
        </w:rPr>
        <w:t xml:space="preserve"> </w:t>
      </w:r>
      <w:r w:rsidR="716DF9A4" w:rsidRPr="00FC36E1">
        <w:rPr>
          <w:rFonts w:ascii="Times New Roman" w:hAnsi="Times New Roman"/>
          <w:lang w:val="en-IE"/>
        </w:rPr>
        <w:t>adequate jobs need to be created.</w:t>
      </w:r>
      <w:r w:rsidR="0A6BDF54" w:rsidRPr="00FC36E1">
        <w:rPr>
          <w:rFonts w:ascii="Times New Roman" w:hAnsi="Times New Roman"/>
          <w:lang w:val="en-IE"/>
        </w:rPr>
        <w:t xml:space="preserve"> The JTF offers the opportunity for closely coordinated measures</w:t>
      </w:r>
      <w:r w:rsidR="00DB63D2" w:rsidRPr="00FC36E1">
        <w:rPr>
          <w:rFonts w:ascii="Times New Roman" w:hAnsi="Times New Roman"/>
          <w:lang w:val="en-IE"/>
        </w:rPr>
        <w:t xml:space="preserve">. </w:t>
      </w:r>
      <w:r w:rsidR="003D06D7" w:rsidRPr="00FC36E1">
        <w:rPr>
          <w:rFonts w:ascii="Times New Roman" w:hAnsi="Times New Roman"/>
          <w:lang w:val="en-IE"/>
        </w:rPr>
        <w:t>The Commission</w:t>
      </w:r>
      <w:r w:rsidR="2198350A" w:rsidRPr="00FC36E1">
        <w:rPr>
          <w:rFonts w:ascii="Times New Roman" w:hAnsi="Times New Roman"/>
          <w:lang w:val="en-IE"/>
        </w:rPr>
        <w:t xml:space="preserve"> notes that, due to legal and budget</w:t>
      </w:r>
      <w:r w:rsidR="3B4A1B7C" w:rsidRPr="00FC36E1">
        <w:rPr>
          <w:rFonts w:ascii="Times New Roman" w:hAnsi="Times New Roman"/>
          <w:lang w:val="en-IE"/>
        </w:rPr>
        <w:t>ary</w:t>
      </w:r>
      <w:r w:rsidR="2198350A" w:rsidRPr="00FC36E1">
        <w:rPr>
          <w:rFonts w:ascii="Times New Roman" w:hAnsi="Times New Roman"/>
          <w:lang w:val="en-IE"/>
        </w:rPr>
        <w:t xml:space="preserve"> constraints</w:t>
      </w:r>
      <w:r w:rsidR="0E1D6CA1" w:rsidRPr="00FC36E1">
        <w:rPr>
          <w:rFonts w:ascii="Times New Roman" w:hAnsi="Times New Roman"/>
          <w:lang w:val="en-IE"/>
        </w:rPr>
        <w:t xml:space="preserve"> in the 2021-2027 programming period</w:t>
      </w:r>
      <w:r w:rsidR="2198350A" w:rsidRPr="00FC36E1">
        <w:rPr>
          <w:rFonts w:ascii="Times New Roman" w:hAnsi="Times New Roman"/>
          <w:lang w:val="en-IE"/>
        </w:rPr>
        <w:t xml:space="preserve">, wide-scale income compensation support </w:t>
      </w:r>
      <w:r w:rsidR="2B3ED0B1" w:rsidRPr="00FC36E1">
        <w:rPr>
          <w:rFonts w:ascii="Times New Roman" w:hAnsi="Times New Roman"/>
          <w:lang w:val="en-IE"/>
        </w:rPr>
        <w:t>to form</w:t>
      </w:r>
      <w:r w:rsidR="72EAFBFB" w:rsidRPr="00FC36E1">
        <w:rPr>
          <w:rFonts w:ascii="Times New Roman" w:hAnsi="Times New Roman"/>
          <w:lang w:val="en-IE"/>
        </w:rPr>
        <w:t xml:space="preserve">er workers of phased out industries </w:t>
      </w:r>
      <w:r w:rsidR="2B3ED0B1" w:rsidRPr="00FC36E1">
        <w:rPr>
          <w:rFonts w:ascii="Times New Roman" w:hAnsi="Times New Roman"/>
          <w:lang w:val="en-IE"/>
        </w:rPr>
        <w:t>is not feasible under the JTF</w:t>
      </w:r>
      <w:r w:rsidR="69587704" w:rsidRPr="00FC36E1">
        <w:rPr>
          <w:rFonts w:ascii="Times New Roman" w:hAnsi="Times New Roman"/>
          <w:lang w:val="en-IE"/>
        </w:rPr>
        <w:t xml:space="preserve"> (§5-8)</w:t>
      </w:r>
      <w:r w:rsidR="2B3ED0B1" w:rsidRPr="00FC36E1">
        <w:rPr>
          <w:rFonts w:ascii="Times New Roman" w:hAnsi="Times New Roman"/>
          <w:lang w:val="en-IE"/>
        </w:rPr>
        <w:t>.</w:t>
      </w:r>
    </w:p>
    <w:p w14:paraId="049ABF84" w14:textId="5878823C" w:rsidR="69E80384" w:rsidRPr="00FC36E1" w:rsidRDefault="094C24E2" w:rsidP="004D3771">
      <w:pPr>
        <w:spacing w:before="120" w:after="120" w:line="259" w:lineRule="auto"/>
        <w:rPr>
          <w:rFonts w:ascii="Times New Roman" w:hAnsi="Times New Roman"/>
          <w:color w:val="000000"/>
          <w:highlight w:val="yellow"/>
          <w:lang w:val="en-IE"/>
        </w:rPr>
      </w:pPr>
      <w:r w:rsidRPr="00FC36E1">
        <w:rPr>
          <w:rFonts w:ascii="Times New Roman" w:hAnsi="Times New Roman"/>
          <w:lang w:val="en-IE"/>
        </w:rPr>
        <w:t>The Commission agrees on the need to prioritis</w:t>
      </w:r>
      <w:r w:rsidR="182AA972" w:rsidRPr="00FC36E1">
        <w:rPr>
          <w:rFonts w:ascii="Times New Roman" w:hAnsi="Times New Roman"/>
          <w:lang w:val="en-IE"/>
        </w:rPr>
        <w:t>e</w:t>
      </w:r>
      <w:r w:rsidRPr="00FC36E1">
        <w:rPr>
          <w:rFonts w:ascii="Times New Roman" w:hAnsi="Times New Roman"/>
          <w:lang w:val="en-IE"/>
        </w:rPr>
        <w:t xml:space="preserve"> investment in all levels of </w:t>
      </w:r>
      <w:r w:rsidR="00557EF3" w:rsidRPr="00FC36E1">
        <w:rPr>
          <w:rFonts w:ascii="Times New Roman" w:hAnsi="Times New Roman"/>
          <w:lang w:val="en-IE"/>
        </w:rPr>
        <w:t>e</w:t>
      </w:r>
      <w:r w:rsidRPr="00FC36E1">
        <w:rPr>
          <w:rFonts w:ascii="Times New Roman" w:hAnsi="Times New Roman"/>
          <w:lang w:val="en-IE"/>
        </w:rPr>
        <w:t xml:space="preserve">ducation and </w:t>
      </w:r>
      <w:r w:rsidR="00557EF3" w:rsidRPr="00FC36E1">
        <w:rPr>
          <w:rFonts w:ascii="Times New Roman" w:hAnsi="Times New Roman"/>
          <w:lang w:val="en-IE"/>
        </w:rPr>
        <w:t>t</w:t>
      </w:r>
      <w:r w:rsidRPr="00FC36E1">
        <w:rPr>
          <w:rFonts w:ascii="Times New Roman" w:hAnsi="Times New Roman"/>
          <w:lang w:val="en-IE"/>
        </w:rPr>
        <w:t>raining</w:t>
      </w:r>
      <w:r w:rsidR="00DB63D2" w:rsidRPr="00FC36E1">
        <w:rPr>
          <w:rFonts w:ascii="Times New Roman" w:hAnsi="Times New Roman"/>
          <w:lang w:val="en-IE"/>
        </w:rPr>
        <w:t xml:space="preserve">. </w:t>
      </w:r>
      <w:r w:rsidR="57E19D1A" w:rsidRPr="00FC36E1">
        <w:rPr>
          <w:rFonts w:ascii="Times New Roman" w:hAnsi="Times New Roman"/>
          <w:lang w:val="en-IE"/>
        </w:rPr>
        <w:t>In this direction, the Union of Skills is a comprehensive strategy that covers all</w:t>
      </w:r>
      <w:r w:rsidR="3B966565" w:rsidRPr="00FC36E1">
        <w:rPr>
          <w:rFonts w:ascii="Times New Roman" w:hAnsi="Times New Roman"/>
          <w:lang w:val="en-IE"/>
        </w:rPr>
        <w:t xml:space="preserve"> skills </w:t>
      </w:r>
      <w:r w:rsidR="3B966565" w:rsidRPr="00FC36E1">
        <w:rPr>
          <w:rFonts w:ascii="Times New Roman" w:hAnsi="Times New Roman"/>
          <w:color w:val="000000"/>
          <w:lang w:val="en-IE"/>
        </w:rPr>
        <w:t xml:space="preserve">at all levels of education, </w:t>
      </w:r>
      <w:r w:rsidR="00DB63D2" w:rsidRPr="00FC36E1">
        <w:rPr>
          <w:rFonts w:ascii="Times New Roman" w:hAnsi="Times New Roman"/>
          <w:color w:val="000000"/>
          <w:lang w:val="en-IE"/>
        </w:rPr>
        <w:t>training,</w:t>
      </w:r>
      <w:r w:rsidR="3B966565" w:rsidRPr="00FC36E1">
        <w:rPr>
          <w:rFonts w:ascii="Times New Roman" w:hAnsi="Times New Roman"/>
          <w:color w:val="000000"/>
          <w:lang w:val="en-IE"/>
        </w:rPr>
        <w:t xml:space="preserve"> and learning; acquired in all settings, across borders also beyond the EU. It seeks to retain talent in Europe and attract talent from beyond it</w:t>
      </w:r>
      <w:r w:rsidR="004D3771" w:rsidRPr="00FC36E1">
        <w:rPr>
          <w:rFonts w:ascii="Times New Roman" w:hAnsi="Times New Roman"/>
          <w:color w:val="000000"/>
          <w:lang w:val="en-IE"/>
        </w:rPr>
        <w:t>. With the Action Plan on Basic Skills</w:t>
      </w:r>
      <w:r w:rsidR="00767473" w:rsidRPr="00FC36E1">
        <w:rPr>
          <w:rFonts w:ascii="Times New Roman" w:hAnsi="Times New Roman"/>
          <w:color w:val="000000"/>
          <w:lang w:val="en-IE"/>
        </w:rPr>
        <w:t>,</w:t>
      </w:r>
      <w:r w:rsidR="004D3771" w:rsidRPr="00FC36E1">
        <w:rPr>
          <w:rFonts w:ascii="Times New Roman" w:hAnsi="Times New Roman"/>
          <w:color w:val="000000"/>
          <w:lang w:val="en-IE"/>
        </w:rPr>
        <w:t xml:space="preserve"> the Commission has put the focus on the development of literacy, mathematics and science skills, but also digital and citizenship skills for all Europeans. This recognises the importance of action to raise levels of basic skills for lifelong learning, innovation and active citizenship, enabling individuals to adapt, participate in society and support democracy. </w:t>
      </w:r>
      <w:r w:rsidR="00EC43B0" w:rsidRPr="00FC36E1">
        <w:rPr>
          <w:rFonts w:ascii="Times New Roman" w:hAnsi="Times New Roman"/>
          <w:color w:val="000000"/>
          <w:lang w:val="en-IE"/>
        </w:rPr>
        <w:t xml:space="preserve">The upcoming 2030 Roadmap on the future of digital education and skills, based on the review of the Digital Education Action Plan, will further </w:t>
      </w:r>
      <w:r w:rsidR="00EC43B0" w:rsidRPr="00FC36E1">
        <w:rPr>
          <w:rFonts w:ascii="Times New Roman" w:hAnsi="Times New Roman"/>
          <w:lang w:val="en-IE"/>
        </w:rPr>
        <w:t xml:space="preserve">promote equal access to digital education for all and foster digital skills development. </w:t>
      </w:r>
      <w:r w:rsidR="004D3771" w:rsidRPr="00FC36E1">
        <w:rPr>
          <w:rFonts w:ascii="Times New Roman" w:hAnsi="Times New Roman"/>
          <w:color w:val="000000"/>
          <w:lang w:val="en-IE"/>
        </w:rPr>
        <w:t xml:space="preserve">Programmes such as Erasmus+ and highly ambitious initiatives such as the European Universities alliances </w:t>
      </w:r>
      <w:r w:rsidR="00EC43B0" w:rsidRPr="00FC36E1">
        <w:rPr>
          <w:rFonts w:ascii="Times New Roman" w:hAnsi="Times New Roman"/>
          <w:color w:val="000000"/>
          <w:lang w:val="en-IE"/>
        </w:rPr>
        <w:t xml:space="preserve">and the joint European degree label </w:t>
      </w:r>
      <w:r w:rsidR="00767473" w:rsidRPr="00FC36E1">
        <w:rPr>
          <w:rFonts w:ascii="Times New Roman" w:hAnsi="Times New Roman"/>
          <w:color w:val="000000"/>
          <w:lang w:val="en-IE"/>
        </w:rPr>
        <w:t>play a crucial role in</w:t>
      </w:r>
      <w:r w:rsidR="004D3771" w:rsidRPr="00FC36E1">
        <w:rPr>
          <w:rFonts w:ascii="Times New Roman" w:hAnsi="Times New Roman"/>
          <w:color w:val="000000"/>
          <w:lang w:val="en-IE"/>
        </w:rPr>
        <w:t xml:space="preserve"> </w:t>
      </w:r>
      <w:r w:rsidR="00767473" w:rsidRPr="00FC36E1">
        <w:rPr>
          <w:rFonts w:ascii="Times New Roman" w:hAnsi="Times New Roman"/>
          <w:color w:val="000000"/>
          <w:lang w:val="en-IE"/>
        </w:rPr>
        <w:t>implementing</w:t>
      </w:r>
      <w:r w:rsidR="004D3771" w:rsidRPr="00FC36E1">
        <w:rPr>
          <w:rFonts w:ascii="Times New Roman" w:hAnsi="Times New Roman"/>
          <w:color w:val="000000"/>
          <w:lang w:val="en-IE"/>
        </w:rPr>
        <w:t xml:space="preserve"> the Union of Skills</w:t>
      </w:r>
      <w:r w:rsidR="00EC43B0" w:rsidRPr="00FC36E1">
        <w:rPr>
          <w:rFonts w:ascii="Times New Roman" w:hAnsi="Times New Roman"/>
          <w:color w:val="000000"/>
          <w:lang w:val="en-IE"/>
        </w:rPr>
        <w:t>,</w:t>
      </w:r>
      <w:r w:rsidR="004D3771" w:rsidRPr="00FC36E1">
        <w:rPr>
          <w:rFonts w:ascii="Times New Roman" w:hAnsi="Times New Roman"/>
          <w:color w:val="000000"/>
          <w:lang w:val="en-IE"/>
        </w:rPr>
        <w:t xml:space="preserve"> the STEM Education Strategic Action Plan</w:t>
      </w:r>
      <w:r w:rsidR="00EC43B0" w:rsidRPr="00FC36E1">
        <w:rPr>
          <w:rFonts w:ascii="Times New Roman" w:hAnsi="Times New Roman"/>
          <w:color w:val="000000"/>
          <w:lang w:val="en-IE"/>
        </w:rPr>
        <w:t xml:space="preserve"> and the Digital Education Action Plan</w:t>
      </w:r>
      <w:r w:rsidR="00767473" w:rsidRPr="00FC36E1">
        <w:rPr>
          <w:rFonts w:ascii="Times New Roman" w:hAnsi="Times New Roman"/>
          <w:color w:val="000000"/>
          <w:lang w:val="en-IE"/>
        </w:rPr>
        <w:t xml:space="preserve">. They </w:t>
      </w:r>
      <w:r w:rsidR="003D06D7" w:rsidRPr="00FC36E1">
        <w:rPr>
          <w:rFonts w:ascii="Times New Roman" w:hAnsi="Times New Roman"/>
          <w:color w:val="000000"/>
          <w:lang w:val="en-IE"/>
        </w:rPr>
        <w:t xml:space="preserve">should </w:t>
      </w:r>
      <w:r w:rsidR="00767473" w:rsidRPr="00FC36E1">
        <w:rPr>
          <w:rFonts w:ascii="Times New Roman" w:hAnsi="Times New Roman"/>
          <w:color w:val="000000"/>
          <w:lang w:val="en-IE"/>
        </w:rPr>
        <w:t xml:space="preserve">equip students and learners of all ages with </w:t>
      </w:r>
      <w:r w:rsidR="004D3771" w:rsidRPr="00FC36E1">
        <w:rPr>
          <w:rFonts w:ascii="Times New Roman" w:hAnsi="Times New Roman"/>
          <w:color w:val="000000"/>
          <w:lang w:val="en-IE"/>
        </w:rPr>
        <w:t xml:space="preserve">the skills and competences needed for Europe’s future, </w:t>
      </w:r>
      <w:r w:rsidR="00767473" w:rsidRPr="00FC36E1">
        <w:rPr>
          <w:rFonts w:ascii="Times New Roman" w:hAnsi="Times New Roman"/>
          <w:color w:val="000000"/>
          <w:lang w:val="en-IE"/>
        </w:rPr>
        <w:t>while also</w:t>
      </w:r>
      <w:r w:rsidR="004D3771" w:rsidRPr="00FC36E1">
        <w:rPr>
          <w:rFonts w:ascii="Times New Roman" w:hAnsi="Times New Roman"/>
          <w:color w:val="000000"/>
          <w:lang w:val="en-IE"/>
        </w:rPr>
        <w:t xml:space="preserve"> supporting innovative teaching and </w:t>
      </w:r>
      <w:r w:rsidR="00767473" w:rsidRPr="00FC36E1">
        <w:rPr>
          <w:rFonts w:ascii="Times New Roman" w:hAnsi="Times New Roman"/>
          <w:color w:val="000000"/>
          <w:lang w:val="en-IE"/>
        </w:rPr>
        <w:t xml:space="preserve">fostering </w:t>
      </w:r>
      <w:r w:rsidR="004D3771" w:rsidRPr="00FC36E1">
        <w:rPr>
          <w:rFonts w:ascii="Times New Roman" w:hAnsi="Times New Roman"/>
          <w:color w:val="000000"/>
          <w:lang w:val="en-IE"/>
        </w:rPr>
        <w:t>attractive</w:t>
      </w:r>
      <w:r w:rsidR="00767473" w:rsidRPr="00FC36E1">
        <w:rPr>
          <w:rFonts w:ascii="Times New Roman" w:hAnsi="Times New Roman"/>
          <w:color w:val="000000"/>
          <w:lang w:val="en-IE"/>
        </w:rPr>
        <w:t>,</w:t>
      </w:r>
      <w:r w:rsidR="004D3771" w:rsidRPr="00FC36E1">
        <w:rPr>
          <w:rFonts w:ascii="Times New Roman" w:hAnsi="Times New Roman"/>
          <w:color w:val="000000"/>
          <w:lang w:val="en-IE"/>
        </w:rPr>
        <w:t xml:space="preserve"> sustainable teaching and academic careers. The Commission supports the idea of further synergies and complementarities between funding sources at EU and national/regional levels to support inter alia social inclusion and a fair access to high quality education for learners and workers at all levels, including through enhanced cooperation between higher education and VET education providers </w:t>
      </w:r>
      <w:r w:rsidR="3AE71828" w:rsidRPr="00FC36E1">
        <w:rPr>
          <w:rFonts w:ascii="Times New Roman" w:hAnsi="Times New Roman"/>
          <w:color w:val="000000"/>
          <w:lang w:val="en-IE"/>
        </w:rPr>
        <w:t>(§7)</w:t>
      </w:r>
      <w:r w:rsidR="3B966565" w:rsidRPr="00FC36E1">
        <w:rPr>
          <w:rFonts w:ascii="Times New Roman" w:hAnsi="Times New Roman"/>
          <w:color w:val="000000"/>
          <w:lang w:val="en-IE"/>
        </w:rPr>
        <w:t>.</w:t>
      </w:r>
      <w:r w:rsidR="00EC43B0" w:rsidRPr="00FC36E1">
        <w:rPr>
          <w:rFonts w:ascii="Times New Roman" w:hAnsi="Times New Roman"/>
          <w:color w:val="000000"/>
          <w:lang w:val="en-IE"/>
        </w:rPr>
        <w:t xml:space="preserve"> At the same time, the Commission highlights the importance of backing investments with long-term strategies to support the development of talent in strategic sectors (such as STEM), including ways to bring education and labour market closer together. The STEM Education Strategic Plan, for example, will support projects and initiatives aimed at i) anchoring STEM as a strategic pillar in the EU’s education and skills policy, ii) make STEM education more relevant and attractive, and ii) support talent of students and researchers in STEM, in particular girls and women.</w:t>
      </w:r>
    </w:p>
    <w:p w14:paraId="385156EE" w14:textId="3A16533D" w:rsidR="004D3771" w:rsidRPr="00FC36E1" w:rsidRDefault="004D3771" w:rsidP="007073E5">
      <w:pPr>
        <w:spacing w:before="120" w:after="0"/>
        <w:rPr>
          <w:rFonts w:ascii="Times New Roman" w:hAnsi="Times New Roman"/>
          <w:lang w:val="en-IE"/>
        </w:rPr>
      </w:pPr>
      <w:r w:rsidRPr="00FC36E1">
        <w:rPr>
          <w:rFonts w:ascii="Times New Roman" w:hAnsi="Times New Roman"/>
          <w:szCs w:val="24"/>
          <w:lang w:val="en-IE"/>
        </w:rPr>
        <w:t xml:space="preserve">As part of the Union of Skills, the Commission will develop an EU Teachers and Trainers Agenda in 2026, to help Member States improve teachers’ working conditions, training and career prospects. This recognises the importance of teachers and school leaders in safeguarding quality and equity of education </w:t>
      </w:r>
      <w:r w:rsidRPr="00FC36E1">
        <w:rPr>
          <w:rFonts w:ascii="Times New Roman" w:hAnsi="Times New Roman"/>
          <w:color w:val="000000"/>
          <w:lang w:val="en-IE"/>
        </w:rPr>
        <w:t>(§8)</w:t>
      </w:r>
      <w:r w:rsidRPr="00FC36E1">
        <w:rPr>
          <w:rFonts w:ascii="Times New Roman" w:hAnsi="Times New Roman"/>
          <w:szCs w:val="24"/>
          <w:lang w:val="en-IE"/>
        </w:rPr>
        <w:t>.</w:t>
      </w:r>
    </w:p>
    <w:p w14:paraId="333C1C98" w14:textId="294ADEC8" w:rsidR="6F4E59AC" w:rsidRPr="00FC36E1" w:rsidRDefault="63803593" w:rsidP="007073E5">
      <w:pPr>
        <w:spacing w:before="120" w:after="0"/>
        <w:rPr>
          <w:rFonts w:ascii="Times New Roman" w:hAnsi="Times New Roman"/>
          <w:lang w:val="en-IE"/>
        </w:rPr>
      </w:pPr>
      <w:r w:rsidRPr="00FC36E1">
        <w:rPr>
          <w:rFonts w:ascii="Times New Roman" w:hAnsi="Times New Roman"/>
          <w:lang w:val="en-IE"/>
        </w:rPr>
        <w:t>The Commission is promoting the quality, supply and image of apprenticeships</w:t>
      </w:r>
      <w:r w:rsidR="61B0C825" w:rsidRPr="00FC36E1">
        <w:rPr>
          <w:rFonts w:ascii="Times New Roman" w:hAnsi="Times New Roman"/>
          <w:lang w:val="en-IE"/>
        </w:rPr>
        <w:t>, as well as the mobility of apprentices</w:t>
      </w:r>
      <w:r w:rsidRPr="00FC36E1">
        <w:rPr>
          <w:rFonts w:ascii="Times New Roman" w:hAnsi="Times New Roman"/>
          <w:lang w:val="en-IE"/>
        </w:rPr>
        <w:t xml:space="preserve"> primarily through the European Alliance for Apprenticeships</w:t>
      </w:r>
      <w:r w:rsidR="06AC053D" w:rsidRPr="00FC36E1">
        <w:rPr>
          <w:rFonts w:ascii="Times New Roman" w:hAnsi="Times New Roman"/>
          <w:lang w:val="en-IE"/>
        </w:rPr>
        <w:t xml:space="preserve"> (EAfA)</w:t>
      </w:r>
      <w:r w:rsidRPr="00FC36E1">
        <w:rPr>
          <w:rFonts w:ascii="Times New Roman" w:hAnsi="Times New Roman"/>
          <w:lang w:val="en-IE"/>
        </w:rPr>
        <w:t xml:space="preserve">, a platform involving a </w:t>
      </w:r>
      <w:r w:rsidR="72205C26" w:rsidRPr="00FC36E1">
        <w:rPr>
          <w:rFonts w:ascii="Times New Roman" w:hAnsi="Times New Roman"/>
          <w:lang w:val="en-IE"/>
        </w:rPr>
        <w:t xml:space="preserve">wide range of stakeholders that has </w:t>
      </w:r>
      <w:r w:rsidR="07151C25" w:rsidRPr="00FC36E1">
        <w:rPr>
          <w:rFonts w:ascii="Times New Roman" w:hAnsi="Times New Roman"/>
          <w:lang w:val="en-IE"/>
        </w:rPr>
        <w:t xml:space="preserve">already contributed to the </w:t>
      </w:r>
      <w:r w:rsidR="07151C25" w:rsidRPr="00FC36E1">
        <w:rPr>
          <w:rFonts w:ascii="Times New Roman" w:hAnsi="Times New Roman"/>
          <w:lang w:val="en-IE"/>
        </w:rPr>
        <w:lastRenderedPageBreak/>
        <w:t xml:space="preserve">creation of over 3 million apprenticeship placements since its launch in 2013. </w:t>
      </w:r>
      <w:r w:rsidR="1DEB2BE6" w:rsidRPr="00FC36E1">
        <w:rPr>
          <w:rFonts w:ascii="Times New Roman" w:hAnsi="Times New Roman"/>
          <w:lang w:val="en-IE"/>
        </w:rPr>
        <w:t>Through EAfA the Commission also supports Member States in implementing the 2018 Council Recommendation on a European Framework for Quality and Effective Apprenticeships</w:t>
      </w:r>
      <w:r w:rsidR="6F4E59AC" w:rsidRPr="00FC36E1">
        <w:rPr>
          <w:rFonts w:ascii="Times New Roman" w:hAnsi="Times New Roman"/>
          <w:vertAlign w:val="superscript"/>
          <w:lang w:val="en-IE"/>
        </w:rPr>
        <w:footnoteReference w:id="2"/>
      </w:r>
      <w:r w:rsidR="10398BD8" w:rsidRPr="00FC36E1">
        <w:rPr>
          <w:rFonts w:ascii="Times New Roman" w:hAnsi="Times New Roman"/>
          <w:lang w:val="en-IE"/>
        </w:rPr>
        <w:t xml:space="preserve"> (§9)</w:t>
      </w:r>
      <w:r w:rsidR="1DEB2BE6" w:rsidRPr="00FC36E1">
        <w:rPr>
          <w:rFonts w:ascii="Times New Roman" w:hAnsi="Times New Roman"/>
          <w:lang w:val="en-IE"/>
        </w:rPr>
        <w:t xml:space="preserve">. </w:t>
      </w:r>
    </w:p>
    <w:p w14:paraId="3507B49D" w14:textId="1DECE836" w:rsidR="00674022" w:rsidRPr="00FC36E1" w:rsidRDefault="2831B2D1" w:rsidP="007073E5">
      <w:pPr>
        <w:spacing w:before="120" w:after="0"/>
        <w:rPr>
          <w:rFonts w:ascii="Times New Roman" w:hAnsi="Times New Roman"/>
          <w:lang w:val="en-IE"/>
        </w:rPr>
      </w:pPr>
      <w:r w:rsidRPr="00FC36E1">
        <w:rPr>
          <w:rFonts w:ascii="Times New Roman" w:hAnsi="Times New Roman"/>
          <w:lang w:val="en-IE"/>
        </w:rPr>
        <w:t>The Commission agrees that the coordination between JTF, ERDF</w:t>
      </w:r>
      <w:r w:rsidR="6F3DD661" w:rsidRPr="00FC36E1">
        <w:rPr>
          <w:rFonts w:ascii="Times New Roman" w:hAnsi="Times New Roman"/>
          <w:lang w:val="en-IE"/>
        </w:rPr>
        <w:t xml:space="preserve"> and</w:t>
      </w:r>
      <w:r w:rsidRPr="00FC36E1">
        <w:rPr>
          <w:rFonts w:ascii="Times New Roman" w:hAnsi="Times New Roman"/>
          <w:lang w:val="en-IE"/>
        </w:rPr>
        <w:t xml:space="preserve"> ESF+ is needed to maxim</w:t>
      </w:r>
      <w:r w:rsidR="007903DE" w:rsidRPr="00FC36E1">
        <w:rPr>
          <w:rFonts w:ascii="Times New Roman" w:hAnsi="Times New Roman"/>
          <w:lang w:val="en-IE"/>
        </w:rPr>
        <w:t>i</w:t>
      </w:r>
      <w:r w:rsidR="590F0F44" w:rsidRPr="00FC36E1">
        <w:rPr>
          <w:rFonts w:ascii="Times New Roman" w:hAnsi="Times New Roman"/>
          <w:lang w:val="en-IE"/>
        </w:rPr>
        <w:t>s</w:t>
      </w:r>
      <w:r w:rsidR="624D8DA3" w:rsidRPr="00FC36E1">
        <w:rPr>
          <w:rFonts w:ascii="Times New Roman" w:hAnsi="Times New Roman"/>
          <w:lang w:val="en-IE"/>
        </w:rPr>
        <w:t>e</w:t>
      </w:r>
      <w:r w:rsidRPr="00FC36E1">
        <w:rPr>
          <w:rFonts w:ascii="Times New Roman" w:hAnsi="Times New Roman"/>
          <w:lang w:val="en-IE"/>
        </w:rPr>
        <w:t xml:space="preserve"> their impact on the redeployment and reskilling of workers</w:t>
      </w:r>
      <w:r w:rsidR="06EA5CF7" w:rsidRPr="00FC36E1">
        <w:rPr>
          <w:rFonts w:ascii="Times New Roman" w:hAnsi="Times New Roman"/>
          <w:lang w:val="en-IE"/>
        </w:rPr>
        <w:t xml:space="preserve">, as well as </w:t>
      </w:r>
      <w:r w:rsidR="00895AB8" w:rsidRPr="00FC36E1">
        <w:rPr>
          <w:rFonts w:ascii="Times New Roman" w:hAnsi="Times New Roman"/>
          <w:lang w:val="en-IE"/>
        </w:rPr>
        <w:t xml:space="preserve">on </w:t>
      </w:r>
      <w:r w:rsidR="06EA5CF7" w:rsidRPr="00FC36E1">
        <w:rPr>
          <w:rFonts w:ascii="Times New Roman" w:hAnsi="Times New Roman"/>
          <w:lang w:val="en-IE"/>
        </w:rPr>
        <w:t>other areas of support contributing to a just transition</w:t>
      </w:r>
      <w:r w:rsidRPr="00FC36E1">
        <w:rPr>
          <w:rFonts w:ascii="Times New Roman" w:hAnsi="Times New Roman"/>
          <w:lang w:val="en-IE"/>
        </w:rPr>
        <w:t>. The</w:t>
      </w:r>
      <w:r w:rsidR="0A9FFA03" w:rsidRPr="00FC36E1">
        <w:rPr>
          <w:rFonts w:ascii="Times New Roman" w:hAnsi="Times New Roman"/>
          <w:lang w:val="en-IE"/>
        </w:rPr>
        <w:t xml:space="preserve"> legal framework of the funds, the</w:t>
      </w:r>
      <w:r w:rsidRPr="00FC36E1">
        <w:rPr>
          <w:rFonts w:ascii="Times New Roman" w:hAnsi="Times New Roman"/>
          <w:lang w:val="en-IE"/>
        </w:rPr>
        <w:t xml:space="preserve"> </w:t>
      </w:r>
      <w:r w:rsidR="1EC0FF7A" w:rsidRPr="00FC36E1">
        <w:rPr>
          <w:rFonts w:ascii="Times New Roman" w:hAnsi="Times New Roman"/>
          <w:lang w:val="en-IE"/>
        </w:rPr>
        <w:t>Territorial Just Transition Plans</w:t>
      </w:r>
      <w:r w:rsidR="1427D6E8" w:rsidRPr="00FC36E1">
        <w:rPr>
          <w:rFonts w:ascii="Times New Roman" w:hAnsi="Times New Roman"/>
          <w:lang w:val="en-IE"/>
        </w:rPr>
        <w:t xml:space="preserve"> (TJTPs)</w:t>
      </w:r>
      <w:r w:rsidR="5F9071C9" w:rsidRPr="00FC36E1">
        <w:rPr>
          <w:rFonts w:ascii="Times New Roman" w:hAnsi="Times New Roman"/>
          <w:lang w:val="en-IE"/>
        </w:rPr>
        <w:t>, as well as the management and control systems in Member States</w:t>
      </w:r>
      <w:r w:rsidR="1A754AD1" w:rsidRPr="00FC36E1">
        <w:rPr>
          <w:rFonts w:ascii="Times New Roman" w:hAnsi="Times New Roman"/>
          <w:lang w:val="en-IE"/>
        </w:rPr>
        <w:t>,</w:t>
      </w:r>
      <w:r w:rsidRPr="00FC36E1">
        <w:rPr>
          <w:rFonts w:ascii="Times New Roman" w:hAnsi="Times New Roman"/>
          <w:lang w:val="en-IE"/>
        </w:rPr>
        <w:t xml:space="preserve"> </w:t>
      </w:r>
      <w:r w:rsidR="1EC0FF7A" w:rsidRPr="00FC36E1">
        <w:rPr>
          <w:rFonts w:ascii="Times New Roman" w:hAnsi="Times New Roman"/>
          <w:lang w:val="en-IE"/>
        </w:rPr>
        <w:t>should ensure synergies</w:t>
      </w:r>
      <w:r w:rsidR="7D69692D" w:rsidRPr="00FC36E1">
        <w:rPr>
          <w:rFonts w:ascii="Times New Roman" w:hAnsi="Times New Roman"/>
          <w:lang w:val="en-IE"/>
        </w:rPr>
        <w:t xml:space="preserve"> and complementarity</w:t>
      </w:r>
      <w:r w:rsidR="1EC0FF7A" w:rsidRPr="00FC36E1">
        <w:rPr>
          <w:rFonts w:ascii="Times New Roman" w:hAnsi="Times New Roman"/>
          <w:lang w:val="en-IE"/>
        </w:rPr>
        <w:t xml:space="preserve"> between </w:t>
      </w:r>
      <w:r w:rsidR="310F7C07" w:rsidRPr="00FC36E1">
        <w:rPr>
          <w:rFonts w:ascii="Times New Roman" w:hAnsi="Times New Roman"/>
          <w:lang w:val="en-IE"/>
        </w:rPr>
        <w:t>Cohesion policy</w:t>
      </w:r>
      <w:r w:rsidR="1EC0FF7A" w:rsidRPr="00FC36E1">
        <w:rPr>
          <w:rFonts w:ascii="Times New Roman" w:hAnsi="Times New Roman"/>
          <w:lang w:val="en-IE"/>
        </w:rPr>
        <w:t xml:space="preserve"> funds</w:t>
      </w:r>
      <w:r w:rsidR="541923AE" w:rsidRPr="00FC36E1">
        <w:rPr>
          <w:rFonts w:ascii="Times New Roman" w:hAnsi="Times New Roman"/>
          <w:lang w:val="en-IE"/>
        </w:rPr>
        <w:t xml:space="preserve"> (EU funds), </w:t>
      </w:r>
      <w:r w:rsidR="5D830966" w:rsidRPr="00FC36E1">
        <w:rPr>
          <w:rFonts w:ascii="Times New Roman" w:hAnsi="Times New Roman"/>
          <w:lang w:val="en-IE"/>
        </w:rPr>
        <w:t>including through the possibility to establish</w:t>
      </w:r>
      <w:r w:rsidR="1EC0FF7A" w:rsidRPr="00FC36E1">
        <w:rPr>
          <w:rFonts w:ascii="Times New Roman" w:hAnsi="Times New Roman"/>
          <w:lang w:val="en-IE"/>
        </w:rPr>
        <w:t xml:space="preserve"> programmes</w:t>
      </w:r>
      <w:r w:rsidR="391F713E" w:rsidRPr="00FC36E1">
        <w:rPr>
          <w:rFonts w:ascii="Times New Roman" w:hAnsi="Times New Roman"/>
          <w:lang w:val="en-IE"/>
        </w:rPr>
        <w:t xml:space="preserve"> combining multiple funds.</w:t>
      </w:r>
      <w:r w:rsidR="67CBF730" w:rsidRPr="00FC36E1">
        <w:rPr>
          <w:rFonts w:ascii="Times New Roman" w:hAnsi="Times New Roman"/>
          <w:lang w:val="en-IE"/>
        </w:rPr>
        <w:t xml:space="preserve"> </w:t>
      </w:r>
      <w:r w:rsidR="00895AB8" w:rsidRPr="00FC36E1">
        <w:rPr>
          <w:rFonts w:ascii="Times New Roman" w:hAnsi="Times New Roman"/>
          <w:lang w:val="en-IE"/>
        </w:rPr>
        <w:t>In</w:t>
      </w:r>
      <w:r w:rsidR="4EA5C15D" w:rsidRPr="00FC36E1">
        <w:rPr>
          <w:rFonts w:ascii="Times New Roman" w:hAnsi="Times New Roman"/>
          <w:lang w:val="en-IE"/>
        </w:rPr>
        <w:t xml:space="preserve"> some areas like skills development support, complementarities can become more evident</w:t>
      </w:r>
      <w:r w:rsidR="00895AB8" w:rsidRPr="00FC36E1">
        <w:rPr>
          <w:rFonts w:ascii="Times New Roman" w:hAnsi="Times New Roman"/>
          <w:lang w:val="en-IE"/>
        </w:rPr>
        <w:t>:</w:t>
      </w:r>
      <w:r w:rsidR="71D4D30C" w:rsidRPr="00FC36E1">
        <w:rPr>
          <w:rFonts w:ascii="Times New Roman" w:hAnsi="Times New Roman"/>
          <w:lang w:val="en-IE"/>
        </w:rPr>
        <w:t xml:space="preserve"> while</w:t>
      </w:r>
      <w:r w:rsidR="77F30D26" w:rsidRPr="00FC36E1">
        <w:rPr>
          <w:rFonts w:ascii="Times New Roman" w:hAnsi="Times New Roman"/>
          <w:lang w:val="en-IE"/>
        </w:rPr>
        <w:t xml:space="preserve"> </w:t>
      </w:r>
      <w:r w:rsidR="792A3966" w:rsidRPr="00FC36E1">
        <w:rPr>
          <w:rFonts w:ascii="Times New Roman" w:hAnsi="Times New Roman"/>
          <w:lang w:val="en-IE"/>
        </w:rPr>
        <w:t xml:space="preserve">both the JTF and ESF+ </w:t>
      </w:r>
      <w:r w:rsidR="2749659F" w:rsidRPr="00FC36E1">
        <w:rPr>
          <w:rFonts w:ascii="Times New Roman" w:hAnsi="Times New Roman"/>
          <w:lang w:val="en-IE"/>
        </w:rPr>
        <w:t xml:space="preserve">allow for </w:t>
      </w:r>
      <w:r w:rsidR="128F215C" w:rsidRPr="00FC36E1">
        <w:rPr>
          <w:rFonts w:ascii="Times New Roman" w:hAnsi="Times New Roman"/>
          <w:lang w:val="en-IE"/>
        </w:rPr>
        <w:t>“</w:t>
      </w:r>
      <w:r w:rsidR="792A3966" w:rsidRPr="00FC36E1">
        <w:rPr>
          <w:rFonts w:ascii="Times New Roman" w:hAnsi="Times New Roman"/>
          <w:lang w:val="en-IE"/>
        </w:rPr>
        <w:t>soft</w:t>
      </w:r>
      <w:r w:rsidR="6E89164C" w:rsidRPr="00FC36E1">
        <w:rPr>
          <w:rFonts w:ascii="Times New Roman" w:hAnsi="Times New Roman"/>
          <w:lang w:val="en-IE"/>
        </w:rPr>
        <w:t>”</w:t>
      </w:r>
      <w:r w:rsidR="792A3966" w:rsidRPr="00FC36E1">
        <w:rPr>
          <w:rFonts w:ascii="Times New Roman" w:hAnsi="Times New Roman"/>
          <w:lang w:val="en-IE"/>
        </w:rPr>
        <w:t xml:space="preserve"> support of skills</w:t>
      </w:r>
      <w:r w:rsidR="113FBA46" w:rsidRPr="00FC36E1">
        <w:rPr>
          <w:rFonts w:ascii="Times New Roman" w:hAnsi="Times New Roman"/>
          <w:lang w:val="en-IE"/>
        </w:rPr>
        <w:t xml:space="preserve"> development</w:t>
      </w:r>
      <w:r w:rsidR="792A3966" w:rsidRPr="00FC36E1">
        <w:rPr>
          <w:rFonts w:ascii="Times New Roman" w:hAnsi="Times New Roman"/>
          <w:lang w:val="en-IE"/>
        </w:rPr>
        <w:t>, the JTF</w:t>
      </w:r>
      <w:r w:rsidR="2A6DD961" w:rsidRPr="00FC36E1">
        <w:rPr>
          <w:rFonts w:ascii="Times New Roman" w:hAnsi="Times New Roman"/>
          <w:lang w:val="en-IE"/>
        </w:rPr>
        <w:t xml:space="preserve"> and ERDF</w:t>
      </w:r>
      <w:r w:rsidR="792A3966" w:rsidRPr="00FC36E1">
        <w:rPr>
          <w:rFonts w:ascii="Times New Roman" w:hAnsi="Times New Roman"/>
          <w:lang w:val="en-IE"/>
        </w:rPr>
        <w:t xml:space="preserve"> can also support </w:t>
      </w:r>
      <w:r w:rsidR="496A61A0" w:rsidRPr="00FC36E1">
        <w:rPr>
          <w:rFonts w:ascii="Times New Roman" w:hAnsi="Times New Roman"/>
          <w:lang w:val="en-IE"/>
        </w:rPr>
        <w:t xml:space="preserve">related </w:t>
      </w:r>
      <w:r w:rsidR="792A3966" w:rsidRPr="00FC36E1">
        <w:rPr>
          <w:rFonts w:ascii="Times New Roman" w:hAnsi="Times New Roman"/>
          <w:lang w:val="en-IE"/>
        </w:rPr>
        <w:t>infrastructure</w:t>
      </w:r>
      <w:r w:rsidR="71D33CDC" w:rsidRPr="00FC36E1">
        <w:rPr>
          <w:rFonts w:ascii="Times New Roman" w:hAnsi="Times New Roman"/>
          <w:lang w:val="en-IE"/>
        </w:rPr>
        <w:t xml:space="preserve">, </w:t>
      </w:r>
      <w:r w:rsidR="00DB63D2" w:rsidRPr="00FC36E1">
        <w:rPr>
          <w:rFonts w:ascii="Times New Roman" w:hAnsi="Times New Roman"/>
          <w:lang w:val="en-IE"/>
        </w:rPr>
        <w:t>equipment,</w:t>
      </w:r>
      <w:r w:rsidR="1174935F" w:rsidRPr="00FC36E1">
        <w:rPr>
          <w:rFonts w:ascii="Times New Roman" w:hAnsi="Times New Roman"/>
          <w:lang w:val="en-IE"/>
        </w:rPr>
        <w:t xml:space="preserve"> and the creation of jobs in enterprises</w:t>
      </w:r>
      <w:r w:rsidR="792A3966" w:rsidRPr="00FC36E1">
        <w:rPr>
          <w:rFonts w:ascii="Times New Roman" w:hAnsi="Times New Roman"/>
          <w:lang w:val="en-IE"/>
        </w:rPr>
        <w:t>.</w:t>
      </w:r>
      <w:r w:rsidR="1EC0FF7A" w:rsidRPr="00FC36E1">
        <w:rPr>
          <w:rFonts w:ascii="Times New Roman" w:hAnsi="Times New Roman"/>
          <w:lang w:val="en-IE"/>
        </w:rPr>
        <w:t xml:space="preserve"> </w:t>
      </w:r>
      <w:r w:rsidR="0FAFEC65" w:rsidRPr="00FC36E1">
        <w:rPr>
          <w:rFonts w:ascii="Times New Roman" w:hAnsi="Times New Roman"/>
          <w:lang w:val="en-IE"/>
        </w:rPr>
        <w:t>Finally</w:t>
      </w:r>
      <w:r w:rsidR="1EC0FF7A" w:rsidRPr="00FC36E1">
        <w:rPr>
          <w:rFonts w:ascii="Times New Roman" w:hAnsi="Times New Roman"/>
          <w:lang w:val="en-IE"/>
        </w:rPr>
        <w:t>,</w:t>
      </w:r>
      <w:r w:rsidR="2BBF0C7A" w:rsidRPr="00FC36E1">
        <w:rPr>
          <w:rFonts w:ascii="Times New Roman" w:hAnsi="Times New Roman"/>
          <w:lang w:val="en-IE"/>
        </w:rPr>
        <w:t xml:space="preserve"> the Commission acknowledges that</w:t>
      </w:r>
      <w:r w:rsidR="09669781" w:rsidRPr="00FC36E1">
        <w:rPr>
          <w:rFonts w:ascii="Times New Roman" w:hAnsi="Times New Roman"/>
          <w:lang w:val="en-IE"/>
        </w:rPr>
        <w:t xml:space="preserve"> coordination with other EU funding instruments, such as</w:t>
      </w:r>
      <w:r w:rsidR="1EC0FF7A" w:rsidRPr="00FC36E1">
        <w:rPr>
          <w:rFonts w:ascii="Times New Roman" w:hAnsi="Times New Roman"/>
          <w:lang w:val="en-IE"/>
        </w:rPr>
        <w:t xml:space="preserve"> the Recovery and Resilience Facility</w:t>
      </w:r>
      <w:r w:rsidR="3C711346" w:rsidRPr="00FC36E1">
        <w:rPr>
          <w:rFonts w:ascii="Times New Roman" w:hAnsi="Times New Roman"/>
          <w:lang w:val="en-IE"/>
        </w:rPr>
        <w:t xml:space="preserve"> (RRF)</w:t>
      </w:r>
      <w:r w:rsidR="10703B59" w:rsidRPr="00FC36E1">
        <w:rPr>
          <w:rFonts w:ascii="Times New Roman" w:hAnsi="Times New Roman"/>
          <w:lang w:val="en-IE"/>
        </w:rPr>
        <w:t xml:space="preserve"> and support provided by the European Investment Bank (including through the second and </w:t>
      </w:r>
      <w:r w:rsidR="235D3437" w:rsidRPr="00FC36E1">
        <w:rPr>
          <w:rFonts w:ascii="Times New Roman" w:hAnsi="Times New Roman"/>
          <w:lang w:val="en-IE"/>
        </w:rPr>
        <w:t>third</w:t>
      </w:r>
      <w:r w:rsidR="10703B59" w:rsidRPr="00FC36E1">
        <w:rPr>
          <w:rFonts w:ascii="Times New Roman" w:hAnsi="Times New Roman"/>
          <w:lang w:val="en-IE"/>
        </w:rPr>
        <w:t xml:space="preserve"> pillars of the Just Transition Mechani</w:t>
      </w:r>
      <w:r w:rsidR="60DBCC91" w:rsidRPr="00FC36E1">
        <w:rPr>
          <w:rFonts w:ascii="Times New Roman" w:hAnsi="Times New Roman"/>
          <w:lang w:val="en-IE"/>
        </w:rPr>
        <w:t>sm)</w:t>
      </w:r>
      <w:r w:rsidR="7288A6C9" w:rsidRPr="00FC36E1">
        <w:rPr>
          <w:rFonts w:ascii="Times New Roman" w:hAnsi="Times New Roman"/>
          <w:lang w:val="en-IE"/>
        </w:rPr>
        <w:t xml:space="preserve">, is also crucial in the context of </w:t>
      </w:r>
      <w:r w:rsidR="18F5F031" w:rsidRPr="00FC36E1">
        <w:rPr>
          <w:rFonts w:ascii="Times New Roman" w:hAnsi="Times New Roman"/>
          <w:lang w:val="en-IE"/>
        </w:rPr>
        <w:t>reinforc</w:t>
      </w:r>
      <w:r w:rsidR="129BFB1B" w:rsidRPr="00FC36E1">
        <w:rPr>
          <w:rFonts w:ascii="Times New Roman" w:hAnsi="Times New Roman"/>
          <w:lang w:val="en-IE"/>
        </w:rPr>
        <w:t>ing</w:t>
      </w:r>
      <w:r w:rsidR="18F5F031" w:rsidRPr="00FC36E1">
        <w:rPr>
          <w:rFonts w:ascii="Times New Roman" w:hAnsi="Times New Roman"/>
          <w:lang w:val="en-IE"/>
        </w:rPr>
        <w:t xml:space="preserve"> economic and social cohesio</w:t>
      </w:r>
      <w:r w:rsidR="0436758B" w:rsidRPr="00FC36E1">
        <w:rPr>
          <w:rFonts w:ascii="Times New Roman" w:hAnsi="Times New Roman"/>
          <w:lang w:val="en-IE"/>
        </w:rPr>
        <w:t>n</w:t>
      </w:r>
      <w:r w:rsidR="74AE382E" w:rsidRPr="00FC36E1">
        <w:rPr>
          <w:rFonts w:ascii="Times New Roman" w:hAnsi="Times New Roman"/>
          <w:lang w:val="en-IE"/>
        </w:rPr>
        <w:t xml:space="preserve"> (§10)</w:t>
      </w:r>
      <w:r w:rsidR="18F5F031" w:rsidRPr="00FC36E1">
        <w:rPr>
          <w:rFonts w:ascii="Times New Roman" w:hAnsi="Times New Roman"/>
          <w:lang w:val="en-IE"/>
        </w:rPr>
        <w:t>.</w:t>
      </w:r>
      <w:r w:rsidR="393FD6C5" w:rsidRPr="00FC36E1">
        <w:rPr>
          <w:rFonts w:ascii="Times New Roman" w:hAnsi="Times New Roman"/>
          <w:lang w:val="en-IE"/>
        </w:rPr>
        <w:t xml:space="preserve"> </w:t>
      </w:r>
    </w:p>
    <w:p w14:paraId="699797A9" w14:textId="4F9FD729" w:rsidR="009E4F0F" w:rsidRPr="00391425" w:rsidRDefault="18F5F031" w:rsidP="007073E5">
      <w:pPr>
        <w:spacing w:before="120" w:after="0"/>
        <w:rPr>
          <w:rFonts w:ascii="Times New Roman" w:hAnsi="Times New Roman"/>
          <w:lang w:val="en-IE"/>
        </w:rPr>
      </w:pPr>
      <w:r w:rsidRPr="00FC36E1">
        <w:rPr>
          <w:rFonts w:ascii="Times New Roman" w:hAnsi="Times New Roman"/>
          <w:lang w:val="en-IE"/>
        </w:rPr>
        <w:t xml:space="preserve">The Commission agrees that </w:t>
      </w:r>
      <w:r w:rsidRPr="00391425">
        <w:rPr>
          <w:rFonts w:ascii="Times New Roman" w:hAnsi="Times New Roman"/>
          <w:lang w:val="en-IE"/>
        </w:rPr>
        <w:t xml:space="preserve">the consistency with the relevant smart specialisation strategies should be ensured and the JTF should support </w:t>
      </w:r>
      <w:r w:rsidR="00895AB8" w:rsidRPr="00391425">
        <w:rPr>
          <w:rFonts w:ascii="Times New Roman" w:hAnsi="Times New Roman"/>
          <w:lang w:val="en-IE"/>
        </w:rPr>
        <w:t>investments</w:t>
      </w:r>
      <w:r w:rsidRPr="00391425">
        <w:rPr>
          <w:rFonts w:ascii="Times New Roman" w:hAnsi="Times New Roman"/>
          <w:lang w:val="en-IE"/>
        </w:rPr>
        <w:t xml:space="preserve"> in line with the endogenous potential and capabilities of affected territories.</w:t>
      </w:r>
      <w:r w:rsidR="7F324E7E" w:rsidRPr="00391425">
        <w:rPr>
          <w:rFonts w:ascii="Times New Roman" w:hAnsi="Times New Roman"/>
          <w:lang w:val="en-IE"/>
        </w:rPr>
        <w:t xml:space="preserve"> Coherence needs to be addressed at the level of the T</w:t>
      </w:r>
      <w:r w:rsidR="003B3709" w:rsidRPr="00391425">
        <w:rPr>
          <w:rFonts w:ascii="Times New Roman" w:hAnsi="Times New Roman"/>
          <w:lang w:val="en-IE"/>
        </w:rPr>
        <w:t xml:space="preserve">erritorial </w:t>
      </w:r>
      <w:r w:rsidR="7F324E7E" w:rsidRPr="00391425">
        <w:rPr>
          <w:rFonts w:ascii="Times New Roman" w:hAnsi="Times New Roman"/>
          <w:lang w:val="en-IE"/>
        </w:rPr>
        <w:t>J</w:t>
      </w:r>
      <w:r w:rsidR="003B3709" w:rsidRPr="00391425">
        <w:rPr>
          <w:rFonts w:ascii="Times New Roman" w:hAnsi="Times New Roman"/>
          <w:lang w:val="en-IE"/>
        </w:rPr>
        <w:t xml:space="preserve">ust </w:t>
      </w:r>
      <w:r w:rsidR="7F324E7E" w:rsidRPr="00391425">
        <w:rPr>
          <w:rFonts w:ascii="Times New Roman" w:hAnsi="Times New Roman"/>
          <w:lang w:val="en-IE"/>
        </w:rPr>
        <w:t>T</w:t>
      </w:r>
      <w:r w:rsidR="003B3709" w:rsidRPr="00391425">
        <w:rPr>
          <w:rFonts w:ascii="Times New Roman" w:hAnsi="Times New Roman"/>
          <w:lang w:val="en-IE"/>
        </w:rPr>
        <w:t xml:space="preserve">ransition </w:t>
      </w:r>
      <w:r w:rsidR="7F324E7E" w:rsidRPr="00391425">
        <w:rPr>
          <w:rFonts w:ascii="Times New Roman" w:hAnsi="Times New Roman"/>
          <w:lang w:val="en-IE"/>
        </w:rPr>
        <w:t>P</w:t>
      </w:r>
      <w:r w:rsidR="003B3709" w:rsidRPr="00391425">
        <w:rPr>
          <w:rFonts w:ascii="Times New Roman" w:hAnsi="Times New Roman"/>
          <w:lang w:val="en-IE"/>
        </w:rPr>
        <w:t>lan</w:t>
      </w:r>
      <w:r w:rsidR="7F324E7E" w:rsidRPr="00391425">
        <w:rPr>
          <w:rFonts w:ascii="Times New Roman" w:hAnsi="Times New Roman"/>
          <w:lang w:val="en-IE"/>
        </w:rPr>
        <w:t>s</w:t>
      </w:r>
      <w:r w:rsidR="20F19CF2" w:rsidRPr="00391425">
        <w:rPr>
          <w:rFonts w:ascii="Times New Roman" w:hAnsi="Times New Roman"/>
          <w:lang w:val="en-IE"/>
        </w:rPr>
        <w:t xml:space="preserve"> (§11)</w:t>
      </w:r>
      <w:r w:rsidR="7F324E7E" w:rsidRPr="00391425">
        <w:rPr>
          <w:rFonts w:ascii="Times New Roman" w:hAnsi="Times New Roman"/>
          <w:lang w:val="en-IE"/>
        </w:rPr>
        <w:t xml:space="preserve">. </w:t>
      </w:r>
    </w:p>
    <w:p w14:paraId="7897C4B4" w14:textId="6A9F58C5" w:rsidR="009E4F0F" w:rsidRPr="00391425" w:rsidRDefault="21A10ADA" w:rsidP="007073E5">
      <w:pPr>
        <w:spacing w:before="120" w:after="0"/>
        <w:rPr>
          <w:rFonts w:ascii="Times New Roman" w:hAnsi="Times New Roman"/>
          <w:lang w:val="en-IE"/>
        </w:rPr>
      </w:pPr>
      <w:r w:rsidRPr="00FC36E1">
        <w:rPr>
          <w:rFonts w:ascii="Times New Roman" w:hAnsi="Times New Roman"/>
          <w:lang w:val="en-IE"/>
        </w:rPr>
        <w:t>The Commission agrees that the JTF selection criteria should prioriti</w:t>
      </w:r>
      <w:r w:rsidR="00AE0B68" w:rsidRPr="00FC36E1">
        <w:rPr>
          <w:rFonts w:ascii="Times New Roman" w:hAnsi="Times New Roman"/>
          <w:lang w:val="en-IE"/>
        </w:rPr>
        <w:t>s</w:t>
      </w:r>
      <w:r w:rsidRPr="00FC36E1">
        <w:rPr>
          <w:rFonts w:ascii="Times New Roman" w:hAnsi="Times New Roman"/>
          <w:lang w:val="en-IE"/>
        </w:rPr>
        <w:t>e the most affected areas.</w:t>
      </w:r>
      <w:r w:rsidRPr="00391425">
        <w:rPr>
          <w:rFonts w:ascii="Times New Roman" w:hAnsi="Times New Roman"/>
          <w:lang w:val="en-IE"/>
        </w:rPr>
        <w:t xml:space="preserve"> However, t</w:t>
      </w:r>
      <w:r w:rsidR="41BE18CF" w:rsidRPr="00391425">
        <w:rPr>
          <w:rFonts w:ascii="Times New Roman" w:hAnsi="Times New Roman"/>
          <w:lang w:val="en-IE"/>
        </w:rPr>
        <w:t xml:space="preserve">he Commission also stresses </w:t>
      </w:r>
      <w:r w:rsidR="58077712" w:rsidRPr="00391425">
        <w:rPr>
          <w:rFonts w:ascii="Times New Roman" w:hAnsi="Times New Roman"/>
          <w:lang w:val="en-IE"/>
        </w:rPr>
        <w:t xml:space="preserve">that the </w:t>
      </w:r>
      <w:r w:rsidR="41BE18CF" w:rsidRPr="00391425">
        <w:rPr>
          <w:rFonts w:ascii="Times New Roman" w:hAnsi="Times New Roman"/>
          <w:lang w:val="en-IE"/>
        </w:rPr>
        <w:t>selection of JTF projects</w:t>
      </w:r>
      <w:r w:rsidR="23567839" w:rsidRPr="00391425">
        <w:rPr>
          <w:rFonts w:ascii="Times New Roman" w:hAnsi="Times New Roman"/>
          <w:lang w:val="en-IE"/>
        </w:rPr>
        <w:t>, in line with the fund’s specific objective to address negative impacts of the transition,</w:t>
      </w:r>
      <w:r w:rsidR="41BE18CF" w:rsidRPr="00391425">
        <w:rPr>
          <w:rFonts w:ascii="Times New Roman" w:hAnsi="Times New Roman"/>
          <w:lang w:val="en-IE"/>
        </w:rPr>
        <w:t xml:space="preserve"> is a core responsibility of the Member States</w:t>
      </w:r>
      <w:r w:rsidR="6D28373A" w:rsidRPr="00391425">
        <w:rPr>
          <w:rFonts w:ascii="Times New Roman" w:hAnsi="Times New Roman"/>
          <w:lang w:val="en-IE"/>
        </w:rPr>
        <w:t xml:space="preserve"> (§11)</w:t>
      </w:r>
      <w:r w:rsidR="41BE18CF" w:rsidRPr="00391425">
        <w:rPr>
          <w:rFonts w:ascii="Times New Roman" w:hAnsi="Times New Roman"/>
          <w:lang w:val="en-IE"/>
        </w:rPr>
        <w:t>.</w:t>
      </w:r>
    </w:p>
    <w:p w14:paraId="4270E74A" w14:textId="397F5872" w:rsidR="437356A2" w:rsidRPr="00FC36E1" w:rsidRDefault="437356A2" w:rsidP="007073E5">
      <w:pPr>
        <w:spacing w:before="120" w:after="0"/>
        <w:rPr>
          <w:rFonts w:ascii="Times New Roman" w:hAnsi="Times New Roman"/>
          <w:highlight w:val="yellow"/>
          <w:lang w:val="en-IE"/>
        </w:rPr>
      </w:pPr>
      <w:r w:rsidRPr="00FC36E1">
        <w:rPr>
          <w:rFonts w:ascii="Times New Roman" w:hAnsi="Times New Roman"/>
          <w:lang w:val="en-IE"/>
        </w:rPr>
        <w:t xml:space="preserve">The Commission agrees on the need to provide reskilling programmes for </w:t>
      </w:r>
      <w:r w:rsidR="0E6EC08C" w:rsidRPr="00FC36E1">
        <w:rPr>
          <w:rFonts w:ascii="Times New Roman" w:hAnsi="Times New Roman"/>
          <w:lang w:val="en-IE"/>
        </w:rPr>
        <w:t xml:space="preserve">workers directly affected by the economic transitions. </w:t>
      </w:r>
      <w:r w:rsidR="003D06D7" w:rsidRPr="00FC36E1">
        <w:rPr>
          <w:rFonts w:ascii="Times New Roman" w:hAnsi="Times New Roman"/>
          <w:lang w:val="en-IE"/>
        </w:rPr>
        <w:t>The</w:t>
      </w:r>
      <w:r w:rsidR="3B8B984E" w:rsidRPr="00FC36E1">
        <w:rPr>
          <w:rFonts w:ascii="Times New Roman" w:hAnsi="Times New Roman"/>
          <w:lang w:val="en-IE"/>
        </w:rPr>
        <w:t xml:space="preserve"> Skills Guarantee to support workers </w:t>
      </w:r>
      <w:r w:rsidR="78258083" w:rsidRPr="00FC36E1">
        <w:rPr>
          <w:rFonts w:ascii="Times New Roman" w:hAnsi="Times New Roman"/>
          <w:lang w:val="en-IE"/>
        </w:rPr>
        <w:t>in sector under transformation to remain employable</w:t>
      </w:r>
      <w:r w:rsidR="0355CB00" w:rsidRPr="00FC36E1">
        <w:rPr>
          <w:rFonts w:ascii="Times New Roman" w:hAnsi="Times New Roman"/>
          <w:lang w:val="en-IE"/>
        </w:rPr>
        <w:t xml:space="preserve"> </w:t>
      </w:r>
      <w:r w:rsidR="003D06D7" w:rsidRPr="00FC36E1">
        <w:rPr>
          <w:rFonts w:ascii="Times New Roman" w:hAnsi="Times New Roman"/>
          <w:lang w:val="en-IE"/>
        </w:rPr>
        <w:t>is one of the specific measures included in the Union of Skills initiative</w:t>
      </w:r>
      <w:r w:rsidR="003D06D7" w:rsidRPr="00391425">
        <w:rPr>
          <w:rFonts w:ascii="Times New Roman" w:hAnsi="Times New Roman"/>
          <w:lang w:val="en-IE"/>
        </w:rPr>
        <w:t xml:space="preserve"> </w:t>
      </w:r>
      <w:r w:rsidR="00EC43B0" w:rsidRPr="00FC36E1">
        <w:rPr>
          <w:rFonts w:ascii="Times New Roman" w:hAnsi="Times New Roman"/>
          <w:lang w:val="en-IE"/>
        </w:rPr>
        <w:t>and support for micro-credentials in line with the European approach</w:t>
      </w:r>
      <w:r w:rsidR="00180844" w:rsidRPr="00FC36E1">
        <w:rPr>
          <w:rFonts w:ascii="Times New Roman" w:hAnsi="Times New Roman"/>
          <w:lang w:val="en-IE"/>
        </w:rPr>
        <w:t>. In a first phase, the Commission will set up a Skills Guarantee pilot</w:t>
      </w:r>
      <w:r w:rsidR="00EC43B0" w:rsidRPr="00391425">
        <w:rPr>
          <w:rFonts w:ascii="Times New Roman" w:hAnsi="Times New Roman"/>
          <w:lang w:val="en-IE"/>
        </w:rPr>
        <w:t xml:space="preserve"> </w:t>
      </w:r>
      <w:r w:rsidR="0355CB00" w:rsidRPr="00391425">
        <w:rPr>
          <w:rFonts w:ascii="Times New Roman" w:hAnsi="Times New Roman"/>
          <w:lang w:val="en-IE"/>
        </w:rPr>
        <w:t>(§14)</w:t>
      </w:r>
      <w:r w:rsidR="78258083" w:rsidRPr="00FC36E1">
        <w:rPr>
          <w:rFonts w:ascii="Times New Roman" w:hAnsi="Times New Roman"/>
          <w:lang w:val="en-IE"/>
        </w:rPr>
        <w:t>.</w:t>
      </w:r>
      <w:r w:rsidRPr="00FC36E1">
        <w:rPr>
          <w:rFonts w:ascii="Times New Roman" w:hAnsi="Times New Roman"/>
          <w:lang w:val="en-IE"/>
        </w:rPr>
        <w:t xml:space="preserve"> </w:t>
      </w:r>
    </w:p>
    <w:p w14:paraId="518E2AA3" w14:textId="54C20AC4" w:rsidR="002D7CC3" w:rsidRPr="00FC36E1" w:rsidRDefault="000D1193" w:rsidP="007073E5">
      <w:pPr>
        <w:spacing w:before="120" w:after="0"/>
        <w:rPr>
          <w:rFonts w:ascii="Times New Roman" w:hAnsi="Times New Roman"/>
          <w:lang w:val="en-IE"/>
        </w:rPr>
      </w:pPr>
      <w:r w:rsidRPr="00FC36E1">
        <w:rPr>
          <w:rFonts w:ascii="Times New Roman" w:hAnsi="Times New Roman"/>
          <w:lang w:val="en-IE"/>
        </w:rPr>
        <w:t xml:space="preserve">Vocational education and training (VET) </w:t>
      </w:r>
      <w:r w:rsidR="007073E5" w:rsidRPr="00FC36E1">
        <w:rPr>
          <w:rFonts w:ascii="Times New Roman" w:hAnsi="Times New Roman"/>
          <w:lang w:val="en-IE"/>
        </w:rPr>
        <w:t>play</w:t>
      </w:r>
      <w:r w:rsidR="002D7CC3" w:rsidRPr="00FC36E1">
        <w:rPr>
          <w:rFonts w:ascii="Times New Roman" w:hAnsi="Times New Roman"/>
          <w:lang w:val="en-IE"/>
        </w:rPr>
        <w:t xml:space="preserve"> an important role in</w:t>
      </w:r>
      <w:r w:rsidRPr="00FC36E1">
        <w:rPr>
          <w:rFonts w:ascii="Times New Roman" w:hAnsi="Times New Roman"/>
          <w:lang w:val="en-IE"/>
        </w:rPr>
        <w:t xml:space="preserve"> address</w:t>
      </w:r>
      <w:r w:rsidR="002D7CC3" w:rsidRPr="00FC36E1">
        <w:rPr>
          <w:rFonts w:ascii="Times New Roman" w:hAnsi="Times New Roman"/>
          <w:lang w:val="en-IE"/>
        </w:rPr>
        <w:t>ing</w:t>
      </w:r>
      <w:r w:rsidRPr="00FC36E1">
        <w:rPr>
          <w:rFonts w:ascii="Times New Roman" w:hAnsi="Times New Roman"/>
          <w:lang w:val="en-IE"/>
        </w:rPr>
        <w:t xml:space="preserve"> labour shortages and </w:t>
      </w:r>
      <w:r w:rsidR="002D7CC3" w:rsidRPr="00FC36E1">
        <w:rPr>
          <w:rFonts w:ascii="Times New Roman" w:hAnsi="Times New Roman"/>
          <w:lang w:val="en-IE"/>
        </w:rPr>
        <w:t xml:space="preserve">on </w:t>
      </w:r>
      <w:r w:rsidRPr="00FC36E1">
        <w:rPr>
          <w:rFonts w:ascii="Times New Roman" w:hAnsi="Times New Roman"/>
          <w:lang w:val="en-IE"/>
        </w:rPr>
        <w:t>deliver</w:t>
      </w:r>
      <w:r w:rsidR="002D7CC3" w:rsidRPr="00FC36E1">
        <w:rPr>
          <w:rFonts w:ascii="Times New Roman" w:hAnsi="Times New Roman"/>
          <w:lang w:val="en-IE"/>
        </w:rPr>
        <w:t>ing</w:t>
      </w:r>
      <w:r w:rsidRPr="00FC36E1">
        <w:rPr>
          <w:rFonts w:ascii="Times New Roman" w:hAnsi="Times New Roman"/>
          <w:lang w:val="en-IE"/>
        </w:rPr>
        <w:t xml:space="preserve"> on the green and digital transitions</w:t>
      </w:r>
      <w:r w:rsidR="0028647F" w:rsidRPr="00FC36E1">
        <w:rPr>
          <w:rFonts w:ascii="Times New Roman" w:hAnsi="Times New Roman"/>
          <w:lang w:val="en-IE"/>
        </w:rPr>
        <w:t xml:space="preserve">. </w:t>
      </w:r>
      <w:r w:rsidR="00AA7D3D" w:rsidRPr="00FC36E1">
        <w:rPr>
          <w:rFonts w:ascii="Times New Roman" w:hAnsi="Times New Roman"/>
          <w:lang w:val="en-IE"/>
        </w:rPr>
        <w:t xml:space="preserve">As it has been </w:t>
      </w:r>
      <w:r w:rsidR="00BC6C84" w:rsidRPr="00FC36E1">
        <w:rPr>
          <w:rFonts w:ascii="Times New Roman" w:hAnsi="Times New Roman"/>
          <w:lang w:val="en-IE"/>
        </w:rPr>
        <w:t>highlighted in the Political Guidelines</w:t>
      </w:r>
      <w:r w:rsidR="00756E3F" w:rsidRPr="00FC36E1">
        <w:rPr>
          <w:rStyle w:val="FootnoteReference"/>
          <w:rFonts w:ascii="Times New Roman" w:hAnsi="Times New Roman"/>
          <w:lang w:val="en-IE"/>
        </w:rPr>
        <w:footnoteReference w:id="3"/>
      </w:r>
      <w:r w:rsidR="00BC6C84" w:rsidRPr="00FC36E1">
        <w:rPr>
          <w:rFonts w:ascii="Times New Roman" w:hAnsi="Times New Roman"/>
          <w:lang w:val="en-IE"/>
        </w:rPr>
        <w:t xml:space="preserve">, VET prepares people for work and gives them the skills that companies are looking for. </w:t>
      </w:r>
      <w:r w:rsidR="00642742" w:rsidRPr="00FC36E1">
        <w:rPr>
          <w:rFonts w:ascii="Times New Roman" w:hAnsi="Times New Roman"/>
          <w:lang w:val="en-IE"/>
        </w:rPr>
        <w:t>VET’s proximity to the labour market means that it can equip workers with practical</w:t>
      </w:r>
      <w:r w:rsidR="000F696A" w:rsidRPr="00FC36E1">
        <w:rPr>
          <w:rFonts w:ascii="Times New Roman" w:hAnsi="Times New Roman"/>
          <w:lang w:val="en-IE"/>
        </w:rPr>
        <w:t xml:space="preserve"> </w:t>
      </w:r>
      <w:r w:rsidR="00642742" w:rsidRPr="00FC36E1">
        <w:rPr>
          <w:rFonts w:ascii="Times New Roman" w:hAnsi="Times New Roman"/>
          <w:lang w:val="en-IE"/>
        </w:rPr>
        <w:t>skills tailored to emerging green sectors (e.g. renewable energy, energy-efficient construction, sustainable agriculture)</w:t>
      </w:r>
      <w:r w:rsidR="6B74B779" w:rsidRPr="00FC36E1">
        <w:rPr>
          <w:rFonts w:ascii="Times New Roman" w:hAnsi="Times New Roman"/>
          <w:lang w:val="en-IE"/>
        </w:rPr>
        <w:t xml:space="preserve"> (§13)</w:t>
      </w:r>
      <w:r w:rsidR="00642742" w:rsidRPr="00FC36E1">
        <w:rPr>
          <w:rFonts w:ascii="Times New Roman" w:hAnsi="Times New Roman"/>
          <w:lang w:val="en-IE"/>
        </w:rPr>
        <w:t>.</w:t>
      </w:r>
      <w:r w:rsidR="0096551D" w:rsidRPr="00FC36E1">
        <w:rPr>
          <w:rFonts w:ascii="Times New Roman" w:hAnsi="Times New Roman"/>
          <w:lang w:val="en-IE"/>
        </w:rPr>
        <w:t xml:space="preserve"> </w:t>
      </w:r>
    </w:p>
    <w:p w14:paraId="75C2AA0F" w14:textId="382F7BED" w:rsidR="00537005" w:rsidRPr="00FC36E1" w:rsidRDefault="006603FD" w:rsidP="007073E5">
      <w:pPr>
        <w:spacing w:before="120" w:after="0"/>
        <w:rPr>
          <w:rFonts w:ascii="Times New Roman" w:hAnsi="Times New Roman"/>
          <w:color w:val="000000"/>
          <w:lang w:val="en-IE"/>
        </w:rPr>
      </w:pPr>
      <w:r w:rsidRPr="00FC36E1">
        <w:rPr>
          <w:rFonts w:ascii="Times New Roman" w:hAnsi="Times New Roman"/>
          <w:lang w:val="en-IE"/>
        </w:rPr>
        <w:t>One of the actions agreed upon in t</w:t>
      </w:r>
      <w:r w:rsidR="0096551D" w:rsidRPr="00FC36E1">
        <w:rPr>
          <w:rFonts w:ascii="Times New Roman" w:hAnsi="Times New Roman"/>
          <w:lang w:val="en-IE"/>
        </w:rPr>
        <w:t>he Herning Declaration</w:t>
      </w:r>
      <w:r w:rsidR="0027599E" w:rsidRPr="00FC36E1">
        <w:rPr>
          <w:rStyle w:val="FootnoteReference"/>
          <w:rFonts w:ascii="Times New Roman" w:hAnsi="Times New Roman"/>
          <w:lang w:val="en-IE"/>
        </w:rPr>
        <w:footnoteReference w:id="4"/>
      </w:r>
      <w:r w:rsidRPr="00FC36E1">
        <w:rPr>
          <w:rFonts w:ascii="Times New Roman" w:hAnsi="Times New Roman"/>
          <w:lang w:val="en-IE"/>
        </w:rPr>
        <w:t xml:space="preserve"> ad</w:t>
      </w:r>
      <w:r w:rsidR="00A87FE1" w:rsidRPr="00FC36E1">
        <w:rPr>
          <w:rFonts w:ascii="Times New Roman" w:hAnsi="Times New Roman"/>
          <w:lang w:val="en-IE"/>
        </w:rPr>
        <w:t>opted on 12 September 2025</w:t>
      </w:r>
      <w:r w:rsidR="0096551D" w:rsidRPr="00FC36E1">
        <w:rPr>
          <w:rFonts w:ascii="Times New Roman" w:hAnsi="Times New Roman"/>
          <w:lang w:val="en-IE"/>
        </w:rPr>
        <w:t xml:space="preserve"> </w:t>
      </w:r>
      <w:r w:rsidRPr="00FC36E1">
        <w:rPr>
          <w:rFonts w:ascii="Times New Roman" w:hAnsi="Times New Roman"/>
          <w:lang w:val="en-IE"/>
        </w:rPr>
        <w:t xml:space="preserve">is to attract more learners to vocational programmes in fields critical for the green and digital </w:t>
      </w:r>
      <w:r w:rsidRPr="00FC36E1">
        <w:rPr>
          <w:rFonts w:ascii="Times New Roman" w:hAnsi="Times New Roman"/>
          <w:lang w:val="en-IE"/>
        </w:rPr>
        <w:lastRenderedPageBreak/>
        <w:t>transition and competitiveness of the EU such as STEM and other shortage professions</w:t>
      </w:r>
      <w:r w:rsidR="00A87FE1" w:rsidRPr="00FC36E1">
        <w:rPr>
          <w:rFonts w:ascii="Times New Roman" w:hAnsi="Times New Roman"/>
          <w:lang w:val="en-IE"/>
        </w:rPr>
        <w:t xml:space="preserve">. </w:t>
      </w:r>
      <w:r w:rsidR="000C1C94" w:rsidRPr="00FC36E1">
        <w:rPr>
          <w:rFonts w:ascii="Times New Roman" w:hAnsi="Times New Roman"/>
          <w:lang w:val="en-IE"/>
        </w:rPr>
        <w:t xml:space="preserve">This will be supported by the up-coming </w:t>
      </w:r>
      <w:r w:rsidR="00723DA4" w:rsidRPr="00FC36E1">
        <w:rPr>
          <w:rFonts w:ascii="Times New Roman" w:hAnsi="Times New Roman"/>
          <w:lang w:val="en-IE"/>
        </w:rPr>
        <w:t>European strategy for VET which will focus on how VET can support</w:t>
      </w:r>
      <w:r w:rsidR="000E7AED" w:rsidRPr="00FC36E1">
        <w:rPr>
          <w:rFonts w:ascii="Times New Roman" w:hAnsi="Times New Roman"/>
          <w:lang w:val="en-IE"/>
        </w:rPr>
        <w:t xml:space="preserve"> </w:t>
      </w:r>
      <w:r w:rsidR="00723DA4" w:rsidRPr="00FC36E1">
        <w:rPr>
          <w:rFonts w:ascii="Times New Roman" w:hAnsi="Times New Roman"/>
          <w:lang w:val="en-IE"/>
        </w:rPr>
        <w:t>EU competitiveness by addressing skills shortages and mismatches</w:t>
      </w:r>
      <w:r w:rsidR="000E7AED" w:rsidRPr="00FC36E1">
        <w:rPr>
          <w:rFonts w:ascii="Times New Roman" w:hAnsi="Times New Roman"/>
          <w:lang w:val="en-IE"/>
        </w:rPr>
        <w:t xml:space="preserve"> and </w:t>
      </w:r>
      <w:r w:rsidR="00723DA4" w:rsidRPr="00FC36E1">
        <w:rPr>
          <w:rFonts w:ascii="Times New Roman" w:hAnsi="Times New Roman"/>
          <w:lang w:val="en-IE"/>
        </w:rPr>
        <w:t>strengthening VET’s contribution to innovation</w:t>
      </w:r>
      <w:r w:rsidR="000E7AED" w:rsidRPr="00FC36E1">
        <w:rPr>
          <w:rFonts w:ascii="Times New Roman" w:hAnsi="Times New Roman"/>
          <w:lang w:val="en-IE"/>
        </w:rPr>
        <w:t>, including in sectors that are key to the green transition.</w:t>
      </w:r>
      <w:r w:rsidR="00537005" w:rsidRPr="00FC36E1">
        <w:rPr>
          <w:rFonts w:ascii="Times New Roman" w:hAnsi="Times New Roman"/>
          <w:color w:val="000000"/>
          <w:szCs w:val="24"/>
          <w:lang w:val="en-IE"/>
        </w:rPr>
        <w:t xml:space="preserve"> </w:t>
      </w:r>
      <w:r w:rsidR="00537005" w:rsidRPr="00FC36E1">
        <w:rPr>
          <w:rFonts w:ascii="Times New Roman" w:hAnsi="Times New Roman"/>
          <w:color w:val="000000"/>
          <w:lang w:val="en-IE"/>
        </w:rPr>
        <w:t>Finally, the Council Recommendation on individual learning accounts</w:t>
      </w:r>
      <w:r w:rsidR="00537005" w:rsidRPr="00FC36E1">
        <w:rPr>
          <w:rStyle w:val="FootnoteReference"/>
          <w:rFonts w:ascii="Times New Roman" w:hAnsi="Times New Roman"/>
          <w:color w:val="000000"/>
          <w:lang w:val="en-IE"/>
        </w:rPr>
        <w:footnoteReference w:id="5"/>
      </w:r>
      <w:r w:rsidR="00537005" w:rsidRPr="00FC36E1">
        <w:rPr>
          <w:rFonts w:ascii="Times New Roman" w:hAnsi="Times New Roman"/>
          <w:color w:val="000000"/>
          <w:lang w:val="en-IE"/>
        </w:rPr>
        <w:t xml:space="preserve"> proposes that all working-age adults, including older ones, receive a budget in personal accounts that they can use for training and other services. It also recommends that additional budget is provided for those most in need of up</w:t>
      </w:r>
      <w:r w:rsidR="009707DF" w:rsidRPr="00FC36E1">
        <w:rPr>
          <w:rFonts w:ascii="Times New Roman" w:hAnsi="Times New Roman"/>
          <w:color w:val="000000"/>
          <w:lang w:val="en-IE"/>
        </w:rPr>
        <w:t>-</w:t>
      </w:r>
      <w:r w:rsidR="00537005" w:rsidRPr="00FC36E1">
        <w:rPr>
          <w:rFonts w:ascii="Times New Roman" w:hAnsi="Times New Roman"/>
          <w:color w:val="000000"/>
          <w:lang w:val="en-IE"/>
        </w:rPr>
        <w:t xml:space="preserve"> and reskilling, which could be older unemployed workers</w:t>
      </w:r>
      <w:r w:rsidR="536B2D79" w:rsidRPr="00FC36E1">
        <w:rPr>
          <w:rFonts w:ascii="Times New Roman" w:hAnsi="Times New Roman"/>
          <w:color w:val="000000"/>
          <w:lang w:val="en-IE"/>
        </w:rPr>
        <w:t xml:space="preserve"> (§27)</w:t>
      </w:r>
      <w:r w:rsidR="00537005" w:rsidRPr="00FC36E1">
        <w:rPr>
          <w:rFonts w:ascii="Times New Roman" w:hAnsi="Times New Roman"/>
          <w:color w:val="000000"/>
          <w:lang w:val="en-IE"/>
        </w:rPr>
        <w:t>.</w:t>
      </w:r>
    </w:p>
    <w:p w14:paraId="69CDB5ED" w14:textId="77777777" w:rsidR="009707DF" w:rsidRPr="00FC36E1" w:rsidRDefault="009707DF" w:rsidP="009707DF">
      <w:pPr>
        <w:spacing w:before="120" w:after="0"/>
        <w:rPr>
          <w:rFonts w:ascii="Times New Roman" w:hAnsi="Times New Roman"/>
          <w:lang w:val="en-IE"/>
        </w:rPr>
      </w:pPr>
      <w:r w:rsidRPr="00FC36E1">
        <w:rPr>
          <w:rFonts w:ascii="Times New Roman" w:hAnsi="Times New Roman"/>
          <w:color w:val="000000"/>
          <w:lang w:val="en-IE"/>
        </w:rPr>
        <w:t xml:space="preserve">The Commission also agrees with the need to facilitate the proactive planning and anticipation of skills needs </w:t>
      </w:r>
      <w:r w:rsidRPr="00FC36E1">
        <w:rPr>
          <w:rFonts w:ascii="Times New Roman" w:hAnsi="Times New Roman"/>
          <w:lang w:val="en-IE"/>
        </w:rPr>
        <w:t>(§16). In this sense, the Union of Skills proposes the creation of a European Skills Intelligence Observatory, to provide strategic data and foresight regarding skills (current and future) stocks, use and needs, in concrete sectors and regions.</w:t>
      </w:r>
    </w:p>
    <w:p w14:paraId="28CCDF4A" w14:textId="378F9859" w:rsidR="007073E5" w:rsidRPr="00FC36E1" w:rsidRDefault="6964EFCE" w:rsidP="007073E5">
      <w:pPr>
        <w:spacing w:before="120" w:after="0"/>
        <w:rPr>
          <w:rFonts w:ascii="Times New Roman" w:hAnsi="Times New Roman"/>
          <w:lang w:val="en-IE"/>
        </w:rPr>
      </w:pPr>
      <w:r w:rsidRPr="00FC36E1">
        <w:rPr>
          <w:rFonts w:ascii="Times New Roman" w:hAnsi="Times New Roman"/>
          <w:lang w:val="en-IE"/>
        </w:rPr>
        <w:t>The Commission shares the Parliament</w:t>
      </w:r>
      <w:r w:rsidR="6DF7C49A" w:rsidRPr="00FC36E1">
        <w:rPr>
          <w:rFonts w:ascii="Times New Roman" w:hAnsi="Times New Roman"/>
          <w:lang w:val="en-IE"/>
        </w:rPr>
        <w:t>’s</w:t>
      </w:r>
      <w:r w:rsidRPr="00FC36E1">
        <w:rPr>
          <w:rFonts w:ascii="Times New Roman" w:hAnsi="Times New Roman"/>
          <w:lang w:val="en-IE"/>
        </w:rPr>
        <w:t xml:space="preserve"> view on</w:t>
      </w:r>
      <w:r w:rsidR="649FF681" w:rsidRPr="00FC36E1">
        <w:rPr>
          <w:rFonts w:ascii="Times New Roman" w:hAnsi="Times New Roman"/>
          <w:lang w:val="en-IE"/>
        </w:rPr>
        <w:t xml:space="preserve"> the</w:t>
      </w:r>
      <w:r w:rsidRPr="00FC36E1">
        <w:rPr>
          <w:rFonts w:ascii="Times New Roman" w:hAnsi="Times New Roman"/>
          <w:lang w:val="en-IE"/>
        </w:rPr>
        <w:t xml:space="preserve"> urgent need of EU action in favour of affordable housing. </w:t>
      </w:r>
      <w:r w:rsidR="00EC31DB" w:rsidRPr="00FC36E1">
        <w:rPr>
          <w:rFonts w:ascii="Times New Roman" w:hAnsi="Times New Roman"/>
          <w:lang w:val="en-IE"/>
        </w:rPr>
        <w:t xml:space="preserve">The Commission acknowledges that </w:t>
      </w:r>
      <w:r w:rsidR="00180844" w:rsidRPr="00FC36E1">
        <w:rPr>
          <w:rFonts w:ascii="Times New Roman" w:hAnsi="Times New Roman"/>
          <w:lang w:val="en-IE"/>
        </w:rPr>
        <w:t xml:space="preserve">students and </w:t>
      </w:r>
      <w:r w:rsidR="00EC31DB" w:rsidRPr="00FC36E1">
        <w:rPr>
          <w:rFonts w:ascii="Times New Roman" w:hAnsi="Times New Roman"/>
          <w:lang w:val="en-IE"/>
        </w:rPr>
        <w:t xml:space="preserve">young people are particularly impacted by the housing crisis and will continue to strengthen its contribution to mitigating it, including through future actions targeting </w:t>
      </w:r>
      <w:r w:rsidR="00180844" w:rsidRPr="00FC36E1">
        <w:rPr>
          <w:rFonts w:ascii="Times New Roman" w:hAnsi="Times New Roman"/>
          <w:lang w:val="en-IE"/>
        </w:rPr>
        <w:t xml:space="preserve">students and young people </w:t>
      </w:r>
      <w:r w:rsidR="548D99A4" w:rsidRPr="00FC36E1">
        <w:rPr>
          <w:rFonts w:ascii="Times New Roman" w:hAnsi="Times New Roman"/>
          <w:lang w:val="en-IE"/>
        </w:rPr>
        <w:t>(§18)</w:t>
      </w:r>
      <w:r w:rsidR="00EC31DB" w:rsidRPr="00FC36E1">
        <w:rPr>
          <w:rFonts w:ascii="Times New Roman" w:hAnsi="Times New Roman"/>
          <w:lang w:val="en-IE"/>
        </w:rPr>
        <w:t xml:space="preserve">. </w:t>
      </w:r>
    </w:p>
    <w:p w14:paraId="59040750" w14:textId="5AD643C0" w:rsidR="425175F2" w:rsidRPr="00FC36E1" w:rsidRDefault="00537005" w:rsidP="004C0E6F">
      <w:pPr>
        <w:spacing w:before="120" w:after="0"/>
        <w:rPr>
          <w:rFonts w:ascii="Times New Roman" w:hAnsi="Times New Roman"/>
          <w:lang w:val="en-IE"/>
        </w:rPr>
      </w:pPr>
      <w:r w:rsidRPr="00FC36E1">
        <w:rPr>
          <w:rFonts w:ascii="Times New Roman" w:hAnsi="Times New Roman"/>
          <w:lang w:val="en-IE"/>
        </w:rPr>
        <w:t>In particular, t</w:t>
      </w:r>
      <w:r w:rsidR="41631636" w:rsidRPr="00FC36E1">
        <w:rPr>
          <w:rFonts w:ascii="Times New Roman" w:hAnsi="Times New Roman"/>
          <w:lang w:val="en-IE"/>
        </w:rPr>
        <w:t xml:space="preserve">he </w:t>
      </w:r>
      <w:r w:rsidR="00466F35" w:rsidRPr="00FC36E1">
        <w:rPr>
          <w:rFonts w:ascii="Times New Roman" w:hAnsi="Times New Roman"/>
          <w:lang w:val="en-IE"/>
        </w:rPr>
        <w:t>Mid</w:t>
      </w:r>
      <w:r w:rsidR="41631636" w:rsidRPr="00FC36E1">
        <w:rPr>
          <w:rFonts w:ascii="Times New Roman" w:hAnsi="Times New Roman"/>
          <w:lang w:val="en-IE"/>
        </w:rPr>
        <w:t>-</w:t>
      </w:r>
      <w:r w:rsidR="00466F35" w:rsidRPr="00FC36E1">
        <w:rPr>
          <w:rFonts w:ascii="Times New Roman" w:hAnsi="Times New Roman"/>
          <w:lang w:val="en-IE"/>
        </w:rPr>
        <w:t>Term Review Regulation</w:t>
      </w:r>
      <w:r w:rsidR="003D06D7" w:rsidRPr="00FC36E1">
        <w:rPr>
          <w:rFonts w:ascii="Times New Roman" w:hAnsi="Times New Roman"/>
          <w:lang w:val="en-IE"/>
        </w:rPr>
        <w:t xml:space="preserve"> amending the Regulation on the European Regional Development Fund and the Cohesion Fund and the Regulation on the Just Transition Fund</w:t>
      </w:r>
      <w:r w:rsidR="00976D93" w:rsidRPr="00FC36E1">
        <w:rPr>
          <w:rStyle w:val="FootnoteReference"/>
          <w:rFonts w:ascii="Times New Roman" w:hAnsi="Times New Roman"/>
          <w:lang w:val="en-IE"/>
        </w:rPr>
        <w:footnoteReference w:id="6"/>
      </w:r>
      <w:r w:rsidR="41631636" w:rsidRPr="00FC36E1">
        <w:rPr>
          <w:rFonts w:ascii="Times New Roman" w:hAnsi="Times New Roman"/>
          <w:lang w:val="en-IE"/>
        </w:rPr>
        <w:t xml:space="preserve"> introduced </w:t>
      </w:r>
      <w:r w:rsidR="00466F35" w:rsidRPr="00FC36E1">
        <w:rPr>
          <w:rFonts w:ascii="Times New Roman" w:hAnsi="Times New Roman"/>
          <w:lang w:val="en-IE"/>
        </w:rPr>
        <w:t xml:space="preserve">into Cohesion policy </w:t>
      </w:r>
      <w:r w:rsidR="41631636" w:rsidRPr="00FC36E1">
        <w:rPr>
          <w:rFonts w:ascii="Times New Roman" w:hAnsi="Times New Roman"/>
          <w:lang w:val="en-IE"/>
        </w:rPr>
        <w:t xml:space="preserve">a concept of affordable and sustainable housing </w:t>
      </w:r>
      <w:r w:rsidR="00466F35" w:rsidRPr="00FC36E1">
        <w:rPr>
          <w:rFonts w:ascii="Times New Roman" w:hAnsi="Times New Roman"/>
          <w:lang w:val="en-IE"/>
        </w:rPr>
        <w:t xml:space="preserve">going </w:t>
      </w:r>
      <w:r w:rsidR="41631636" w:rsidRPr="00FC36E1">
        <w:rPr>
          <w:rFonts w:ascii="Times New Roman" w:hAnsi="Times New Roman"/>
          <w:lang w:val="en-IE"/>
        </w:rPr>
        <w:t xml:space="preserve">beyond the current support of energy efficiency of housing stock and social housing. For the European Regional Development Fund, three </w:t>
      </w:r>
      <w:r w:rsidR="00466F35" w:rsidRPr="00FC36E1">
        <w:rPr>
          <w:rFonts w:ascii="Times New Roman" w:hAnsi="Times New Roman"/>
          <w:lang w:val="en-IE"/>
        </w:rPr>
        <w:t xml:space="preserve">new </w:t>
      </w:r>
      <w:r w:rsidR="41631636" w:rsidRPr="00FC36E1">
        <w:rPr>
          <w:rFonts w:ascii="Times New Roman" w:hAnsi="Times New Roman"/>
          <w:lang w:val="en-IE"/>
        </w:rPr>
        <w:t>additional specific objectives</w:t>
      </w:r>
      <w:r w:rsidR="00466F35" w:rsidRPr="00FC36E1">
        <w:rPr>
          <w:rStyle w:val="FootnoteReference"/>
          <w:rFonts w:ascii="Times New Roman" w:hAnsi="Times New Roman"/>
          <w:lang w:val="en-IE"/>
        </w:rPr>
        <w:footnoteReference w:id="7"/>
      </w:r>
      <w:r w:rsidR="41631636" w:rsidRPr="00FC36E1">
        <w:rPr>
          <w:rFonts w:ascii="Times New Roman" w:hAnsi="Times New Roman"/>
          <w:lang w:val="en-IE"/>
        </w:rPr>
        <w:t xml:space="preserve"> related to affordable and sustainable housing (including social housing) were included</w:t>
      </w:r>
      <w:r w:rsidR="00466F35" w:rsidRPr="00FC36E1">
        <w:rPr>
          <w:rFonts w:ascii="Times New Roman" w:hAnsi="Times New Roman"/>
          <w:lang w:val="en-IE"/>
        </w:rPr>
        <w:t>,</w:t>
      </w:r>
      <w:r w:rsidR="41631636" w:rsidRPr="00FC36E1">
        <w:rPr>
          <w:rFonts w:ascii="Times New Roman" w:hAnsi="Times New Roman"/>
          <w:lang w:val="en-IE"/>
        </w:rPr>
        <w:t xml:space="preserve"> </w:t>
      </w:r>
      <w:r w:rsidR="003D06D7" w:rsidRPr="00FC36E1">
        <w:rPr>
          <w:rFonts w:ascii="Times New Roman" w:hAnsi="Times New Roman"/>
          <w:lang w:val="en-IE"/>
        </w:rPr>
        <w:t>giving</w:t>
      </w:r>
      <w:r w:rsidR="41631636" w:rsidRPr="00FC36E1">
        <w:rPr>
          <w:rFonts w:ascii="Times New Roman" w:hAnsi="Times New Roman"/>
          <w:lang w:val="en-IE"/>
        </w:rPr>
        <w:t xml:space="preserve"> Member States and regions </w:t>
      </w:r>
      <w:r w:rsidR="00767514" w:rsidRPr="00FC36E1">
        <w:rPr>
          <w:rFonts w:ascii="Times New Roman" w:hAnsi="Times New Roman"/>
          <w:lang w:val="en-IE"/>
        </w:rPr>
        <w:t xml:space="preserve">additional flexibility in </w:t>
      </w:r>
      <w:r w:rsidR="41631636" w:rsidRPr="00FC36E1">
        <w:rPr>
          <w:rFonts w:ascii="Times New Roman" w:hAnsi="Times New Roman"/>
          <w:lang w:val="en-IE"/>
        </w:rPr>
        <w:t>programming</w:t>
      </w:r>
      <w:r w:rsidR="00767514" w:rsidRPr="00FC36E1">
        <w:rPr>
          <w:rFonts w:ascii="Times New Roman" w:hAnsi="Times New Roman"/>
          <w:lang w:val="en-IE"/>
        </w:rPr>
        <w:t xml:space="preserve"> the relevant support</w:t>
      </w:r>
      <w:r w:rsidR="41631636" w:rsidRPr="00FC36E1">
        <w:rPr>
          <w:rFonts w:ascii="Times New Roman" w:hAnsi="Times New Roman"/>
          <w:lang w:val="en-IE"/>
        </w:rPr>
        <w:t xml:space="preserve">. </w:t>
      </w:r>
      <w:r w:rsidR="00767514" w:rsidRPr="00FC36E1">
        <w:rPr>
          <w:rFonts w:ascii="Times New Roman" w:hAnsi="Times New Roman"/>
          <w:lang w:val="en-IE"/>
        </w:rPr>
        <w:t>A</w:t>
      </w:r>
      <w:r w:rsidR="41631636" w:rsidRPr="00FC36E1">
        <w:rPr>
          <w:rFonts w:ascii="Times New Roman" w:hAnsi="Times New Roman"/>
          <w:lang w:val="en-IE"/>
        </w:rPr>
        <w:t xml:space="preserve"> new activity “promoting access to affordable and sustainable housing” </w:t>
      </w:r>
      <w:r w:rsidR="00767514" w:rsidRPr="00FC36E1">
        <w:rPr>
          <w:rFonts w:ascii="Times New Roman" w:hAnsi="Times New Roman"/>
          <w:lang w:val="en-IE"/>
        </w:rPr>
        <w:t xml:space="preserve">was also added onto the list of eligible activities </w:t>
      </w:r>
      <w:r w:rsidR="41631636" w:rsidRPr="00FC36E1">
        <w:rPr>
          <w:rFonts w:ascii="Times New Roman" w:hAnsi="Times New Roman"/>
          <w:lang w:val="en-IE"/>
        </w:rPr>
        <w:t>under Article 8(2) of JTF Regulation</w:t>
      </w:r>
      <w:r w:rsidR="00B21AC9" w:rsidRPr="00FC36E1">
        <w:rPr>
          <w:rFonts w:ascii="Times New Roman" w:hAnsi="Times New Roman"/>
          <w:lang w:val="en-IE"/>
        </w:rPr>
        <w:t>,</w:t>
      </w:r>
      <w:r w:rsidR="41631636" w:rsidRPr="00FC36E1">
        <w:rPr>
          <w:rFonts w:ascii="Times New Roman" w:hAnsi="Times New Roman"/>
          <w:lang w:val="en-IE"/>
        </w:rPr>
        <w:t xml:space="preserve"> </w:t>
      </w:r>
      <w:r w:rsidR="00B21AC9" w:rsidRPr="00FC36E1">
        <w:rPr>
          <w:rFonts w:ascii="Times New Roman" w:hAnsi="Times New Roman"/>
          <w:lang w:val="en-IE"/>
        </w:rPr>
        <w:t xml:space="preserve">broadening the possibilities for addressing social impacts of </w:t>
      </w:r>
      <w:r w:rsidR="00B60E31" w:rsidRPr="00FC36E1">
        <w:rPr>
          <w:rFonts w:ascii="Times New Roman" w:hAnsi="Times New Roman"/>
          <w:lang w:val="en-IE"/>
        </w:rPr>
        <w:t xml:space="preserve">the </w:t>
      </w:r>
      <w:r w:rsidR="00B21AC9" w:rsidRPr="00FC36E1">
        <w:rPr>
          <w:rFonts w:ascii="Times New Roman" w:hAnsi="Times New Roman"/>
          <w:lang w:val="en-IE"/>
        </w:rPr>
        <w:t xml:space="preserve">transition through housing investments </w:t>
      </w:r>
      <w:r w:rsidR="41631636" w:rsidRPr="00FC36E1">
        <w:rPr>
          <w:rFonts w:ascii="Times New Roman" w:hAnsi="Times New Roman"/>
          <w:lang w:val="en-IE"/>
        </w:rPr>
        <w:t xml:space="preserve">beyond energy efficiency measures and investments linked to land rehabilitation. </w:t>
      </w:r>
      <w:r w:rsidR="0C499A2E" w:rsidRPr="00FC36E1">
        <w:rPr>
          <w:rFonts w:ascii="Times New Roman" w:hAnsi="Times New Roman"/>
          <w:lang w:val="en-IE"/>
        </w:rPr>
        <w:t xml:space="preserve">To address </w:t>
      </w:r>
      <w:r w:rsidR="004C0E6F" w:rsidRPr="00FC36E1">
        <w:rPr>
          <w:rFonts w:ascii="Times New Roman" w:hAnsi="Times New Roman"/>
          <w:lang w:val="en-IE"/>
        </w:rPr>
        <w:t xml:space="preserve">the </w:t>
      </w:r>
      <w:r w:rsidR="0C499A2E" w:rsidRPr="00FC36E1">
        <w:rPr>
          <w:rFonts w:ascii="Times New Roman" w:hAnsi="Times New Roman"/>
          <w:lang w:val="en-IE"/>
        </w:rPr>
        <w:t>housing crisis</w:t>
      </w:r>
      <w:r w:rsidR="73C7B048" w:rsidRPr="00FC36E1">
        <w:rPr>
          <w:rFonts w:ascii="Times New Roman" w:hAnsi="Times New Roman"/>
          <w:lang w:val="en-IE"/>
        </w:rPr>
        <w:t>,</w:t>
      </w:r>
      <w:r w:rsidR="6B048F08" w:rsidRPr="00FC36E1">
        <w:rPr>
          <w:rFonts w:ascii="Times New Roman" w:hAnsi="Times New Roman"/>
          <w:lang w:val="en-IE"/>
        </w:rPr>
        <w:t xml:space="preserve"> </w:t>
      </w:r>
      <w:r w:rsidR="73C7B048" w:rsidRPr="00FC36E1">
        <w:rPr>
          <w:rFonts w:ascii="Times New Roman" w:hAnsi="Times New Roman"/>
          <w:lang w:val="en-IE"/>
        </w:rPr>
        <w:t>t</w:t>
      </w:r>
      <w:r w:rsidR="6964EFCE" w:rsidRPr="00FC36E1">
        <w:rPr>
          <w:rFonts w:ascii="Times New Roman" w:hAnsi="Times New Roman"/>
          <w:lang w:val="en-IE"/>
        </w:rPr>
        <w:t xml:space="preserve">he </w:t>
      </w:r>
      <w:r w:rsidR="00B60E31" w:rsidRPr="00FC36E1">
        <w:rPr>
          <w:rFonts w:ascii="Times New Roman" w:hAnsi="Times New Roman"/>
          <w:lang w:val="en-IE"/>
        </w:rPr>
        <w:t xml:space="preserve">new provisions </w:t>
      </w:r>
      <w:r w:rsidR="6964EFCE" w:rsidRPr="00FC36E1">
        <w:rPr>
          <w:rFonts w:ascii="Times New Roman" w:hAnsi="Times New Roman"/>
          <w:lang w:val="en-IE"/>
        </w:rPr>
        <w:t>encourage and incentiv</w:t>
      </w:r>
      <w:r w:rsidR="6166F52E" w:rsidRPr="00FC36E1">
        <w:rPr>
          <w:rFonts w:ascii="Times New Roman" w:hAnsi="Times New Roman"/>
          <w:lang w:val="en-IE"/>
        </w:rPr>
        <w:t>ise</w:t>
      </w:r>
      <w:r w:rsidR="6964EFCE" w:rsidRPr="00FC36E1">
        <w:rPr>
          <w:rFonts w:ascii="Times New Roman" w:hAnsi="Times New Roman"/>
          <w:lang w:val="en-IE"/>
        </w:rPr>
        <w:t xml:space="preserve"> Member States to </w:t>
      </w:r>
      <w:r w:rsidR="004C0E6F" w:rsidRPr="00FC36E1">
        <w:rPr>
          <w:rFonts w:ascii="Times New Roman" w:hAnsi="Times New Roman"/>
          <w:lang w:val="en-IE"/>
        </w:rPr>
        <w:t xml:space="preserve">use the mid-term review of Cohesion policy programmes to </w:t>
      </w:r>
      <w:r w:rsidR="6964EFCE" w:rsidRPr="00FC36E1">
        <w:rPr>
          <w:rFonts w:ascii="Times New Roman" w:hAnsi="Times New Roman"/>
          <w:lang w:val="en-IE"/>
        </w:rPr>
        <w:t>reallocate</w:t>
      </w:r>
      <w:r w:rsidR="004C0E6F" w:rsidRPr="00FC36E1">
        <w:rPr>
          <w:rFonts w:ascii="Times New Roman" w:hAnsi="Times New Roman"/>
          <w:lang w:val="en-IE"/>
        </w:rPr>
        <w:t xml:space="preserve"> available funds</w:t>
      </w:r>
      <w:r w:rsidR="6964EFCE" w:rsidRPr="00FC36E1">
        <w:rPr>
          <w:rFonts w:ascii="Times New Roman" w:hAnsi="Times New Roman"/>
          <w:lang w:val="en-IE"/>
        </w:rPr>
        <w:t xml:space="preserve"> </w:t>
      </w:r>
      <w:r w:rsidR="398554DE" w:rsidRPr="00FC36E1">
        <w:rPr>
          <w:rFonts w:ascii="Times New Roman" w:hAnsi="Times New Roman"/>
          <w:lang w:val="en-IE"/>
        </w:rPr>
        <w:t>(including from the JTF)</w:t>
      </w:r>
      <w:r w:rsidR="6964EFCE" w:rsidRPr="00FC36E1">
        <w:rPr>
          <w:rFonts w:ascii="Times New Roman" w:hAnsi="Times New Roman"/>
          <w:lang w:val="en-IE"/>
        </w:rPr>
        <w:t xml:space="preserve"> </w:t>
      </w:r>
      <w:r w:rsidR="48C7005E" w:rsidRPr="00FC36E1">
        <w:rPr>
          <w:rFonts w:ascii="Times New Roman" w:hAnsi="Times New Roman"/>
          <w:lang w:val="en-IE"/>
        </w:rPr>
        <w:t xml:space="preserve">towards </w:t>
      </w:r>
      <w:r w:rsidR="6964EFCE" w:rsidRPr="00FC36E1">
        <w:rPr>
          <w:rFonts w:ascii="Times New Roman" w:hAnsi="Times New Roman"/>
          <w:lang w:val="en-IE"/>
        </w:rPr>
        <w:t>affordable and sustainable housing</w:t>
      </w:r>
      <w:r w:rsidR="004C0E6F" w:rsidRPr="00FC36E1">
        <w:rPr>
          <w:rFonts w:ascii="Times New Roman" w:hAnsi="Times New Roman"/>
          <w:lang w:val="en-IE"/>
        </w:rPr>
        <w:t xml:space="preserve"> investments</w:t>
      </w:r>
      <w:r w:rsidR="6964EFCE" w:rsidRPr="00FC36E1">
        <w:rPr>
          <w:rFonts w:ascii="Times New Roman" w:hAnsi="Times New Roman"/>
          <w:lang w:val="en-IE"/>
        </w:rPr>
        <w:t>.</w:t>
      </w:r>
      <w:r w:rsidR="5FE1A39E" w:rsidRPr="00FC36E1">
        <w:rPr>
          <w:rFonts w:ascii="Times New Roman" w:hAnsi="Times New Roman"/>
          <w:lang w:val="en-IE"/>
        </w:rPr>
        <w:t xml:space="preserve"> However, the Commission also </w:t>
      </w:r>
      <w:r w:rsidR="004C0E6F" w:rsidRPr="00FC36E1">
        <w:rPr>
          <w:rFonts w:ascii="Times New Roman" w:hAnsi="Times New Roman"/>
          <w:lang w:val="en-IE"/>
        </w:rPr>
        <w:t>emphasi</w:t>
      </w:r>
      <w:r w:rsidR="00D33068" w:rsidRPr="00FC36E1">
        <w:rPr>
          <w:rFonts w:ascii="Times New Roman" w:hAnsi="Times New Roman"/>
          <w:lang w:val="en-IE"/>
        </w:rPr>
        <w:t>s</w:t>
      </w:r>
      <w:r w:rsidR="004C0E6F" w:rsidRPr="00FC36E1">
        <w:rPr>
          <w:rFonts w:ascii="Times New Roman" w:hAnsi="Times New Roman"/>
          <w:lang w:val="en-IE"/>
        </w:rPr>
        <w:t>es</w:t>
      </w:r>
      <w:r w:rsidR="5FE1A39E" w:rsidRPr="00FC36E1">
        <w:rPr>
          <w:rFonts w:ascii="Times New Roman" w:hAnsi="Times New Roman"/>
          <w:lang w:val="en-IE"/>
        </w:rPr>
        <w:t xml:space="preserve"> that proposal</w:t>
      </w:r>
      <w:r w:rsidR="004C0E6F" w:rsidRPr="00FC36E1">
        <w:rPr>
          <w:rFonts w:ascii="Times New Roman" w:hAnsi="Times New Roman"/>
          <w:lang w:val="en-IE"/>
        </w:rPr>
        <w:t>s</w:t>
      </w:r>
      <w:r w:rsidR="5FE1A39E" w:rsidRPr="00FC36E1">
        <w:rPr>
          <w:rFonts w:ascii="Times New Roman" w:hAnsi="Times New Roman"/>
          <w:lang w:val="en-IE"/>
        </w:rPr>
        <w:t xml:space="preserve"> for actions and financing under Cohesion policy programmes </w:t>
      </w:r>
      <w:r w:rsidR="004C0E6F" w:rsidRPr="00FC36E1">
        <w:rPr>
          <w:rFonts w:ascii="Times New Roman" w:hAnsi="Times New Roman"/>
          <w:lang w:val="en-IE"/>
        </w:rPr>
        <w:t xml:space="preserve">are the responsibility of </w:t>
      </w:r>
      <w:r w:rsidR="5FE1A39E" w:rsidRPr="00FC36E1">
        <w:rPr>
          <w:rFonts w:ascii="Times New Roman" w:hAnsi="Times New Roman"/>
          <w:lang w:val="en-IE"/>
        </w:rPr>
        <w:t xml:space="preserve">Member States and regions, based on their specific needs. Member States </w:t>
      </w:r>
      <w:r w:rsidR="004C0E6F" w:rsidRPr="00FC36E1">
        <w:rPr>
          <w:rFonts w:ascii="Times New Roman" w:hAnsi="Times New Roman"/>
          <w:lang w:val="en-IE"/>
        </w:rPr>
        <w:t>should conduct</w:t>
      </w:r>
      <w:r w:rsidR="5FE1A39E" w:rsidRPr="00FC36E1">
        <w:rPr>
          <w:rFonts w:ascii="Times New Roman" w:hAnsi="Times New Roman"/>
          <w:lang w:val="en-IE"/>
        </w:rPr>
        <w:t xml:space="preserve"> needs assessments to guide reallocations, identifying eligible housing types and target groups </w:t>
      </w:r>
      <w:r w:rsidR="004C0E6F" w:rsidRPr="00FC36E1">
        <w:rPr>
          <w:rFonts w:ascii="Times New Roman" w:hAnsi="Times New Roman"/>
          <w:lang w:val="en-IE"/>
        </w:rPr>
        <w:t>according to</w:t>
      </w:r>
      <w:r w:rsidR="5FE1A39E" w:rsidRPr="00FC36E1">
        <w:rPr>
          <w:rFonts w:ascii="Times New Roman" w:hAnsi="Times New Roman"/>
          <w:lang w:val="en-IE"/>
        </w:rPr>
        <w:t xml:space="preserve"> national systems and local needs. Housing investments </w:t>
      </w:r>
      <w:r w:rsidR="004C0E6F" w:rsidRPr="00FC36E1">
        <w:rPr>
          <w:rFonts w:ascii="Times New Roman" w:hAnsi="Times New Roman"/>
          <w:lang w:val="en-IE"/>
        </w:rPr>
        <w:t>must</w:t>
      </w:r>
      <w:r w:rsidR="5FE1A39E" w:rsidRPr="00FC36E1">
        <w:rPr>
          <w:rFonts w:ascii="Times New Roman" w:hAnsi="Times New Roman"/>
          <w:lang w:val="en-IE"/>
        </w:rPr>
        <w:t xml:space="preserve"> contribute to the JTF’s specific objective and to the implementation of the Territorial Just Transition </w:t>
      </w:r>
      <w:r w:rsidR="007073E5" w:rsidRPr="00FC36E1">
        <w:rPr>
          <w:rFonts w:ascii="Times New Roman" w:hAnsi="Times New Roman"/>
          <w:lang w:val="en-IE"/>
        </w:rPr>
        <w:t>Plans.</w:t>
      </w:r>
      <w:r w:rsidR="79DBDB28" w:rsidRPr="00FC36E1">
        <w:rPr>
          <w:rFonts w:ascii="Times New Roman" w:hAnsi="Times New Roman"/>
          <w:lang w:val="en-IE"/>
        </w:rPr>
        <w:t xml:space="preserve"> In addition, the Social Climate Fund will also focus on supporting vulnerable households (§20).</w:t>
      </w:r>
    </w:p>
    <w:p w14:paraId="3E86A1DC" w14:textId="525D4A37" w:rsidR="00495875" w:rsidRPr="00391425" w:rsidRDefault="0906D924" w:rsidP="007073E5">
      <w:pPr>
        <w:widowControl w:val="0"/>
        <w:spacing w:before="120" w:after="0"/>
        <w:rPr>
          <w:rFonts w:ascii="Times New Roman" w:hAnsi="Times New Roman"/>
          <w:lang w:val="en-IE"/>
        </w:rPr>
      </w:pPr>
      <w:r w:rsidRPr="00FC36E1">
        <w:rPr>
          <w:rFonts w:ascii="Times New Roman" w:hAnsi="Times New Roman"/>
          <w:lang w:val="en-IE"/>
        </w:rPr>
        <w:t>The Commission agrees with the Parliament</w:t>
      </w:r>
      <w:r w:rsidR="673A472F" w:rsidRPr="00FC36E1">
        <w:rPr>
          <w:rFonts w:ascii="Times New Roman" w:hAnsi="Times New Roman"/>
          <w:lang w:val="en-IE"/>
        </w:rPr>
        <w:t xml:space="preserve"> that</w:t>
      </w:r>
      <w:r w:rsidRPr="00FC36E1">
        <w:rPr>
          <w:rFonts w:ascii="Times New Roman" w:hAnsi="Times New Roman"/>
          <w:lang w:val="en-IE"/>
        </w:rPr>
        <w:t xml:space="preserve"> </w:t>
      </w:r>
      <w:r w:rsidRPr="00391425">
        <w:rPr>
          <w:rFonts w:ascii="Times New Roman" w:hAnsi="Times New Roman"/>
          <w:lang w:val="en-IE"/>
        </w:rPr>
        <w:t>repurposing of post</w:t>
      </w:r>
      <w:r w:rsidR="504AC983" w:rsidRPr="00391425">
        <w:rPr>
          <w:rFonts w:ascii="Times New Roman" w:hAnsi="Times New Roman"/>
          <w:lang w:val="en-IE"/>
        </w:rPr>
        <w:t>-</w:t>
      </w:r>
      <w:r w:rsidRPr="00391425">
        <w:rPr>
          <w:rFonts w:ascii="Times New Roman" w:hAnsi="Times New Roman"/>
          <w:lang w:val="en-IE"/>
        </w:rPr>
        <w:t>industrial assets, as well as JTF projects supporting renewable</w:t>
      </w:r>
      <w:r w:rsidR="6BAAE623" w:rsidRPr="00391425">
        <w:rPr>
          <w:rFonts w:ascii="Times New Roman" w:hAnsi="Times New Roman"/>
          <w:lang w:val="en-IE"/>
        </w:rPr>
        <w:t xml:space="preserve"> energy and </w:t>
      </w:r>
      <w:r w:rsidRPr="00391425">
        <w:rPr>
          <w:rFonts w:ascii="Times New Roman" w:hAnsi="Times New Roman"/>
          <w:lang w:val="en-IE"/>
        </w:rPr>
        <w:t xml:space="preserve">energy efficiency renovation should be monitored. The Commission has set up monitoring systems for all JTF projects with appropriate output indicators such as </w:t>
      </w:r>
      <w:r w:rsidRPr="00391425">
        <w:rPr>
          <w:rFonts w:ascii="Times New Roman" w:hAnsi="Times New Roman"/>
          <w:i/>
          <w:iCs/>
          <w:lang w:val="en-IE"/>
        </w:rPr>
        <w:t>Surface area of rehabilitated land supported</w:t>
      </w:r>
      <w:r w:rsidRPr="00391425">
        <w:rPr>
          <w:rFonts w:ascii="Times New Roman" w:hAnsi="Times New Roman"/>
          <w:lang w:val="en-IE"/>
        </w:rPr>
        <w:t xml:space="preserve">, </w:t>
      </w:r>
      <w:r w:rsidRPr="00391425">
        <w:rPr>
          <w:rFonts w:ascii="Times New Roman" w:hAnsi="Times New Roman"/>
          <w:i/>
          <w:iCs/>
          <w:lang w:val="en-IE"/>
        </w:rPr>
        <w:t xml:space="preserve">Dwellings </w:t>
      </w:r>
      <w:r w:rsidRPr="00391425">
        <w:rPr>
          <w:rFonts w:ascii="Times New Roman" w:hAnsi="Times New Roman"/>
          <w:i/>
          <w:iCs/>
          <w:lang w:val="en-IE"/>
        </w:rPr>
        <w:lastRenderedPageBreak/>
        <w:t>with improved energy performance</w:t>
      </w:r>
      <w:r w:rsidRPr="00391425">
        <w:rPr>
          <w:rFonts w:ascii="Times New Roman" w:hAnsi="Times New Roman"/>
          <w:lang w:val="en-IE"/>
        </w:rPr>
        <w:t xml:space="preserve">, </w:t>
      </w:r>
      <w:r w:rsidR="7BF1DD59" w:rsidRPr="00391425">
        <w:rPr>
          <w:rFonts w:ascii="Times New Roman" w:hAnsi="Times New Roman"/>
          <w:lang w:val="en-IE"/>
        </w:rPr>
        <w:t xml:space="preserve">and </w:t>
      </w:r>
      <w:r w:rsidRPr="00391425">
        <w:rPr>
          <w:rFonts w:ascii="Times New Roman" w:hAnsi="Times New Roman"/>
          <w:i/>
          <w:iCs/>
          <w:lang w:val="en-IE"/>
        </w:rPr>
        <w:t>Additional production capacity for renewable energy</w:t>
      </w:r>
      <w:r w:rsidR="16B72578" w:rsidRPr="00391425">
        <w:rPr>
          <w:rFonts w:ascii="Times New Roman" w:hAnsi="Times New Roman"/>
          <w:i/>
          <w:iCs/>
          <w:lang w:val="en-IE"/>
        </w:rPr>
        <w:t xml:space="preserve"> </w:t>
      </w:r>
      <w:r w:rsidR="16B72578" w:rsidRPr="00391425">
        <w:rPr>
          <w:rFonts w:ascii="Times New Roman" w:hAnsi="Times New Roman"/>
          <w:lang w:val="en-IE"/>
        </w:rPr>
        <w:t>(§28)</w:t>
      </w:r>
      <w:r w:rsidRPr="00391425">
        <w:rPr>
          <w:rFonts w:ascii="Times New Roman" w:hAnsi="Times New Roman"/>
          <w:i/>
          <w:iCs/>
          <w:lang w:val="en-IE"/>
        </w:rPr>
        <w:t xml:space="preserve">. </w:t>
      </w:r>
      <w:r w:rsidRPr="00391425">
        <w:rPr>
          <w:rFonts w:ascii="Times New Roman" w:hAnsi="Times New Roman"/>
          <w:lang w:val="en-IE"/>
        </w:rPr>
        <w:t xml:space="preserve"> </w:t>
      </w:r>
    </w:p>
    <w:p w14:paraId="31D8913E" w14:textId="7E1D7633" w:rsidR="00495875" w:rsidRPr="00391425" w:rsidRDefault="0906D924" w:rsidP="007073E5">
      <w:pPr>
        <w:widowControl w:val="0"/>
        <w:spacing w:before="120" w:after="0"/>
        <w:rPr>
          <w:rFonts w:ascii="Times New Roman" w:hAnsi="Times New Roman"/>
          <w:lang w:val="en-IE"/>
        </w:rPr>
      </w:pPr>
      <w:r w:rsidRPr="00FC36E1">
        <w:rPr>
          <w:rFonts w:ascii="Times New Roman" w:hAnsi="Times New Roman"/>
          <w:lang w:val="en-IE"/>
        </w:rPr>
        <w:t>The Commission also</w:t>
      </w:r>
      <w:r w:rsidR="38607320" w:rsidRPr="00FC36E1">
        <w:rPr>
          <w:rFonts w:ascii="Times New Roman" w:hAnsi="Times New Roman"/>
          <w:lang w:val="en-IE"/>
        </w:rPr>
        <w:t xml:space="preserve"> supports</w:t>
      </w:r>
      <w:r w:rsidRPr="00FC36E1">
        <w:rPr>
          <w:rFonts w:ascii="Times New Roman" w:hAnsi="Times New Roman"/>
          <w:lang w:val="en-IE"/>
        </w:rPr>
        <w:t xml:space="preserve">, in line with the </w:t>
      </w:r>
      <w:r w:rsidR="006C66F0" w:rsidRPr="00FC36E1">
        <w:rPr>
          <w:rFonts w:ascii="Times New Roman" w:hAnsi="Times New Roman"/>
          <w:lang w:val="en-IE"/>
        </w:rPr>
        <w:t xml:space="preserve">Parliament’s </w:t>
      </w:r>
      <w:r w:rsidRPr="00FC36E1">
        <w:rPr>
          <w:rFonts w:ascii="Times New Roman" w:hAnsi="Times New Roman"/>
          <w:lang w:val="en-IE"/>
        </w:rPr>
        <w:t>recommendations,</w:t>
      </w:r>
      <w:r w:rsidRPr="00391425">
        <w:rPr>
          <w:rFonts w:ascii="Times New Roman" w:hAnsi="Times New Roman"/>
          <w:lang w:val="en-IE"/>
        </w:rPr>
        <w:t xml:space="preserve"> JTF territories </w:t>
      </w:r>
      <w:r w:rsidR="2D0F40B7" w:rsidRPr="00391425">
        <w:rPr>
          <w:rFonts w:ascii="Times New Roman" w:hAnsi="Times New Roman"/>
          <w:lang w:val="en-IE"/>
        </w:rPr>
        <w:t>with</w:t>
      </w:r>
      <w:r w:rsidRPr="00391425">
        <w:rPr>
          <w:rFonts w:ascii="Times New Roman" w:hAnsi="Times New Roman"/>
          <w:lang w:val="en-IE"/>
        </w:rPr>
        <w:t xml:space="preserve"> capacity building</w:t>
      </w:r>
      <w:r w:rsidR="0F3E32E9" w:rsidRPr="00391425">
        <w:rPr>
          <w:rFonts w:ascii="Times New Roman" w:hAnsi="Times New Roman"/>
          <w:lang w:val="en-IE"/>
        </w:rPr>
        <w:t xml:space="preserve"> and advisory services</w:t>
      </w:r>
      <w:r w:rsidRPr="00391425">
        <w:rPr>
          <w:rFonts w:ascii="Times New Roman" w:hAnsi="Times New Roman"/>
          <w:lang w:val="en-IE"/>
        </w:rPr>
        <w:t xml:space="preserve"> offered</w:t>
      </w:r>
      <w:r w:rsidR="26FFADDD" w:rsidRPr="00391425">
        <w:rPr>
          <w:rFonts w:ascii="Times New Roman" w:hAnsi="Times New Roman"/>
          <w:lang w:val="en-IE"/>
        </w:rPr>
        <w:t xml:space="preserve"> at EU-level</w:t>
      </w:r>
      <w:r w:rsidRPr="00391425">
        <w:rPr>
          <w:rFonts w:ascii="Times New Roman" w:hAnsi="Times New Roman"/>
          <w:lang w:val="en-IE"/>
        </w:rPr>
        <w:t xml:space="preserve"> through the Just Transition Platform (JTP). The Platform</w:t>
      </w:r>
      <w:r w:rsidR="2F515E42" w:rsidRPr="00391425">
        <w:rPr>
          <w:rFonts w:ascii="Times New Roman" w:hAnsi="Times New Roman"/>
          <w:lang w:val="en-IE"/>
        </w:rPr>
        <w:t xml:space="preserve"> is available for stakeholders in all 96 JTF regions from all M</w:t>
      </w:r>
      <w:r w:rsidR="48BDB1D7" w:rsidRPr="00391425">
        <w:rPr>
          <w:rFonts w:ascii="Times New Roman" w:hAnsi="Times New Roman"/>
          <w:lang w:val="en-IE"/>
        </w:rPr>
        <w:t xml:space="preserve">ember </w:t>
      </w:r>
      <w:r w:rsidR="2F515E42" w:rsidRPr="00391425">
        <w:rPr>
          <w:rFonts w:ascii="Times New Roman" w:hAnsi="Times New Roman"/>
          <w:lang w:val="en-IE"/>
        </w:rPr>
        <w:t>S</w:t>
      </w:r>
      <w:r w:rsidR="5C51533C" w:rsidRPr="00391425">
        <w:rPr>
          <w:rFonts w:ascii="Times New Roman" w:hAnsi="Times New Roman"/>
          <w:lang w:val="en-IE"/>
        </w:rPr>
        <w:t>tates</w:t>
      </w:r>
      <w:r w:rsidR="2F515E42" w:rsidRPr="00391425">
        <w:rPr>
          <w:rFonts w:ascii="Times New Roman" w:hAnsi="Times New Roman"/>
          <w:lang w:val="en-IE"/>
        </w:rPr>
        <w:t>. It</w:t>
      </w:r>
      <w:r w:rsidRPr="00391425">
        <w:rPr>
          <w:rFonts w:ascii="Times New Roman" w:hAnsi="Times New Roman"/>
          <w:lang w:val="en-IE"/>
        </w:rPr>
        <w:t xml:space="preserve"> provides access to fund</w:t>
      </w:r>
      <w:r w:rsidR="2641E097" w:rsidRPr="00391425">
        <w:rPr>
          <w:rFonts w:ascii="Times New Roman" w:hAnsi="Times New Roman"/>
          <w:lang w:val="en-IE"/>
        </w:rPr>
        <w:t>ing</w:t>
      </w:r>
      <w:r w:rsidRPr="00391425">
        <w:rPr>
          <w:rFonts w:ascii="Times New Roman" w:hAnsi="Times New Roman"/>
          <w:lang w:val="en-IE"/>
        </w:rPr>
        <w:t xml:space="preserve"> information, regulatory updates, sector or region-specific initiatives and toolboxes (JTP Knowledge Hub), and promotes good practice exchange</w:t>
      </w:r>
      <w:r w:rsidR="1E7DDAF4" w:rsidRPr="00391425">
        <w:rPr>
          <w:rFonts w:ascii="Times New Roman" w:hAnsi="Times New Roman"/>
          <w:lang w:val="en-IE"/>
        </w:rPr>
        <w:t>s</w:t>
      </w:r>
      <w:r w:rsidRPr="00391425">
        <w:rPr>
          <w:rFonts w:ascii="Times New Roman" w:hAnsi="Times New Roman"/>
          <w:lang w:val="en-IE"/>
        </w:rPr>
        <w:t xml:space="preserve">. </w:t>
      </w:r>
      <w:r w:rsidR="4F1BD86C" w:rsidRPr="00391425">
        <w:rPr>
          <w:rFonts w:ascii="Times New Roman" w:hAnsi="Times New Roman"/>
          <w:lang w:val="en-IE"/>
        </w:rPr>
        <w:t>Tailor-made</w:t>
      </w:r>
      <w:r w:rsidRPr="00391425">
        <w:rPr>
          <w:rFonts w:ascii="Times New Roman" w:hAnsi="Times New Roman"/>
          <w:lang w:val="en-IE"/>
        </w:rPr>
        <w:t xml:space="preserve"> services </w:t>
      </w:r>
      <w:r w:rsidR="0CE8DAD3" w:rsidRPr="00391425">
        <w:rPr>
          <w:rFonts w:ascii="Times New Roman" w:hAnsi="Times New Roman"/>
          <w:lang w:val="en-IE"/>
        </w:rPr>
        <w:t xml:space="preserve">for JTF regions </w:t>
      </w:r>
      <w:r w:rsidRPr="00391425">
        <w:rPr>
          <w:rFonts w:ascii="Times New Roman" w:hAnsi="Times New Roman"/>
          <w:lang w:val="en-IE"/>
        </w:rPr>
        <w:t>include technical assistance (JTP Groundwork), formali</w:t>
      </w:r>
      <w:r w:rsidR="00D33068" w:rsidRPr="00391425">
        <w:rPr>
          <w:rFonts w:ascii="Times New Roman" w:hAnsi="Times New Roman"/>
          <w:lang w:val="en-IE"/>
        </w:rPr>
        <w:t>s</w:t>
      </w:r>
      <w:r w:rsidRPr="00391425">
        <w:rPr>
          <w:rFonts w:ascii="Times New Roman" w:hAnsi="Times New Roman"/>
          <w:lang w:val="en-IE"/>
        </w:rPr>
        <w:t xml:space="preserve">ed exchanges between JTF regions and just transition experts (JTPeers), expert discussion forums (JTP Working Groups), and regular </w:t>
      </w:r>
      <w:r w:rsidR="2F62D400" w:rsidRPr="00391425">
        <w:rPr>
          <w:rFonts w:ascii="Times New Roman" w:hAnsi="Times New Roman"/>
          <w:lang w:val="en-IE"/>
        </w:rPr>
        <w:t xml:space="preserve">JTP </w:t>
      </w:r>
      <w:r w:rsidR="4A97DB01" w:rsidRPr="00391425">
        <w:rPr>
          <w:rFonts w:ascii="Times New Roman" w:hAnsi="Times New Roman"/>
          <w:lang w:val="en-IE"/>
        </w:rPr>
        <w:t>Conferences for</w:t>
      </w:r>
      <w:r w:rsidRPr="00391425">
        <w:rPr>
          <w:rFonts w:ascii="Times New Roman" w:hAnsi="Times New Roman"/>
          <w:lang w:val="en-IE"/>
        </w:rPr>
        <w:t xml:space="preserve"> stakeholders to </w:t>
      </w:r>
      <w:r w:rsidR="57CED851" w:rsidRPr="00391425">
        <w:rPr>
          <w:rFonts w:ascii="Times New Roman" w:hAnsi="Times New Roman"/>
          <w:lang w:val="en-IE"/>
        </w:rPr>
        <w:t>discuss just transition process in their respective territory or sector</w:t>
      </w:r>
      <w:r w:rsidRPr="00391425">
        <w:rPr>
          <w:rFonts w:ascii="Times New Roman" w:hAnsi="Times New Roman"/>
          <w:lang w:val="en-IE"/>
        </w:rPr>
        <w:t xml:space="preserve">. </w:t>
      </w:r>
      <w:r w:rsidR="2B74E858" w:rsidRPr="00391425">
        <w:rPr>
          <w:rFonts w:ascii="Times New Roman" w:hAnsi="Times New Roman"/>
          <w:lang w:val="en-IE"/>
        </w:rPr>
        <w:t xml:space="preserve">In addition, Member States are entitled to use part of their </w:t>
      </w:r>
      <w:r w:rsidR="6732C9CD" w:rsidRPr="00391425">
        <w:rPr>
          <w:rFonts w:ascii="Times New Roman" w:hAnsi="Times New Roman"/>
          <w:lang w:val="en-IE"/>
        </w:rPr>
        <w:t>cohesion</w:t>
      </w:r>
      <w:r w:rsidR="2B74E858" w:rsidRPr="00391425">
        <w:rPr>
          <w:rFonts w:ascii="Times New Roman" w:hAnsi="Times New Roman"/>
          <w:lang w:val="en-IE"/>
        </w:rPr>
        <w:t xml:space="preserve"> policy envelope to</w:t>
      </w:r>
      <w:r w:rsidR="2CCB8912" w:rsidRPr="00391425">
        <w:rPr>
          <w:rFonts w:ascii="Times New Roman" w:hAnsi="Times New Roman"/>
          <w:lang w:val="en-IE"/>
        </w:rPr>
        <w:t xml:space="preserve"> directly</w:t>
      </w:r>
      <w:r w:rsidR="2B74E858" w:rsidRPr="00391425">
        <w:rPr>
          <w:rFonts w:ascii="Times New Roman" w:hAnsi="Times New Roman"/>
          <w:lang w:val="en-IE"/>
        </w:rPr>
        <w:t xml:space="preserve"> support administrative capacit</w:t>
      </w:r>
      <w:r w:rsidR="4A04292D" w:rsidRPr="00391425">
        <w:rPr>
          <w:rFonts w:ascii="Times New Roman" w:hAnsi="Times New Roman"/>
          <w:lang w:val="en-IE"/>
        </w:rPr>
        <w:t>ies</w:t>
      </w:r>
      <w:r w:rsidR="2DEA98F5" w:rsidRPr="00391425">
        <w:rPr>
          <w:rFonts w:ascii="Times New Roman" w:hAnsi="Times New Roman"/>
          <w:lang w:val="en-IE"/>
        </w:rPr>
        <w:t xml:space="preserve"> (§29, 34, 40)</w:t>
      </w:r>
      <w:r w:rsidR="4A04292D" w:rsidRPr="00391425">
        <w:rPr>
          <w:rFonts w:ascii="Times New Roman" w:hAnsi="Times New Roman"/>
          <w:lang w:val="en-IE"/>
        </w:rPr>
        <w:t xml:space="preserve">. </w:t>
      </w:r>
      <w:r w:rsidR="2B74E858" w:rsidRPr="00391425">
        <w:rPr>
          <w:rFonts w:ascii="Times New Roman" w:hAnsi="Times New Roman"/>
          <w:lang w:val="en-IE"/>
        </w:rPr>
        <w:t xml:space="preserve"> </w:t>
      </w:r>
    </w:p>
    <w:p w14:paraId="6D76C364" w14:textId="7F066B7C" w:rsidR="00F51591" w:rsidRPr="00391425" w:rsidRDefault="17FB06A3" w:rsidP="007073E5">
      <w:pPr>
        <w:widowControl w:val="0"/>
        <w:spacing w:before="120" w:after="0"/>
        <w:rPr>
          <w:rFonts w:ascii="Times New Roman" w:hAnsi="Times New Roman"/>
          <w:lang w:val="en-IE"/>
        </w:rPr>
      </w:pPr>
      <w:r w:rsidRPr="00391425">
        <w:rPr>
          <w:rFonts w:ascii="Times New Roman" w:hAnsi="Times New Roman"/>
          <w:lang w:val="en-IE"/>
        </w:rPr>
        <w:t xml:space="preserve">The Commission has already proposed </w:t>
      </w:r>
      <w:r w:rsidR="3AB8ACD5" w:rsidRPr="00391425">
        <w:rPr>
          <w:rFonts w:ascii="Times New Roman" w:hAnsi="Times New Roman"/>
          <w:lang w:val="en-IE"/>
        </w:rPr>
        <w:t xml:space="preserve">in </w:t>
      </w:r>
      <w:r w:rsidRPr="00391425">
        <w:rPr>
          <w:rFonts w:ascii="Times New Roman" w:hAnsi="Times New Roman"/>
          <w:lang w:val="en-IE"/>
        </w:rPr>
        <w:t xml:space="preserve">the </w:t>
      </w:r>
      <w:r w:rsidR="37D2E9B5" w:rsidRPr="00391425">
        <w:rPr>
          <w:rFonts w:ascii="Times New Roman" w:hAnsi="Times New Roman"/>
          <w:lang w:val="en-IE"/>
        </w:rPr>
        <w:t>S</w:t>
      </w:r>
      <w:r w:rsidRPr="00391425">
        <w:rPr>
          <w:rFonts w:ascii="Times New Roman" w:hAnsi="Times New Roman"/>
          <w:lang w:val="en-IE"/>
        </w:rPr>
        <w:t xml:space="preserve">taff </w:t>
      </w:r>
      <w:r w:rsidR="6ED40895" w:rsidRPr="00391425">
        <w:rPr>
          <w:rFonts w:ascii="Times New Roman" w:hAnsi="Times New Roman"/>
          <w:lang w:val="en-IE"/>
        </w:rPr>
        <w:t>W</w:t>
      </w:r>
      <w:r w:rsidRPr="00391425">
        <w:rPr>
          <w:rFonts w:ascii="Times New Roman" w:hAnsi="Times New Roman"/>
          <w:lang w:val="en-IE"/>
        </w:rPr>
        <w:t xml:space="preserve">orking </w:t>
      </w:r>
      <w:r w:rsidR="05D89F95" w:rsidRPr="00391425">
        <w:rPr>
          <w:rFonts w:ascii="Times New Roman" w:hAnsi="Times New Roman"/>
          <w:lang w:val="en-IE"/>
        </w:rPr>
        <w:t>D</w:t>
      </w:r>
      <w:r w:rsidRPr="00391425">
        <w:rPr>
          <w:rFonts w:ascii="Times New Roman" w:hAnsi="Times New Roman"/>
          <w:lang w:val="en-IE"/>
        </w:rPr>
        <w:t xml:space="preserve">ocument on </w:t>
      </w:r>
      <w:r w:rsidR="5906310A" w:rsidRPr="00391425">
        <w:rPr>
          <w:rFonts w:ascii="Times New Roman" w:hAnsi="Times New Roman"/>
          <w:lang w:val="en-IE"/>
        </w:rPr>
        <w:t>T</w:t>
      </w:r>
      <w:r w:rsidRPr="00391425">
        <w:rPr>
          <w:rFonts w:ascii="Times New Roman" w:hAnsi="Times New Roman"/>
          <w:lang w:val="en-IE"/>
        </w:rPr>
        <w:t xml:space="preserve">erritorial </w:t>
      </w:r>
      <w:r w:rsidR="6AF7E4DD" w:rsidRPr="00391425">
        <w:rPr>
          <w:rFonts w:ascii="Times New Roman" w:hAnsi="Times New Roman"/>
          <w:lang w:val="en-IE"/>
        </w:rPr>
        <w:t>J</w:t>
      </w:r>
      <w:r w:rsidRPr="00391425">
        <w:rPr>
          <w:rFonts w:ascii="Times New Roman" w:hAnsi="Times New Roman"/>
          <w:lang w:val="en-IE"/>
        </w:rPr>
        <w:t xml:space="preserve">ust </w:t>
      </w:r>
      <w:r w:rsidR="20D5D208" w:rsidRPr="00391425">
        <w:rPr>
          <w:rFonts w:ascii="Times New Roman" w:hAnsi="Times New Roman"/>
          <w:lang w:val="en-IE"/>
        </w:rPr>
        <w:t>T</w:t>
      </w:r>
      <w:r w:rsidRPr="00391425">
        <w:rPr>
          <w:rFonts w:ascii="Times New Roman" w:hAnsi="Times New Roman"/>
          <w:lang w:val="en-IE"/>
        </w:rPr>
        <w:t xml:space="preserve">ransition </w:t>
      </w:r>
      <w:r w:rsidR="138C23A6" w:rsidRPr="00391425">
        <w:rPr>
          <w:rFonts w:ascii="Times New Roman" w:hAnsi="Times New Roman"/>
          <w:lang w:val="en-IE"/>
        </w:rPr>
        <w:t>P</w:t>
      </w:r>
      <w:r w:rsidRPr="00391425">
        <w:rPr>
          <w:rFonts w:ascii="Times New Roman" w:hAnsi="Times New Roman"/>
          <w:lang w:val="en-IE"/>
        </w:rPr>
        <w:t xml:space="preserve">lans </w:t>
      </w:r>
      <w:r w:rsidR="798C66D5" w:rsidRPr="00391425">
        <w:rPr>
          <w:rFonts w:ascii="Times New Roman" w:hAnsi="Times New Roman"/>
          <w:lang w:val="en-IE"/>
        </w:rPr>
        <w:t>the</w:t>
      </w:r>
      <w:r w:rsidRPr="00391425">
        <w:rPr>
          <w:rFonts w:ascii="Times New Roman" w:hAnsi="Times New Roman"/>
          <w:lang w:val="en-IE"/>
        </w:rPr>
        <w:t xml:space="preserve"> guidelines on JTF eligibility. In addition, the Commission provides </w:t>
      </w:r>
      <w:r w:rsidR="6D072B90" w:rsidRPr="00391425">
        <w:rPr>
          <w:rFonts w:ascii="Times New Roman" w:hAnsi="Times New Roman"/>
          <w:lang w:val="en-IE"/>
        </w:rPr>
        <w:t xml:space="preserve">regularly </w:t>
      </w:r>
      <w:r w:rsidRPr="00391425">
        <w:rPr>
          <w:rFonts w:ascii="Times New Roman" w:hAnsi="Times New Roman"/>
          <w:lang w:val="en-IE"/>
        </w:rPr>
        <w:t>replies to the managing authorities</w:t>
      </w:r>
      <w:r w:rsidR="00803BF3" w:rsidRPr="00391425">
        <w:rPr>
          <w:rFonts w:ascii="Times New Roman" w:hAnsi="Times New Roman"/>
          <w:lang w:val="en-IE"/>
        </w:rPr>
        <w:t>’</w:t>
      </w:r>
      <w:r w:rsidRPr="00391425">
        <w:rPr>
          <w:rFonts w:ascii="Times New Roman" w:hAnsi="Times New Roman"/>
          <w:lang w:val="en-IE"/>
        </w:rPr>
        <w:t xml:space="preserve"> questions concerning JTF eligibility</w:t>
      </w:r>
      <w:r w:rsidR="00895AB8" w:rsidRPr="00391425">
        <w:rPr>
          <w:rFonts w:ascii="Times New Roman" w:hAnsi="Times New Roman"/>
          <w:lang w:val="en-IE"/>
        </w:rPr>
        <w:t xml:space="preserve">. </w:t>
      </w:r>
      <w:r w:rsidR="37E74C4D" w:rsidRPr="00391425">
        <w:rPr>
          <w:rFonts w:ascii="Times New Roman" w:hAnsi="Times New Roman"/>
          <w:lang w:val="en-IE"/>
        </w:rPr>
        <w:t xml:space="preserve">Additional </w:t>
      </w:r>
      <w:r w:rsidRPr="00391425">
        <w:rPr>
          <w:rFonts w:ascii="Times New Roman" w:hAnsi="Times New Roman"/>
          <w:lang w:val="en-IE"/>
        </w:rPr>
        <w:t xml:space="preserve">support </w:t>
      </w:r>
      <w:r w:rsidR="66932E8D" w:rsidRPr="00391425">
        <w:rPr>
          <w:rFonts w:ascii="Times New Roman" w:hAnsi="Times New Roman"/>
          <w:lang w:val="en-IE"/>
        </w:rPr>
        <w:t>is provided by</w:t>
      </w:r>
      <w:r w:rsidRPr="00391425">
        <w:rPr>
          <w:rFonts w:ascii="Times New Roman" w:hAnsi="Times New Roman"/>
          <w:lang w:val="en-IE"/>
        </w:rPr>
        <w:t xml:space="preserve"> experts deployed as part of Just Transition Platform</w:t>
      </w:r>
      <w:r w:rsidR="04D14C7F" w:rsidRPr="00391425">
        <w:rPr>
          <w:rFonts w:ascii="Times New Roman" w:hAnsi="Times New Roman"/>
          <w:lang w:val="en-IE"/>
        </w:rPr>
        <w:t xml:space="preserve"> </w:t>
      </w:r>
      <w:r w:rsidRPr="00391425">
        <w:rPr>
          <w:rFonts w:ascii="Times New Roman" w:hAnsi="Times New Roman"/>
          <w:lang w:val="en-IE"/>
        </w:rPr>
        <w:t>technical assistance</w:t>
      </w:r>
      <w:r w:rsidR="54CF92E1" w:rsidRPr="00391425">
        <w:rPr>
          <w:rFonts w:ascii="Times New Roman" w:hAnsi="Times New Roman"/>
          <w:lang w:val="en-IE"/>
        </w:rPr>
        <w:t xml:space="preserve"> (§32)</w:t>
      </w:r>
      <w:r w:rsidRPr="00391425">
        <w:rPr>
          <w:rFonts w:ascii="Times New Roman" w:hAnsi="Times New Roman"/>
          <w:lang w:val="en-IE"/>
        </w:rPr>
        <w:t>.</w:t>
      </w:r>
    </w:p>
    <w:p w14:paraId="6C3A19F0" w14:textId="7924D3E9" w:rsidR="51B47A35" w:rsidRPr="00FC36E1" w:rsidRDefault="7741573B" w:rsidP="007073E5">
      <w:pPr>
        <w:spacing w:before="120" w:after="0"/>
        <w:rPr>
          <w:rFonts w:ascii="Times New Roman" w:hAnsi="Times New Roman"/>
          <w:szCs w:val="24"/>
          <w:lang w:val="en-IE"/>
        </w:rPr>
      </w:pPr>
      <w:r w:rsidRPr="00391425">
        <w:rPr>
          <w:rFonts w:ascii="Times New Roman" w:hAnsi="Times New Roman"/>
          <w:lang w:val="en-IE"/>
        </w:rPr>
        <w:t xml:space="preserve">The Commission has already taken </w:t>
      </w:r>
      <w:r w:rsidR="008516A0" w:rsidRPr="00391425">
        <w:rPr>
          <w:rFonts w:ascii="Times New Roman" w:hAnsi="Times New Roman"/>
          <w:lang w:val="en-IE"/>
        </w:rPr>
        <w:t>several</w:t>
      </w:r>
      <w:r w:rsidRPr="00391425">
        <w:rPr>
          <w:rFonts w:ascii="Times New Roman" w:hAnsi="Times New Roman"/>
          <w:lang w:val="en-IE"/>
        </w:rPr>
        <w:t xml:space="preserve"> actions to advance fair transition across the EU. Amongst th</w:t>
      </w:r>
      <w:r w:rsidR="5FB4EB8B" w:rsidRPr="00391425">
        <w:rPr>
          <w:rFonts w:ascii="Times New Roman" w:hAnsi="Times New Roman"/>
          <w:lang w:val="en-IE"/>
        </w:rPr>
        <w:t>em</w:t>
      </w:r>
      <w:r w:rsidRPr="00391425">
        <w:rPr>
          <w:rFonts w:ascii="Times New Roman" w:hAnsi="Times New Roman"/>
          <w:lang w:val="en-IE"/>
        </w:rPr>
        <w:t xml:space="preserve">, the </w:t>
      </w:r>
      <w:r w:rsidR="7372FBAF" w:rsidRPr="00FC36E1">
        <w:rPr>
          <w:rFonts w:ascii="Times New Roman" w:hAnsi="Times New Roman"/>
          <w:szCs w:val="24"/>
          <w:lang w:val="en-IE"/>
        </w:rPr>
        <w:t>2022 Council Recommendation on ensuring a fair transition towards climate neutrality</w:t>
      </w:r>
      <w:r w:rsidR="00227114" w:rsidRPr="00FC36E1">
        <w:rPr>
          <w:rStyle w:val="FootnoteReference"/>
          <w:rFonts w:ascii="Times New Roman" w:hAnsi="Times New Roman"/>
          <w:szCs w:val="24"/>
          <w:lang w:val="en-IE"/>
        </w:rPr>
        <w:footnoteReference w:id="8"/>
      </w:r>
      <w:r w:rsidR="7372FBAF" w:rsidRPr="00FC36E1">
        <w:rPr>
          <w:rFonts w:ascii="Times New Roman" w:hAnsi="Times New Roman"/>
          <w:szCs w:val="24"/>
          <w:lang w:val="en-IE"/>
        </w:rPr>
        <w:t>, a constituting element of the ‘Fit for 55’ package, provides concrete guidance for Member States on how to address the employment and social impacts of the transition.</w:t>
      </w:r>
      <w:r w:rsidR="4998DCCC" w:rsidRPr="00391425">
        <w:rPr>
          <w:rFonts w:ascii="Times New Roman" w:hAnsi="Times New Roman"/>
          <w:szCs w:val="24"/>
          <w:lang w:val="en-IE"/>
        </w:rPr>
        <w:t xml:space="preserve"> In particular, the Recommendation also invites </w:t>
      </w:r>
      <w:r w:rsidR="00227114" w:rsidRPr="00391425">
        <w:rPr>
          <w:rFonts w:ascii="Times New Roman" w:hAnsi="Times New Roman"/>
          <w:szCs w:val="24"/>
          <w:lang w:val="en-IE"/>
        </w:rPr>
        <w:t>M</w:t>
      </w:r>
      <w:r w:rsidR="4998DCCC" w:rsidRPr="00391425">
        <w:rPr>
          <w:rFonts w:ascii="Times New Roman" w:hAnsi="Times New Roman"/>
          <w:szCs w:val="24"/>
          <w:lang w:val="en-IE"/>
        </w:rPr>
        <w:t xml:space="preserve">ember </w:t>
      </w:r>
      <w:r w:rsidR="00227114" w:rsidRPr="00391425">
        <w:rPr>
          <w:rFonts w:ascii="Times New Roman" w:hAnsi="Times New Roman"/>
          <w:szCs w:val="24"/>
          <w:lang w:val="en-IE"/>
        </w:rPr>
        <w:t>S</w:t>
      </w:r>
      <w:r w:rsidR="4998DCCC" w:rsidRPr="00391425">
        <w:rPr>
          <w:rFonts w:ascii="Times New Roman" w:hAnsi="Times New Roman"/>
          <w:szCs w:val="24"/>
          <w:lang w:val="en-IE"/>
        </w:rPr>
        <w:t>tates to adopt comprehensive policy packages addressing the employment, skills, and social aspects of the green transition, including the implementation of measures for quality jobs, access to education and training, and support for affected communities and workers.</w:t>
      </w:r>
      <w:r w:rsidR="00227114" w:rsidRPr="00391425">
        <w:rPr>
          <w:rFonts w:ascii="Times New Roman" w:hAnsi="Times New Roman"/>
          <w:szCs w:val="24"/>
          <w:lang w:val="en-IE"/>
        </w:rPr>
        <w:t xml:space="preserve"> </w:t>
      </w:r>
      <w:r w:rsidR="7372FBAF" w:rsidRPr="00FC36E1">
        <w:rPr>
          <w:rFonts w:ascii="Times New Roman" w:hAnsi="Times New Roman"/>
          <w:szCs w:val="24"/>
          <w:lang w:val="en-IE"/>
        </w:rPr>
        <w:t>Based on a first progress review of its implementation by Member States, the EP</w:t>
      </w:r>
      <w:r w:rsidR="00216DA9" w:rsidRPr="00FC36E1">
        <w:rPr>
          <w:rFonts w:ascii="Times New Roman" w:hAnsi="Times New Roman"/>
          <w:szCs w:val="24"/>
          <w:lang w:val="en-IE"/>
        </w:rPr>
        <w:t>S</w:t>
      </w:r>
      <w:r w:rsidR="7372FBAF" w:rsidRPr="00FC36E1">
        <w:rPr>
          <w:rFonts w:ascii="Times New Roman" w:hAnsi="Times New Roman"/>
          <w:szCs w:val="24"/>
          <w:lang w:val="en-IE"/>
        </w:rPr>
        <w:t>CO Council endorsed key messages in November 2023</w:t>
      </w:r>
      <w:r w:rsidR="008516A0" w:rsidRPr="00FC36E1">
        <w:rPr>
          <w:rFonts w:ascii="Times New Roman" w:hAnsi="Times New Roman"/>
          <w:szCs w:val="24"/>
          <w:lang w:val="en-IE"/>
        </w:rPr>
        <w:t>,</w:t>
      </w:r>
      <w:r w:rsidR="7372FBAF" w:rsidRPr="00FC36E1">
        <w:rPr>
          <w:rFonts w:ascii="Times New Roman" w:hAnsi="Times New Roman"/>
          <w:szCs w:val="24"/>
          <w:lang w:val="en-IE"/>
        </w:rPr>
        <w:t xml:space="preserve"> confirming the political commitment to ensuring a fair transition, while highlighting the scope for a more systematic, coordinated, and coherent approach in tackling challenges to a fair transition</w:t>
      </w:r>
      <w:r w:rsidR="008516A0" w:rsidRPr="00FC36E1">
        <w:rPr>
          <w:rFonts w:ascii="Times New Roman" w:hAnsi="Times New Roman"/>
          <w:szCs w:val="24"/>
          <w:lang w:val="en-IE"/>
        </w:rPr>
        <w:t xml:space="preserve">. </w:t>
      </w:r>
      <w:r w:rsidR="29ECDF03" w:rsidRPr="00FC36E1">
        <w:rPr>
          <w:rFonts w:ascii="Times New Roman" w:hAnsi="Times New Roman"/>
          <w:szCs w:val="24"/>
          <w:lang w:val="en-IE"/>
        </w:rPr>
        <w:t xml:space="preserve">The Commission has conducted a second progress review of its implementation by Member States earlier this year and will publish its results in an </w:t>
      </w:r>
      <w:r w:rsidR="7B7366DF" w:rsidRPr="00FC36E1">
        <w:rPr>
          <w:rFonts w:ascii="Times New Roman" w:hAnsi="Times New Roman"/>
          <w:szCs w:val="24"/>
          <w:lang w:val="en-IE"/>
        </w:rPr>
        <w:t>implementation</w:t>
      </w:r>
      <w:r w:rsidR="29ECDF03" w:rsidRPr="00FC36E1">
        <w:rPr>
          <w:rFonts w:ascii="Times New Roman" w:hAnsi="Times New Roman"/>
          <w:szCs w:val="24"/>
          <w:lang w:val="en-IE"/>
        </w:rPr>
        <w:t xml:space="preserve"> report before the end of the year.</w:t>
      </w:r>
    </w:p>
    <w:p w14:paraId="609A4680" w14:textId="0D847CF8" w:rsidR="51B47A35" w:rsidRPr="00391425" w:rsidRDefault="1D432392" w:rsidP="007073E5">
      <w:pPr>
        <w:widowControl w:val="0"/>
        <w:spacing w:before="120" w:after="0"/>
        <w:rPr>
          <w:rFonts w:ascii="Times New Roman" w:hAnsi="Times New Roman"/>
          <w:lang w:val="en-IE"/>
        </w:rPr>
      </w:pPr>
      <w:r w:rsidRPr="00391425">
        <w:rPr>
          <w:rFonts w:ascii="Times New Roman" w:hAnsi="Times New Roman"/>
          <w:lang w:val="en-IE"/>
        </w:rPr>
        <w:t xml:space="preserve">To complement these efforts, as announced in the Clean Industrial Deal, the Commission will launch the European Fair Transition Observatory (EFTO) </w:t>
      </w:r>
      <w:r w:rsidR="0C5B1DB5" w:rsidRPr="00391425">
        <w:rPr>
          <w:rFonts w:ascii="Times New Roman" w:hAnsi="Times New Roman"/>
          <w:lang w:val="en-IE"/>
        </w:rPr>
        <w:t>at the beginning of 2026 to monitor and support equitable labour transitions across the EU. It will strengthen the evidence base on fairness aspects of the green transition</w:t>
      </w:r>
      <w:r w:rsidR="001249DB" w:rsidRPr="00391425">
        <w:rPr>
          <w:rFonts w:ascii="Times New Roman" w:hAnsi="Times New Roman"/>
          <w:lang w:val="en-IE"/>
        </w:rPr>
        <w:t xml:space="preserve"> </w:t>
      </w:r>
      <w:r w:rsidR="0C5B1DB5" w:rsidRPr="00391425">
        <w:rPr>
          <w:rFonts w:ascii="Times New Roman" w:hAnsi="Times New Roman"/>
          <w:lang w:val="en-IE"/>
        </w:rPr>
        <w:t xml:space="preserve">and collect good practices. Furthermore, it will ensure a transparent dialogue with social partners, regional and local authorities, civil society and other stakeholders on just transition aspects. It will also support the </w:t>
      </w:r>
      <w:r w:rsidR="00B60E31" w:rsidRPr="00391425">
        <w:rPr>
          <w:rFonts w:ascii="Times New Roman" w:hAnsi="Times New Roman"/>
          <w:lang w:val="en-IE"/>
        </w:rPr>
        <w:t xml:space="preserve">implementation of the </w:t>
      </w:r>
      <w:r w:rsidR="0C5B1DB5" w:rsidRPr="00391425">
        <w:rPr>
          <w:rFonts w:ascii="Times New Roman" w:hAnsi="Times New Roman"/>
          <w:lang w:val="en-IE"/>
        </w:rPr>
        <w:t xml:space="preserve">Action Plans for the Automotive and Steel and Metals industries. </w:t>
      </w:r>
    </w:p>
    <w:p w14:paraId="1B0F186C" w14:textId="6C3DDEC6" w:rsidR="00227114" w:rsidRPr="00391425" w:rsidRDefault="51788003" w:rsidP="007073E5">
      <w:pPr>
        <w:widowControl w:val="0"/>
        <w:spacing w:before="120" w:after="0"/>
        <w:rPr>
          <w:rFonts w:ascii="Times New Roman" w:hAnsi="Times New Roman"/>
          <w:lang w:val="en-IE"/>
        </w:rPr>
      </w:pPr>
      <w:r w:rsidRPr="00FC36E1">
        <w:rPr>
          <w:rFonts w:ascii="Times New Roman" w:hAnsi="Times New Roman"/>
          <w:szCs w:val="24"/>
          <w:lang w:val="en-IE"/>
        </w:rPr>
        <w:t xml:space="preserve">The Commission will also </w:t>
      </w:r>
      <w:r w:rsidR="007073E5" w:rsidRPr="00FC36E1">
        <w:rPr>
          <w:rFonts w:ascii="Times New Roman" w:hAnsi="Times New Roman"/>
          <w:szCs w:val="24"/>
          <w:lang w:val="en-IE"/>
        </w:rPr>
        <w:t>consider</w:t>
      </w:r>
      <w:r w:rsidRPr="00FC36E1">
        <w:rPr>
          <w:rFonts w:ascii="Times New Roman" w:hAnsi="Times New Roman"/>
          <w:szCs w:val="24"/>
          <w:lang w:val="en-IE"/>
        </w:rPr>
        <w:t xml:space="preserve"> the Parliament’s planned Article 225 own-initiative report on “Just Transition directive in the world of work: ensuring the creation of jobs and revitalising local economies”.</w:t>
      </w:r>
    </w:p>
    <w:p w14:paraId="1AD28BA4" w14:textId="16B485AE" w:rsidR="12C5CAFA" w:rsidRPr="00391425" w:rsidRDefault="360B53CB" w:rsidP="007073E5">
      <w:pPr>
        <w:widowControl w:val="0"/>
        <w:spacing w:before="120" w:after="0"/>
        <w:rPr>
          <w:rFonts w:ascii="Times New Roman" w:hAnsi="Times New Roman"/>
          <w:lang w:val="en-IE"/>
        </w:rPr>
      </w:pPr>
      <w:r w:rsidRPr="00391425">
        <w:rPr>
          <w:rFonts w:ascii="Times New Roman" w:hAnsi="Times New Roman"/>
          <w:lang w:val="en-IE"/>
        </w:rPr>
        <w:t>Cohesion policy continuously</w:t>
      </w:r>
      <w:r w:rsidR="7DF47F2B" w:rsidRPr="00391425">
        <w:rPr>
          <w:rFonts w:ascii="Times New Roman" w:hAnsi="Times New Roman"/>
          <w:lang w:val="en-IE"/>
        </w:rPr>
        <w:t xml:space="preserve"> adheres to the principles of</w:t>
      </w:r>
      <w:r w:rsidRPr="00391425">
        <w:rPr>
          <w:rFonts w:ascii="Times New Roman" w:hAnsi="Times New Roman"/>
          <w:lang w:val="en-IE"/>
        </w:rPr>
        <w:t xml:space="preserve"> </w:t>
      </w:r>
      <w:r w:rsidR="5F8D84C4" w:rsidRPr="00391425">
        <w:rPr>
          <w:rFonts w:ascii="Times New Roman" w:hAnsi="Times New Roman"/>
          <w:lang w:val="en-IE"/>
        </w:rPr>
        <w:t xml:space="preserve">co-financing, as well as </w:t>
      </w:r>
      <w:r w:rsidR="008516A0" w:rsidRPr="00391425">
        <w:rPr>
          <w:rFonts w:ascii="Times New Roman" w:hAnsi="Times New Roman"/>
          <w:lang w:val="en-IE"/>
        </w:rPr>
        <w:t xml:space="preserve">to </w:t>
      </w:r>
      <w:r w:rsidR="5F8D84C4" w:rsidRPr="00391425">
        <w:rPr>
          <w:rFonts w:ascii="Times New Roman" w:hAnsi="Times New Roman"/>
          <w:lang w:val="en-IE"/>
        </w:rPr>
        <w:t xml:space="preserve">the principle of subsidiarity, </w:t>
      </w:r>
      <w:r w:rsidR="008516A0" w:rsidRPr="00391425">
        <w:rPr>
          <w:rFonts w:ascii="Times New Roman" w:hAnsi="Times New Roman"/>
          <w:lang w:val="en-IE"/>
        </w:rPr>
        <w:t xml:space="preserve">notably by </w:t>
      </w:r>
      <w:r w:rsidR="5F8D84C4" w:rsidRPr="00391425">
        <w:rPr>
          <w:rFonts w:ascii="Times New Roman" w:hAnsi="Times New Roman"/>
          <w:lang w:val="en-IE"/>
        </w:rPr>
        <w:t>emphasis</w:t>
      </w:r>
      <w:r w:rsidR="008516A0" w:rsidRPr="00391425">
        <w:rPr>
          <w:rFonts w:ascii="Times New Roman" w:hAnsi="Times New Roman"/>
          <w:lang w:val="en-IE"/>
        </w:rPr>
        <w:t xml:space="preserve">ing </w:t>
      </w:r>
      <w:r w:rsidR="5F8D84C4" w:rsidRPr="00391425">
        <w:rPr>
          <w:rFonts w:ascii="Times New Roman" w:hAnsi="Times New Roman"/>
          <w:lang w:val="en-IE"/>
        </w:rPr>
        <w:t>m</w:t>
      </w:r>
      <w:r w:rsidR="12C5CAFA" w:rsidRPr="00391425">
        <w:rPr>
          <w:rFonts w:ascii="Times New Roman" w:hAnsi="Times New Roman"/>
          <w:lang w:val="en-IE"/>
        </w:rPr>
        <w:t>ultilevel governance</w:t>
      </w:r>
      <w:r w:rsidR="47CC749B" w:rsidRPr="00391425">
        <w:rPr>
          <w:rFonts w:ascii="Times New Roman" w:hAnsi="Times New Roman"/>
          <w:lang w:val="en-IE"/>
        </w:rPr>
        <w:t xml:space="preserve"> and</w:t>
      </w:r>
      <w:r w:rsidR="12C5CAFA" w:rsidRPr="00391425">
        <w:rPr>
          <w:rFonts w:ascii="Times New Roman" w:hAnsi="Times New Roman"/>
          <w:lang w:val="en-IE"/>
        </w:rPr>
        <w:t xml:space="preserve"> partnership</w:t>
      </w:r>
      <w:r w:rsidR="49BE1215" w:rsidRPr="00391425">
        <w:rPr>
          <w:rFonts w:ascii="Times New Roman" w:hAnsi="Times New Roman"/>
          <w:lang w:val="en-IE"/>
        </w:rPr>
        <w:t>.</w:t>
      </w:r>
      <w:r w:rsidR="12C5CAFA" w:rsidRPr="00391425">
        <w:rPr>
          <w:rFonts w:ascii="Times New Roman" w:hAnsi="Times New Roman"/>
          <w:lang w:val="en-IE"/>
        </w:rPr>
        <w:t xml:space="preserve"> </w:t>
      </w:r>
      <w:r w:rsidR="0044B812" w:rsidRPr="00391425">
        <w:rPr>
          <w:rFonts w:ascii="Times New Roman" w:hAnsi="Times New Roman"/>
          <w:lang w:val="en-IE"/>
        </w:rPr>
        <w:t xml:space="preserve">Under the JTF, the participation of </w:t>
      </w:r>
      <w:r w:rsidR="308409C4" w:rsidRPr="00391425">
        <w:rPr>
          <w:rFonts w:ascii="Times New Roman" w:hAnsi="Times New Roman"/>
          <w:lang w:val="en-IE"/>
        </w:rPr>
        <w:t>relevant</w:t>
      </w:r>
      <w:r w:rsidR="12C5CAFA" w:rsidRPr="00391425">
        <w:rPr>
          <w:rFonts w:ascii="Times New Roman" w:hAnsi="Times New Roman"/>
          <w:lang w:val="en-IE"/>
        </w:rPr>
        <w:t xml:space="preserve"> stakeholders</w:t>
      </w:r>
      <w:r w:rsidR="3C65235B" w:rsidRPr="00391425">
        <w:rPr>
          <w:rFonts w:ascii="Times New Roman" w:hAnsi="Times New Roman"/>
          <w:lang w:val="en-IE"/>
        </w:rPr>
        <w:t xml:space="preserve"> </w:t>
      </w:r>
      <w:r w:rsidR="51B3CEF0" w:rsidRPr="00391425">
        <w:rPr>
          <w:rFonts w:ascii="Times New Roman" w:hAnsi="Times New Roman"/>
          <w:lang w:val="en-IE"/>
        </w:rPr>
        <w:t xml:space="preserve">(national, regional and local public authorities, local </w:t>
      </w:r>
      <w:r w:rsidR="2537F5E5" w:rsidRPr="00391425">
        <w:rPr>
          <w:rFonts w:ascii="Times New Roman" w:hAnsi="Times New Roman"/>
          <w:lang w:val="en-IE"/>
        </w:rPr>
        <w:t>businesses/</w:t>
      </w:r>
      <w:r w:rsidR="51B3CEF0" w:rsidRPr="00391425">
        <w:rPr>
          <w:rFonts w:ascii="Times New Roman" w:hAnsi="Times New Roman"/>
          <w:lang w:val="en-IE"/>
        </w:rPr>
        <w:t>employer</w:t>
      </w:r>
      <w:r w:rsidR="2CE6318D" w:rsidRPr="00391425">
        <w:rPr>
          <w:rFonts w:ascii="Times New Roman" w:hAnsi="Times New Roman"/>
          <w:lang w:val="en-IE"/>
        </w:rPr>
        <w:t>s</w:t>
      </w:r>
      <w:r w:rsidR="51B3CEF0" w:rsidRPr="00391425">
        <w:rPr>
          <w:rFonts w:ascii="Times New Roman" w:hAnsi="Times New Roman"/>
          <w:lang w:val="en-IE"/>
        </w:rPr>
        <w:t xml:space="preserve">, </w:t>
      </w:r>
      <w:r w:rsidR="38483779" w:rsidRPr="00391425">
        <w:rPr>
          <w:rFonts w:ascii="Times New Roman" w:hAnsi="Times New Roman"/>
          <w:lang w:val="en-IE"/>
        </w:rPr>
        <w:t xml:space="preserve">the </w:t>
      </w:r>
      <w:r w:rsidR="51B3CEF0" w:rsidRPr="00391425">
        <w:rPr>
          <w:rFonts w:ascii="Times New Roman" w:hAnsi="Times New Roman"/>
          <w:lang w:val="en-IE"/>
        </w:rPr>
        <w:t>non-governmental and academic sectors</w:t>
      </w:r>
      <w:r w:rsidR="621FA7EC" w:rsidRPr="00391425">
        <w:rPr>
          <w:rFonts w:ascii="Times New Roman" w:hAnsi="Times New Roman"/>
          <w:lang w:val="en-IE"/>
        </w:rPr>
        <w:t>)</w:t>
      </w:r>
      <w:r w:rsidR="51B3CEF0" w:rsidRPr="00391425">
        <w:rPr>
          <w:rFonts w:ascii="Times New Roman" w:hAnsi="Times New Roman"/>
          <w:lang w:val="en-IE"/>
        </w:rPr>
        <w:t xml:space="preserve"> </w:t>
      </w:r>
      <w:r w:rsidR="52F0480F" w:rsidRPr="00391425">
        <w:rPr>
          <w:rFonts w:ascii="Times New Roman" w:hAnsi="Times New Roman"/>
          <w:lang w:val="en-IE"/>
        </w:rPr>
        <w:t xml:space="preserve">in the </w:t>
      </w:r>
      <w:r w:rsidR="52F0480F" w:rsidRPr="00391425">
        <w:rPr>
          <w:rFonts w:ascii="Times New Roman" w:hAnsi="Times New Roman"/>
          <w:lang w:val="en-IE"/>
        </w:rPr>
        <w:lastRenderedPageBreak/>
        <w:t>preparation of T</w:t>
      </w:r>
      <w:r w:rsidR="00B348F5" w:rsidRPr="00391425">
        <w:rPr>
          <w:rFonts w:ascii="Times New Roman" w:hAnsi="Times New Roman"/>
          <w:lang w:val="en-IE"/>
        </w:rPr>
        <w:t xml:space="preserve">erritorial </w:t>
      </w:r>
      <w:r w:rsidR="52F0480F" w:rsidRPr="00391425">
        <w:rPr>
          <w:rFonts w:ascii="Times New Roman" w:hAnsi="Times New Roman"/>
          <w:lang w:val="en-IE"/>
        </w:rPr>
        <w:t>J</w:t>
      </w:r>
      <w:r w:rsidR="00B348F5" w:rsidRPr="00391425">
        <w:rPr>
          <w:rFonts w:ascii="Times New Roman" w:hAnsi="Times New Roman"/>
          <w:lang w:val="en-IE"/>
        </w:rPr>
        <w:t xml:space="preserve">ust </w:t>
      </w:r>
      <w:r w:rsidR="52F0480F" w:rsidRPr="00391425">
        <w:rPr>
          <w:rFonts w:ascii="Times New Roman" w:hAnsi="Times New Roman"/>
          <w:lang w:val="en-IE"/>
        </w:rPr>
        <w:t>T</w:t>
      </w:r>
      <w:r w:rsidR="00B348F5" w:rsidRPr="00391425">
        <w:rPr>
          <w:rFonts w:ascii="Times New Roman" w:hAnsi="Times New Roman"/>
          <w:lang w:val="en-IE"/>
        </w:rPr>
        <w:t xml:space="preserve">ransition </w:t>
      </w:r>
      <w:r w:rsidR="52F0480F" w:rsidRPr="00391425">
        <w:rPr>
          <w:rFonts w:ascii="Times New Roman" w:hAnsi="Times New Roman"/>
          <w:lang w:val="en-IE"/>
        </w:rPr>
        <w:t>P</w:t>
      </w:r>
      <w:r w:rsidR="00B348F5" w:rsidRPr="00391425">
        <w:rPr>
          <w:rFonts w:ascii="Times New Roman" w:hAnsi="Times New Roman"/>
          <w:lang w:val="en-IE"/>
        </w:rPr>
        <w:t>lan</w:t>
      </w:r>
      <w:r w:rsidR="52F0480F" w:rsidRPr="00391425">
        <w:rPr>
          <w:rFonts w:ascii="Times New Roman" w:hAnsi="Times New Roman"/>
          <w:lang w:val="en-IE"/>
        </w:rPr>
        <w:t xml:space="preserve">s and their implementation </w:t>
      </w:r>
      <w:r w:rsidR="3C65235B" w:rsidRPr="00391425">
        <w:rPr>
          <w:rFonts w:ascii="Times New Roman" w:hAnsi="Times New Roman"/>
          <w:lang w:val="en-IE"/>
        </w:rPr>
        <w:t>was deemed crucial</w:t>
      </w:r>
      <w:r w:rsidR="5FC04E70" w:rsidRPr="00391425">
        <w:rPr>
          <w:rFonts w:ascii="Times New Roman" w:hAnsi="Times New Roman"/>
          <w:lang w:val="en-IE"/>
        </w:rPr>
        <w:t>.</w:t>
      </w:r>
      <w:r w:rsidR="12C5CAFA" w:rsidRPr="00391425">
        <w:rPr>
          <w:rFonts w:ascii="Times New Roman" w:hAnsi="Times New Roman"/>
          <w:lang w:val="en-IE"/>
        </w:rPr>
        <w:t xml:space="preserve"> </w:t>
      </w:r>
      <w:r w:rsidR="366AB8B8" w:rsidRPr="00391425">
        <w:rPr>
          <w:rFonts w:ascii="Times New Roman" w:hAnsi="Times New Roman"/>
          <w:lang w:val="en-IE"/>
        </w:rPr>
        <w:t>Furthermore, t</w:t>
      </w:r>
      <w:r w:rsidR="12C5CAFA" w:rsidRPr="00391425">
        <w:rPr>
          <w:rFonts w:ascii="Times New Roman" w:hAnsi="Times New Roman"/>
          <w:lang w:val="en-IE"/>
        </w:rPr>
        <w:t>he JTF</w:t>
      </w:r>
      <w:r w:rsidR="4CC1C320" w:rsidRPr="00391425">
        <w:rPr>
          <w:rFonts w:ascii="Times New Roman" w:hAnsi="Times New Roman"/>
          <w:lang w:val="en-IE"/>
        </w:rPr>
        <w:t>’s legal</w:t>
      </w:r>
      <w:r w:rsidR="12C5CAFA" w:rsidRPr="00391425">
        <w:rPr>
          <w:rFonts w:ascii="Times New Roman" w:hAnsi="Times New Roman"/>
          <w:lang w:val="en-IE"/>
        </w:rPr>
        <w:t xml:space="preserve"> framework allows for allocating support to community initiatives</w:t>
      </w:r>
      <w:r w:rsidR="601AE0A1" w:rsidRPr="00391425">
        <w:rPr>
          <w:rFonts w:ascii="Times New Roman" w:hAnsi="Times New Roman"/>
          <w:lang w:val="en-IE"/>
        </w:rPr>
        <w:t xml:space="preserve"> (§31, 36, 38, 52)</w:t>
      </w:r>
      <w:r w:rsidR="12C5CAFA" w:rsidRPr="00391425">
        <w:rPr>
          <w:rFonts w:ascii="Times New Roman" w:hAnsi="Times New Roman"/>
          <w:lang w:val="en-IE"/>
        </w:rPr>
        <w:t>.</w:t>
      </w:r>
    </w:p>
    <w:p w14:paraId="6BF83CE1" w14:textId="6B513CC6" w:rsidR="001C54A1" w:rsidRPr="00FC36E1" w:rsidRDefault="72C69AB8" w:rsidP="007073E5">
      <w:pPr>
        <w:widowControl w:val="0"/>
        <w:spacing w:before="120" w:after="0"/>
        <w:rPr>
          <w:rFonts w:ascii="Times New Roman" w:hAnsi="Times New Roman"/>
          <w:lang w:val="en-IE"/>
        </w:rPr>
      </w:pPr>
      <w:r w:rsidRPr="00FC36E1">
        <w:rPr>
          <w:rFonts w:ascii="Times New Roman" w:hAnsi="Times New Roman"/>
          <w:lang w:val="en-IE"/>
        </w:rPr>
        <w:t xml:space="preserve">The Commission </w:t>
      </w:r>
      <w:r w:rsidR="00E171AF" w:rsidRPr="00FC36E1">
        <w:rPr>
          <w:rFonts w:ascii="Times New Roman" w:hAnsi="Times New Roman"/>
          <w:lang w:val="en-IE"/>
        </w:rPr>
        <w:t>recogni</w:t>
      </w:r>
      <w:r w:rsidR="00613427" w:rsidRPr="00FC36E1">
        <w:rPr>
          <w:rFonts w:ascii="Times New Roman" w:hAnsi="Times New Roman"/>
          <w:lang w:val="en-IE"/>
        </w:rPr>
        <w:t>s</w:t>
      </w:r>
      <w:r w:rsidR="00E171AF" w:rsidRPr="00FC36E1">
        <w:rPr>
          <w:rFonts w:ascii="Times New Roman" w:hAnsi="Times New Roman"/>
          <w:lang w:val="en-IE"/>
        </w:rPr>
        <w:t>es</w:t>
      </w:r>
      <w:r w:rsidR="6CC5FEA1" w:rsidRPr="00FC36E1">
        <w:rPr>
          <w:rFonts w:ascii="Times New Roman" w:hAnsi="Times New Roman"/>
          <w:lang w:val="en-IE"/>
        </w:rPr>
        <w:t xml:space="preserve"> that </w:t>
      </w:r>
      <w:r w:rsidRPr="00FC36E1">
        <w:rPr>
          <w:rFonts w:ascii="Times New Roman" w:hAnsi="Times New Roman"/>
          <w:lang w:val="en-IE"/>
        </w:rPr>
        <w:t xml:space="preserve">social-economy entities </w:t>
      </w:r>
      <w:r w:rsidR="00E171AF" w:rsidRPr="00FC36E1">
        <w:rPr>
          <w:rFonts w:ascii="Times New Roman" w:hAnsi="Times New Roman"/>
          <w:lang w:val="en-IE"/>
        </w:rPr>
        <w:t>often struggle to</w:t>
      </w:r>
      <w:r w:rsidRPr="00FC36E1">
        <w:rPr>
          <w:rFonts w:ascii="Times New Roman" w:hAnsi="Times New Roman"/>
          <w:lang w:val="en-IE"/>
        </w:rPr>
        <w:t xml:space="preserve"> access </w:t>
      </w:r>
      <w:r w:rsidR="00E171AF" w:rsidRPr="00FC36E1">
        <w:rPr>
          <w:rFonts w:ascii="Times New Roman" w:hAnsi="Times New Roman"/>
          <w:lang w:val="en-IE"/>
        </w:rPr>
        <w:t>financing</w:t>
      </w:r>
      <w:r w:rsidRPr="00FC36E1">
        <w:rPr>
          <w:rFonts w:ascii="Times New Roman" w:hAnsi="Times New Roman"/>
          <w:lang w:val="en-IE"/>
        </w:rPr>
        <w:t xml:space="preserve">. </w:t>
      </w:r>
      <w:r w:rsidR="0032416B" w:rsidRPr="00FC36E1">
        <w:rPr>
          <w:rFonts w:ascii="Times New Roman" w:hAnsi="Times New Roman"/>
          <w:lang w:val="en-IE"/>
        </w:rPr>
        <w:t xml:space="preserve">In addition, the Commission highlights </w:t>
      </w:r>
      <w:r w:rsidR="00E171AF" w:rsidRPr="00FC36E1">
        <w:rPr>
          <w:rFonts w:ascii="Times New Roman" w:hAnsi="Times New Roman"/>
          <w:lang w:val="en-IE"/>
        </w:rPr>
        <w:t>the ongoing revision of the State aid General Block Exemption Regulation (EU) No 651/2014</w:t>
      </w:r>
      <w:r w:rsidR="0032416B" w:rsidRPr="00FC36E1">
        <w:rPr>
          <w:rFonts w:ascii="Times New Roman" w:hAnsi="Times New Roman"/>
          <w:lang w:val="en-IE"/>
        </w:rPr>
        <w:t>.</w:t>
      </w:r>
      <w:r w:rsidR="00E171AF" w:rsidRPr="00FC36E1">
        <w:rPr>
          <w:rFonts w:ascii="Times New Roman" w:hAnsi="Times New Roman"/>
          <w:lang w:val="en-IE"/>
        </w:rPr>
        <w:t xml:space="preserve"> To ensure an effective</w:t>
      </w:r>
      <w:r w:rsidR="3B60D840" w:rsidRPr="00FC36E1">
        <w:rPr>
          <w:rFonts w:ascii="Times New Roman" w:hAnsi="Times New Roman"/>
          <w:lang w:val="en-IE"/>
        </w:rPr>
        <w:t xml:space="preserve"> revision, the Commission is </w:t>
      </w:r>
      <w:r w:rsidR="00E171AF" w:rsidRPr="00FC36E1">
        <w:rPr>
          <w:rFonts w:ascii="Times New Roman" w:hAnsi="Times New Roman"/>
          <w:lang w:val="en-IE"/>
        </w:rPr>
        <w:t xml:space="preserve">collaborating </w:t>
      </w:r>
      <w:r w:rsidR="3B60D840" w:rsidRPr="00FC36E1">
        <w:rPr>
          <w:rFonts w:ascii="Times New Roman" w:hAnsi="Times New Roman"/>
          <w:lang w:val="en-IE"/>
        </w:rPr>
        <w:t>with Member States and stakeholders, including from the social economy</w:t>
      </w:r>
      <w:r w:rsidR="00F565E6" w:rsidRPr="00FC36E1">
        <w:rPr>
          <w:rFonts w:ascii="Times New Roman" w:hAnsi="Times New Roman"/>
          <w:lang w:val="en-IE"/>
        </w:rPr>
        <w:t xml:space="preserve">. </w:t>
      </w:r>
      <w:r w:rsidR="00E171AF" w:rsidRPr="00FC36E1">
        <w:rPr>
          <w:rFonts w:ascii="Times New Roman" w:hAnsi="Times New Roman"/>
          <w:lang w:val="en-IE"/>
        </w:rPr>
        <w:t>A broad</w:t>
      </w:r>
      <w:r w:rsidR="279EA1E9" w:rsidRPr="00FC36E1">
        <w:rPr>
          <w:rFonts w:ascii="Times New Roman" w:hAnsi="Times New Roman"/>
          <w:lang w:val="en-IE"/>
        </w:rPr>
        <w:t xml:space="preserve"> </w:t>
      </w:r>
      <w:r w:rsidR="631787BF" w:rsidRPr="00FC36E1">
        <w:rPr>
          <w:rFonts w:ascii="Times New Roman" w:hAnsi="Times New Roman"/>
          <w:lang w:val="en-IE"/>
        </w:rPr>
        <w:t>public consultation</w:t>
      </w:r>
      <w:r w:rsidR="287A72CB" w:rsidRPr="00FC36E1">
        <w:rPr>
          <w:rFonts w:ascii="Times New Roman" w:hAnsi="Times New Roman"/>
          <w:lang w:val="en-IE"/>
        </w:rPr>
        <w:t xml:space="preserve"> </w:t>
      </w:r>
      <w:r w:rsidR="00E171AF" w:rsidRPr="00FC36E1">
        <w:rPr>
          <w:rFonts w:ascii="Times New Roman" w:hAnsi="Times New Roman"/>
          <w:lang w:val="en-IE"/>
        </w:rPr>
        <w:t xml:space="preserve">took place </w:t>
      </w:r>
      <w:r w:rsidR="287A72CB" w:rsidRPr="00FC36E1">
        <w:rPr>
          <w:rFonts w:ascii="Times New Roman" w:hAnsi="Times New Roman"/>
          <w:lang w:val="en-IE"/>
        </w:rPr>
        <w:t xml:space="preserve">from </w:t>
      </w:r>
      <w:r w:rsidR="00613427" w:rsidRPr="00FC36E1">
        <w:rPr>
          <w:rFonts w:ascii="Times New Roman" w:hAnsi="Times New Roman"/>
          <w:lang w:val="en-IE"/>
        </w:rPr>
        <w:t xml:space="preserve">14 </w:t>
      </w:r>
      <w:r w:rsidR="631787BF" w:rsidRPr="00FC36E1">
        <w:rPr>
          <w:rFonts w:ascii="Times New Roman" w:hAnsi="Times New Roman"/>
          <w:lang w:val="en-IE"/>
        </w:rPr>
        <w:t>July</w:t>
      </w:r>
      <w:r w:rsidR="103B58A3" w:rsidRPr="00FC36E1">
        <w:rPr>
          <w:rFonts w:ascii="Times New Roman" w:hAnsi="Times New Roman"/>
          <w:lang w:val="en-IE"/>
        </w:rPr>
        <w:t xml:space="preserve"> </w:t>
      </w:r>
      <w:r w:rsidR="00E171AF" w:rsidRPr="00FC36E1">
        <w:rPr>
          <w:rFonts w:ascii="Times New Roman" w:hAnsi="Times New Roman"/>
          <w:lang w:val="en-IE"/>
        </w:rPr>
        <w:t>to</w:t>
      </w:r>
      <w:r w:rsidR="631787BF" w:rsidRPr="00FC36E1">
        <w:rPr>
          <w:rFonts w:ascii="Times New Roman" w:hAnsi="Times New Roman"/>
          <w:lang w:val="en-IE"/>
        </w:rPr>
        <w:t xml:space="preserve"> </w:t>
      </w:r>
      <w:r w:rsidR="00613427" w:rsidRPr="00FC36E1">
        <w:rPr>
          <w:rFonts w:ascii="Times New Roman" w:hAnsi="Times New Roman"/>
          <w:lang w:val="en-IE"/>
        </w:rPr>
        <w:t>6</w:t>
      </w:r>
      <w:r w:rsidR="009A4295" w:rsidRPr="00FC36E1">
        <w:rPr>
          <w:rFonts w:ascii="Times New Roman" w:hAnsi="Times New Roman"/>
          <w:lang w:val="en-IE"/>
        </w:rPr>
        <w:t xml:space="preserve"> </w:t>
      </w:r>
      <w:r w:rsidR="631787BF" w:rsidRPr="00FC36E1">
        <w:rPr>
          <w:rFonts w:ascii="Times New Roman" w:hAnsi="Times New Roman"/>
          <w:lang w:val="en-IE"/>
        </w:rPr>
        <w:t>October</w:t>
      </w:r>
      <w:r w:rsidR="00E171AF" w:rsidRPr="00FC36E1">
        <w:rPr>
          <w:rFonts w:ascii="Times New Roman" w:hAnsi="Times New Roman"/>
          <w:lang w:val="en-IE"/>
        </w:rPr>
        <w:t xml:space="preserve"> </w:t>
      </w:r>
      <w:r w:rsidR="631787BF" w:rsidRPr="00FC36E1">
        <w:rPr>
          <w:rFonts w:ascii="Times New Roman" w:hAnsi="Times New Roman"/>
          <w:lang w:val="en-IE"/>
        </w:rPr>
        <w:t>2025</w:t>
      </w:r>
      <w:r w:rsidR="009A4295" w:rsidRPr="00FC36E1">
        <w:rPr>
          <w:rFonts w:ascii="Times New Roman" w:hAnsi="Times New Roman"/>
          <w:lang w:val="en-IE"/>
        </w:rPr>
        <w:t>. A</w:t>
      </w:r>
      <w:r w:rsidR="6D4D285F" w:rsidRPr="00FC36E1">
        <w:rPr>
          <w:rFonts w:ascii="Times New Roman" w:hAnsi="Times New Roman"/>
          <w:lang w:val="en-IE"/>
        </w:rPr>
        <w:t xml:space="preserve"> draft legal text </w:t>
      </w:r>
      <w:r w:rsidR="00E171AF" w:rsidRPr="00FC36E1">
        <w:rPr>
          <w:rFonts w:ascii="Times New Roman" w:hAnsi="Times New Roman"/>
          <w:lang w:val="en-IE"/>
        </w:rPr>
        <w:t xml:space="preserve">will be published </w:t>
      </w:r>
      <w:r w:rsidR="6D4D285F" w:rsidRPr="00FC36E1">
        <w:rPr>
          <w:rFonts w:ascii="Times New Roman" w:hAnsi="Times New Roman"/>
          <w:lang w:val="en-IE"/>
        </w:rPr>
        <w:t xml:space="preserve">for </w:t>
      </w:r>
      <w:r w:rsidR="00E171AF" w:rsidRPr="00FC36E1">
        <w:rPr>
          <w:rFonts w:ascii="Times New Roman" w:hAnsi="Times New Roman"/>
          <w:lang w:val="en-IE"/>
        </w:rPr>
        <w:t xml:space="preserve">further </w:t>
      </w:r>
      <w:r w:rsidR="6D4D285F" w:rsidRPr="00FC36E1">
        <w:rPr>
          <w:rFonts w:ascii="Times New Roman" w:hAnsi="Times New Roman"/>
          <w:lang w:val="en-IE"/>
        </w:rPr>
        <w:t>public</w:t>
      </w:r>
      <w:r w:rsidR="191D2928" w:rsidRPr="00FC36E1">
        <w:rPr>
          <w:rFonts w:ascii="Times New Roman" w:hAnsi="Times New Roman"/>
          <w:lang w:val="en-IE"/>
        </w:rPr>
        <w:t xml:space="preserve"> </w:t>
      </w:r>
      <w:r w:rsidR="6D4D285F" w:rsidRPr="00FC36E1">
        <w:rPr>
          <w:rFonts w:ascii="Times New Roman" w:hAnsi="Times New Roman"/>
          <w:lang w:val="en-IE"/>
        </w:rPr>
        <w:t>consultation</w:t>
      </w:r>
      <w:r w:rsidR="00E171AF" w:rsidRPr="00FC36E1">
        <w:rPr>
          <w:rFonts w:ascii="Times New Roman" w:hAnsi="Times New Roman"/>
          <w:lang w:val="en-IE"/>
        </w:rPr>
        <w:t xml:space="preserve">. The </w:t>
      </w:r>
      <w:r w:rsidR="6D4D285F" w:rsidRPr="00FC36E1">
        <w:rPr>
          <w:rFonts w:ascii="Times New Roman" w:hAnsi="Times New Roman"/>
          <w:lang w:val="en-IE"/>
        </w:rPr>
        <w:t>Commission</w:t>
      </w:r>
      <w:r w:rsidR="00E171AF" w:rsidRPr="00FC36E1">
        <w:rPr>
          <w:rFonts w:ascii="Times New Roman" w:hAnsi="Times New Roman"/>
          <w:lang w:val="en-IE"/>
        </w:rPr>
        <w:t xml:space="preserve"> </w:t>
      </w:r>
      <w:r w:rsidR="00F565E6" w:rsidRPr="00FC36E1">
        <w:rPr>
          <w:rFonts w:ascii="Times New Roman" w:hAnsi="Times New Roman"/>
          <w:lang w:val="en-IE"/>
        </w:rPr>
        <w:t>will</w:t>
      </w:r>
      <w:r w:rsidR="6D4D285F" w:rsidRPr="00FC36E1">
        <w:rPr>
          <w:rFonts w:ascii="Times New Roman" w:hAnsi="Times New Roman"/>
          <w:lang w:val="en-IE"/>
        </w:rPr>
        <w:t xml:space="preserve"> also discuss the revision with Member States in a co</w:t>
      </w:r>
      <w:r w:rsidR="67746B04" w:rsidRPr="00FC36E1">
        <w:rPr>
          <w:rFonts w:ascii="Times New Roman" w:hAnsi="Times New Roman"/>
          <w:lang w:val="en-IE"/>
        </w:rPr>
        <w:t>mmittee format</w:t>
      </w:r>
      <w:r w:rsidR="631787BF" w:rsidRPr="00FC36E1">
        <w:rPr>
          <w:rFonts w:ascii="Times New Roman" w:hAnsi="Times New Roman"/>
          <w:lang w:val="en-IE"/>
        </w:rPr>
        <w:t xml:space="preserve">. </w:t>
      </w:r>
      <w:r w:rsidR="00E171AF" w:rsidRPr="00FC36E1">
        <w:rPr>
          <w:rFonts w:ascii="Times New Roman" w:hAnsi="Times New Roman"/>
          <w:lang w:val="en-IE"/>
        </w:rPr>
        <w:t>It is important to note</w:t>
      </w:r>
      <w:r w:rsidR="6EA6603C" w:rsidRPr="00FC36E1">
        <w:rPr>
          <w:rFonts w:ascii="Times New Roman" w:hAnsi="Times New Roman"/>
          <w:lang w:val="en-IE"/>
        </w:rPr>
        <w:t xml:space="preserve">, </w:t>
      </w:r>
      <w:r w:rsidR="00613427" w:rsidRPr="00FC36E1">
        <w:rPr>
          <w:rFonts w:ascii="Times New Roman" w:hAnsi="Times New Roman"/>
          <w:lang w:val="en-IE"/>
        </w:rPr>
        <w:t>however</w:t>
      </w:r>
      <w:r w:rsidR="6EA6603C" w:rsidRPr="00FC36E1">
        <w:rPr>
          <w:rFonts w:ascii="Times New Roman" w:hAnsi="Times New Roman"/>
          <w:lang w:val="en-IE"/>
        </w:rPr>
        <w:t xml:space="preserve">, </w:t>
      </w:r>
      <w:r w:rsidR="3A8943EF" w:rsidRPr="00FC36E1">
        <w:rPr>
          <w:rFonts w:ascii="Times New Roman" w:hAnsi="Times New Roman"/>
          <w:lang w:val="en-IE"/>
        </w:rPr>
        <w:t xml:space="preserve">that </w:t>
      </w:r>
      <w:r w:rsidR="18652CEB" w:rsidRPr="00FC36E1">
        <w:rPr>
          <w:rFonts w:ascii="Times New Roman" w:hAnsi="Times New Roman"/>
          <w:lang w:val="en-IE"/>
        </w:rPr>
        <w:t xml:space="preserve">EU </w:t>
      </w:r>
      <w:r w:rsidR="3A8943EF" w:rsidRPr="00FC36E1">
        <w:rPr>
          <w:rFonts w:ascii="Times New Roman" w:hAnsi="Times New Roman"/>
          <w:lang w:val="en-IE"/>
        </w:rPr>
        <w:t xml:space="preserve">State aid rules only apply to </w:t>
      </w:r>
      <w:r w:rsidR="304CCD44" w:rsidRPr="00FC36E1">
        <w:rPr>
          <w:rFonts w:ascii="Times New Roman" w:hAnsi="Times New Roman"/>
          <w:lang w:val="en-IE"/>
        </w:rPr>
        <w:t xml:space="preserve">selective </w:t>
      </w:r>
      <w:r w:rsidR="3A8943EF" w:rsidRPr="00FC36E1">
        <w:rPr>
          <w:rFonts w:ascii="Times New Roman" w:hAnsi="Times New Roman"/>
          <w:lang w:val="en-IE"/>
        </w:rPr>
        <w:t>public funding for</w:t>
      </w:r>
      <w:r w:rsidR="10FFB628" w:rsidRPr="00FC36E1">
        <w:rPr>
          <w:rFonts w:ascii="Times New Roman" w:hAnsi="Times New Roman"/>
          <w:lang w:val="en-IE"/>
        </w:rPr>
        <w:t xml:space="preserve"> </w:t>
      </w:r>
      <w:r w:rsidR="0C460BF6" w:rsidRPr="00FC36E1">
        <w:rPr>
          <w:rFonts w:ascii="Times New Roman" w:hAnsi="Times New Roman"/>
          <w:lang w:val="en-IE"/>
        </w:rPr>
        <w:t>unde</w:t>
      </w:r>
      <w:r w:rsidR="4ED10494" w:rsidRPr="00FC36E1">
        <w:rPr>
          <w:rFonts w:ascii="Times New Roman" w:hAnsi="Times New Roman"/>
          <w:lang w:val="en-IE"/>
        </w:rPr>
        <w:t>r</w:t>
      </w:r>
      <w:r w:rsidR="47A41002" w:rsidRPr="00FC36E1">
        <w:rPr>
          <w:rFonts w:ascii="Times New Roman" w:hAnsi="Times New Roman"/>
          <w:lang w:val="en-IE"/>
        </w:rPr>
        <w:t>t</w:t>
      </w:r>
      <w:r w:rsidR="4ED10494" w:rsidRPr="00FC36E1">
        <w:rPr>
          <w:rFonts w:ascii="Times New Roman" w:hAnsi="Times New Roman"/>
          <w:lang w:val="en-IE"/>
        </w:rPr>
        <w:t>akings</w:t>
      </w:r>
      <w:r w:rsidR="00E171AF" w:rsidRPr="00FC36E1">
        <w:rPr>
          <w:rFonts w:ascii="Times New Roman" w:hAnsi="Times New Roman"/>
          <w:lang w:val="en-IE"/>
        </w:rPr>
        <w:t xml:space="preserve"> - </w:t>
      </w:r>
      <w:r w:rsidR="4ED10494" w:rsidRPr="00FC36E1">
        <w:rPr>
          <w:rFonts w:ascii="Times New Roman" w:hAnsi="Times New Roman"/>
          <w:i/>
          <w:iCs/>
          <w:lang w:val="en-IE"/>
        </w:rPr>
        <w:t>i.e.</w:t>
      </w:r>
      <w:r w:rsidR="4ED10494" w:rsidRPr="00FC36E1">
        <w:rPr>
          <w:rFonts w:ascii="Times New Roman" w:hAnsi="Times New Roman"/>
          <w:lang w:val="en-IE"/>
        </w:rPr>
        <w:t xml:space="preserve"> entities engaged in </w:t>
      </w:r>
      <w:r w:rsidR="10FFB628" w:rsidRPr="00FC36E1">
        <w:rPr>
          <w:rFonts w:ascii="Times New Roman" w:hAnsi="Times New Roman"/>
          <w:lang w:val="en-IE"/>
        </w:rPr>
        <w:t>economic activities</w:t>
      </w:r>
      <w:r w:rsidR="00E171AF" w:rsidRPr="00FC36E1">
        <w:rPr>
          <w:rFonts w:ascii="Times New Roman" w:hAnsi="Times New Roman"/>
          <w:lang w:val="en-IE"/>
        </w:rPr>
        <w:t xml:space="preserve"> </w:t>
      </w:r>
      <w:r w:rsidR="00EF734B" w:rsidRPr="00FC36E1">
        <w:rPr>
          <w:rFonts w:ascii="Times New Roman" w:hAnsi="Times New Roman"/>
          <w:lang w:val="en-IE"/>
        </w:rPr>
        <w:t xml:space="preserve">- </w:t>
      </w:r>
      <w:r w:rsidR="00613427" w:rsidRPr="00FC36E1">
        <w:rPr>
          <w:rFonts w:ascii="Times New Roman" w:hAnsi="Times New Roman"/>
          <w:lang w:val="en-IE"/>
        </w:rPr>
        <w:t>and</w:t>
      </w:r>
      <w:r w:rsidR="00E171AF" w:rsidRPr="00FC36E1">
        <w:rPr>
          <w:rFonts w:ascii="Times New Roman" w:hAnsi="Times New Roman"/>
          <w:lang w:val="en-IE"/>
        </w:rPr>
        <w:t xml:space="preserve"> </w:t>
      </w:r>
      <w:r w:rsidR="7C11E1B5" w:rsidRPr="00FC36E1">
        <w:rPr>
          <w:rFonts w:ascii="Times New Roman" w:hAnsi="Times New Roman"/>
          <w:lang w:val="en-IE"/>
        </w:rPr>
        <w:t xml:space="preserve">if such funding has the potential to distort competition and affects trade between Member States. </w:t>
      </w:r>
      <w:r w:rsidR="00613427" w:rsidRPr="00FC36E1">
        <w:rPr>
          <w:rFonts w:ascii="Times New Roman" w:hAnsi="Times New Roman"/>
          <w:lang w:val="en-IE"/>
        </w:rPr>
        <w:t>S</w:t>
      </w:r>
      <w:r w:rsidR="00E171AF" w:rsidRPr="00FC36E1">
        <w:rPr>
          <w:rFonts w:ascii="Times New Roman" w:hAnsi="Times New Roman"/>
          <w:lang w:val="en-IE"/>
        </w:rPr>
        <w:t>ome</w:t>
      </w:r>
      <w:r w:rsidR="1729A680" w:rsidRPr="00FC36E1">
        <w:rPr>
          <w:rFonts w:ascii="Times New Roman" w:hAnsi="Times New Roman"/>
          <w:lang w:val="en-IE"/>
        </w:rPr>
        <w:t xml:space="preserve"> </w:t>
      </w:r>
      <w:r w:rsidR="2F63F738" w:rsidRPr="00FC36E1">
        <w:rPr>
          <w:rFonts w:ascii="Times New Roman" w:hAnsi="Times New Roman"/>
          <w:lang w:val="en-IE"/>
        </w:rPr>
        <w:t xml:space="preserve">social-economy entities may </w:t>
      </w:r>
      <w:r w:rsidR="0FDB6658" w:rsidRPr="00FC36E1">
        <w:rPr>
          <w:rFonts w:ascii="Times New Roman" w:hAnsi="Times New Roman"/>
          <w:lang w:val="en-IE"/>
        </w:rPr>
        <w:t xml:space="preserve">not </w:t>
      </w:r>
      <w:r w:rsidR="2F63F738" w:rsidRPr="00FC36E1">
        <w:rPr>
          <w:rFonts w:ascii="Times New Roman" w:hAnsi="Times New Roman"/>
          <w:lang w:val="en-IE"/>
        </w:rPr>
        <w:t xml:space="preserve">be subject to </w:t>
      </w:r>
      <w:r w:rsidR="00E171AF" w:rsidRPr="00FC36E1">
        <w:rPr>
          <w:rFonts w:ascii="Times New Roman" w:hAnsi="Times New Roman"/>
          <w:lang w:val="en-IE"/>
        </w:rPr>
        <w:t>these</w:t>
      </w:r>
      <w:r w:rsidR="2F63F738" w:rsidRPr="00FC36E1">
        <w:rPr>
          <w:rFonts w:ascii="Times New Roman" w:hAnsi="Times New Roman"/>
          <w:lang w:val="en-IE"/>
        </w:rPr>
        <w:t xml:space="preserve"> rules</w:t>
      </w:r>
      <w:r w:rsidR="00613427" w:rsidRPr="00FC36E1">
        <w:rPr>
          <w:rFonts w:ascii="Times New Roman" w:hAnsi="Times New Roman"/>
          <w:lang w:val="en-IE"/>
        </w:rPr>
        <w:t xml:space="preserve"> if, for example, their activities do not involve the offering of goods or services on a market, or if the services that </w:t>
      </w:r>
      <w:r w:rsidR="00EF734B" w:rsidRPr="00FC36E1">
        <w:rPr>
          <w:rFonts w:ascii="Times New Roman" w:hAnsi="Times New Roman"/>
          <w:lang w:val="en-IE"/>
        </w:rPr>
        <w:t>they</w:t>
      </w:r>
      <w:r w:rsidR="00613427" w:rsidRPr="00FC36E1">
        <w:rPr>
          <w:rFonts w:ascii="Times New Roman" w:hAnsi="Times New Roman"/>
          <w:lang w:val="en-IE"/>
        </w:rPr>
        <w:t xml:space="preserve"> provide are sufficiently local in scope that they are not capable of affecting trade between Member States</w:t>
      </w:r>
      <w:r w:rsidR="001249DB" w:rsidRPr="00FC36E1">
        <w:rPr>
          <w:rFonts w:ascii="Times New Roman" w:hAnsi="Times New Roman"/>
          <w:lang w:val="en-IE"/>
        </w:rPr>
        <w:t xml:space="preserve"> </w:t>
      </w:r>
      <w:r w:rsidR="1C605E6C" w:rsidRPr="00FC36E1">
        <w:rPr>
          <w:rFonts w:ascii="Times New Roman" w:hAnsi="Times New Roman"/>
          <w:lang w:val="en-IE"/>
        </w:rPr>
        <w:t>(§37)</w:t>
      </w:r>
      <w:r w:rsidR="00DB63D2" w:rsidRPr="00FC36E1">
        <w:rPr>
          <w:rFonts w:ascii="Times New Roman" w:hAnsi="Times New Roman"/>
          <w:lang w:val="en-IE"/>
        </w:rPr>
        <w:t xml:space="preserve">. </w:t>
      </w:r>
    </w:p>
    <w:p w14:paraId="4427AEFB" w14:textId="0014D224" w:rsidR="00012466" w:rsidRPr="00FC36E1" w:rsidRDefault="537A8420" w:rsidP="007073E5">
      <w:pPr>
        <w:widowControl w:val="0"/>
        <w:spacing w:before="120" w:after="0"/>
        <w:rPr>
          <w:lang w:val="en-IE"/>
        </w:rPr>
      </w:pPr>
      <w:r w:rsidRPr="00391425">
        <w:rPr>
          <w:rFonts w:ascii="Times New Roman" w:hAnsi="Times New Roman"/>
          <w:lang w:val="en-IE"/>
        </w:rPr>
        <w:t xml:space="preserve">The Commission </w:t>
      </w:r>
      <w:r w:rsidR="00613427" w:rsidRPr="00391425">
        <w:rPr>
          <w:rFonts w:ascii="Times New Roman" w:hAnsi="Times New Roman"/>
          <w:lang w:val="en-IE"/>
        </w:rPr>
        <w:t xml:space="preserve">recalls </w:t>
      </w:r>
      <w:r w:rsidRPr="00391425">
        <w:rPr>
          <w:rFonts w:ascii="Times New Roman" w:hAnsi="Times New Roman"/>
          <w:lang w:val="en-IE"/>
        </w:rPr>
        <w:t xml:space="preserve">that the budget of the Union allocated to the 2021-2027 Cohesion policy funds is implemented under shared management. The Member States are responsible for </w:t>
      </w:r>
      <w:r w:rsidR="00613427" w:rsidRPr="00391425">
        <w:rPr>
          <w:rFonts w:ascii="Times New Roman" w:hAnsi="Times New Roman"/>
          <w:lang w:val="en-IE"/>
        </w:rPr>
        <w:t xml:space="preserve">the </w:t>
      </w:r>
      <w:r w:rsidRPr="00391425">
        <w:rPr>
          <w:rFonts w:ascii="Times New Roman" w:hAnsi="Times New Roman"/>
          <w:lang w:val="en-IE"/>
        </w:rPr>
        <w:t>preparation and implementation of programmes, including projects</w:t>
      </w:r>
      <w:r w:rsidR="00EF734B" w:rsidRPr="00391425">
        <w:rPr>
          <w:rFonts w:ascii="Times New Roman" w:hAnsi="Times New Roman"/>
          <w:lang w:val="en-IE"/>
        </w:rPr>
        <w:t>’</w:t>
      </w:r>
      <w:r w:rsidRPr="00391425">
        <w:rPr>
          <w:rFonts w:ascii="Times New Roman" w:hAnsi="Times New Roman"/>
          <w:lang w:val="en-IE"/>
        </w:rPr>
        <w:t xml:space="preserve"> selection and financing. </w:t>
      </w:r>
      <w:r w:rsidRPr="00FC36E1">
        <w:rPr>
          <w:rFonts w:ascii="Times New Roman" w:hAnsi="Times New Roman"/>
          <w:lang w:val="en-IE"/>
        </w:rPr>
        <w:t xml:space="preserve">Calls for proposals under shared management are published by the managing authorities in line with programmes’ strategies. </w:t>
      </w:r>
    </w:p>
    <w:p w14:paraId="506BB2E2" w14:textId="640AB167" w:rsidR="00F51591" w:rsidRPr="00FC36E1" w:rsidRDefault="558CE75B" w:rsidP="007073E5">
      <w:pPr>
        <w:widowControl w:val="0"/>
        <w:spacing w:before="120" w:after="0"/>
        <w:rPr>
          <w:rFonts w:ascii="Times New Roman" w:hAnsi="Times New Roman"/>
          <w:lang w:val="en-IE"/>
        </w:rPr>
      </w:pPr>
      <w:r w:rsidRPr="00FC36E1">
        <w:rPr>
          <w:rFonts w:ascii="Times New Roman" w:hAnsi="Times New Roman"/>
          <w:lang w:val="en-IE"/>
        </w:rPr>
        <w:t xml:space="preserve">The Commission </w:t>
      </w:r>
      <w:r w:rsidR="5E3EE754" w:rsidRPr="00FC36E1">
        <w:rPr>
          <w:rFonts w:ascii="Times New Roman" w:hAnsi="Times New Roman"/>
          <w:lang w:val="en-IE"/>
        </w:rPr>
        <w:t xml:space="preserve">fully supports </w:t>
      </w:r>
      <w:r w:rsidR="72184FC9" w:rsidRPr="00FC36E1">
        <w:rPr>
          <w:rFonts w:ascii="Times New Roman" w:hAnsi="Times New Roman"/>
          <w:lang w:val="en-IE"/>
        </w:rPr>
        <w:t xml:space="preserve">the </w:t>
      </w:r>
      <w:r w:rsidR="5E3EE754" w:rsidRPr="00FC36E1">
        <w:rPr>
          <w:rFonts w:ascii="Times New Roman" w:hAnsi="Times New Roman"/>
          <w:lang w:val="en-IE"/>
        </w:rPr>
        <w:t xml:space="preserve">‘right to stay’ principle: the people in territories undergoing transition should not be forced to leave their homes or communities in search of jobs, services, or opportunities. </w:t>
      </w:r>
      <w:r w:rsidR="637E0FFA" w:rsidRPr="00FC36E1">
        <w:rPr>
          <w:rFonts w:ascii="Times New Roman" w:hAnsi="Times New Roman"/>
          <w:lang w:val="en-IE"/>
        </w:rPr>
        <w:t xml:space="preserve">This principle is supported at EU-level by Cohesion </w:t>
      </w:r>
      <w:r w:rsidR="00B348F5" w:rsidRPr="00FC36E1">
        <w:rPr>
          <w:rFonts w:ascii="Times New Roman" w:hAnsi="Times New Roman"/>
          <w:lang w:val="en-IE"/>
        </w:rPr>
        <w:t>p</w:t>
      </w:r>
      <w:r w:rsidR="637E0FFA" w:rsidRPr="00FC36E1">
        <w:rPr>
          <w:rFonts w:ascii="Times New Roman" w:hAnsi="Times New Roman"/>
          <w:lang w:val="en-IE"/>
        </w:rPr>
        <w:t xml:space="preserve">olicy principles: the objective of economic, social, and territorial cohesion </w:t>
      </w:r>
      <w:r w:rsidR="1860BEE5" w:rsidRPr="00FC36E1">
        <w:rPr>
          <w:rFonts w:ascii="Times New Roman" w:hAnsi="Times New Roman"/>
          <w:lang w:val="en-IE"/>
        </w:rPr>
        <w:t xml:space="preserve">that </w:t>
      </w:r>
      <w:r w:rsidR="637E0FFA" w:rsidRPr="00FC36E1">
        <w:rPr>
          <w:rFonts w:ascii="Times New Roman" w:hAnsi="Times New Roman"/>
          <w:lang w:val="en-IE"/>
        </w:rPr>
        <w:t>underpins the idea that all citizens should have fair prospects regardless of where they live.</w:t>
      </w:r>
      <w:r w:rsidR="5B403843" w:rsidRPr="00FC36E1">
        <w:rPr>
          <w:rFonts w:ascii="Times New Roman" w:hAnsi="Times New Roman"/>
          <w:lang w:val="en-IE"/>
        </w:rPr>
        <w:t xml:space="preserve"> </w:t>
      </w:r>
      <w:r w:rsidR="4DEA4438" w:rsidRPr="00FC36E1">
        <w:rPr>
          <w:rFonts w:ascii="Times New Roman" w:hAnsi="Times New Roman"/>
          <w:lang w:val="en-IE"/>
        </w:rPr>
        <w:t xml:space="preserve">The </w:t>
      </w:r>
      <w:r w:rsidR="5B403843" w:rsidRPr="00FC36E1">
        <w:rPr>
          <w:rFonts w:ascii="Times New Roman" w:hAnsi="Times New Roman"/>
          <w:lang w:val="en-IE"/>
        </w:rPr>
        <w:t>JTF directly supports projects that create new employment opportunities in coal regions and other carbon-intensive territories</w:t>
      </w:r>
      <w:r w:rsidR="00180844" w:rsidRPr="00FC36E1">
        <w:rPr>
          <w:rFonts w:ascii="Times New Roman" w:hAnsi="Times New Roman"/>
          <w:lang w:val="en-IE"/>
        </w:rPr>
        <w:t>,</w:t>
      </w:r>
      <w:r w:rsidR="00180844" w:rsidRPr="00FC36E1">
        <w:rPr>
          <w:rFonts w:ascii="Times New Roman" w:hAnsi="Times New Roman"/>
          <w:szCs w:val="24"/>
          <w:lang w:val="en-IE"/>
        </w:rPr>
        <w:t xml:space="preserve"> for example through the promotion of sustainable cultural tourism</w:t>
      </w:r>
      <w:r w:rsidR="5B403843" w:rsidRPr="00FC36E1">
        <w:rPr>
          <w:rFonts w:ascii="Times New Roman" w:hAnsi="Times New Roman"/>
          <w:lang w:val="en-IE"/>
        </w:rPr>
        <w:t>.</w:t>
      </w:r>
      <w:r w:rsidR="596566DC" w:rsidRPr="00FC36E1">
        <w:rPr>
          <w:rFonts w:ascii="Times New Roman" w:hAnsi="Times New Roman"/>
          <w:lang w:val="en-IE"/>
        </w:rPr>
        <w:t xml:space="preserve"> To enforce this </w:t>
      </w:r>
      <w:r w:rsidR="0E412BF8" w:rsidRPr="00FC36E1">
        <w:rPr>
          <w:rFonts w:ascii="Times New Roman" w:hAnsi="Times New Roman"/>
          <w:lang w:val="en-IE"/>
        </w:rPr>
        <w:t>principle</w:t>
      </w:r>
      <w:r w:rsidR="596566DC" w:rsidRPr="00FC36E1">
        <w:rPr>
          <w:rFonts w:ascii="Times New Roman" w:hAnsi="Times New Roman"/>
          <w:lang w:val="en-IE"/>
        </w:rPr>
        <w:t xml:space="preserve">, the Commission has set up the Just Transition Platform, the Cohesion for Transition Community of Practice </w:t>
      </w:r>
      <w:r w:rsidR="38599D27" w:rsidRPr="00FC36E1">
        <w:rPr>
          <w:rFonts w:ascii="Times New Roman" w:hAnsi="Times New Roman"/>
          <w:lang w:val="en-IE"/>
        </w:rPr>
        <w:t>a</w:t>
      </w:r>
      <w:r w:rsidR="596566DC" w:rsidRPr="00FC36E1">
        <w:rPr>
          <w:rFonts w:ascii="Times New Roman" w:hAnsi="Times New Roman"/>
          <w:lang w:val="en-IE"/>
        </w:rPr>
        <w:t xml:space="preserve">s well as Harnessing Talents </w:t>
      </w:r>
      <w:r w:rsidR="10575379" w:rsidRPr="00FC36E1">
        <w:rPr>
          <w:rFonts w:ascii="Times New Roman" w:hAnsi="Times New Roman"/>
          <w:lang w:val="en-IE"/>
        </w:rPr>
        <w:t>Platform</w:t>
      </w:r>
      <w:r w:rsidR="238DC718" w:rsidRPr="00FC36E1">
        <w:rPr>
          <w:rFonts w:ascii="Times New Roman" w:hAnsi="Times New Roman"/>
          <w:lang w:val="en-IE"/>
        </w:rPr>
        <w:t xml:space="preserve"> (§42)</w:t>
      </w:r>
      <w:r w:rsidR="10575379" w:rsidRPr="00FC36E1">
        <w:rPr>
          <w:rFonts w:ascii="Times New Roman" w:hAnsi="Times New Roman"/>
          <w:lang w:val="en-IE"/>
        </w:rPr>
        <w:t xml:space="preserve">. </w:t>
      </w:r>
    </w:p>
    <w:p w14:paraId="20068B84" w14:textId="01F075B0" w:rsidR="58B14BB0" w:rsidRPr="00FC36E1" w:rsidRDefault="543E81AF" w:rsidP="007073E5">
      <w:pPr>
        <w:spacing w:before="120" w:after="0"/>
        <w:rPr>
          <w:rFonts w:ascii="Times New Roman" w:hAnsi="Times New Roman"/>
          <w:lang w:val="en-IE"/>
        </w:rPr>
      </w:pPr>
      <w:r w:rsidRPr="00FC36E1">
        <w:rPr>
          <w:rFonts w:ascii="Times New Roman" w:hAnsi="Times New Roman"/>
          <w:lang w:val="en-IE"/>
        </w:rPr>
        <w:t>While responsibility for implementation lies with the Member States under the shared management system, the Commission is actively supporting national and regional authorities in this task. To help overcome bottlenecks, the Commission services provide continuous guidance to Managing Authorities and make available tailored expertise through the Just Transition Platform, ensuring that Member States have the tools and support needed to deliver results on the ground</w:t>
      </w:r>
      <w:r w:rsidR="30C383B7" w:rsidRPr="00FC36E1">
        <w:rPr>
          <w:rFonts w:ascii="Times New Roman" w:hAnsi="Times New Roman"/>
          <w:lang w:val="en-IE"/>
        </w:rPr>
        <w:t xml:space="preserve"> (§43)</w:t>
      </w:r>
      <w:r w:rsidRPr="00FC36E1">
        <w:rPr>
          <w:rFonts w:ascii="Times New Roman" w:hAnsi="Times New Roman"/>
          <w:lang w:val="en-IE"/>
        </w:rPr>
        <w:t xml:space="preserve">. </w:t>
      </w:r>
    </w:p>
    <w:p w14:paraId="1F905830" w14:textId="0FADF9AE" w:rsidR="006A0BDB" w:rsidRPr="00391425" w:rsidRDefault="261FA68B" w:rsidP="007073E5">
      <w:pPr>
        <w:widowControl w:val="0"/>
        <w:spacing w:before="120" w:after="0"/>
        <w:rPr>
          <w:rFonts w:ascii="Times New Roman" w:hAnsi="Times New Roman"/>
          <w:lang w:val="en-IE"/>
        </w:rPr>
      </w:pPr>
      <w:r w:rsidRPr="00391425">
        <w:rPr>
          <w:rFonts w:ascii="Times New Roman" w:hAnsi="Times New Roman"/>
          <w:lang w:val="en-IE"/>
        </w:rPr>
        <w:t xml:space="preserve">In line with the EP’s recommendations, the Commission has assessed timescales for the closure of key power plants in the EU and negotiated </w:t>
      </w:r>
      <w:r w:rsidR="009707DF" w:rsidRPr="00391425">
        <w:rPr>
          <w:rFonts w:ascii="Times New Roman" w:hAnsi="Times New Roman"/>
          <w:lang w:val="en-IE"/>
        </w:rPr>
        <w:t>T</w:t>
      </w:r>
      <w:r w:rsidRPr="00391425">
        <w:rPr>
          <w:rFonts w:ascii="Times New Roman" w:hAnsi="Times New Roman"/>
          <w:lang w:val="en-IE"/>
        </w:rPr>
        <w:t xml:space="preserve">erritorial </w:t>
      </w:r>
      <w:r w:rsidR="009707DF" w:rsidRPr="00391425">
        <w:rPr>
          <w:rFonts w:ascii="Times New Roman" w:hAnsi="Times New Roman"/>
          <w:lang w:val="en-IE"/>
        </w:rPr>
        <w:t>J</w:t>
      </w:r>
      <w:r w:rsidRPr="00391425">
        <w:rPr>
          <w:rFonts w:ascii="Times New Roman" w:hAnsi="Times New Roman"/>
          <w:lang w:val="en-IE"/>
        </w:rPr>
        <w:t xml:space="preserve">ust </w:t>
      </w:r>
      <w:r w:rsidR="009707DF" w:rsidRPr="00391425">
        <w:rPr>
          <w:rFonts w:ascii="Times New Roman" w:hAnsi="Times New Roman"/>
          <w:lang w:val="en-IE"/>
        </w:rPr>
        <w:t>T</w:t>
      </w:r>
      <w:r w:rsidRPr="00391425">
        <w:rPr>
          <w:rFonts w:ascii="Times New Roman" w:hAnsi="Times New Roman"/>
          <w:lang w:val="en-IE"/>
        </w:rPr>
        <w:t xml:space="preserve">ransition </w:t>
      </w:r>
      <w:r w:rsidR="009707DF" w:rsidRPr="00391425">
        <w:rPr>
          <w:rFonts w:ascii="Times New Roman" w:hAnsi="Times New Roman"/>
          <w:lang w:val="en-IE"/>
        </w:rPr>
        <w:t>P</w:t>
      </w:r>
      <w:r w:rsidRPr="00391425">
        <w:rPr>
          <w:rFonts w:ascii="Times New Roman" w:hAnsi="Times New Roman"/>
          <w:lang w:val="en-IE"/>
        </w:rPr>
        <w:t xml:space="preserve">lans </w:t>
      </w:r>
      <w:r w:rsidR="33DEFB0F" w:rsidRPr="00391425">
        <w:rPr>
          <w:rFonts w:ascii="Times New Roman" w:hAnsi="Times New Roman"/>
          <w:lang w:val="en-IE"/>
        </w:rPr>
        <w:t>in view of addressing</w:t>
      </w:r>
      <w:r w:rsidR="6A17DC76" w:rsidRPr="00391425">
        <w:rPr>
          <w:rFonts w:ascii="Times New Roman" w:hAnsi="Times New Roman"/>
          <w:lang w:val="en-IE"/>
        </w:rPr>
        <w:t xml:space="preserve"> </w:t>
      </w:r>
      <w:r w:rsidR="565CDC7A" w:rsidRPr="00391425">
        <w:rPr>
          <w:rFonts w:ascii="Times New Roman" w:hAnsi="Times New Roman"/>
          <w:lang w:val="en-IE"/>
        </w:rPr>
        <w:t>and</w:t>
      </w:r>
      <w:r w:rsidRPr="00391425">
        <w:rPr>
          <w:rFonts w:ascii="Times New Roman" w:hAnsi="Times New Roman"/>
          <w:lang w:val="en-IE"/>
        </w:rPr>
        <w:t xml:space="preserve"> mitigat</w:t>
      </w:r>
      <w:r w:rsidR="22B727C2" w:rsidRPr="00391425">
        <w:rPr>
          <w:rFonts w:ascii="Times New Roman" w:hAnsi="Times New Roman"/>
          <w:lang w:val="en-IE"/>
        </w:rPr>
        <w:t>ing</w:t>
      </w:r>
      <w:r w:rsidRPr="00391425">
        <w:rPr>
          <w:rFonts w:ascii="Times New Roman" w:hAnsi="Times New Roman"/>
          <w:lang w:val="en-IE"/>
        </w:rPr>
        <w:t xml:space="preserve"> the impact of these closures in specific territories</w:t>
      </w:r>
      <w:r w:rsidR="74CD88D0" w:rsidRPr="00391425">
        <w:rPr>
          <w:rFonts w:ascii="Times New Roman" w:hAnsi="Times New Roman"/>
          <w:lang w:val="en-IE"/>
        </w:rPr>
        <w:t xml:space="preserve"> (§44)</w:t>
      </w:r>
      <w:r w:rsidRPr="00391425">
        <w:rPr>
          <w:rFonts w:ascii="Times New Roman" w:hAnsi="Times New Roman"/>
          <w:lang w:val="en-IE"/>
        </w:rPr>
        <w:t xml:space="preserve">. </w:t>
      </w:r>
    </w:p>
    <w:p w14:paraId="3C8ADBB9" w14:textId="75064088" w:rsidR="0032416B" w:rsidRPr="00FC36E1" w:rsidRDefault="0032416B" w:rsidP="0032416B">
      <w:pPr>
        <w:widowControl w:val="0"/>
        <w:spacing w:before="120" w:after="0" w:line="259" w:lineRule="auto"/>
        <w:rPr>
          <w:rFonts w:ascii="Times New Roman" w:hAnsi="Times New Roman"/>
          <w:lang w:val="en-IE"/>
        </w:rPr>
      </w:pPr>
      <w:r w:rsidRPr="00391425">
        <w:rPr>
          <w:rFonts w:ascii="Times New Roman" w:hAnsi="Times New Roman"/>
          <w:lang w:val="en-IE"/>
        </w:rPr>
        <w:t>The Commission recogni</w:t>
      </w:r>
      <w:r w:rsidR="00C02BA3" w:rsidRPr="00391425">
        <w:rPr>
          <w:rFonts w:ascii="Times New Roman" w:hAnsi="Times New Roman"/>
          <w:lang w:val="en-IE"/>
        </w:rPr>
        <w:t>s</w:t>
      </w:r>
      <w:r w:rsidRPr="00391425">
        <w:rPr>
          <w:rFonts w:ascii="Times New Roman" w:hAnsi="Times New Roman"/>
          <w:lang w:val="en-IE"/>
        </w:rPr>
        <w:t>es the need to enhance electricity connections and reliable energy infrastructure, particularly as an effect of renewable deployment and access for prosumers.</w:t>
      </w:r>
      <w:r w:rsidRPr="00391425">
        <w:rPr>
          <w:rFonts w:ascii="Times New Roman" w:hAnsi="Times New Roman"/>
          <w:szCs w:val="24"/>
          <w:lang w:val="en-IE"/>
        </w:rPr>
        <w:t xml:space="preserve"> In response, the Mid Term Review of the Cohesion Policy has included a new specific objective </w:t>
      </w:r>
      <w:r w:rsidRPr="00391425">
        <w:rPr>
          <w:rFonts w:ascii="Times New Roman" w:hAnsi="Times New Roman"/>
          <w:lang w:val="en-IE"/>
        </w:rPr>
        <w:t>for</w:t>
      </w:r>
      <w:r w:rsidRPr="00391425">
        <w:rPr>
          <w:rFonts w:ascii="Times New Roman" w:hAnsi="Times New Roman"/>
          <w:szCs w:val="24"/>
          <w:lang w:val="en-IE"/>
        </w:rPr>
        <w:t xml:space="preserve"> promoting energy interconnectors and related transmission, distribution, storage and supporting infrastructure, as well as the protection of critical energy infrastructure and the deployment of recharging infrastructure. </w:t>
      </w:r>
      <w:r w:rsidRPr="00FC36E1">
        <w:rPr>
          <w:rFonts w:ascii="Times New Roman" w:hAnsi="Times New Roman"/>
          <w:lang w:val="en-IE"/>
        </w:rPr>
        <w:t xml:space="preserve">At the same time, the Commission </w:t>
      </w:r>
      <w:r w:rsidR="0083357E">
        <w:rPr>
          <w:rFonts w:ascii="Times New Roman" w:hAnsi="Times New Roman"/>
          <w:lang w:val="en-IE"/>
        </w:rPr>
        <w:t>has adopted</w:t>
      </w:r>
      <w:r w:rsidR="0083357E" w:rsidRPr="00FC36E1">
        <w:rPr>
          <w:rFonts w:ascii="Times New Roman" w:hAnsi="Times New Roman"/>
          <w:lang w:val="en-IE"/>
        </w:rPr>
        <w:t xml:space="preserve"> </w:t>
      </w:r>
      <w:r w:rsidRPr="00FC36E1">
        <w:rPr>
          <w:rFonts w:ascii="Times New Roman" w:hAnsi="Times New Roman"/>
          <w:lang w:val="en-IE"/>
        </w:rPr>
        <w:t xml:space="preserve">the European Grid package </w:t>
      </w:r>
      <w:r w:rsidR="0083357E">
        <w:rPr>
          <w:rFonts w:ascii="Times New Roman" w:hAnsi="Times New Roman"/>
          <w:lang w:val="en-IE"/>
        </w:rPr>
        <w:t xml:space="preserve">on 10 December 2025 </w:t>
      </w:r>
      <w:r w:rsidRPr="00FC36E1">
        <w:rPr>
          <w:rFonts w:ascii="Times New Roman" w:hAnsi="Times New Roman"/>
          <w:lang w:val="en-IE"/>
        </w:rPr>
        <w:t>in support of the development and connectivity of the grid (§44).</w:t>
      </w:r>
    </w:p>
    <w:p w14:paraId="0F444D2F" w14:textId="1B50A33F" w:rsidR="0074425D" w:rsidRPr="00FC36E1" w:rsidRDefault="141DB520" w:rsidP="007073E5">
      <w:pPr>
        <w:widowControl w:val="0"/>
        <w:spacing w:before="120" w:after="0"/>
        <w:rPr>
          <w:rFonts w:ascii="Times New Roman" w:hAnsi="Times New Roman"/>
          <w:highlight w:val="yellow"/>
          <w:lang w:val="en-IE"/>
        </w:rPr>
      </w:pPr>
      <w:r w:rsidRPr="00FC36E1">
        <w:rPr>
          <w:rFonts w:ascii="Times New Roman" w:hAnsi="Times New Roman"/>
          <w:lang w:val="en-IE"/>
        </w:rPr>
        <w:t xml:space="preserve">The functioning of national social dialogue, including that of the collective bargaining framework, falls under the responsibility of each Member State. The Council </w:t>
      </w:r>
      <w:r w:rsidRPr="00FC36E1">
        <w:rPr>
          <w:rFonts w:ascii="Times New Roman" w:hAnsi="Times New Roman"/>
          <w:lang w:val="en-IE"/>
        </w:rPr>
        <w:lastRenderedPageBreak/>
        <w:t>Recommendation on strengthening social dialogue in the European Union</w:t>
      </w:r>
      <w:r w:rsidR="00012466" w:rsidRPr="00FC36E1">
        <w:rPr>
          <w:rStyle w:val="FootnoteReference"/>
          <w:rFonts w:ascii="Times New Roman" w:hAnsi="Times New Roman"/>
          <w:lang w:val="en-IE"/>
        </w:rPr>
        <w:footnoteReference w:id="9"/>
      </w:r>
      <w:r w:rsidRPr="00FC36E1">
        <w:rPr>
          <w:rFonts w:ascii="Times New Roman" w:hAnsi="Times New Roman"/>
          <w:lang w:val="en-IE"/>
        </w:rPr>
        <w:t xml:space="preserve"> recommends that Member States, in accordance with national law and/or practice</w:t>
      </w:r>
      <w:r w:rsidR="00EF734B" w:rsidRPr="00FC36E1">
        <w:rPr>
          <w:rFonts w:ascii="Times New Roman" w:hAnsi="Times New Roman"/>
          <w:lang w:val="en-IE"/>
        </w:rPr>
        <w:t>,</w:t>
      </w:r>
      <w:r w:rsidRPr="00FC36E1">
        <w:rPr>
          <w:rFonts w:ascii="Times New Roman" w:hAnsi="Times New Roman"/>
          <w:lang w:val="en-IE"/>
        </w:rPr>
        <w:t xml:space="preserve"> while respecting the autonomy of social partners, ensure an enabling environment for bipartite and tripartite social dialogue, in the public and private sectors, including by enabling collective bargaining at all appropriate levels and promoting a higher level of coverage of collective bargaining. Member States </w:t>
      </w:r>
      <w:r w:rsidR="00A71832">
        <w:rPr>
          <w:rFonts w:ascii="Times New Roman" w:hAnsi="Times New Roman"/>
          <w:lang w:val="en-IE"/>
        </w:rPr>
        <w:t xml:space="preserve">were invited to </w:t>
      </w:r>
      <w:r w:rsidRPr="00FC36E1">
        <w:rPr>
          <w:rFonts w:ascii="Times New Roman" w:hAnsi="Times New Roman"/>
          <w:lang w:val="en-IE"/>
        </w:rPr>
        <w:t>submit to the Commission by 7 December 2025 a list of measures, drawn up in consultation with social partners, which are taken or have already been taken in each Member State to implement this Recommendation. The Commission will support the Employment Committee in monitoring regularly, as part of the multilateral surveillance activities in the context of the European Semester, the implementation of this Recommendation jointly with relevant social partners at national and Union level</w:t>
      </w:r>
      <w:r w:rsidR="5F2B983D" w:rsidRPr="00FC36E1">
        <w:rPr>
          <w:rFonts w:ascii="Times New Roman" w:hAnsi="Times New Roman"/>
          <w:lang w:val="en-IE"/>
        </w:rPr>
        <w:t xml:space="preserve"> (§46)</w:t>
      </w:r>
      <w:r w:rsidRPr="00FC36E1">
        <w:rPr>
          <w:rFonts w:ascii="Times New Roman" w:hAnsi="Times New Roman"/>
          <w:lang w:val="en-IE"/>
        </w:rPr>
        <w:t>.</w:t>
      </w:r>
    </w:p>
    <w:p w14:paraId="52D44225" w14:textId="4BD5E8A3" w:rsidR="7677EBC1" w:rsidRPr="00FC36E1" w:rsidRDefault="3EA0FB13" w:rsidP="007073E5">
      <w:pPr>
        <w:widowControl w:val="0"/>
        <w:spacing w:before="120" w:after="0"/>
        <w:rPr>
          <w:rFonts w:ascii="Times New Roman" w:hAnsi="Times New Roman"/>
          <w:lang w:val="en-IE"/>
        </w:rPr>
      </w:pPr>
      <w:r w:rsidRPr="00FC36E1">
        <w:rPr>
          <w:rFonts w:ascii="Times New Roman" w:hAnsi="Times New Roman"/>
          <w:lang w:val="en-IE"/>
        </w:rPr>
        <w:t>The Commission agrees with the Parliament on the opportunity that Directive (EU) 2022/2041 on adequate minimum wages</w:t>
      </w:r>
      <w:r w:rsidR="00613427" w:rsidRPr="00FC36E1">
        <w:rPr>
          <w:rStyle w:val="FootnoteReference"/>
          <w:rFonts w:ascii="Times New Roman" w:hAnsi="Times New Roman"/>
          <w:lang w:val="en-IE"/>
        </w:rPr>
        <w:footnoteReference w:id="10"/>
      </w:r>
      <w:r w:rsidRPr="00FC36E1">
        <w:rPr>
          <w:rFonts w:ascii="Times New Roman" w:hAnsi="Times New Roman"/>
          <w:lang w:val="en-IE"/>
        </w:rPr>
        <w:t xml:space="preserve"> represents to strengthen collective bargaining on wage-setting and the presence of the social partners in emerging sectors. In particular, Article 4(2) of this Directive obliges Member States where the collective bargaining coverage rate is below 80% to establish an action plan. </w:t>
      </w:r>
      <w:r w:rsidR="00613427" w:rsidRPr="00FC36E1">
        <w:rPr>
          <w:rFonts w:ascii="Times New Roman" w:hAnsi="Times New Roman"/>
          <w:lang w:val="en-IE"/>
        </w:rPr>
        <w:t xml:space="preserve">The action plan shall set out a clear timeline and concrete measures to progressively increase the rate of collective bargaining coverage, in full respect for the autonomy of the social partners. </w:t>
      </w:r>
      <w:r w:rsidRPr="00FC36E1">
        <w:rPr>
          <w:rFonts w:ascii="Times New Roman" w:hAnsi="Times New Roman"/>
          <w:lang w:val="en-IE"/>
        </w:rPr>
        <w:t>The Member States concerned are expected to transmit their action plans to the Commission by the end of 2025. The Commission will analy</w:t>
      </w:r>
      <w:r w:rsidR="00EF734B" w:rsidRPr="00FC36E1">
        <w:rPr>
          <w:rFonts w:ascii="Times New Roman" w:hAnsi="Times New Roman"/>
          <w:lang w:val="en-IE"/>
        </w:rPr>
        <w:t>s</w:t>
      </w:r>
      <w:r w:rsidRPr="00FC36E1">
        <w:rPr>
          <w:rFonts w:ascii="Times New Roman" w:hAnsi="Times New Roman"/>
          <w:lang w:val="en-IE"/>
        </w:rPr>
        <w:t>e these actions plans, as well as the data on minimum wage protection transmitted by all Member States in accordance with Article 10(2)</w:t>
      </w:r>
      <w:r w:rsidR="00613427" w:rsidRPr="00FC36E1">
        <w:rPr>
          <w:rFonts w:ascii="Times New Roman" w:hAnsi="Times New Roman"/>
          <w:lang w:val="en-IE"/>
        </w:rPr>
        <w:t xml:space="preserve"> of Directive (EU) 2022/2041</w:t>
      </w:r>
      <w:r w:rsidRPr="00FC36E1">
        <w:rPr>
          <w:rFonts w:ascii="Times New Roman" w:hAnsi="Times New Roman"/>
          <w:lang w:val="en-IE"/>
        </w:rPr>
        <w:t>, and report in this regard to the European Parliament and the Council</w:t>
      </w:r>
      <w:r w:rsidR="73A384B9" w:rsidRPr="00FC36E1">
        <w:rPr>
          <w:rFonts w:ascii="Times New Roman" w:hAnsi="Times New Roman"/>
          <w:lang w:val="en-IE"/>
        </w:rPr>
        <w:t xml:space="preserve"> (§25, 26)</w:t>
      </w:r>
      <w:r w:rsidRPr="00FC36E1">
        <w:rPr>
          <w:rFonts w:ascii="Times New Roman" w:hAnsi="Times New Roman"/>
          <w:lang w:val="en-IE"/>
        </w:rPr>
        <w:t>.</w:t>
      </w:r>
    </w:p>
    <w:p w14:paraId="059527EE" w14:textId="1B69B3EA" w:rsidR="23A5552B" w:rsidRPr="00391425" w:rsidRDefault="428B7D91" w:rsidP="007073E5">
      <w:pPr>
        <w:widowControl w:val="0"/>
        <w:spacing w:before="120" w:after="0"/>
        <w:rPr>
          <w:rFonts w:ascii="Times New Roman" w:hAnsi="Times New Roman"/>
          <w:lang w:val="en-IE"/>
        </w:rPr>
      </w:pPr>
      <w:r w:rsidRPr="00391425">
        <w:rPr>
          <w:rFonts w:ascii="Times New Roman" w:hAnsi="Times New Roman"/>
          <w:lang w:val="en-IE"/>
        </w:rPr>
        <w:t>In the context of the next MFF proposal</w:t>
      </w:r>
      <w:r w:rsidR="00613427" w:rsidRPr="00391425">
        <w:rPr>
          <w:rFonts w:ascii="Times New Roman" w:hAnsi="Times New Roman"/>
          <w:lang w:val="en-IE"/>
        </w:rPr>
        <w:t>s</w:t>
      </w:r>
      <w:r w:rsidRPr="00391425">
        <w:rPr>
          <w:rFonts w:ascii="Times New Roman" w:hAnsi="Times New Roman"/>
          <w:lang w:val="en-IE"/>
        </w:rPr>
        <w:t xml:space="preserve">, the </w:t>
      </w:r>
      <w:r w:rsidR="00613427" w:rsidRPr="00391425">
        <w:rPr>
          <w:rFonts w:ascii="Times New Roman" w:hAnsi="Times New Roman"/>
          <w:lang w:val="en-IE"/>
        </w:rPr>
        <w:t xml:space="preserve">support for </w:t>
      </w:r>
      <w:r w:rsidRPr="00391425">
        <w:rPr>
          <w:rFonts w:ascii="Times New Roman" w:hAnsi="Times New Roman"/>
          <w:lang w:val="en-IE"/>
        </w:rPr>
        <w:t xml:space="preserve">just transition </w:t>
      </w:r>
      <w:r w:rsidR="00613427" w:rsidRPr="00391425">
        <w:rPr>
          <w:rFonts w:ascii="Times New Roman" w:hAnsi="Times New Roman"/>
          <w:lang w:val="en-IE"/>
        </w:rPr>
        <w:t>is</w:t>
      </w:r>
      <w:r w:rsidRPr="00391425">
        <w:rPr>
          <w:rFonts w:ascii="Times New Roman" w:hAnsi="Times New Roman"/>
          <w:lang w:val="en-IE"/>
        </w:rPr>
        <w:t xml:space="preserve"> fully integrated into the European Fund </w:t>
      </w:r>
      <w:r w:rsidR="00D939D7" w:rsidRPr="00391425">
        <w:rPr>
          <w:rFonts w:ascii="Times New Roman" w:hAnsi="Times New Roman"/>
          <w:lang w:val="en-IE"/>
        </w:rPr>
        <w:t xml:space="preserve">for economic, social and territorial cohesion, agriculture and rural, fisheries and maritime, prosperity and security, </w:t>
      </w:r>
      <w:r w:rsidRPr="00391425">
        <w:rPr>
          <w:rFonts w:ascii="Times New Roman" w:hAnsi="Times New Roman"/>
          <w:lang w:val="en-IE"/>
        </w:rPr>
        <w:t>through a dedicated specific objective</w:t>
      </w:r>
      <w:r w:rsidR="00D939D7" w:rsidRPr="00391425">
        <w:rPr>
          <w:rFonts w:ascii="Times New Roman" w:hAnsi="Times New Roman"/>
          <w:lang w:val="en-IE"/>
        </w:rPr>
        <w:t>.</w:t>
      </w:r>
      <w:r w:rsidRPr="00391425">
        <w:rPr>
          <w:rFonts w:ascii="Times New Roman" w:hAnsi="Times New Roman"/>
          <w:lang w:val="en-IE"/>
        </w:rPr>
        <w:t xml:space="preserve"> </w:t>
      </w:r>
      <w:r w:rsidR="00D939D7" w:rsidRPr="00391425">
        <w:rPr>
          <w:rFonts w:ascii="Times New Roman" w:hAnsi="Times New Roman"/>
          <w:lang w:val="en-IE"/>
        </w:rPr>
        <w:t xml:space="preserve">The relevant proposal provides for the use of </w:t>
      </w:r>
      <w:r w:rsidRPr="00391425">
        <w:rPr>
          <w:rFonts w:ascii="Times New Roman" w:hAnsi="Times New Roman"/>
          <w:lang w:val="en-IE"/>
        </w:rPr>
        <w:t>territorial just transition strateg</w:t>
      </w:r>
      <w:r w:rsidR="00D939D7" w:rsidRPr="00391425">
        <w:rPr>
          <w:rFonts w:ascii="Times New Roman" w:hAnsi="Times New Roman"/>
          <w:lang w:val="en-IE"/>
        </w:rPr>
        <w:t>ies</w:t>
      </w:r>
      <w:r w:rsidRPr="00391425">
        <w:rPr>
          <w:rFonts w:ascii="Times New Roman" w:hAnsi="Times New Roman"/>
          <w:lang w:val="en-IE"/>
        </w:rPr>
        <w:t xml:space="preserve">. Member States </w:t>
      </w:r>
      <w:r w:rsidR="00D939D7" w:rsidRPr="00391425">
        <w:rPr>
          <w:rFonts w:ascii="Times New Roman" w:hAnsi="Times New Roman"/>
          <w:lang w:val="en-IE"/>
        </w:rPr>
        <w:t xml:space="preserve">are under the obligation to adequately address this specific objective </w:t>
      </w:r>
      <w:r w:rsidRPr="00391425">
        <w:rPr>
          <w:rFonts w:ascii="Times New Roman" w:hAnsi="Times New Roman"/>
          <w:lang w:val="en-IE"/>
        </w:rPr>
        <w:t xml:space="preserve">in the </w:t>
      </w:r>
      <w:r w:rsidR="62C38B50" w:rsidRPr="00391425">
        <w:rPr>
          <w:rFonts w:ascii="Times New Roman" w:hAnsi="Times New Roman"/>
          <w:lang w:val="en-IE"/>
        </w:rPr>
        <w:t>next programming period</w:t>
      </w:r>
      <w:r w:rsidR="6A45515C" w:rsidRPr="00391425">
        <w:rPr>
          <w:rFonts w:ascii="Times New Roman" w:hAnsi="Times New Roman"/>
          <w:lang w:val="en-IE"/>
        </w:rPr>
        <w:t xml:space="preserve"> (§49)</w:t>
      </w:r>
      <w:r w:rsidRPr="00391425">
        <w:rPr>
          <w:rFonts w:ascii="Times New Roman" w:hAnsi="Times New Roman"/>
          <w:lang w:val="en-IE"/>
        </w:rPr>
        <w:t>.</w:t>
      </w:r>
    </w:p>
    <w:p w14:paraId="0C744B39" w14:textId="2DE72F08" w:rsidR="3FC54512" w:rsidRPr="00391425" w:rsidRDefault="00012466" w:rsidP="007073E5">
      <w:pPr>
        <w:widowControl w:val="0"/>
        <w:spacing w:before="120" w:after="0"/>
        <w:rPr>
          <w:rFonts w:ascii="Times New Roman" w:hAnsi="Times New Roman"/>
          <w:lang w:val="en-IE"/>
        </w:rPr>
      </w:pPr>
      <w:r w:rsidRPr="00391425">
        <w:rPr>
          <w:rFonts w:ascii="Times New Roman" w:hAnsi="Times New Roman"/>
          <w:lang w:val="en-IE"/>
        </w:rPr>
        <w:t xml:space="preserve">The </w:t>
      </w:r>
      <w:r w:rsidR="3FC54512" w:rsidRPr="00391425">
        <w:rPr>
          <w:rFonts w:ascii="Times New Roman" w:hAnsi="Times New Roman"/>
          <w:lang w:val="en-IE"/>
        </w:rPr>
        <w:t>Commission</w:t>
      </w:r>
      <w:r w:rsidR="000568AD" w:rsidRPr="00391425">
        <w:rPr>
          <w:rFonts w:ascii="Times New Roman" w:hAnsi="Times New Roman"/>
          <w:lang w:val="en-IE"/>
        </w:rPr>
        <w:t>’s</w:t>
      </w:r>
      <w:r w:rsidR="3FC54512" w:rsidRPr="00391425">
        <w:rPr>
          <w:rFonts w:ascii="Times New Roman" w:hAnsi="Times New Roman"/>
          <w:lang w:val="en-IE"/>
        </w:rPr>
        <w:t xml:space="preserve"> proposals </w:t>
      </w:r>
      <w:r w:rsidR="6C12245C" w:rsidRPr="00391425">
        <w:rPr>
          <w:rFonts w:ascii="Times New Roman" w:hAnsi="Times New Roman"/>
          <w:lang w:val="en-IE"/>
        </w:rPr>
        <w:t>for the European Fund for economic, social and territorial cohesion, agriculture</w:t>
      </w:r>
      <w:r w:rsidR="678CEC8B" w:rsidRPr="00391425">
        <w:rPr>
          <w:rFonts w:ascii="Times New Roman" w:hAnsi="Times New Roman"/>
          <w:lang w:val="en-IE"/>
        </w:rPr>
        <w:t xml:space="preserve"> and rural, fisheries and maritime, prosperity and security</w:t>
      </w:r>
      <w:r w:rsidR="000568AD" w:rsidRPr="00391425">
        <w:rPr>
          <w:rStyle w:val="FootnoteReference"/>
          <w:rFonts w:ascii="Times New Roman" w:hAnsi="Times New Roman"/>
          <w:lang w:val="en-IE"/>
        </w:rPr>
        <w:footnoteReference w:id="11"/>
      </w:r>
      <w:r w:rsidR="678CEC8B" w:rsidRPr="00391425">
        <w:rPr>
          <w:rFonts w:ascii="Times New Roman" w:hAnsi="Times New Roman"/>
          <w:lang w:val="en-IE"/>
        </w:rPr>
        <w:t xml:space="preserve"> provide for streamlined and simplified rules governing financial instruments</w:t>
      </w:r>
      <w:r w:rsidR="5BE3FE0B" w:rsidRPr="00391425">
        <w:rPr>
          <w:rFonts w:ascii="Times New Roman" w:hAnsi="Times New Roman"/>
          <w:lang w:val="en-IE"/>
        </w:rPr>
        <w:t xml:space="preserve">, notably by cancelling the obligation to carry out </w:t>
      </w:r>
      <w:r w:rsidR="00D939D7" w:rsidRPr="00391425">
        <w:rPr>
          <w:rFonts w:ascii="Times New Roman" w:hAnsi="Times New Roman"/>
          <w:lang w:val="en-IE"/>
        </w:rPr>
        <w:t xml:space="preserve">a specific </w:t>
      </w:r>
      <w:r w:rsidR="5BE3FE0B" w:rsidRPr="00391425">
        <w:rPr>
          <w:rFonts w:ascii="Times New Roman" w:hAnsi="Times New Roman"/>
          <w:i/>
          <w:iCs/>
          <w:lang w:val="en-IE"/>
        </w:rPr>
        <w:t>ex ante</w:t>
      </w:r>
      <w:r w:rsidR="5BE3FE0B" w:rsidRPr="00391425">
        <w:rPr>
          <w:rFonts w:ascii="Times New Roman" w:hAnsi="Times New Roman"/>
          <w:lang w:val="en-IE"/>
        </w:rPr>
        <w:t xml:space="preserve"> assessment</w:t>
      </w:r>
      <w:r w:rsidR="00D939D7" w:rsidRPr="00391425">
        <w:rPr>
          <w:rFonts w:ascii="Times New Roman" w:hAnsi="Times New Roman"/>
          <w:lang w:val="en-IE"/>
        </w:rPr>
        <w:t xml:space="preserve"> under the responsibility of the managing authority</w:t>
      </w:r>
      <w:r w:rsidR="5BE3FE0B" w:rsidRPr="00391425">
        <w:rPr>
          <w:rFonts w:ascii="Times New Roman" w:hAnsi="Times New Roman"/>
          <w:lang w:val="en-IE"/>
        </w:rPr>
        <w:t xml:space="preserve"> and through </w:t>
      </w:r>
      <w:r w:rsidR="00700B9A" w:rsidRPr="00391425">
        <w:rPr>
          <w:rFonts w:ascii="Times New Roman" w:hAnsi="Times New Roman"/>
          <w:lang w:val="en-IE"/>
        </w:rPr>
        <w:t xml:space="preserve">simplified </w:t>
      </w:r>
      <w:r w:rsidR="5BE3FE0B" w:rsidRPr="00391425">
        <w:rPr>
          <w:rFonts w:ascii="Times New Roman" w:hAnsi="Times New Roman"/>
          <w:lang w:val="en-IE"/>
        </w:rPr>
        <w:t xml:space="preserve">management and audit requirements. </w:t>
      </w:r>
      <w:r w:rsidR="00700B9A" w:rsidRPr="00391425">
        <w:rPr>
          <w:rFonts w:ascii="Times New Roman" w:hAnsi="Times New Roman"/>
          <w:lang w:val="en-IE"/>
        </w:rPr>
        <w:t xml:space="preserve">This </w:t>
      </w:r>
      <w:r w:rsidR="5BE3FE0B" w:rsidRPr="00391425">
        <w:rPr>
          <w:rFonts w:ascii="Times New Roman" w:hAnsi="Times New Roman"/>
          <w:lang w:val="en-IE"/>
        </w:rPr>
        <w:t>is expected t</w:t>
      </w:r>
      <w:r w:rsidR="11ED2939" w:rsidRPr="00391425">
        <w:rPr>
          <w:rFonts w:ascii="Times New Roman" w:hAnsi="Times New Roman"/>
          <w:lang w:val="en-IE"/>
        </w:rPr>
        <w:t xml:space="preserve">o accelerate and facilitate the take up of financial instruments, </w:t>
      </w:r>
      <w:r w:rsidR="00D939D7" w:rsidRPr="00391425">
        <w:rPr>
          <w:rFonts w:ascii="Times New Roman" w:hAnsi="Times New Roman"/>
          <w:lang w:val="en-IE"/>
        </w:rPr>
        <w:t>to</w:t>
      </w:r>
      <w:r w:rsidR="11ED2939" w:rsidRPr="00391425">
        <w:rPr>
          <w:rFonts w:ascii="Times New Roman" w:hAnsi="Times New Roman"/>
          <w:lang w:val="en-IE"/>
        </w:rPr>
        <w:t xml:space="preserve"> the benefit, </w:t>
      </w:r>
      <w:r w:rsidR="11ED2939" w:rsidRPr="00391425">
        <w:rPr>
          <w:rFonts w:ascii="Times New Roman" w:hAnsi="Times New Roman"/>
          <w:i/>
          <w:iCs/>
          <w:lang w:val="en-IE"/>
        </w:rPr>
        <w:t>ceteris paribus</w:t>
      </w:r>
      <w:r w:rsidR="11ED2939" w:rsidRPr="00391425">
        <w:rPr>
          <w:rFonts w:ascii="Times New Roman" w:hAnsi="Times New Roman"/>
          <w:lang w:val="en-IE"/>
        </w:rPr>
        <w:t xml:space="preserve">, of </w:t>
      </w:r>
      <w:r w:rsidR="7F8E1CEF" w:rsidRPr="00391425">
        <w:rPr>
          <w:rFonts w:ascii="Times New Roman" w:hAnsi="Times New Roman"/>
          <w:lang w:val="en-IE"/>
        </w:rPr>
        <w:t>territories addressing the impact of climate transition with the support of the Fund, through the dedicated just transition specific objective</w:t>
      </w:r>
      <w:r w:rsidR="216E76B6" w:rsidRPr="00391425">
        <w:rPr>
          <w:rFonts w:ascii="Times New Roman" w:hAnsi="Times New Roman"/>
          <w:lang w:val="en-IE"/>
        </w:rPr>
        <w:t xml:space="preserve"> (§50)</w:t>
      </w:r>
      <w:r w:rsidR="7F8E1CEF" w:rsidRPr="00391425">
        <w:rPr>
          <w:rFonts w:ascii="Times New Roman" w:hAnsi="Times New Roman"/>
          <w:lang w:val="en-IE"/>
        </w:rPr>
        <w:t xml:space="preserve">. </w:t>
      </w:r>
    </w:p>
    <w:p w14:paraId="38446AE3" w14:textId="56279589" w:rsidR="00710683" w:rsidRPr="00391425" w:rsidRDefault="00700B9A" w:rsidP="007073E5">
      <w:pPr>
        <w:widowControl w:val="0"/>
        <w:spacing w:before="120" w:after="0"/>
        <w:rPr>
          <w:rFonts w:ascii="Times New Roman" w:hAnsi="Times New Roman"/>
          <w:lang w:val="en-IE"/>
        </w:rPr>
      </w:pPr>
      <w:r w:rsidRPr="00391425">
        <w:rPr>
          <w:rFonts w:ascii="Times New Roman" w:hAnsi="Times New Roman"/>
          <w:lang w:val="en-IE"/>
        </w:rPr>
        <w:t xml:space="preserve">In the current programming </w:t>
      </w:r>
      <w:r w:rsidR="00D939D7" w:rsidRPr="00391425">
        <w:rPr>
          <w:rFonts w:ascii="Times New Roman" w:hAnsi="Times New Roman"/>
          <w:lang w:val="en-IE"/>
        </w:rPr>
        <w:t>period</w:t>
      </w:r>
      <w:r w:rsidRPr="00391425">
        <w:rPr>
          <w:rFonts w:ascii="Times New Roman" w:hAnsi="Times New Roman"/>
          <w:lang w:val="en-IE"/>
        </w:rPr>
        <w:t xml:space="preserve">, the </w:t>
      </w:r>
      <w:r w:rsidR="23A5552B" w:rsidRPr="00391425">
        <w:rPr>
          <w:rFonts w:ascii="Times New Roman" w:hAnsi="Times New Roman"/>
          <w:lang w:val="en-IE"/>
        </w:rPr>
        <w:t>Commission established a precise</w:t>
      </w:r>
      <w:r w:rsidR="6185EDFD" w:rsidRPr="00391425">
        <w:rPr>
          <w:rFonts w:ascii="Times New Roman" w:hAnsi="Times New Roman"/>
          <w:lang w:val="en-IE"/>
        </w:rPr>
        <w:t xml:space="preserve"> and transparent</w:t>
      </w:r>
      <w:r w:rsidR="23A5552B" w:rsidRPr="00391425">
        <w:rPr>
          <w:rFonts w:ascii="Times New Roman" w:hAnsi="Times New Roman"/>
          <w:lang w:val="en-IE"/>
        </w:rPr>
        <w:t xml:space="preserve"> JTF allocation algorithm </w:t>
      </w:r>
      <w:r w:rsidR="6185EDFD" w:rsidRPr="00391425">
        <w:rPr>
          <w:rFonts w:ascii="Times New Roman" w:hAnsi="Times New Roman"/>
          <w:lang w:val="en-IE"/>
        </w:rPr>
        <w:t>based on the following parameters: greenhouse-gas emissions of industrial facilities, employment in mining of coal and lignite,</w:t>
      </w:r>
      <w:r w:rsidR="6185EDFD" w:rsidRPr="00FC36E1">
        <w:rPr>
          <w:lang w:val="en-IE"/>
        </w:rPr>
        <w:t xml:space="preserve"> </w:t>
      </w:r>
      <w:r w:rsidR="6185EDFD" w:rsidRPr="00391425">
        <w:rPr>
          <w:rFonts w:ascii="Times New Roman" w:hAnsi="Times New Roman"/>
          <w:lang w:val="en-IE"/>
        </w:rPr>
        <w:t xml:space="preserve">employment in industry </w:t>
      </w:r>
      <w:r w:rsidRPr="00391425">
        <w:rPr>
          <w:rFonts w:ascii="Times New Roman" w:hAnsi="Times New Roman"/>
          <w:lang w:val="en-IE"/>
        </w:rPr>
        <w:t xml:space="preserve">at </w:t>
      </w:r>
      <w:r w:rsidR="6185EDFD" w:rsidRPr="00391425">
        <w:rPr>
          <w:rFonts w:ascii="Times New Roman" w:hAnsi="Times New Roman"/>
          <w:lang w:val="en-IE"/>
        </w:rPr>
        <w:t>the</w:t>
      </w:r>
      <w:r w:rsidR="21E9094D" w:rsidRPr="00391425">
        <w:rPr>
          <w:rFonts w:ascii="Times New Roman" w:hAnsi="Times New Roman"/>
          <w:lang w:val="en-IE"/>
        </w:rPr>
        <w:t xml:space="preserve"> level of</w:t>
      </w:r>
      <w:r w:rsidR="6185EDFD" w:rsidRPr="00391425">
        <w:rPr>
          <w:rFonts w:ascii="Times New Roman" w:hAnsi="Times New Roman"/>
          <w:lang w:val="en-IE"/>
        </w:rPr>
        <w:t xml:space="preserve"> NUTS2 regions, production of peat and production of oil shale. </w:t>
      </w:r>
      <w:r w:rsidR="02283204" w:rsidRPr="00391425">
        <w:rPr>
          <w:rFonts w:ascii="Times New Roman" w:hAnsi="Times New Roman"/>
          <w:lang w:val="en-IE"/>
        </w:rPr>
        <w:t xml:space="preserve">The use of more </w:t>
      </w:r>
      <w:r w:rsidR="02283204" w:rsidRPr="00391425">
        <w:rPr>
          <w:rFonts w:ascii="Times New Roman" w:hAnsi="Times New Roman"/>
          <w:lang w:val="en-IE"/>
        </w:rPr>
        <w:lastRenderedPageBreak/>
        <w:t xml:space="preserve">precise criteria </w:t>
      </w:r>
      <w:r w:rsidRPr="00391425">
        <w:rPr>
          <w:rFonts w:ascii="Times New Roman" w:hAnsi="Times New Roman"/>
          <w:lang w:val="en-IE"/>
        </w:rPr>
        <w:t xml:space="preserve">in </w:t>
      </w:r>
      <w:r w:rsidR="02283204" w:rsidRPr="00391425">
        <w:rPr>
          <w:rFonts w:ascii="Times New Roman" w:hAnsi="Times New Roman"/>
          <w:lang w:val="en-IE"/>
        </w:rPr>
        <w:t>determin</w:t>
      </w:r>
      <w:r w:rsidRPr="00391425">
        <w:rPr>
          <w:rFonts w:ascii="Times New Roman" w:hAnsi="Times New Roman"/>
          <w:lang w:val="en-IE"/>
        </w:rPr>
        <w:t>ing</w:t>
      </w:r>
      <w:r w:rsidR="02283204" w:rsidRPr="00391425">
        <w:rPr>
          <w:rFonts w:ascii="Times New Roman" w:hAnsi="Times New Roman"/>
          <w:lang w:val="en-IE"/>
        </w:rPr>
        <w:t xml:space="preserve"> JTF allocations and territories was constrained by the limited availability and granularity of structured data for the 2020 Country Reports, which underpinned the proposals for the JTF scope.</w:t>
      </w:r>
      <w:r w:rsidR="4E5A7668" w:rsidRPr="00391425">
        <w:rPr>
          <w:rFonts w:ascii="Times New Roman" w:hAnsi="Times New Roman"/>
          <w:lang w:val="en-IE"/>
        </w:rPr>
        <w:t xml:space="preserve"> </w:t>
      </w:r>
      <w:r w:rsidR="0CD1285D" w:rsidRPr="00391425">
        <w:rPr>
          <w:rFonts w:ascii="Times New Roman" w:hAnsi="Times New Roman"/>
          <w:lang w:val="en-IE"/>
        </w:rPr>
        <w:t>Additional considerations, including</w:t>
      </w:r>
      <w:r w:rsidR="75F5A8BE" w:rsidRPr="00391425">
        <w:rPr>
          <w:rFonts w:ascii="Times New Roman" w:hAnsi="Times New Roman"/>
          <w:lang w:val="en-IE"/>
        </w:rPr>
        <w:t xml:space="preserve"> in relation to</w:t>
      </w:r>
      <w:r w:rsidR="0CD1285D" w:rsidRPr="00391425">
        <w:rPr>
          <w:rFonts w:ascii="Times New Roman" w:hAnsi="Times New Roman"/>
          <w:lang w:val="en-IE"/>
        </w:rPr>
        <w:t xml:space="preserve"> specific situations</w:t>
      </w:r>
      <w:r w:rsidR="0E25D9F0" w:rsidRPr="00391425">
        <w:rPr>
          <w:rFonts w:ascii="Times New Roman" w:hAnsi="Times New Roman"/>
          <w:lang w:val="en-IE"/>
        </w:rPr>
        <w:t xml:space="preserve"> and needs</w:t>
      </w:r>
      <w:r w:rsidR="0CD1285D" w:rsidRPr="00391425">
        <w:rPr>
          <w:rFonts w:ascii="Times New Roman" w:hAnsi="Times New Roman"/>
          <w:lang w:val="en-IE"/>
        </w:rPr>
        <w:t xml:space="preserve"> of territories at the level</w:t>
      </w:r>
      <w:r w:rsidR="4203C524" w:rsidRPr="00391425">
        <w:rPr>
          <w:rFonts w:ascii="Times New Roman" w:hAnsi="Times New Roman"/>
          <w:lang w:val="en-IE"/>
        </w:rPr>
        <w:t xml:space="preserve"> of</w:t>
      </w:r>
      <w:r w:rsidR="0CD1285D" w:rsidRPr="00391425">
        <w:rPr>
          <w:rFonts w:ascii="Times New Roman" w:hAnsi="Times New Roman"/>
          <w:lang w:val="en-IE"/>
        </w:rPr>
        <w:t xml:space="preserve"> NUTS3 </w:t>
      </w:r>
      <w:r w:rsidR="48522CCA" w:rsidRPr="00391425">
        <w:rPr>
          <w:rFonts w:ascii="Times New Roman" w:hAnsi="Times New Roman"/>
          <w:lang w:val="en-IE"/>
        </w:rPr>
        <w:t xml:space="preserve">or below, were reflected </w:t>
      </w:r>
      <w:r w:rsidR="11BB0237" w:rsidRPr="00391425">
        <w:rPr>
          <w:rFonts w:ascii="Times New Roman" w:hAnsi="Times New Roman"/>
          <w:lang w:val="en-IE"/>
        </w:rPr>
        <w:t>in T</w:t>
      </w:r>
      <w:r w:rsidR="00E6042D" w:rsidRPr="00391425">
        <w:rPr>
          <w:rFonts w:ascii="Times New Roman" w:hAnsi="Times New Roman"/>
          <w:lang w:val="en-IE"/>
        </w:rPr>
        <w:t xml:space="preserve">erritorial </w:t>
      </w:r>
      <w:r w:rsidR="11BB0237" w:rsidRPr="00391425">
        <w:rPr>
          <w:rFonts w:ascii="Times New Roman" w:hAnsi="Times New Roman"/>
          <w:lang w:val="en-IE"/>
        </w:rPr>
        <w:t>J</w:t>
      </w:r>
      <w:r w:rsidR="00E6042D" w:rsidRPr="00391425">
        <w:rPr>
          <w:rFonts w:ascii="Times New Roman" w:hAnsi="Times New Roman"/>
          <w:lang w:val="en-IE"/>
        </w:rPr>
        <w:t xml:space="preserve">ust </w:t>
      </w:r>
      <w:r w:rsidR="11BB0237" w:rsidRPr="00391425">
        <w:rPr>
          <w:rFonts w:ascii="Times New Roman" w:hAnsi="Times New Roman"/>
          <w:lang w:val="en-IE"/>
        </w:rPr>
        <w:t>T</w:t>
      </w:r>
      <w:r w:rsidR="00E6042D" w:rsidRPr="00391425">
        <w:rPr>
          <w:rFonts w:ascii="Times New Roman" w:hAnsi="Times New Roman"/>
          <w:lang w:val="en-IE"/>
        </w:rPr>
        <w:t xml:space="preserve">ransition </w:t>
      </w:r>
      <w:r w:rsidR="11BB0237" w:rsidRPr="00391425">
        <w:rPr>
          <w:rFonts w:ascii="Times New Roman" w:hAnsi="Times New Roman"/>
          <w:lang w:val="en-IE"/>
        </w:rPr>
        <w:t>P</w:t>
      </w:r>
      <w:r w:rsidR="00E6042D" w:rsidRPr="00391425">
        <w:rPr>
          <w:rFonts w:ascii="Times New Roman" w:hAnsi="Times New Roman"/>
          <w:lang w:val="en-IE"/>
        </w:rPr>
        <w:t>lan</w:t>
      </w:r>
      <w:r w:rsidR="11BB0237" w:rsidRPr="00391425">
        <w:rPr>
          <w:rFonts w:ascii="Times New Roman" w:hAnsi="Times New Roman"/>
          <w:lang w:val="en-IE"/>
        </w:rPr>
        <w:t xml:space="preserve">s </w:t>
      </w:r>
      <w:r w:rsidR="48522CCA" w:rsidRPr="00391425">
        <w:rPr>
          <w:rFonts w:ascii="Times New Roman" w:hAnsi="Times New Roman"/>
          <w:lang w:val="en-IE"/>
        </w:rPr>
        <w:t xml:space="preserve">and negotiated </w:t>
      </w:r>
      <w:r w:rsidR="7C31F3EA" w:rsidRPr="00391425">
        <w:rPr>
          <w:rFonts w:ascii="Times New Roman" w:hAnsi="Times New Roman"/>
          <w:lang w:val="en-IE"/>
        </w:rPr>
        <w:t>between the Member States and the Commission</w:t>
      </w:r>
      <w:r w:rsidR="48522CCA" w:rsidRPr="00391425">
        <w:rPr>
          <w:rFonts w:ascii="Times New Roman" w:hAnsi="Times New Roman"/>
          <w:lang w:val="en-IE"/>
        </w:rPr>
        <w:t>.</w:t>
      </w:r>
      <w:r w:rsidR="6482B3DC" w:rsidRPr="00391425">
        <w:rPr>
          <w:rFonts w:ascii="Times New Roman" w:hAnsi="Times New Roman"/>
          <w:lang w:val="en-IE"/>
        </w:rPr>
        <w:t xml:space="preserve"> Furthermore, Member States have the possibility to ensure </w:t>
      </w:r>
      <w:r w:rsidR="189E104A" w:rsidRPr="00391425">
        <w:rPr>
          <w:rFonts w:ascii="Times New Roman" w:hAnsi="Times New Roman"/>
          <w:lang w:val="en-IE"/>
        </w:rPr>
        <w:t>that the chal</w:t>
      </w:r>
      <w:r w:rsidR="61C361E5" w:rsidRPr="00391425">
        <w:rPr>
          <w:rFonts w:ascii="Times New Roman" w:hAnsi="Times New Roman"/>
          <w:lang w:val="en-IE"/>
        </w:rPr>
        <w:t>lenges of</w:t>
      </w:r>
      <w:r w:rsidR="4E5A7668" w:rsidRPr="00391425">
        <w:rPr>
          <w:rFonts w:ascii="Times New Roman" w:hAnsi="Times New Roman"/>
          <w:lang w:val="en-IE"/>
        </w:rPr>
        <w:t xml:space="preserve"> areas most affected by the transition</w:t>
      </w:r>
      <w:r w:rsidR="07F8C84F" w:rsidRPr="00391425">
        <w:rPr>
          <w:rFonts w:ascii="Times New Roman" w:hAnsi="Times New Roman"/>
          <w:lang w:val="en-IE"/>
        </w:rPr>
        <w:t xml:space="preserve"> are addressed though the project selection process</w:t>
      </w:r>
      <w:r w:rsidR="6B5338F7" w:rsidRPr="00391425">
        <w:rPr>
          <w:rFonts w:ascii="Times New Roman" w:hAnsi="Times New Roman"/>
          <w:lang w:val="en-IE"/>
        </w:rPr>
        <w:t xml:space="preserve"> (§51)</w:t>
      </w:r>
      <w:r w:rsidR="4E5A7668" w:rsidRPr="00391425">
        <w:rPr>
          <w:rFonts w:ascii="Times New Roman" w:hAnsi="Times New Roman"/>
          <w:lang w:val="en-IE"/>
        </w:rPr>
        <w:t xml:space="preserve">. </w:t>
      </w:r>
    </w:p>
    <w:sectPr w:rsidR="00710683" w:rsidRPr="00391425" w:rsidSect="00812321">
      <w:footerReference w:type="even" r:id="rId12"/>
      <w:footerReference w:type="default" r:id="rId13"/>
      <w:footerReference w:type="first" r:id="rId14"/>
      <w:footnotePr>
        <w:pos w:val="beneathText"/>
        <w:numRestart w:val="eachSect"/>
      </w:footnotePr>
      <w:type w:val="continuous"/>
      <w:pgSz w:w="11906" w:h="16838" w:code="9"/>
      <w:pgMar w:top="1021" w:right="1416" w:bottom="1021" w:left="1588" w:header="601"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76D3E" w14:textId="77777777" w:rsidR="00E93DD5" w:rsidRDefault="00E93DD5">
      <w:r>
        <w:separator/>
      </w:r>
    </w:p>
  </w:endnote>
  <w:endnote w:type="continuationSeparator" w:id="0">
    <w:p w14:paraId="77EE24F7" w14:textId="77777777" w:rsidR="00E93DD5" w:rsidRDefault="00E93DD5">
      <w:r>
        <w:continuationSeparator/>
      </w:r>
    </w:p>
  </w:endnote>
  <w:endnote w:type="continuationNotice" w:id="1">
    <w:p w14:paraId="3F6A5CDA" w14:textId="77777777" w:rsidR="00E93DD5" w:rsidRDefault="00E93DD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UAlbertina">
    <w:altName w:val="Cambria"/>
    <w:panose1 w:val="00000000000000000000"/>
    <w:charset w:val="00"/>
    <w:family w:val="swiss"/>
    <w:notTrueType/>
    <w:pitch w:val="default"/>
    <w:sig w:usb0="00000003" w:usb1="00000000" w:usb2="00000000" w:usb3="00000000" w:csb0="00000001" w:csb1="00000000"/>
  </w:font>
  <w:font w:name="EC Square Sans Cond Pro">
    <w:panose1 w:val="020B0506040000020004"/>
    <w:charset w:val="00"/>
    <w:family w:val="swiss"/>
    <w:pitch w:val="variable"/>
    <w:sig w:usb0="20000287" w:usb1="00000001" w:usb2="00000000" w:usb3="00000000" w:csb0="0000019F" w:csb1="00000000"/>
  </w:font>
  <w:font w:name="Times New Roman Bold">
    <w:altName w:val="Times New Roman"/>
    <w:panose1 w:val="02020803070505020304"/>
    <w:charset w:val="00"/>
    <w:family w:val="roman"/>
    <w:notTrueType/>
    <w:pitch w:val="default"/>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C2F22" w14:textId="77777777" w:rsidR="00471068" w:rsidRDefault="00471068"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35</w:t>
    </w:r>
    <w:r>
      <w:rPr>
        <w:rStyle w:val="PageNumber"/>
      </w:rPr>
      <w:fldChar w:fldCharType="end"/>
    </w:r>
  </w:p>
  <w:p w14:paraId="1CE8F934" w14:textId="77777777" w:rsidR="00471068" w:rsidRDefault="004710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B9ED6" w14:textId="77777777" w:rsidR="00471068" w:rsidRDefault="00471068"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41C4F">
      <w:rPr>
        <w:rStyle w:val="PageNumber"/>
        <w:noProof/>
      </w:rPr>
      <w:t>3</w:t>
    </w:r>
    <w:r>
      <w:rPr>
        <w:rStyle w:val="PageNumber"/>
      </w:rPr>
      <w:fldChar w:fldCharType="end"/>
    </w:r>
  </w:p>
  <w:p w14:paraId="76797D1D" w14:textId="77777777" w:rsidR="00471068" w:rsidRPr="008A6623" w:rsidRDefault="00471068" w:rsidP="008A6623">
    <w:pPr>
      <w:pStyle w:val="Foo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9EE69" w14:textId="77777777" w:rsidR="006B0483" w:rsidRDefault="006B0483" w:rsidP="006B04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233CD">
      <w:rPr>
        <w:rStyle w:val="PageNumber"/>
        <w:noProof/>
      </w:rPr>
      <w:t>1</w:t>
    </w:r>
    <w:r>
      <w:rPr>
        <w:rStyle w:val="PageNumber"/>
      </w:rPr>
      <w:fldChar w:fldCharType="end"/>
    </w:r>
  </w:p>
  <w:p w14:paraId="244C2131" w14:textId="77777777" w:rsidR="00471068" w:rsidRDefault="00471068" w:rsidP="00442B2E">
    <w:pPr>
      <w:pStyle w:val="Footer"/>
      <w:rPr>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FFB27" w14:textId="77777777" w:rsidR="00E93DD5" w:rsidRDefault="00E93DD5">
      <w:r>
        <w:separator/>
      </w:r>
    </w:p>
  </w:footnote>
  <w:footnote w:type="continuationSeparator" w:id="0">
    <w:p w14:paraId="3A9D70AA" w14:textId="77777777" w:rsidR="00E93DD5" w:rsidRDefault="00E93DD5">
      <w:r>
        <w:continuationSeparator/>
      </w:r>
    </w:p>
  </w:footnote>
  <w:footnote w:type="continuationNotice" w:id="1">
    <w:p w14:paraId="7A193177" w14:textId="77777777" w:rsidR="00E93DD5" w:rsidRDefault="00E93DD5">
      <w:pPr>
        <w:spacing w:after="0"/>
      </w:pPr>
    </w:p>
  </w:footnote>
  <w:footnote w:id="2">
    <w:p w14:paraId="6E13DFF6" w14:textId="26F860C4" w:rsidR="57A3B020" w:rsidRPr="00B029D6" w:rsidRDefault="57A3B020" w:rsidP="001C17B7">
      <w:pPr>
        <w:rPr>
          <w:rFonts w:eastAsia="Courier New" w:cs="Courier New"/>
          <w:szCs w:val="24"/>
          <w:lang w:val="en-IE"/>
        </w:rPr>
      </w:pPr>
      <w:r w:rsidRPr="00897960">
        <w:rPr>
          <w:vertAlign w:val="superscript"/>
        </w:rPr>
        <w:footnoteRef/>
      </w:r>
      <w:r w:rsidR="001C17B7">
        <w:rPr>
          <w:rFonts w:ascii="Times New Roman" w:hAnsi="Times New Roman"/>
          <w:sz w:val="20"/>
          <w:lang w:val="en-IE"/>
        </w:rPr>
        <w:t xml:space="preserve"> </w:t>
      </w:r>
      <w:r w:rsidR="001C17B7" w:rsidRPr="00B029D6">
        <w:rPr>
          <w:rFonts w:ascii="Times New Roman" w:hAnsi="Times New Roman"/>
          <w:sz w:val="20"/>
          <w:lang w:val="en-IE"/>
        </w:rPr>
        <w:t>Council Recommendation of 15 March 2018 on a European Framework for Quality and Effective Apprenticeships</w:t>
      </w:r>
      <w:r w:rsidR="001C17B7">
        <w:rPr>
          <w:rFonts w:ascii="Times New Roman" w:hAnsi="Times New Roman"/>
          <w:sz w:val="20"/>
          <w:lang w:val="en-IE"/>
        </w:rPr>
        <w:t>,</w:t>
      </w:r>
      <w:r w:rsidR="001C17B7" w:rsidRPr="00B029D6">
        <w:rPr>
          <w:rFonts w:ascii="Times New Roman" w:hAnsi="Times New Roman"/>
          <w:sz w:val="20"/>
          <w:lang w:val="en-IE"/>
        </w:rPr>
        <w:t xml:space="preserve"> OJ C 153</w:t>
      </w:r>
      <w:r w:rsidR="001C17B7">
        <w:rPr>
          <w:rFonts w:ascii="Times New Roman" w:hAnsi="Times New Roman"/>
          <w:sz w:val="20"/>
          <w:lang w:val="en-IE"/>
        </w:rPr>
        <w:t xml:space="preserve"> of</w:t>
      </w:r>
      <w:r w:rsidR="001C17B7" w:rsidRPr="00B029D6">
        <w:rPr>
          <w:rFonts w:ascii="Times New Roman" w:hAnsi="Times New Roman"/>
          <w:sz w:val="20"/>
          <w:lang w:val="en-IE"/>
        </w:rPr>
        <w:t xml:space="preserve"> 2.5.2018, pp. 1–6 </w:t>
      </w:r>
      <w:r w:rsidRPr="00B029D6">
        <w:rPr>
          <w:rFonts w:ascii="Times New Roman" w:hAnsi="Times New Roman"/>
          <w:sz w:val="20"/>
          <w:lang w:val="en-IE"/>
        </w:rPr>
        <w:t xml:space="preserve"> </w:t>
      </w:r>
      <w:r w:rsidRPr="00B029D6">
        <w:rPr>
          <w:rFonts w:ascii="Times New Roman" w:eastAsia="Courier New" w:hAnsi="Times New Roman"/>
          <w:sz w:val="20"/>
          <w:lang w:val="en-IE"/>
        </w:rPr>
        <w:t xml:space="preserve">(2018/C 153/01): </w:t>
      </w:r>
      <w:hyperlink r:id="rId1" w:history="1">
        <w:r w:rsidRPr="00B029D6">
          <w:rPr>
            <w:rStyle w:val="Hyperlink"/>
            <w:rFonts w:ascii="Times New Roman" w:eastAsia="Courier New" w:hAnsi="Times New Roman"/>
            <w:sz w:val="20"/>
            <w:lang w:val="en-IE"/>
          </w:rPr>
          <w:t>EUR-Lex - 32018H0502(01) - EN - EUR-Lex</w:t>
        </w:r>
      </w:hyperlink>
    </w:p>
  </w:footnote>
  <w:footnote w:id="3">
    <w:p w14:paraId="73D5F2B8" w14:textId="74A9DE1B" w:rsidR="00756E3F" w:rsidRPr="00B029D6" w:rsidRDefault="00756E3F">
      <w:pPr>
        <w:pStyle w:val="FootnoteText"/>
        <w:rPr>
          <w:lang w:val="en-IE"/>
        </w:rPr>
      </w:pPr>
      <w:r>
        <w:rPr>
          <w:rStyle w:val="FootnoteReference"/>
        </w:rPr>
        <w:footnoteRef/>
      </w:r>
      <w:r>
        <w:t xml:space="preserve"> </w:t>
      </w:r>
      <w:r w:rsidR="00976D93" w:rsidRPr="00976D93">
        <w:rPr>
          <w:rFonts w:ascii="Times New Roman" w:hAnsi="Times New Roman"/>
        </w:rPr>
        <w:t>European Commission: Directorate-General for Communication and Leyen, U. v. d., Europe’s choice – Political guidelines for the next European Commission 2024−2029, Publications Office of the European Union, 2024, https://data.europa.eu/doi/10.2775/260104</w:t>
      </w:r>
      <w:r w:rsidR="00557EF3">
        <w:rPr>
          <w:rFonts w:ascii="Times New Roman" w:hAnsi="Times New Roman"/>
        </w:rPr>
        <w:t xml:space="preserve">. </w:t>
      </w:r>
    </w:p>
  </w:footnote>
  <w:footnote w:id="4">
    <w:p w14:paraId="7C3E8648" w14:textId="584074E8" w:rsidR="0027599E" w:rsidRPr="00B029D6" w:rsidRDefault="0027599E">
      <w:pPr>
        <w:pStyle w:val="FootnoteText"/>
        <w:rPr>
          <w:lang w:val="en-IE"/>
        </w:rPr>
      </w:pPr>
      <w:r>
        <w:rPr>
          <w:rStyle w:val="FootnoteReference"/>
        </w:rPr>
        <w:footnoteRef/>
      </w:r>
      <w:r>
        <w:t xml:space="preserve"> </w:t>
      </w:r>
      <w:r w:rsidR="00F82F32" w:rsidRPr="00B029D6">
        <w:rPr>
          <w:rFonts w:ascii="Times New Roman" w:hAnsi="Times New Roman"/>
        </w:rPr>
        <w:t>Herning Declaration on attractive and inclusive Vocational Education and Training for increased competitiveness and quality jobs 2026-2030</w:t>
      </w:r>
      <w:r w:rsidR="00976D93">
        <w:rPr>
          <w:rFonts w:ascii="Times New Roman" w:hAnsi="Times New Roman"/>
        </w:rPr>
        <w:t xml:space="preserve">, </w:t>
      </w:r>
      <w:hyperlink r:id="rId2" w:history="1">
        <w:r w:rsidR="00976D93" w:rsidRPr="00976D93">
          <w:rPr>
            <w:rStyle w:val="Hyperlink"/>
            <w:rFonts w:ascii="Times New Roman" w:hAnsi="Times New Roman"/>
          </w:rPr>
          <w:t>250912-herning-declaration-eu2025---final-version-supported-on-12-september-2025.pdf</w:t>
        </w:r>
      </w:hyperlink>
    </w:p>
  </w:footnote>
  <w:footnote w:id="5">
    <w:p w14:paraId="34DF26CD" w14:textId="77777777" w:rsidR="00537005" w:rsidRPr="00537005" w:rsidRDefault="00537005" w:rsidP="00537005">
      <w:pPr>
        <w:pStyle w:val="FootnoteText"/>
      </w:pPr>
      <w:r>
        <w:rPr>
          <w:rStyle w:val="FootnoteReference"/>
        </w:rPr>
        <w:footnoteRef/>
      </w:r>
      <w:r>
        <w:t xml:space="preserve"> </w:t>
      </w:r>
      <w:r w:rsidRPr="00FE6818">
        <w:rPr>
          <w:rFonts w:ascii="Times New Roman" w:hAnsi="Times New Roman"/>
        </w:rPr>
        <w:t>Council Recommendation of 16 June 2022 on individual learning accounts 2022/C 243/03</w:t>
      </w:r>
      <w:r>
        <w:rPr>
          <w:rFonts w:ascii="Times New Roman" w:hAnsi="Times New Roman"/>
        </w:rPr>
        <w:t xml:space="preserve">, </w:t>
      </w:r>
      <w:r w:rsidRPr="00537005">
        <w:rPr>
          <w:rFonts w:ascii="Times New Roman" w:hAnsi="Times New Roman"/>
        </w:rPr>
        <w:t>OJ C 243, 27.6.2022, pp. 26–34</w:t>
      </w:r>
      <w:r>
        <w:rPr>
          <w:rFonts w:ascii="Times New Roman" w:hAnsi="Times New Roman"/>
        </w:rPr>
        <w:t>.</w:t>
      </w:r>
    </w:p>
  </w:footnote>
  <w:footnote w:id="6">
    <w:p w14:paraId="302F64A3" w14:textId="6BAD2971" w:rsidR="00976D93" w:rsidRPr="00B029D6" w:rsidRDefault="00976D93">
      <w:pPr>
        <w:pStyle w:val="FootnoteText"/>
        <w:rPr>
          <w:lang w:val="en-IE"/>
        </w:rPr>
      </w:pPr>
      <w:r>
        <w:rPr>
          <w:rStyle w:val="FootnoteReference"/>
        </w:rPr>
        <w:footnoteRef/>
      </w:r>
      <w:r>
        <w:t xml:space="preserve"> </w:t>
      </w:r>
      <w:r w:rsidRPr="00B029D6">
        <w:rPr>
          <w:rFonts w:ascii="Times New Roman" w:hAnsi="Times New Roman"/>
        </w:rPr>
        <w:t>Regulation (EU) 2025/1914 of the European Parliament and of the Council of 18 September 2025 amending Regulations (EU) 2021/1058 and (EU) 2021/1056 as regards specific measures to address strategic challenges in the context of the mid-term review</w:t>
      </w:r>
      <w:r>
        <w:rPr>
          <w:rFonts w:ascii="Times New Roman" w:hAnsi="Times New Roman"/>
        </w:rPr>
        <w:t xml:space="preserve">, </w:t>
      </w:r>
      <w:r w:rsidRPr="00976D93">
        <w:rPr>
          <w:rFonts w:ascii="Times New Roman" w:hAnsi="Times New Roman"/>
        </w:rPr>
        <w:t>OJ L, 2025/1914, 19.9.2025</w:t>
      </w:r>
    </w:p>
  </w:footnote>
  <w:footnote w:id="7">
    <w:p w14:paraId="311681E4" w14:textId="681EE089" w:rsidR="00466F35" w:rsidRPr="007707CE" w:rsidRDefault="00466F35">
      <w:pPr>
        <w:pStyle w:val="FootnoteText"/>
        <w:rPr>
          <w:rFonts w:ascii="Times New Roman" w:hAnsi="Times New Roman"/>
        </w:rPr>
      </w:pPr>
      <w:r w:rsidRPr="007707CE">
        <w:rPr>
          <w:rStyle w:val="FootnoteReference"/>
          <w:rFonts w:ascii="Times New Roman" w:hAnsi="Times New Roman"/>
        </w:rPr>
        <w:footnoteRef/>
      </w:r>
      <w:r w:rsidRPr="007707CE">
        <w:rPr>
          <w:rFonts w:ascii="Times New Roman" w:hAnsi="Times New Roman"/>
        </w:rPr>
        <w:t xml:space="preserve"> SO2.11, SO4.7 and SO5.3</w:t>
      </w:r>
    </w:p>
  </w:footnote>
  <w:footnote w:id="8">
    <w:p w14:paraId="5DF83BDC" w14:textId="71FEDD62" w:rsidR="00227114" w:rsidRPr="00B029D6" w:rsidRDefault="00227114">
      <w:pPr>
        <w:pStyle w:val="FootnoteText"/>
        <w:rPr>
          <w:rFonts w:ascii="Times New Roman" w:hAnsi="Times New Roman"/>
          <w:lang w:val="en-IE"/>
        </w:rPr>
      </w:pPr>
      <w:r>
        <w:rPr>
          <w:rStyle w:val="FootnoteReference"/>
        </w:rPr>
        <w:footnoteRef/>
      </w:r>
      <w:r>
        <w:t xml:space="preserve"> </w:t>
      </w:r>
      <w:r w:rsidRPr="00B029D6">
        <w:rPr>
          <w:rFonts w:ascii="Times New Roman" w:hAnsi="Times New Roman"/>
        </w:rPr>
        <w:t xml:space="preserve">Council Recommendation of 16 June 2022 on ensuring a fair transition towards climate neutrality 2022/C 243/04, OJ C 243, 27.6.2022, pp. 35–51. </w:t>
      </w:r>
    </w:p>
  </w:footnote>
  <w:footnote w:id="9">
    <w:p w14:paraId="71ED0738" w14:textId="729DF58A" w:rsidR="00012466" w:rsidRPr="00B029D6" w:rsidRDefault="00012466">
      <w:pPr>
        <w:pStyle w:val="FootnoteText"/>
        <w:rPr>
          <w:lang w:val="en-IE"/>
        </w:rPr>
      </w:pPr>
      <w:r>
        <w:rPr>
          <w:rStyle w:val="FootnoteReference"/>
        </w:rPr>
        <w:footnoteRef/>
      </w:r>
      <w:r>
        <w:t xml:space="preserve"> </w:t>
      </w:r>
      <w:r w:rsidRPr="00B029D6">
        <w:rPr>
          <w:rFonts w:ascii="Times New Roman" w:hAnsi="Times New Roman"/>
        </w:rPr>
        <w:t>Council Recommendation of 12 June 2023 on strengthening social dialogue in the European Union, OJ C, C/2023/1389, 6.12.2023.</w:t>
      </w:r>
    </w:p>
  </w:footnote>
  <w:footnote w:id="10">
    <w:p w14:paraId="675E32F0" w14:textId="77777777" w:rsidR="00613427" w:rsidRPr="0022494B" w:rsidRDefault="00613427" w:rsidP="00613427">
      <w:pPr>
        <w:pStyle w:val="FootnoteText"/>
        <w:rPr>
          <w:lang w:val="en-IE"/>
        </w:rPr>
      </w:pPr>
      <w:r>
        <w:rPr>
          <w:rStyle w:val="FootnoteReference"/>
        </w:rPr>
        <w:footnoteRef/>
      </w:r>
      <w:r>
        <w:t xml:space="preserve"> </w:t>
      </w:r>
      <w:r w:rsidRPr="7FF7C3D1">
        <w:rPr>
          <w:rFonts w:ascii="Times New Roman" w:hAnsi="Times New Roman"/>
          <w:lang w:val="en-US"/>
        </w:rPr>
        <w:t xml:space="preserve">Directive (EU) 2022/2041 </w:t>
      </w:r>
      <w:r w:rsidRPr="00B029D6">
        <w:rPr>
          <w:rFonts w:ascii="Times New Roman" w:hAnsi="Times New Roman"/>
        </w:rPr>
        <w:t xml:space="preserve">of the European Parliament and of the Council </w:t>
      </w:r>
      <w:r>
        <w:rPr>
          <w:rFonts w:ascii="Times New Roman" w:hAnsi="Times New Roman"/>
        </w:rPr>
        <w:t xml:space="preserve">of 19 October 2022 </w:t>
      </w:r>
      <w:r w:rsidRPr="7FF7C3D1">
        <w:rPr>
          <w:rFonts w:ascii="Times New Roman" w:hAnsi="Times New Roman"/>
          <w:lang w:val="en-US"/>
        </w:rPr>
        <w:t>on adequate minimum wages</w:t>
      </w:r>
      <w:r>
        <w:rPr>
          <w:rFonts w:ascii="Times New Roman" w:hAnsi="Times New Roman"/>
          <w:lang w:val="en-US"/>
        </w:rPr>
        <w:t xml:space="preserve"> in the European Union, </w:t>
      </w:r>
      <w:r w:rsidRPr="00976D93">
        <w:rPr>
          <w:rFonts w:ascii="Times New Roman" w:hAnsi="Times New Roman"/>
        </w:rPr>
        <w:t>OJ L</w:t>
      </w:r>
      <w:r>
        <w:rPr>
          <w:rFonts w:ascii="Times New Roman" w:hAnsi="Times New Roman"/>
        </w:rPr>
        <w:t xml:space="preserve"> 275</w:t>
      </w:r>
      <w:r w:rsidRPr="00976D93">
        <w:rPr>
          <w:rFonts w:ascii="Times New Roman" w:hAnsi="Times New Roman"/>
        </w:rPr>
        <w:t xml:space="preserve">, </w:t>
      </w:r>
      <w:r>
        <w:rPr>
          <w:rFonts w:ascii="Times New Roman" w:hAnsi="Times New Roman"/>
        </w:rPr>
        <w:t xml:space="preserve">25.10.2022, p. 33. </w:t>
      </w:r>
    </w:p>
  </w:footnote>
  <w:footnote w:id="11">
    <w:p w14:paraId="5B2FF243" w14:textId="5533EADF" w:rsidR="000568AD" w:rsidRPr="00B029D6" w:rsidRDefault="000568AD">
      <w:pPr>
        <w:pStyle w:val="FootnoteText"/>
        <w:rPr>
          <w:lang w:val="en-IE"/>
        </w:rPr>
      </w:pPr>
      <w:r>
        <w:rPr>
          <w:rStyle w:val="FootnoteReference"/>
        </w:rPr>
        <w:footnoteRef/>
      </w:r>
      <w:r>
        <w:t xml:space="preserve"> </w:t>
      </w:r>
      <w:r w:rsidRPr="00B029D6">
        <w:rPr>
          <w:rFonts w:ascii="Times New Roman" w:hAnsi="Times New Roman"/>
        </w:rPr>
        <w:t xml:space="preserve">Proposal for a Regulation of the European Parliament and of the Council establishing the European Fund for economic, social and territorial cohesion, agriculture and rural, fisheries and maritime, prosperity and security for the period 2028-2034 and amending Regulation (EU) 2023/955 and Regulation (EU, Euratom) 2024/2509, </w:t>
      </w:r>
      <w:r w:rsidR="003F2785" w:rsidRPr="00B029D6">
        <w:rPr>
          <w:rFonts w:ascii="Times New Roman" w:hAnsi="Times New Roman"/>
        </w:rPr>
        <w:t>COM (</w:t>
      </w:r>
      <w:r w:rsidRPr="00B029D6">
        <w:rPr>
          <w:rFonts w:ascii="Times New Roman" w:hAnsi="Times New Roman"/>
        </w:rPr>
        <w:t>2025) 565 fin of 16.7.2025.</w:t>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507D"/>
    <w:multiLevelType w:val="multilevel"/>
    <w:tmpl w:val="5F385A54"/>
    <w:name w:val="WW8Num2"/>
    <w:lvl w:ilvl="0">
      <w:start w:val="1"/>
      <w:numFmt w:val="bullet"/>
      <w:lvlText w:val="–"/>
      <w:lvlJc w:val="left"/>
      <w:pPr>
        <w:tabs>
          <w:tab w:val="num" w:pos="283"/>
        </w:tabs>
        <w:ind w:left="283" w:hanging="283"/>
      </w:pPr>
      <w:rPr>
        <w:rFonts w:ascii="Times New Roman" w:hAnsi="Times New Roman"/>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0B3F48"/>
    <w:multiLevelType w:val="singleLevel"/>
    <w:tmpl w:val="EFB46688"/>
    <w:name w:val="WW8Num6"/>
    <w:lvl w:ilvl="0">
      <w:start w:val="1"/>
      <w:numFmt w:val="bullet"/>
      <w:pStyle w:val="ListBullet"/>
      <w:lvlText w:val=""/>
      <w:lvlJc w:val="left"/>
      <w:pPr>
        <w:tabs>
          <w:tab w:val="num" w:pos="283"/>
        </w:tabs>
        <w:ind w:left="283" w:hanging="283"/>
      </w:pPr>
      <w:rPr>
        <w:rFonts w:ascii="Symbol" w:hAnsi="Symbol"/>
      </w:rPr>
    </w:lvl>
  </w:abstractNum>
  <w:abstractNum w:abstractNumId="2" w15:restartNumberingAfterBreak="0">
    <w:nsid w:val="0119616E"/>
    <w:multiLevelType w:val="hybridMultilevel"/>
    <w:tmpl w:val="FFFFFFFF"/>
    <w:lvl w:ilvl="0" w:tplc="9A66CB52">
      <w:start w:val="1"/>
      <w:numFmt w:val="bullet"/>
      <w:lvlText w:val=""/>
      <w:lvlJc w:val="left"/>
      <w:pPr>
        <w:ind w:left="720" w:hanging="360"/>
      </w:pPr>
      <w:rPr>
        <w:rFonts w:ascii="Symbol" w:hAnsi="Symbol" w:hint="default"/>
      </w:rPr>
    </w:lvl>
    <w:lvl w:ilvl="1" w:tplc="ADE475AE">
      <w:start w:val="1"/>
      <w:numFmt w:val="bullet"/>
      <w:lvlText w:val="o"/>
      <w:lvlJc w:val="left"/>
      <w:pPr>
        <w:ind w:left="1440" w:hanging="360"/>
      </w:pPr>
      <w:rPr>
        <w:rFonts w:ascii="Courier New" w:hAnsi="Courier New" w:hint="default"/>
      </w:rPr>
    </w:lvl>
    <w:lvl w:ilvl="2" w:tplc="09C66BEC">
      <w:start w:val="1"/>
      <w:numFmt w:val="bullet"/>
      <w:lvlText w:val=""/>
      <w:lvlJc w:val="left"/>
      <w:pPr>
        <w:ind w:left="2160" w:hanging="360"/>
      </w:pPr>
      <w:rPr>
        <w:rFonts w:ascii="Wingdings" w:hAnsi="Wingdings" w:hint="default"/>
      </w:rPr>
    </w:lvl>
    <w:lvl w:ilvl="3" w:tplc="C3A047F4">
      <w:start w:val="1"/>
      <w:numFmt w:val="bullet"/>
      <w:lvlText w:val=""/>
      <w:lvlJc w:val="left"/>
      <w:pPr>
        <w:ind w:left="2880" w:hanging="360"/>
      </w:pPr>
      <w:rPr>
        <w:rFonts w:ascii="Symbol" w:hAnsi="Symbol" w:hint="default"/>
      </w:rPr>
    </w:lvl>
    <w:lvl w:ilvl="4" w:tplc="C2C6BCF8">
      <w:start w:val="1"/>
      <w:numFmt w:val="bullet"/>
      <w:lvlText w:val="o"/>
      <w:lvlJc w:val="left"/>
      <w:pPr>
        <w:ind w:left="3600" w:hanging="360"/>
      </w:pPr>
      <w:rPr>
        <w:rFonts w:ascii="Courier New" w:hAnsi="Courier New" w:hint="default"/>
      </w:rPr>
    </w:lvl>
    <w:lvl w:ilvl="5" w:tplc="EC4A7416">
      <w:start w:val="1"/>
      <w:numFmt w:val="bullet"/>
      <w:lvlText w:val=""/>
      <w:lvlJc w:val="left"/>
      <w:pPr>
        <w:ind w:left="4320" w:hanging="360"/>
      </w:pPr>
      <w:rPr>
        <w:rFonts w:ascii="Wingdings" w:hAnsi="Wingdings" w:hint="default"/>
      </w:rPr>
    </w:lvl>
    <w:lvl w:ilvl="6" w:tplc="D708CE3E">
      <w:start w:val="1"/>
      <w:numFmt w:val="bullet"/>
      <w:lvlText w:val=""/>
      <w:lvlJc w:val="left"/>
      <w:pPr>
        <w:ind w:left="5040" w:hanging="360"/>
      </w:pPr>
      <w:rPr>
        <w:rFonts w:ascii="Symbol" w:hAnsi="Symbol" w:hint="default"/>
      </w:rPr>
    </w:lvl>
    <w:lvl w:ilvl="7" w:tplc="BAFAB7A0">
      <w:start w:val="1"/>
      <w:numFmt w:val="bullet"/>
      <w:lvlText w:val="o"/>
      <w:lvlJc w:val="left"/>
      <w:pPr>
        <w:ind w:left="5760" w:hanging="360"/>
      </w:pPr>
      <w:rPr>
        <w:rFonts w:ascii="Courier New" w:hAnsi="Courier New" w:hint="default"/>
      </w:rPr>
    </w:lvl>
    <w:lvl w:ilvl="8" w:tplc="F6FE1038">
      <w:start w:val="1"/>
      <w:numFmt w:val="bullet"/>
      <w:lvlText w:val=""/>
      <w:lvlJc w:val="left"/>
      <w:pPr>
        <w:ind w:left="6480" w:hanging="360"/>
      </w:pPr>
      <w:rPr>
        <w:rFonts w:ascii="Wingdings" w:hAnsi="Wingdings" w:hint="default"/>
      </w:rPr>
    </w:lvl>
  </w:abstractNum>
  <w:abstractNum w:abstractNumId="3" w15:restartNumberingAfterBreak="0">
    <w:nsid w:val="09F96DCE"/>
    <w:multiLevelType w:val="hybridMultilevel"/>
    <w:tmpl w:val="FFFFFFFF"/>
    <w:lvl w:ilvl="0" w:tplc="62C6ABF8">
      <w:start w:val="1"/>
      <w:numFmt w:val="bullet"/>
      <w:lvlText w:val=""/>
      <w:lvlJc w:val="left"/>
      <w:pPr>
        <w:ind w:left="720" w:hanging="360"/>
      </w:pPr>
      <w:rPr>
        <w:rFonts w:ascii="Symbol" w:hAnsi="Symbol" w:hint="default"/>
      </w:rPr>
    </w:lvl>
    <w:lvl w:ilvl="1" w:tplc="D5B05D70">
      <w:start w:val="1"/>
      <w:numFmt w:val="bullet"/>
      <w:lvlText w:val="o"/>
      <w:lvlJc w:val="left"/>
      <w:pPr>
        <w:ind w:left="1440" w:hanging="360"/>
      </w:pPr>
      <w:rPr>
        <w:rFonts w:ascii="Courier New" w:hAnsi="Courier New" w:hint="default"/>
      </w:rPr>
    </w:lvl>
    <w:lvl w:ilvl="2" w:tplc="2CAE8662">
      <w:start w:val="1"/>
      <w:numFmt w:val="bullet"/>
      <w:lvlText w:val=""/>
      <w:lvlJc w:val="left"/>
      <w:pPr>
        <w:ind w:left="2160" w:hanging="360"/>
      </w:pPr>
      <w:rPr>
        <w:rFonts w:ascii="Wingdings" w:hAnsi="Wingdings" w:hint="default"/>
      </w:rPr>
    </w:lvl>
    <w:lvl w:ilvl="3" w:tplc="C5388FDC">
      <w:start w:val="1"/>
      <w:numFmt w:val="bullet"/>
      <w:lvlText w:val=""/>
      <w:lvlJc w:val="left"/>
      <w:pPr>
        <w:ind w:left="2880" w:hanging="360"/>
      </w:pPr>
      <w:rPr>
        <w:rFonts w:ascii="Symbol" w:hAnsi="Symbol" w:hint="default"/>
      </w:rPr>
    </w:lvl>
    <w:lvl w:ilvl="4" w:tplc="5A3ABE3C">
      <w:start w:val="1"/>
      <w:numFmt w:val="bullet"/>
      <w:lvlText w:val="o"/>
      <w:lvlJc w:val="left"/>
      <w:pPr>
        <w:ind w:left="3600" w:hanging="360"/>
      </w:pPr>
      <w:rPr>
        <w:rFonts w:ascii="Courier New" w:hAnsi="Courier New" w:hint="default"/>
      </w:rPr>
    </w:lvl>
    <w:lvl w:ilvl="5" w:tplc="B024D486">
      <w:start w:val="1"/>
      <w:numFmt w:val="bullet"/>
      <w:lvlText w:val=""/>
      <w:lvlJc w:val="left"/>
      <w:pPr>
        <w:ind w:left="4320" w:hanging="360"/>
      </w:pPr>
      <w:rPr>
        <w:rFonts w:ascii="Wingdings" w:hAnsi="Wingdings" w:hint="default"/>
      </w:rPr>
    </w:lvl>
    <w:lvl w:ilvl="6" w:tplc="B07E8620">
      <w:start w:val="1"/>
      <w:numFmt w:val="bullet"/>
      <w:lvlText w:val=""/>
      <w:lvlJc w:val="left"/>
      <w:pPr>
        <w:ind w:left="5040" w:hanging="360"/>
      </w:pPr>
      <w:rPr>
        <w:rFonts w:ascii="Symbol" w:hAnsi="Symbol" w:hint="default"/>
      </w:rPr>
    </w:lvl>
    <w:lvl w:ilvl="7" w:tplc="E93434B8">
      <w:start w:val="1"/>
      <w:numFmt w:val="bullet"/>
      <w:lvlText w:val="o"/>
      <w:lvlJc w:val="left"/>
      <w:pPr>
        <w:ind w:left="5760" w:hanging="360"/>
      </w:pPr>
      <w:rPr>
        <w:rFonts w:ascii="Courier New" w:hAnsi="Courier New" w:hint="default"/>
      </w:rPr>
    </w:lvl>
    <w:lvl w:ilvl="8" w:tplc="FA02A50E">
      <w:start w:val="1"/>
      <w:numFmt w:val="bullet"/>
      <w:lvlText w:val=""/>
      <w:lvlJc w:val="left"/>
      <w:pPr>
        <w:ind w:left="6480" w:hanging="360"/>
      </w:pPr>
      <w:rPr>
        <w:rFonts w:ascii="Wingdings" w:hAnsi="Wingdings" w:hint="default"/>
      </w:rPr>
    </w:lvl>
  </w:abstractNum>
  <w:abstractNum w:abstractNumId="4" w15:restartNumberingAfterBreak="0">
    <w:nsid w:val="0AA7686E"/>
    <w:multiLevelType w:val="hybridMultilevel"/>
    <w:tmpl w:val="D1D45CA8"/>
    <w:lvl w:ilvl="0" w:tplc="26A4D58A">
      <w:start w:val="1"/>
      <w:numFmt w:val="decimal"/>
      <w:lvlText w:val="%1."/>
      <w:lvlJc w:val="left"/>
      <w:pPr>
        <w:ind w:left="1065" w:hanging="705"/>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1A20B4"/>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EBD20DB"/>
    <w:multiLevelType w:val="hybridMultilevel"/>
    <w:tmpl w:val="3BC09D28"/>
    <w:name w:val="WW8Num8"/>
    <w:lvl w:ilvl="0" w:tplc="1ED89A4C">
      <w:start w:val="1"/>
      <w:numFmt w:val="bullet"/>
      <w:pStyle w:val="Briefingspdef"/>
      <w:lvlText w:val=""/>
      <w:lvlJc w:val="left"/>
      <w:pPr>
        <w:tabs>
          <w:tab w:val="num" w:pos="360"/>
        </w:tabs>
        <w:ind w:left="360" w:hanging="360"/>
      </w:pPr>
      <w:rPr>
        <w:rFonts w:ascii="Symbol" w:hAnsi="Symbol" w:hint="default"/>
        <w:sz w:val="20"/>
      </w:rPr>
    </w:lvl>
    <w:lvl w:ilvl="1" w:tplc="E9786584">
      <w:start w:val="1"/>
      <w:numFmt w:val="bullet"/>
      <w:lvlText w:val=""/>
      <w:lvlJc w:val="left"/>
      <w:pPr>
        <w:tabs>
          <w:tab w:val="num" w:pos="1440"/>
        </w:tabs>
        <w:ind w:left="1440" w:hanging="360"/>
      </w:pPr>
      <w:rPr>
        <w:rFonts w:ascii="Symbol" w:hAnsi="Symbol" w:hint="default"/>
        <w:sz w:val="20"/>
      </w:rPr>
    </w:lvl>
    <w:lvl w:ilvl="2" w:tplc="D3E466F6" w:tentative="1">
      <w:start w:val="1"/>
      <w:numFmt w:val="bullet"/>
      <w:lvlText w:val=""/>
      <w:lvlJc w:val="left"/>
      <w:pPr>
        <w:tabs>
          <w:tab w:val="num" w:pos="2160"/>
        </w:tabs>
        <w:ind w:left="2160" w:hanging="360"/>
      </w:pPr>
      <w:rPr>
        <w:rFonts w:ascii="Wingdings" w:hAnsi="Wingdings" w:hint="default"/>
      </w:rPr>
    </w:lvl>
    <w:lvl w:ilvl="3" w:tplc="670E1398" w:tentative="1">
      <w:start w:val="1"/>
      <w:numFmt w:val="bullet"/>
      <w:lvlText w:val=""/>
      <w:lvlJc w:val="left"/>
      <w:pPr>
        <w:tabs>
          <w:tab w:val="num" w:pos="2880"/>
        </w:tabs>
        <w:ind w:left="2880" w:hanging="360"/>
      </w:pPr>
      <w:rPr>
        <w:rFonts w:ascii="Symbol" w:hAnsi="Symbol" w:hint="default"/>
      </w:rPr>
    </w:lvl>
    <w:lvl w:ilvl="4" w:tplc="03E003E2" w:tentative="1">
      <w:start w:val="1"/>
      <w:numFmt w:val="bullet"/>
      <w:lvlText w:val="o"/>
      <w:lvlJc w:val="left"/>
      <w:pPr>
        <w:tabs>
          <w:tab w:val="num" w:pos="3600"/>
        </w:tabs>
        <w:ind w:left="3600" w:hanging="360"/>
      </w:pPr>
      <w:rPr>
        <w:rFonts w:ascii="Courier New" w:hAnsi="Courier New" w:cs="Courier New" w:hint="default"/>
      </w:rPr>
    </w:lvl>
    <w:lvl w:ilvl="5" w:tplc="4FBE7CFE" w:tentative="1">
      <w:start w:val="1"/>
      <w:numFmt w:val="bullet"/>
      <w:lvlText w:val=""/>
      <w:lvlJc w:val="left"/>
      <w:pPr>
        <w:tabs>
          <w:tab w:val="num" w:pos="4320"/>
        </w:tabs>
        <w:ind w:left="4320" w:hanging="360"/>
      </w:pPr>
      <w:rPr>
        <w:rFonts w:ascii="Wingdings" w:hAnsi="Wingdings" w:hint="default"/>
      </w:rPr>
    </w:lvl>
    <w:lvl w:ilvl="6" w:tplc="BB54250A" w:tentative="1">
      <w:start w:val="1"/>
      <w:numFmt w:val="bullet"/>
      <w:lvlText w:val=""/>
      <w:lvlJc w:val="left"/>
      <w:pPr>
        <w:tabs>
          <w:tab w:val="num" w:pos="5040"/>
        </w:tabs>
        <w:ind w:left="5040" w:hanging="360"/>
      </w:pPr>
      <w:rPr>
        <w:rFonts w:ascii="Symbol" w:hAnsi="Symbol" w:hint="default"/>
      </w:rPr>
    </w:lvl>
    <w:lvl w:ilvl="7" w:tplc="546629E2" w:tentative="1">
      <w:start w:val="1"/>
      <w:numFmt w:val="bullet"/>
      <w:lvlText w:val="o"/>
      <w:lvlJc w:val="left"/>
      <w:pPr>
        <w:tabs>
          <w:tab w:val="num" w:pos="5760"/>
        </w:tabs>
        <w:ind w:left="5760" w:hanging="360"/>
      </w:pPr>
      <w:rPr>
        <w:rFonts w:ascii="Courier New" w:hAnsi="Courier New" w:cs="Courier New" w:hint="default"/>
      </w:rPr>
    </w:lvl>
    <w:lvl w:ilvl="8" w:tplc="19BC93F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831A51"/>
    <w:multiLevelType w:val="hybridMultilevel"/>
    <w:tmpl w:val="BCAED5BC"/>
    <w:lvl w:ilvl="0" w:tplc="7C765058">
      <w:start w:val="1"/>
      <w:numFmt w:val="decimal"/>
      <w:lvlText w:val="%1."/>
      <w:lvlJc w:val="left"/>
      <w:pPr>
        <w:ind w:left="644"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3A83C3F"/>
    <w:multiLevelType w:val="singleLevel"/>
    <w:tmpl w:val="54744D6A"/>
    <w:name w:val="WW8Num13"/>
    <w:lvl w:ilvl="0">
      <w:start w:val="1"/>
      <w:numFmt w:val="bullet"/>
      <w:pStyle w:val="ListDash1"/>
      <w:lvlText w:val="–"/>
      <w:lvlJc w:val="left"/>
      <w:pPr>
        <w:tabs>
          <w:tab w:val="num" w:pos="765"/>
        </w:tabs>
        <w:ind w:left="765" w:hanging="283"/>
      </w:pPr>
      <w:rPr>
        <w:rFonts w:ascii="Times New Roman" w:hAnsi="Times New Roman"/>
      </w:rPr>
    </w:lvl>
  </w:abstractNum>
  <w:abstractNum w:abstractNumId="9" w15:restartNumberingAfterBreak="0">
    <w:nsid w:val="14E4220C"/>
    <w:multiLevelType w:val="multilevel"/>
    <w:tmpl w:val="D2ACB8CC"/>
    <w:lvl w:ilvl="0">
      <w:start w:val="1"/>
      <w:numFmt w:val="decimal"/>
      <w:pStyle w:val="Heading1"/>
      <w:lvlText w:val="%1."/>
      <w:lvlJc w:val="left"/>
      <w:pPr>
        <w:tabs>
          <w:tab w:val="num" w:pos="480"/>
        </w:tabs>
        <w:ind w:left="480" w:hanging="480"/>
      </w:pPr>
      <w:rPr>
        <w:b/>
        <w:lang w:val="fr-FR"/>
      </w:rPr>
    </w:lvl>
    <w:lvl w:ilvl="1">
      <w:start w:val="1"/>
      <w:numFmt w:val="decimal"/>
      <w:pStyle w:val="Heading2"/>
      <w:lvlText w:val="%1.%2."/>
      <w:lvlJc w:val="left"/>
      <w:pPr>
        <w:tabs>
          <w:tab w:val="num" w:pos="1167"/>
        </w:tabs>
        <w:ind w:left="1167" w:hanging="600"/>
      </w:pPr>
      <w:rPr>
        <w:lang w:val="en-GB"/>
      </w:rPr>
    </w:lvl>
    <w:lvl w:ilvl="2">
      <w:start w:val="1"/>
      <w:numFmt w:val="decimal"/>
      <w:pStyle w:val="Heading3"/>
      <w:lvlText w:val="%1.%2.%3."/>
      <w:lvlJc w:val="left"/>
      <w:pPr>
        <w:tabs>
          <w:tab w:val="num" w:pos="2062"/>
        </w:tabs>
        <w:ind w:left="2062" w:hanging="840"/>
      </w:pPr>
    </w:lvl>
    <w:lvl w:ilvl="3">
      <w:start w:val="1"/>
      <w:numFmt w:val="decimal"/>
      <w:pStyle w:val="Heading4"/>
      <w:lvlText w:val="%1.%2.%3.%4."/>
      <w:lvlJc w:val="left"/>
      <w:pPr>
        <w:tabs>
          <w:tab w:val="num" w:pos="3022"/>
        </w:tabs>
        <w:ind w:left="3022" w:hanging="9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10" w15:restartNumberingAfterBreak="0">
    <w:nsid w:val="17610807"/>
    <w:multiLevelType w:val="hybridMultilevel"/>
    <w:tmpl w:val="DA3CD6C8"/>
    <w:name w:val="List Bullet"/>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DA0D4D"/>
    <w:multiLevelType w:val="hybridMultilevel"/>
    <w:tmpl w:val="A71A327C"/>
    <w:lvl w:ilvl="0" w:tplc="47BEBF68">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C591097"/>
    <w:multiLevelType w:val="hybridMultilevel"/>
    <w:tmpl w:val="76503E0C"/>
    <w:lvl w:ilvl="0" w:tplc="CD860DE6">
      <w:start w:val="1"/>
      <w:numFmt w:val="bullet"/>
      <w:lvlText w:val=""/>
      <w:lvlJc w:val="left"/>
      <w:pPr>
        <w:ind w:left="720" w:hanging="360"/>
      </w:pPr>
      <w:rPr>
        <w:rFonts w:ascii="Symbol" w:hAnsi="Symbol" w:hint="default"/>
      </w:rPr>
    </w:lvl>
    <w:lvl w:ilvl="1" w:tplc="8EB2AE0C">
      <w:start w:val="1"/>
      <w:numFmt w:val="bullet"/>
      <w:lvlText w:val="o"/>
      <w:lvlJc w:val="left"/>
      <w:pPr>
        <w:ind w:left="1440" w:hanging="360"/>
      </w:pPr>
      <w:rPr>
        <w:rFonts w:ascii="Courier New" w:hAnsi="Courier New" w:hint="default"/>
      </w:rPr>
    </w:lvl>
    <w:lvl w:ilvl="2" w:tplc="76D8CC6E">
      <w:start w:val="1"/>
      <w:numFmt w:val="bullet"/>
      <w:lvlText w:val=""/>
      <w:lvlJc w:val="left"/>
      <w:pPr>
        <w:ind w:left="2160" w:hanging="360"/>
      </w:pPr>
      <w:rPr>
        <w:rFonts w:ascii="Wingdings" w:hAnsi="Wingdings" w:hint="default"/>
      </w:rPr>
    </w:lvl>
    <w:lvl w:ilvl="3" w:tplc="38FC8FBE">
      <w:start w:val="1"/>
      <w:numFmt w:val="bullet"/>
      <w:lvlText w:val=""/>
      <w:lvlJc w:val="left"/>
      <w:pPr>
        <w:ind w:left="2880" w:hanging="360"/>
      </w:pPr>
      <w:rPr>
        <w:rFonts w:ascii="Symbol" w:hAnsi="Symbol" w:hint="default"/>
      </w:rPr>
    </w:lvl>
    <w:lvl w:ilvl="4" w:tplc="E4CACE3E">
      <w:start w:val="1"/>
      <w:numFmt w:val="bullet"/>
      <w:lvlText w:val="o"/>
      <w:lvlJc w:val="left"/>
      <w:pPr>
        <w:ind w:left="3600" w:hanging="360"/>
      </w:pPr>
      <w:rPr>
        <w:rFonts w:ascii="Courier New" w:hAnsi="Courier New" w:hint="default"/>
      </w:rPr>
    </w:lvl>
    <w:lvl w:ilvl="5" w:tplc="B4161E9C">
      <w:start w:val="1"/>
      <w:numFmt w:val="bullet"/>
      <w:lvlText w:val=""/>
      <w:lvlJc w:val="left"/>
      <w:pPr>
        <w:ind w:left="4320" w:hanging="360"/>
      </w:pPr>
      <w:rPr>
        <w:rFonts w:ascii="Wingdings" w:hAnsi="Wingdings" w:hint="default"/>
      </w:rPr>
    </w:lvl>
    <w:lvl w:ilvl="6" w:tplc="90AEE16A">
      <w:start w:val="1"/>
      <w:numFmt w:val="bullet"/>
      <w:lvlText w:val=""/>
      <w:lvlJc w:val="left"/>
      <w:pPr>
        <w:ind w:left="5040" w:hanging="360"/>
      </w:pPr>
      <w:rPr>
        <w:rFonts w:ascii="Symbol" w:hAnsi="Symbol" w:hint="default"/>
      </w:rPr>
    </w:lvl>
    <w:lvl w:ilvl="7" w:tplc="1B06FBD0">
      <w:start w:val="1"/>
      <w:numFmt w:val="bullet"/>
      <w:lvlText w:val="o"/>
      <w:lvlJc w:val="left"/>
      <w:pPr>
        <w:ind w:left="5760" w:hanging="360"/>
      </w:pPr>
      <w:rPr>
        <w:rFonts w:ascii="Courier New" w:hAnsi="Courier New" w:hint="default"/>
      </w:rPr>
    </w:lvl>
    <w:lvl w:ilvl="8" w:tplc="F24E2D48">
      <w:start w:val="1"/>
      <w:numFmt w:val="bullet"/>
      <w:lvlText w:val=""/>
      <w:lvlJc w:val="left"/>
      <w:pPr>
        <w:ind w:left="6480" w:hanging="360"/>
      </w:pPr>
      <w:rPr>
        <w:rFonts w:ascii="Wingdings" w:hAnsi="Wingdings" w:hint="default"/>
      </w:rPr>
    </w:lvl>
  </w:abstractNum>
  <w:abstractNum w:abstractNumId="13" w15:restartNumberingAfterBreak="0">
    <w:nsid w:val="1D5150BD"/>
    <w:multiLevelType w:val="singleLevel"/>
    <w:tmpl w:val="EF0A0136"/>
    <w:lvl w:ilvl="0">
      <w:start w:val="1"/>
      <w:numFmt w:val="bullet"/>
      <w:pStyle w:val="ListBullet4"/>
      <w:lvlText w:val=""/>
      <w:lvlJc w:val="left"/>
      <w:pPr>
        <w:tabs>
          <w:tab w:val="num" w:pos="3163"/>
        </w:tabs>
        <w:ind w:left="3163" w:hanging="283"/>
      </w:pPr>
      <w:rPr>
        <w:rFonts w:ascii="Symbol" w:hAnsi="Symbol"/>
      </w:rPr>
    </w:lvl>
  </w:abstractNum>
  <w:abstractNum w:abstractNumId="14" w15:restartNumberingAfterBreak="0">
    <w:nsid w:val="1D8653DD"/>
    <w:multiLevelType w:val="hybridMultilevel"/>
    <w:tmpl w:val="3056C994"/>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8918BE"/>
    <w:multiLevelType w:val="multilevel"/>
    <w:tmpl w:val="4C3E72AA"/>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5509140"/>
    <w:multiLevelType w:val="hybridMultilevel"/>
    <w:tmpl w:val="FFFFFFFF"/>
    <w:lvl w:ilvl="0" w:tplc="9B929662">
      <w:start w:val="1"/>
      <w:numFmt w:val="bullet"/>
      <w:lvlText w:val="·"/>
      <w:lvlJc w:val="left"/>
      <w:pPr>
        <w:ind w:left="720" w:hanging="360"/>
      </w:pPr>
      <w:rPr>
        <w:rFonts w:ascii="Symbol" w:hAnsi="Symbol" w:hint="default"/>
      </w:rPr>
    </w:lvl>
    <w:lvl w:ilvl="1" w:tplc="B73E7568">
      <w:start w:val="1"/>
      <w:numFmt w:val="bullet"/>
      <w:lvlText w:val="o"/>
      <w:lvlJc w:val="left"/>
      <w:pPr>
        <w:ind w:left="1440" w:hanging="360"/>
      </w:pPr>
      <w:rPr>
        <w:rFonts w:ascii="Courier New" w:hAnsi="Courier New" w:hint="default"/>
      </w:rPr>
    </w:lvl>
    <w:lvl w:ilvl="2" w:tplc="8AAA211C">
      <w:start w:val="1"/>
      <w:numFmt w:val="bullet"/>
      <w:lvlText w:val=""/>
      <w:lvlJc w:val="left"/>
      <w:pPr>
        <w:ind w:left="2160" w:hanging="360"/>
      </w:pPr>
      <w:rPr>
        <w:rFonts w:ascii="Wingdings" w:hAnsi="Wingdings" w:hint="default"/>
      </w:rPr>
    </w:lvl>
    <w:lvl w:ilvl="3" w:tplc="84A89360">
      <w:start w:val="1"/>
      <w:numFmt w:val="bullet"/>
      <w:lvlText w:val=""/>
      <w:lvlJc w:val="left"/>
      <w:pPr>
        <w:ind w:left="2880" w:hanging="360"/>
      </w:pPr>
      <w:rPr>
        <w:rFonts w:ascii="Symbol" w:hAnsi="Symbol" w:hint="default"/>
      </w:rPr>
    </w:lvl>
    <w:lvl w:ilvl="4" w:tplc="6E041AE8">
      <w:start w:val="1"/>
      <w:numFmt w:val="bullet"/>
      <w:lvlText w:val="o"/>
      <w:lvlJc w:val="left"/>
      <w:pPr>
        <w:ind w:left="3600" w:hanging="360"/>
      </w:pPr>
      <w:rPr>
        <w:rFonts w:ascii="Courier New" w:hAnsi="Courier New" w:hint="default"/>
      </w:rPr>
    </w:lvl>
    <w:lvl w:ilvl="5" w:tplc="834CA1C0">
      <w:start w:val="1"/>
      <w:numFmt w:val="bullet"/>
      <w:lvlText w:val=""/>
      <w:lvlJc w:val="left"/>
      <w:pPr>
        <w:ind w:left="4320" w:hanging="360"/>
      </w:pPr>
      <w:rPr>
        <w:rFonts w:ascii="Wingdings" w:hAnsi="Wingdings" w:hint="default"/>
      </w:rPr>
    </w:lvl>
    <w:lvl w:ilvl="6" w:tplc="B08465AE">
      <w:start w:val="1"/>
      <w:numFmt w:val="bullet"/>
      <w:lvlText w:val=""/>
      <w:lvlJc w:val="left"/>
      <w:pPr>
        <w:ind w:left="5040" w:hanging="360"/>
      </w:pPr>
      <w:rPr>
        <w:rFonts w:ascii="Symbol" w:hAnsi="Symbol" w:hint="default"/>
      </w:rPr>
    </w:lvl>
    <w:lvl w:ilvl="7" w:tplc="43964C94">
      <w:start w:val="1"/>
      <w:numFmt w:val="bullet"/>
      <w:lvlText w:val="o"/>
      <w:lvlJc w:val="left"/>
      <w:pPr>
        <w:ind w:left="5760" w:hanging="360"/>
      </w:pPr>
      <w:rPr>
        <w:rFonts w:ascii="Courier New" w:hAnsi="Courier New" w:hint="default"/>
      </w:rPr>
    </w:lvl>
    <w:lvl w:ilvl="8" w:tplc="22765F44">
      <w:start w:val="1"/>
      <w:numFmt w:val="bullet"/>
      <w:lvlText w:val=""/>
      <w:lvlJc w:val="left"/>
      <w:pPr>
        <w:ind w:left="6480" w:hanging="360"/>
      </w:pPr>
      <w:rPr>
        <w:rFonts w:ascii="Wingdings" w:hAnsi="Wingdings" w:hint="default"/>
      </w:rPr>
    </w:lvl>
  </w:abstractNum>
  <w:abstractNum w:abstractNumId="17" w15:restartNumberingAfterBreak="0">
    <w:nsid w:val="2B1E53BC"/>
    <w:multiLevelType w:val="singleLevel"/>
    <w:tmpl w:val="0BFC0FF8"/>
    <w:lvl w:ilvl="0">
      <w:start w:val="1"/>
      <w:numFmt w:val="bullet"/>
      <w:pStyle w:val="ListBullet2"/>
      <w:lvlText w:val=""/>
      <w:lvlJc w:val="left"/>
      <w:pPr>
        <w:tabs>
          <w:tab w:val="num" w:pos="1360"/>
        </w:tabs>
        <w:ind w:left="1360" w:hanging="283"/>
      </w:pPr>
      <w:rPr>
        <w:rFonts w:ascii="Symbol" w:hAnsi="Symbol"/>
      </w:rPr>
    </w:lvl>
  </w:abstractNum>
  <w:abstractNum w:abstractNumId="18" w15:restartNumberingAfterBreak="0">
    <w:nsid w:val="34834FA3"/>
    <w:multiLevelType w:val="multilevel"/>
    <w:tmpl w:val="8DC66598"/>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6615FEF"/>
    <w:multiLevelType w:val="singleLevel"/>
    <w:tmpl w:val="5CD4C666"/>
    <w:lvl w:ilvl="0">
      <w:start w:val="1"/>
      <w:numFmt w:val="bullet"/>
      <w:pStyle w:val="ListDash2"/>
      <w:lvlText w:val="–"/>
      <w:lvlJc w:val="left"/>
      <w:pPr>
        <w:tabs>
          <w:tab w:val="num" w:pos="1360"/>
        </w:tabs>
        <w:ind w:left="1360" w:hanging="283"/>
      </w:pPr>
      <w:rPr>
        <w:rFonts w:ascii="Times New Roman" w:hAnsi="Times New Roman"/>
      </w:rPr>
    </w:lvl>
  </w:abstractNum>
  <w:abstractNum w:abstractNumId="20" w15:restartNumberingAfterBreak="0">
    <w:nsid w:val="3A115290"/>
    <w:multiLevelType w:val="multilevel"/>
    <w:tmpl w:val="E3664658"/>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2D52663"/>
    <w:multiLevelType w:val="hybridMultilevel"/>
    <w:tmpl w:val="49FA7B1C"/>
    <w:lvl w:ilvl="0" w:tplc="585C461E">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92F607F"/>
    <w:multiLevelType w:val="hybridMultilevel"/>
    <w:tmpl w:val="2EAE1878"/>
    <w:lvl w:ilvl="0" w:tplc="3228B35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596461"/>
    <w:multiLevelType w:val="hybridMultilevel"/>
    <w:tmpl w:val="9DF09A94"/>
    <w:lvl w:ilvl="0" w:tplc="94A62EB0">
      <w:start w:val="1"/>
      <w:numFmt w:val="decimal"/>
      <w:lvlText w:val="%1."/>
      <w:lvlJc w:val="left"/>
      <w:pPr>
        <w:ind w:left="1429" w:hanging="360"/>
      </w:pPr>
      <w:rPr>
        <w:b/>
        <w:i w:val="0"/>
      </w:r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24" w15:restartNumberingAfterBreak="0">
    <w:nsid w:val="4B5F428A"/>
    <w:multiLevelType w:val="hybridMultilevel"/>
    <w:tmpl w:val="136C885A"/>
    <w:lvl w:ilvl="0" w:tplc="66B6DB7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CFA6298"/>
    <w:multiLevelType w:val="hybridMultilevel"/>
    <w:tmpl w:val="68B8F702"/>
    <w:lvl w:ilvl="0" w:tplc="B8E4B348">
      <w:start w:val="1"/>
      <w:numFmt w:val="bullet"/>
      <w:lvlText w:val="-"/>
      <w:lvlJc w:val="left"/>
      <w:pPr>
        <w:ind w:left="1440" w:hanging="360"/>
      </w:pPr>
      <w:rPr>
        <w:rFonts w:ascii="Calibri" w:eastAsia="Calibr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0B46F58"/>
    <w:multiLevelType w:val="hybridMultilevel"/>
    <w:tmpl w:val="A4084E98"/>
    <w:lvl w:ilvl="0" w:tplc="965A8042">
      <w:start w:val="1"/>
      <w:numFmt w:val="bullet"/>
      <w:lvlText w:val="·"/>
      <w:lvlJc w:val="left"/>
      <w:pPr>
        <w:ind w:left="720" w:hanging="360"/>
      </w:pPr>
      <w:rPr>
        <w:rFonts w:ascii="Symbol" w:hAnsi="Symbol" w:hint="default"/>
      </w:rPr>
    </w:lvl>
    <w:lvl w:ilvl="1" w:tplc="DFECF260">
      <w:start w:val="1"/>
      <w:numFmt w:val="bullet"/>
      <w:lvlText w:val="o"/>
      <w:lvlJc w:val="left"/>
      <w:pPr>
        <w:ind w:left="1440" w:hanging="360"/>
      </w:pPr>
      <w:rPr>
        <w:rFonts w:ascii="Courier New" w:hAnsi="Courier New" w:hint="default"/>
      </w:rPr>
    </w:lvl>
    <w:lvl w:ilvl="2" w:tplc="D206CDAC">
      <w:start w:val="1"/>
      <w:numFmt w:val="bullet"/>
      <w:lvlText w:val=""/>
      <w:lvlJc w:val="left"/>
      <w:pPr>
        <w:ind w:left="2160" w:hanging="360"/>
      </w:pPr>
      <w:rPr>
        <w:rFonts w:ascii="Wingdings" w:hAnsi="Wingdings" w:hint="default"/>
      </w:rPr>
    </w:lvl>
    <w:lvl w:ilvl="3" w:tplc="CF14F0BA">
      <w:start w:val="1"/>
      <w:numFmt w:val="bullet"/>
      <w:lvlText w:val=""/>
      <w:lvlJc w:val="left"/>
      <w:pPr>
        <w:ind w:left="2880" w:hanging="360"/>
      </w:pPr>
      <w:rPr>
        <w:rFonts w:ascii="Symbol" w:hAnsi="Symbol" w:hint="default"/>
      </w:rPr>
    </w:lvl>
    <w:lvl w:ilvl="4" w:tplc="D6F64A14">
      <w:start w:val="1"/>
      <w:numFmt w:val="bullet"/>
      <w:lvlText w:val="o"/>
      <w:lvlJc w:val="left"/>
      <w:pPr>
        <w:ind w:left="3600" w:hanging="360"/>
      </w:pPr>
      <w:rPr>
        <w:rFonts w:ascii="Courier New" w:hAnsi="Courier New" w:hint="default"/>
      </w:rPr>
    </w:lvl>
    <w:lvl w:ilvl="5" w:tplc="5F769420">
      <w:start w:val="1"/>
      <w:numFmt w:val="bullet"/>
      <w:lvlText w:val=""/>
      <w:lvlJc w:val="left"/>
      <w:pPr>
        <w:ind w:left="4320" w:hanging="360"/>
      </w:pPr>
      <w:rPr>
        <w:rFonts w:ascii="Wingdings" w:hAnsi="Wingdings" w:hint="default"/>
      </w:rPr>
    </w:lvl>
    <w:lvl w:ilvl="6" w:tplc="1CC6573A">
      <w:start w:val="1"/>
      <w:numFmt w:val="bullet"/>
      <w:lvlText w:val=""/>
      <w:lvlJc w:val="left"/>
      <w:pPr>
        <w:ind w:left="5040" w:hanging="360"/>
      </w:pPr>
      <w:rPr>
        <w:rFonts w:ascii="Symbol" w:hAnsi="Symbol" w:hint="default"/>
      </w:rPr>
    </w:lvl>
    <w:lvl w:ilvl="7" w:tplc="B610045C">
      <w:start w:val="1"/>
      <w:numFmt w:val="bullet"/>
      <w:lvlText w:val="o"/>
      <w:lvlJc w:val="left"/>
      <w:pPr>
        <w:ind w:left="5760" w:hanging="360"/>
      </w:pPr>
      <w:rPr>
        <w:rFonts w:ascii="Courier New" w:hAnsi="Courier New" w:hint="default"/>
      </w:rPr>
    </w:lvl>
    <w:lvl w:ilvl="8" w:tplc="907687A0">
      <w:start w:val="1"/>
      <w:numFmt w:val="bullet"/>
      <w:lvlText w:val=""/>
      <w:lvlJc w:val="left"/>
      <w:pPr>
        <w:ind w:left="6480" w:hanging="360"/>
      </w:pPr>
      <w:rPr>
        <w:rFonts w:ascii="Wingdings" w:hAnsi="Wingdings" w:hint="default"/>
      </w:rPr>
    </w:lvl>
  </w:abstractNum>
  <w:abstractNum w:abstractNumId="27" w15:restartNumberingAfterBreak="0">
    <w:nsid w:val="514632EE"/>
    <w:multiLevelType w:val="hybridMultilevel"/>
    <w:tmpl w:val="6012F114"/>
    <w:lvl w:ilvl="0" w:tplc="08090001">
      <w:start w:val="1"/>
      <w:numFmt w:val="bullet"/>
      <w:pStyle w:val="ListDash"/>
      <w:lvlText w:val="–"/>
      <w:lvlJc w:val="left"/>
      <w:pPr>
        <w:tabs>
          <w:tab w:val="num" w:pos="567"/>
        </w:tabs>
        <w:ind w:left="567" w:hanging="283"/>
      </w:pPr>
      <w:rPr>
        <w:rFonts w:ascii="Times New Roman" w:hAnsi="Times New Roman"/>
      </w:rPr>
    </w:lvl>
    <w:lvl w:ilvl="1" w:tplc="08090003">
      <w:numFmt w:val="bullet"/>
      <w:lvlText w:val="-"/>
      <w:lvlJc w:val="left"/>
      <w:pPr>
        <w:tabs>
          <w:tab w:val="num" w:pos="1724"/>
        </w:tabs>
        <w:ind w:left="1724" w:hanging="360"/>
      </w:pPr>
      <w:rPr>
        <w:rFonts w:ascii="Times New Roman" w:eastAsia="Times New Roman" w:hAnsi="Times New Roman" w:cs="Times New Roman"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8" w15:restartNumberingAfterBreak="0">
    <w:nsid w:val="576A32C9"/>
    <w:multiLevelType w:val="multilevel"/>
    <w:tmpl w:val="52224248"/>
    <w:lvl w:ilvl="0">
      <w:start w:val="1"/>
      <w:numFmt w:val="decimal"/>
      <w:lvlRestart w:val="0"/>
      <w:pStyle w:val="Considrant"/>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i w:val="0"/>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9" w15:restartNumberingAfterBreak="0">
    <w:nsid w:val="5A2450F2"/>
    <w:multiLevelType w:val="singleLevel"/>
    <w:tmpl w:val="E41A6BD2"/>
    <w:lvl w:ilvl="0">
      <w:start w:val="1"/>
      <w:numFmt w:val="bullet"/>
      <w:pStyle w:val="ListDash4"/>
      <w:lvlText w:val="–"/>
      <w:lvlJc w:val="left"/>
      <w:pPr>
        <w:tabs>
          <w:tab w:val="num" w:pos="3163"/>
        </w:tabs>
        <w:ind w:left="3163" w:hanging="283"/>
      </w:pPr>
      <w:rPr>
        <w:rFonts w:ascii="Times New Roman" w:hAnsi="Times New Roman"/>
      </w:rPr>
    </w:lvl>
  </w:abstractNum>
  <w:abstractNum w:abstractNumId="30" w15:restartNumberingAfterBreak="0">
    <w:nsid w:val="5EFF257D"/>
    <w:multiLevelType w:val="hybridMultilevel"/>
    <w:tmpl w:val="DD2A3844"/>
    <w:lvl w:ilvl="0" w:tplc="812854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9F1BF3"/>
    <w:multiLevelType w:val="multilevel"/>
    <w:tmpl w:val="537E9280"/>
    <w:lvl w:ilvl="0">
      <w:start w:val="1"/>
      <w:numFmt w:val="decimal"/>
      <w:pStyle w:val="ListNumber"/>
      <w:lvlText w:val="(%1)"/>
      <w:lvlJc w:val="left"/>
      <w:pPr>
        <w:tabs>
          <w:tab w:val="num" w:pos="709"/>
        </w:tabs>
        <w:ind w:left="709" w:hanging="709"/>
      </w:pPr>
      <w:rPr>
        <w:b w:val="0"/>
      </w:r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B5A37B8"/>
    <w:multiLevelType w:val="hybridMultilevel"/>
    <w:tmpl w:val="AD1ECD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C136061"/>
    <w:multiLevelType w:val="hybridMultilevel"/>
    <w:tmpl w:val="7052666E"/>
    <w:lvl w:ilvl="0" w:tplc="40D2097A">
      <w:start w:val="1"/>
      <w:numFmt w:val="bullet"/>
      <w:pStyle w:val="Briefingspeakdef"/>
      <w:lvlText w:val=""/>
      <w:lvlJc w:val="left"/>
      <w:pPr>
        <w:tabs>
          <w:tab w:val="num" w:pos="765"/>
        </w:tabs>
        <w:ind w:left="765" w:hanging="283"/>
      </w:pPr>
      <w:rPr>
        <w:rFonts w:ascii="Symbol" w:hAnsi="Symbol" w:hint="default"/>
        <w:sz w:val="22"/>
      </w:rPr>
    </w:lvl>
    <w:lvl w:ilvl="1" w:tplc="08090003">
      <w:start w:val="1"/>
      <w:numFmt w:val="bullet"/>
      <w:lvlText w:val=""/>
      <w:lvlJc w:val="left"/>
      <w:pPr>
        <w:tabs>
          <w:tab w:val="num" w:pos="1287"/>
        </w:tabs>
        <w:ind w:left="1287" w:hanging="207"/>
      </w:pPr>
      <w:rPr>
        <w:rFonts w:ascii="Symbol" w:hAnsi="Symbol" w:hint="default"/>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D4070CA"/>
    <w:multiLevelType w:val="singleLevel"/>
    <w:tmpl w:val="0FC2EFC0"/>
    <w:lvl w:ilvl="0">
      <w:start w:val="1"/>
      <w:numFmt w:val="bullet"/>
      <w:pStyle w:val="ListBullet3"/>
      <w:lvlText w:val=""/>
      <w:lvlJc w:val="left"/>
      <w:pPr>
        <w:tabs>
          <w:tab w:val="num" w:pos="2199"/>
        </w:tabs>
        <w:ind w:left="2199" w:hanging="283"/>
      </w:pPr>
      <w:rPr>
        <w:rFonts w:ascii="Symbol" w:hAnsi="Symbol"/>
      </w:rPr>
    </w:lvl>
  </w:abstractNum>
  <w:abstractNum w:abstractNumId="35" w15:restartNumberingAfterBreak="0">
    <w:nsid w:val="754117B7"/>
    <w:multiLevelType w:val="multilevel"/>
    <w:tmpl w:val="D210498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769864C1"/>
    <w:multiLevelType w:val="hybridMultilevel"/>
    <w:tmpl w:val="154C80D8"/>
    <w:lvl w:ilvl="0" w:tplc="843A22E8">
      <w:start w:val="1"/>
      <w:numFmt w:val="bullet"/>
      <w:pStyle w:val="NumPar1Char"/>
      <w:lvlText w:val="–"/>
      <w:lvlJc w:val="left"/>
      <w:pPr>
        <w:tabs>
          <w:tab w:val="num" w:pos="643"/>
        </w:tabs>
        <w:ind w:left="643" w:hanging="283"/>
      </w:pPr>
      <w:rPr>
        <w:rFonts w:ascii="Times New Roman" w:hAnsi="Times New Roman" w:hint="default"/>
      </w:rPr>
    </w:lvl>
    <w:lvl w:ilvl="1" w:tplc="60C2582C" w:tentative="1">
      <w:start w:val="1"/>
      <w:numFmt w:val="bullet"/>
      <w:lvlText w:val="o"/>
      <w:lvlJc w:val="left"/>
      <w:pPr>
        <w:tabs>
          <w:tab w:val="num" w:pos="1440"/>
        </w:tabs>
        <w:ind w:left="1440" w:hanging="360"/>
      </w:pPr>
      <w:rPr>
        <w:rFonts w:ascii="Courier New" w:hAnsi="Courier New" w:cs="Courier New" w:hint="default"/>
      </w:rPr>
    </w:lvl>
    <w:lvl w:ilvl="2" w:tplc="17D6AD3A" w:tentative="1">
      <w:start w:val="1"/>
      <w:numFmt w:val="bullet"/>
      <w:lvlText w:val=""/>
      <w:lvlJc w:val="left"/>
      <w:pPr>
        <w:tabs>
          <w:tab w:val="num" w:pos="2160"/>
        </w:tabs>
        <w:ind w:left="2160" w:hanging="360"/>
      </w:pPr>
      <w:rPr>
        <w:rFonts w:ascii="Wingdings" w:hAnsi="Wingdings" w:hint="default"/>
      </w:rPr>
    </w:lvl>
    <w:lvl w:ilvl="3" w:tplc="FEA221B2" w:tentative="1">
      <w:start w:val="1"/>
      <w:numFmt w:val="bullet"/>
      <w:lvlText w:val=""/>
      <w:lvlJc w:val="left"/>
      <w:pPr>
        <w:tabs>
          <w:tab w:val="num" w:pos="2880"/>
        </w:tabs>
        <w:ind w:left="2880" w:hanging="360"/>
      </w:pPr>
      <w:rPr>
        <w:rFonts w:ascii="Symbol" w:hAnsi="Symbol" w:hint="default"/>
      </w:rPr>
    </w:lvl>
    <w:lvl w:ilvl="4" w:tplc="EB305368" w:tentative="1">
      <w:start w:val="1"/>
      <w:numFmt w:val="bullet"/>
      <w:lvlText w:val="o"/>
      <w:lvlJc w:val="left"/>
      <w:pPr>
        <w:tabs>
          <w:tab w:val="num" w:pos="3600"/>
        </w:tabs>
        <w:ind w:left="3600" w:hanging="360"/>
      </w:pPr>
      <w:rPr>
        <w:rFonts w:ascii="Courier New" w:hAnsi="Courier New" w:cs="Courier New" w:hint="default"/>
      </w:rPr>
    </w:lvl>
    <w:lvl w:ilvl="5" w:tplc="1C38E420" w:tentative="1">
      <w:start w:val="1"/>
      <w:numFmt w:val="bullet"/>
      <w:lvlText w:val=""/>
      <w:lvlJc w:val="left"/>
      <w:pPr>
        <w:tabs>
          <w:tab w:val="num" w:pos="4320"/>
        </w:tabs>
        <w:ind w:left="4320" w:hanging="360"/>
      </w:pPr>
      <w:rPr>
        <w:rFonts w:ascii="Wingdings" w:hAnsi="Wingdings" w:hint="default"/>
      </w:rPr>
    </w:lvl>
    <w:lvl w:ilvl="6" w:tplc="58705602" w:tentative="1">
      <w:start w:val="1"/>
      <w:numFmt w:val="bullet"/>
      <w:lvlText w:val=""/>
      <w:lvlJc w:val="left"/>
      <w:pPr>
        <w:tabs>
          <w:tab w:val="num" w:pos="5040"/>
        </w:tabs>
        <w:ind w:left="5040" w:hanging="360"/>
      </w:pPr>
      <w:rPr>
        <w:rFonts w:ascii="Symbol" w:hAnsi="Symbol" w:hint="default"/>
      </w:rPr>
    </w:lvl>
    <w:lvl w:ilvl="7" w:tplc="EE5A94CC" w:tentative="1">
      <w:start w:val="1"/>
      <w:numFmt w:val="bullet"/>
      <w:lvlText w:val="o"/>
      <w:lvlJc w:val="left"/>
      <w:pPr>
        <w:tabs>
          <w:tab w:val="num" w:pos="5760"/>
        </w:tabs>
        <w:ind w:left="5760" w:hanging="360"/>
      </w:pPr>
      <w:rPr>
        <w:rFonts w:ascii="Courier New" w:hAnsi="Courier New" w:cs="Courier New" w:hint="default"/>
      </w:rPr>
    </w:lvl>
    <w:lvl w:ilvl="8" w:tplc="C0A6382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816C3A"/>
    <w:multiLevelType w:val="singleLevel"/>
    <w:tmpl w:val="C9E4CA12"/>
    <w:lvl w:ilvl="0">
      <w:start w:val="1"/>
      <w:numFmt w:val="bullet"/>
      <w:pStyle w:val="ListDash3"/>
      <w:lvlText w:val="–"/>
      <w:lvlJc w:val="left"/>
      <w:pPr>
        <w:tabs>
          <w:tab w:val="num" w:pos="2199"/>
        </w:tabs>
        <w:ind w:left="2199" w:hanging="283"/>
      </w:pPr>
      <w:rPr>
        <w:rFonts w:ascii="Times New Roman" w:hAnsi="Times New Roman"/>
      </w:rPr>
    </w:lvl>
  </w:abstractNum>
  <w:abstractNum w:abstractNumId="38" w15:restartNumberingAfterBreak="0">
    <w:nsid w:val="78080A0A"/>
    <w:multiLevelType w:val="singleLevel"/>
    <w:tmpl w:val="3CCA8980"/>
    <w:lvl w:ilvl="0">
      <w:start w:val="1"/>
      <w:numFmt w:val="bullet"/>
      <w:pStyle w:val="ListBullet1"/>
      <w:lvlText w:val=""/>
      <w:lvlJc w:val="left"/>
      <w:pPr>
        <w:tabs>
          <w:tab w:val="num" w:pos="765"/>
        </w:tabs>
        <w:ind w:left="765" w:hanging="283"/>
      </w:pPr>
      <w:rPr>
        <w:rFonts w:ascii="Symbol" w:hAnsi="Symbol"/>
      </w:rPr>
    </w:lvl>
  </w:abstractNum>
  <w:abstractNum w:abstractNumId="39" w15:restartNumberingAfterBreak="0">
    <w:nsid w:val="795D3BA0"/>
    <w:multiLevelType w:val="hybridMultilevel"/>
    <w:tmpl w:val="4F76D5A2"/>
    <w:lvl w:ilvl="0" w:tplc="DE7488B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AAA2612"/>
    <w:multiLevelType w:val="hybridMultilevel"/>
    <w:tmpl w:val="8F2E6EC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1" w15:restartNumberingAfterBreak="0">
    <w:nsid w:val="7ECB7708"/>
    <w:multiLevelType w:val="singleLevel"/>
    <w:tmpl w:val="5EA8E34C"/>
    <w:lvl w:ilvl="0">
      <w:start w:val="1"/>
      <w:numFmt w:val="decimal"/>
      <w:pStyle w:val="ATHeading1"/>
      <w:lvlText w:val="%1."/>
      <w:lvlJc w:val="left"/>
      <w:pPr>
        <w:tabs>
          <w:tab w:val="num" w:pos="360"/>
        </w:tabs>
        <w:ind w:left="360" w:hanging="360"/>
      </w:pPr>
    </w:lvl>
  </w:abstractNum>
  <w:num w:numId="1" w16cid:durableId="244148554">
    <w:abstractNumId w:val="26"/>
  </w:num>
  <w:num w:numId="2" w16cid:durableId="1466238008">
    <w:abstractNumId w:val="3"/>
  </w:num>
  <w:num w:numId="3" w16cid:durableId="1687444091">
    <w:abstractNumId w:val="2"/>
  </w:num>
  <w:num w:numId="4" w16cid:durableId="1971937972">
    <w:abstractNumId w:val="16"/>
  </w:num>
  <w:num w:numId="5" w16cid:durableId="328406938">
    <w:abstractNumId w:val="12"/>
  </w:num>
  <w:num w:numId="6" w16cid:durableId="209342734">
    <w:abstractNumId w:val="9"/>
  </w:num>
  <w:num w:numId="7" w16cid:durableId="148182179">
    <w:abstractNumId w:val="1"/>
  </w:num>
  <w:num w:numId="8" w16cid:durableId="505511010">
    <w:abstractNumId w:val="38"/>
  </w:num>
  <w:num w:numId="9" w16cid:durableId="580018736">
    <w:abstractNumId w:val="17"/>
  </w:num>
  <w:num w:numId="10" w16cid:durableId="221647625">
    <w:abstractNumId w:val="34"/>
  </w:num>
  <w:num w:numId="11" w16cid:durableId="298344620">
    <w:abstractNumId w:val="13"/>
  </w:num>
  <w:num w:numId="12" w16cid:durableId="58093387">
    <w:abstractNumId w:val="8"/>
  </w:num>
  <w:num w:numId="13" w16cid:durableId="1122530581">
    <w:abstractNumId w:val="19"/>
  </w:num>
  <w:num w:numId="14" w16cid:durableId="1479684095">
    <w:abstractNumId w:val="37"/>
  </w:num>
  <w:num w:numId="15" w16cid:durableId="340007303">
    <w:abstractNumId w:val="29"/>
  </w:num>
  <w:num w:numId="16" w16cid:durableId="346519941">
    <w:abstractNumId w:val="31"/>
  </w:num>
  <w:num w:numId="17" w16cid:durableId="691036718">
    <w:abstractNumId w:val="15"/>
  </w:num>
  <w:num w:numId="18" w16cid:durableId="1452093781">
    <w:abstractNumId w:val="20"/>
  </w:num>
  <w:num w:numId="19" w16cid:durableId="906961314">
    <w:abstractNumId w:val="35"/>
  </w:num>
  <w:num w:numId="20" w16cid:durableId="1388455259">
    <w:abstractNumId w:val="18"/>
  </w:num>
  <w:num w:numId="21" w16cid:durableId="1677533267">
    <w:abstractNumId w:val="41"/>
  </w:num>
  <w:num w:numId="22" w16cid:durableId="961619330">
    <w:abstractNumId w:val="36"/>
  </w:num>
  <w:num w:numId="23" w16cid:durableId="1095638383">
    <w:abstractNumId w:val="27"/>
  </w:num>
  <w:num w:numId="24" w16cid:durableId="357776219">
    <w:abstractNumId w:val="28"/>
  </w:num>
  <w:num w:numId="25" w16cid:durableId="1481578588">
    <w:abstractNumId w:val="33"/>
  </w:num>
  <w:num w:numId="26" w16cid:durableId="1812137613">
    <w:abstractNumId w:val="5"/>
  </w:num>
  <w:num w:numId="27" w16cid:durableId="370300677">
    <w:abstractNumId w:val="6"/>
  </w:num>
  <w:num w:numId="28" w16cid:durableId="1948660650">
    <w:abstractNumId w:val="7"/>
  </w:num>
  <w:num w:numId="29" w16cid:durableId="1221136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46547536">
    <w:abstractNumId w:val="39"/>
  </w:num>
  <w:num w:numId="31" w16cid:durableId="1203983393">
    <w:abstractNumId w:val="30"/>
  </w:num>
  <w:num w:numId="32" w16cid:durableId="1149204463">
    <w:abstractNumId w:val="21"/>
  </w:num>
  <w:num w:numId="33" w16cid:durableId="614867515">
    <w:abstractNumId w:val="40"/>
  </w:num>
  <w:num w:numId="34" w16cid:durableId="1513490821">
    <w:abstractNumId w:val="4"/>
  </w:num>
  <w:num w:numId="35" w16cid:durableId="1269506392">
    <w:abstractNumId w:val="25"/>
  </w:num>
  <w:num w:numId="36" w16cid:durableId="160509948">
    <w:abstractNumId w:val="24"/>
  </w:num>
  <w:num w:numId="37" w16cid:durableId="146094414">
    <w:abstractNumId w:val="11"/>
  </w:num>
  <w:num w:numId="38" w16cid:durableId="2145806991">
    <w:abstractNumId w:val="14"/>
  </w:num>
  <w:num w:numId="39" w16cid:durableId="1322079617">
    <w:abstractNumId w:val="23"/>
  </w:num>
  <w:num w:numId="40" w16cid:durableId="1661734410">
    <w:abstractNumId w:val="2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PKit_DocumentHasBeenSaved" w:val="true"/>
    <w:docVar w:name="LW_DocType" w:val="TEL"/>
  </w:docVars>
  <w:rsids>
    <w:rsidRoot w:val="009A3DA0"/>
    <w:rsid w:val="00000039"/>
    <w:rsid w:val="00000080"/>
    <w:rsid w:val="000001DC"/>
    <w:rsid w:val="0000032F"/>
    <w:rsid w:val="00000397"/>
    <w:rsid w:val="00000486"/>
    <w:rsid w:val="0000050D"/>
    <w:rsid w:val="000005E9"/>
    <w:rsid w:val="000006FD"/>
    <w:rsid w:val="0000071A"/>
    <w:rsid w:val="00000795"/>
    <w:rsid w:val="000009FA"/>
    <w:rsid w:val="00000BE2"/>
    <w:rsid w:val="00000C13"/>
    <w:rsid w:val="00000DBF"/>
    <w:rsid w:val="00001369"/>
    <w:rsid w:val="00001CDC"/>
    <w:rsid w:val="000021E5"/>
    <w:rsid w:val="000023BA"/>
    <w:rsid w:val="000024E2"/>
    <w:rsid w:val="0000279C"/>
    <w:rsid w:val="00002CF6"/>
    <w:rsid w:val="000031B6"/>
    <w:rsid w:val="00003423"/>
    <w:rsid w:val="00003511"/>
    <w:rsid w:val="00003652"/>
    <w:rsid w:val="00003862"/>
    <w:rsid w:val="00003C85"/>
    <w:rsid w:val="00004288"/>
    <w:rsid w:val="0000450D"/>
    <w:rsid w:val="000046C1"/>
    <w:rsid w:val="00004A58"/>
    <w:rsid w:val="00004C3F"/>
    <w:rsid w:val="0000525F"/>
    <w:rsid w:val="000054A7"/>
    <w:rsid w:val="00005541"/>
    <w:rsid w:val="000058C9"/>
    <w:rsid w:val="00005961"/>
    <w:rsid w:val="00005D46"/>
    <w:rsid w:val="00005DE3"/>
    <w:rsid w:val="0000613E"/>
    <w:rsid w:val="00006304"/>
    <w:rsid w:val="0000679D"/>
    <w:rsid w:val="000068F7"/>
    <w:rsid w:val="00006B10"/>
    <w:rsid w:val="00006C43"/>
    <w:rsid w:val="00006F0E"/>
    <w:rsid w:val="0000749B"/>
    <w:rsid w:val="000074BB"/>
    <w:rsid w:val="000075DF"/>
    <w:rsid w:val="000078A5"/>
    <w:rsid w:val="00007CED"/>
    <w:rsid w:val="00007ECC"/>
    <w:rsid w:val="0001047E"/>
    <w:rsid w:val="0001064E"/>
    <w:rsid w:val="00010AC9"/>
    <w:rsid w:val="00011281"/>
    <w:rsid w:val="0001134B"/>
    <w:rsid w:val="000113AB"/>
    <w:rsid w:val="0001140F"/>
    <w:rsid w:val="0001153B"/>
    <w:rsid w:val="00011589"/>
    <w:rsid w:val="00011615"/>
    <w:rsid w:val="00011727"/>
    <w:rsid w:val="000117D8"/>
    <w:rsid w:val="0001183E"/>
    <w:rsid w:val="00011A9B"/>
    <w:rsid w:val="00011B30"/>
    <w:rsid w:val="00011D79"/>
    <w:rsid w:val="0001228B"/>
    <w:rsid w:val="000122B5"/>
    <w:rsid w:val="00012466"/>
    <w:rsid w:val="0001250D"/>
    <w:rsid w:val="00012EFD"/>
    <w:rsid w:val="00012F6D"/>
    <w:rsid w:val="000130BE"/>
    <w:rsid w:val="00013716"/>
    <w:rsid w:val="00013997"/>
    <w:rsid w:val="000139D8"/>
    <w:rsid w:val="00013D92"/>
    <w:rsid w:val="00013EE5"/>
    <w:rsid w:val="0001448B"/>
    <w:rsid w:val="000145A2"/>
    <w:rsid w:val="000146F4"/>
    <w:rsid w:val="000149EF"/>
    <w:rsid w:val="00014A71"/>
    <w:rsid w:val="00014CE1"/>
    <w:rsid w:val="00015264"/>
    <w:rsid w:val="000152CA"/>
    <w:rsid w:val="00015341"/>
    <w:rsid w:val="00015452"/>
    <w:rsid w:val="0001589A"/>
    <w:rsid w:val="00015A65"/>
    <w:rsid w:val="00015B9E"/>
    <w:rsid w:val="00015C38"/>
    <w:rsid w:val="00015EB6"/>
    <w:rsid w:val="00015ECC"/>
    <w:rsid w:val="00015F13"/>
    <w:rsid w:val="0001612D"/>
    <w:rsid w:val="000162A0"/>
    <w:rsid w:val="000164BD"/>
    <w:rsid w:val="000166D5"/>
    <w:rsid w:val="00016A8D"/>
    <w:rsid w:val="00016C72"/>
    <w:rsid w:val="000170C1"/>
    <w:rsid w:val="00017265"/>
    <w:rsid w:val="0001730F"/>
    <w:rsid w:val="00017430"/>
    <w:rsid w:val="0001748B"/>
    <w:rsid w:val="000174AF"/>
    <w:rsid w:val="0001776A"/>
    <w:rsid w:val="00017883"/>
    <w:rsid w:val="00017A67"/>
    <w:rsid w:val="00017AA9"/>
    <w:rsid w:val="00017C25"/>
    <w:rsid w:val="00017F27"/>
    <w:rsid w:val="00017F3D"/>
    <w:rsid w:val="00020E26"/>
    <w:rsid w:val="000218F1"/>
    <w:rsid w:val="00021AEC"/>
    <w:rsid w:val="00021B43"/>
    <w:rsid w:val="00021BCD"/>
    <w:rsid w:val="00021EF0"/>
    <w:rsid w:val="00021FA4"/>
    <w:rsid w:val="0002207D"/>
    <w:rsid w:val="0002216F"/>
    <w:rsid w:val="000221F2"/>
    <w:rsid w:val="00022538"/>
    <w:rsid w:val="00022669"/>
    <w:rsid w:val="00022775"/>
    <w:rsid w:val="00022776"/>
    <w:rsid w:val="00022903"/>
    <w:rsid w:val="00022B33"/>
    <w:rsid w:val="00022E91"/>
    <w:rsid w:val="00022FAA"/>
    <w:rsid w:val="00023162"/>
    <w:rsid w:val="000232A5"/>
    <w:rsid w:val="00023424"/>
    <w:rsid w:val="00023451"/>
    <w:rsid w:val="00023626"/>
    <w:rsid w:val="00023C78"/>
    <w:rsid w:val="00023E4D"/>
    <w:rsid w:val="000240AC"/>
    <w:rsid w:val="000241F9"/>
    <w:rsid w:val="00024204"/>
    <w:rsid w:val="000242C9"/>
    <w:rsid w:val="0002435B"/>
    <w:rsid w:val="0002452D"/>
    <w:rsid w:val="00024671"/>
    <w:rsid w:val="00024685"/>
    <w:rsid w:val="000248D5"/>
    <w:rsid w:val="000249F6"/>
    <w:rsid w:val="00024BE2"/>
    <w:rsid w:val="00024C5F"/>
    <w:rsid w:val="00024D04"/>
    <w:rsid w:val="00024F7A"/>
    <w:rsid w:val="000250B7"/>
    <w:rsid w:val="00025341"/>
    <w:rsid w:val="00025501"/>
    <w:rsid w:val="0002561D"/>
    <w:rsid w:val="00025D8A"/>
    <w:rsid w:val="00025EB9"/>
    <w:rsid w:val="000260DC"/>
    <w:rsid w:val="000261DA"/>
    <w:rsid w:val="0002630E"/>
    <w:rsid w:val="000265AD"/>
    <w:rsid w:val="000265DD"/>
    <w:rsid w:val="00026B29"/>
    <w:rsid w:val="00026CA1"/>
    <w:rsid w:val="00026D00"/>
    <w:rsid w:val="00026E21"/>
    <w:rsid w:val="0002725A"/>
    <w:rsid w:val="00030058"/>
    <w:rsid w:val="000300B4"/>
    <w:rsid w:val="00030676"/>
    <w:rsid w:val="00030996"/>
    <w:rsid w:val="00030E3E"/>
    <w:rsid w:val="000310AA"/>
    <w:rsid w:val="000310E8"/>
    <w:rsid w:val="000315BD"/>
    <w:rsid w:val="00031793"/>
    <w:rsid w:val="00031A4C"/>
    <w:rsid w:val="00031BDA"/>
    <w:rsid w:val="00031CA2"/>
    <w:rsid w:val="00031D00"/>
    <w:rsid w:val="00031DA3"/>
    <w:rsid w:val="00031F4C"/>
    <w:rsid w:val="0003243D"/>
    <w:rsid w:val="000326E6"/>
    <w:rsid w:val="00032766"/>
    <w:rsid w:val="00032792"/>
    <w:rsid w:val="000328B1"/>
    <w:rsid w:val="00032DC3"/>
    <w:rsid w:val="00032E4F"/>
    <w:rsid w:val="00032EDB"/>
    <w:rsid w:val="000332FE"/>
    <w:rsid w:val="000337C2"/>
    <w:rsid w:val="00033EA1"/>
    <w:rsid w:val="00033F57"/>
    <w:rsid w:val="000340CA"/>
    <w:rsid w:val="00034405"/>
    <w:rsid w:val="0003483E"/>
    <w:rsid w:val="000348CA"/>
    <w:rsid w:val="0003496F"/>
    <w:rsid w:val="00034992"/>
    <w:rsid w:val="00034B24"/>
    <w:rsid w:val="00034CA0"/>
    <w:rsid w:val="00034EB6"/>
    <w:rsid w:val="00034FFC"/>
    <w:rsid w:val="0003501A"/>
    <w:rsid w:val="0003509D"/>
    <w:rsid w:val="000350BB"/>
    <w:rsid w:val="000351DA"/>
    <w:rsid w:val="00035357"/>
    <w:rsid w:val="000355A7"/>
    <w:rsid w:val="000356EC"/>
    <w:rsid w:val="00035B81"/>
    <w:rsid w:val="00035CE3"/>
    <w:rsid w:val="00035FDE"/>
    <w:rsid w:val="00036009"/>
    <w:rsid w:val="00036106"/>
    <w:rsid w:val="00036177"/>
    <w:rsid w:val="0003633B"/>
    <w:rsid w:val="00037004"/>
    <w:rsid w:val="00037224"/>
    <w:rsid w:val="000372EF"/>
    <w:rsid w:val="0003737B"/>
    <w:rsid w:val="0003745C"/>
    <w:rsid w:val="0003758E"/>
    <w:rsid w:val="000375BA"/>
    <w:rsid w:val="00037990"/>
    <w:rsid w:val="00040060"/>
    <w:rsid w:val="00040281"/>
    <w:rsid w:val="00040A13"/>
    <w:rsid w:val="00040C7A"/>
    <w:rsid w:val="00040E6E"/>
    <w:rsid w:val="0004105D"/>
    <w:rsid w:val="0004146E"/>
    <w:rsid w:val="000414BC"/>
    <w:rsid w:val="0004189C"/>
    <w:rsid w:val="0004193F"/>
    <w:rsid w:val="0004195A"/>
    <w:rsid w:val="00041A87"/>
    <w:rsid w:val="00041C4F"/>
    <w:rsid w:val="00041F1F"/>
    <w:rsid w:val="0004209B"/>
    <w:rsid w:val="000420DB"/>
    <w:rsid w:val="000421A1"/>
    <w:rsid w:val="000423C1"/>
    <w:rsid w:val="00042508"/>
    <w:rsid w:val="00042A8B"/>
    <w:rsid w:val="00042F4E"/>
    <w:rsid w:val="000434BD"/>
    <w:rsid w:val="000436A8"/>
    <w:rsid w:val="00043B7B"/>
    <w:rsid w:val="00043E36"/>
    <w:rsid w:val="000443C3"/>
    <w:rsid w:val="0004455F"/>
    <w:rsid w:val="00044806"/>
    <w:rsid w:val="00044A42"/>
    <w:rsid w:val="00044AB8"/>
    <w:rsid w:val="000454B2"/>
    <w:rsid w:val="00045976"/>
    <w:rsid w:val="00045E41"/>
    <w:rsid w:val="0004610E"/>
    <w:rsid w:val="00046550"/>
    <w:rsid w:val="000466E7"/>
    <w:rsid w:val="000468E2"/>
    <w:rsid w:val="00046A3E"/>
    <w:rsid w:val="00046C6A"/>
    <w:rsid w:val="00046D8E"/>
    <w:rsid w:val="0004701B"/>
    <w:rsid w:val="00047124"/>
    <w:rsid w:val="00047444"/>
    <w:rsid w:val="00047661"/>
    <w:rsid w:val="000476C0"/>
    <w:rsid w:val="00047734"/>
    <w:rsid w:val="000477EA"/>
    <w:rsid w:val="00047936"/>
    <w:rsid w:val="0004798E"/>
    <w:rsid w:val="00047BB5"/>
    <w:rsid w:val="00047D53"/>
    <w:rsid w:val="000502A5"/>
    <w:rsid w:val="000504A8"/>
    <w:rsid w:val="0005052B"/>
    <w:rsid w:val="000506A1"/>
    <w:rsid w:val="000508EC"/>
    <w:rsid w:val="000509DA"/>
    <w:rsid w:val="00050AFA"/>
    <w:rsid w:val="00051333"/>
    <w:rsid w:val="00051BA8"/>
    <w:rsid w:val="00051E3C"/>
    <w:rsid w:val="000520B1"/>
    <w:rsid w:val="00052241"/>
    <w:rsid w:val="00052672"/>
    <w:rsid w:val="00052814"/>
    <w:rsid w:val="000529E9"/>
    <w:rsid w:val="00053766"/>
    <w:rsid w:val="00053BE0"/>
    <w:rsid w:val="00053CB9"/>
    <w:rsid w:val="00053FAD"/>
    <w:rsid w:val="000541A5"/>
    <w:rsid w:val="0005422C"/>
    <w:rsid w:val="00054C6E"/>
    <w:rsid w:val="00054DF3"/>
    <w:rsid w:val="00055034"/>
    <w:rsid w:val="000550B3"/>
    <w:rsid w:val="0005513C"/>
    <w:rsid w:val="00055234"/>
    <w:rsid w:val="00055406"/>
    <w:rsid w:val="00055569"/>
    <w:rsid w:val="00055DF6"/>
    <w:rsid w:val="00055ED8"/>
    <w:rsid w:val="000568AD"/>
    <w:rsid w:val="000568D7"/>
    <w:rsid w:val="000568F4"/>
    <w:rsid w:val="00056C02"/>
    <w:rsid w:val="00057006"/>
    <w:rsid w:val="00057285"/>
    <w:rsid w:val="0005742E"/>
    <w:rsid w:val="00057439"/>
    <w:rsid w:val="000574AC"/>
    <w:rsid w:val="0005753C"/>
    <w:rsid w:val="00057745"/>
    <w:rsid w:val="00057902"/>
    <w:rsid w:val="00057E1C"/>
    <w:rsid w:val="00057EA9"/>
    <w:rsid w:val="00060742"/>
    <w:rsid w:val="0006088F"/>
    <w:rsid w:val="00060C03"/>
    <w:rsid w:val="00060C9D"/>
    <w:rsid w:val="00060CB2"/>
    <w:rsid w:val="00060D87"/>
    <w:rsid w:val="00060EF5"/>
    <w:rsid w:val="00060F44"/>
    <w:rsid w:val="000611E6"/>
    <w:rsid w:val="0006140F"/>
    <w:rsid w:val="00061530"/>
    <w:rsid w:val="00061536"/>
    <w:rsid w:val="000615E8"/>
    <w:rsid w:val="00061822"/>
    <w:rsid w:val="000619C8"/>
    <w:rsid w:val="00061FAC"/>
    <w:rsid w:val="00061FD0"/>
    <w:rsid w:val="00062240"/>
    <w:rsid w:val="000622F5"/>
    <w:rsid w:val="00062919"/>
    <w:rsid w:val="0006296B"/>
    <w:rsid w:val="000629E6"/>
    <w:rsid w:val="00062BE7"/>
    <w:rsid w:val="00063101"/>
    <w:rsid w:val="00063857"/>
    <w:rsid w:val="0006396A"/>
    <w:rsid w:val="00063A60"/>
    <w:rsid w:val="00063AEF"/>
    <w:rsid w:val="00063B1D"/>
    <w:rsid w:val="00063C33"/>
    <w:rsid w:val="00063DCE"/>
    <w:rsid w:val="00063F33"/>
    <w:rsid w:val="00064178"/>
    <w:rsid w:val="0006443B"/>
    <w:rsid w:val="000647C3"/>
    <w:rsid w:val="00064C35"/>
    <w:rsid w:val="00064D3D"/>
    <w:rsid w:val="00064F90"/>
    <w:rsid w:val="00065096"/>
    <w:rsid w:val="0006524C"/>
    <w:rsid w:val="00065445"/>
    <w:rsid w:val="00065A4F"/>
    <w:rsid w:val="00065ABF"/>
    <w:rsid w:val="00065BA5"/>
    <w:rsid w:val="00065D4F"/>
    <w:rsid w:val="00065D7A"/>
    <w:rsid w:val="00065E7F"/>
    <w:rsid w:val="0006634A"/>
    <w:rsid w:val="000664BE"/>
    <w:rsid w:val="00066554"/>
    <w:rsid w:val="0006680F"/>
    <w:rsid w:val="00066D35"/>
    <w:rsid w:val="00067155"/>
    <w:rsid w:val="00067567"/>
    <w:rsid w:val="00067C33"/>
    <w:rsid w:val="00067FB5"/>
    <w:rsid w:val="000703CB"/>
    <w:rsid w:val="000703FE"/>
    <w:rsid w:val="000705DD"/>
    <w:rsid w:val="000706D4"/>
    <w:rsid w:val="000713EE"/>
    <w:rsid w:val="00071470"/>
    <w:rsid w:val="00071695"/>
    <w:rsid w:val="000717D6"/>
    <w:rsid w:val="00071956"/>
    <w:rsid w:val="00071BD3"/>
    <w:rsid w:val="00071DDA"/>
    <w:rsid w:val="00071E87"/>
    <w:rsid w:val="00071FC6"/>
    <w:rsid w:val="00072134"/>
    <w:rsid w:val="00072D12"/>
    <w:rsid w:val="00072E6E"/>
    <w:rsid w:val="00072EB9"/>
    <w:rsid w:val="00072F6B"/>
    <w:rsid w:val="00073100"/>
    <w:rsid w:val="00073283"/>
    <w:rsid w:val="000732A8"/>
    <w:rsid w:val="00073445"/>
    <w:rsid w:val="0007349A"/>
    <w:rsid w:val="000735B6"/>
    <w:rsid w:val="000736A0"/>
    <w:rsid w:val="00073D03"/>
    <w:rsid w:val="0007403A"/>
    <w:rsid w:val="000744AE"/>
    <w:rsid w:val="000744BA"/>
    <w:rsid w:val="00074A10"/>
    <w:rsid w:val="00074BA2"/>
    <w:rsid w:val="00074D75"/>
    <w:rsid w:val="00074DB5"/>
    <w:rsid w:val="00074E52"/>
    <w:rsid w:val="00074FA3"/>
    <w:rsid w:val="000751AC"/>
    <w:rsid w:val="000752DB"/>
    <w:rsid w:val="0007575A"/>
    <w:rsid w:val="00075847"/>
    <w:rsid w:val="00075908"/>
    <w:rsid w:val="00075952"/>
    <w:rsid w:val="00075C60"/>
    <w:rsid w:val="00077252"/>
    <w:rsid w:val="000776B1"/>
    <w:rsid w:val="000776D8"/>
    <w:rsid w:val="00077912"/>
    <w:rsid w:val="00077B88"/>
    <w:rsid w:val="00077BFB"/>
    <w:rsid w:val="000800AF"/>
    <w:rsid w:val="00080191"/>
    <w:rsid w:val="0008029D"/>
    <w:rsid w:val="0008040A"/>
    <w:rsid w:val="000804D5"/>
    <w:rsid w:val="000807AE"/>
    <w:rsid w:val="000807B5"/>
    <w:rsid w:val="00080B91"/>
    <w:rsid w:val="00080CE2"/>
    <w:rsid w:val="00080F35"/>
    <w:rsid w:val="000811A4"/>
    <w:rsid w:val="000811D4"/>
    <w:rsid w:val="00081259"/>
    <w:rsid w:val="00081792"/>
    <w:rsid w:val="0008187A"/>
    <w:rsid w:val="0008189D"/>
    <w:rsid w:val="0008216A"/>
    <w:rsid w:val="0008217D"/>
    <w:rsid w:val="000825F0"/>
    <w:rsid w:val="000827CD"/>
    <w:rsid w:val="00082B1C"/>
    <w:rsid w:val="00083121"/>
    <w:rsid w:val="00083469"/>
    <w:rsid w:val="000834CD"/>
    <w:rsid w:val="000835B0"/>
    <w:rsid w:val="000835F5"/>
    <w:rsid w:val="0008378A"/>
    <w:rsid w:val="00083B96"/>
    <w:rsid w:val="00084044"/>
    <w:rsid w:val="00084211"/>
    <w:rsid w:val="00084419"/>
    <w:rsid w:val="0008449C"/>
    <w:rsid w:val="000845D7"/>
    <w:rsid w:val="000846F8"/>
    <w:rsid w:val="00084B71"/>
    <w:rsid w:val="00084D1E"/>
    <w:rsid w:val="00084DFB"/>
    <w:rsid w:val="0008526A"/>
    <w:rsid w:val="00085484"/>
    <w:rsid w:val="00085847"/>
    <w:rsid w:val="00085BE8"/>
    <w:rsid w:val="00085E04"/>
    <w:rsid w:val="0008608A"/>
    <w:rsid w:val="000863ED"/>
    <w:rsid w:val="00086911"/>
    <w:rsid w:val="00086C30"/>
    <w:rsid w:val="00086D5D"/>
    <w:rsid w:val="00086DA6"/>
    <w:rsid w:val="000875DD"/>
    <w:rsid w:val="00087C2A"/>
    <w:rsid w:val="00087E0A"/>
    <w:rsid w:val="00090055"/>
    <w:rsid w:val="000901F1"/>
    <w:rsid w:val="0009096A"/>
    <w:rsid w:val="00090B6B"/>
    <w:rsid w:val="00090D4B"/>
    <w:rsid w:val="00090EA4"/>
    <w:rsid w:val="000910D7"/>
    <w:rsid w:val="0009166A"/>
    <w:rsid w:val="000918B2"/>
    <w:rsid w:val="00091CE2"/>
    <w:rsid w:val="0009205D"/>
    <w:rsid w:val="0009216A"/>
    <w:rsid w:val="00092442"/>
    <w:rsid w:val="0009257A"/>
    <w:rsid w:val="00092B44"/>
    <w:rsid w:val="00092C2D"/>
    <w:rsid w:val="00092E92"/>
    <w:rsid w:val="00092EB9"/>
    <w:rsid w:val="0009343D"/>
    <w:rsid w:val="00093617"/>
    <w:rsid w:val="00093E98"/>
    <w:rsid w:val="00093FDF"/>
    <w:rsid w:val="00094051"/>
    <w:rsid w:val="000942B9"/>
    <w:rsid w:val="00094353"/>
    <w:rsid w:val="000945D6"/>
    <w:rsid w:val="00094600"/>
    <w:rsid w:val="00094AC0"/>
    <w:rsid w:val="00094B2F"/>
    <w:rsid w:val="0009571A"/>
    <w:rsid w:val="000957A2"/>
    <w:rsid w:val="00095892"/>
    <w:rsid w:val="00095A1A"/>
    <w:rsid w:val="00095A8C"/>
    <w:rsid w:val="00095C0B"/>
    <w:rsid w:val="00095C79"/>
    <w:rsid w:val="00096552"/>
    <w:rsid w:val="00096607"/>
    <w:rsid w:val="00096700"/>
    <w:rsid w:val="0009691F"/>
    <w:rsid w:val="00096925"/>
    <w:rsid w:val="0009694F"/>
    <w:rsid w:val="00096B06"/>
    <w:rsid w:val="0009706D"/>
    <w:rsid w:val="00097551"/>
    <w:rsid w:val="000975A5"/>
    <w:rsid w:val="00097833"/>
    <w:rsid w:val="000978DD"/>
    <w:rsid w:val="00097A89"/>
    <w:rsid w:val="00097E80"/>
    <w:rsid w:val="00097F2B"/>
    <w:rsid w:val="000A0424"/>
    <w:rsid w:val="000A05BC"/>
    <w:rsid w:val="000A06AB"/>
    <w:rsid w:val="000A07F3"/>
    <w:rsid w:val="000A0849"/>
    <w:rsid w:val="000A09F3"/>
    <w:rsid w:val="000A0BAF"/>
    <w:rsid w:val="000A1105"/>
    <w:rsid w:val="000A1418"/>
    <w:rsid w:val="000A1760"/>
    <w:rsid w:val="000A19A2"/>
    <w:rsid w:val="000A1BDC"/>
    <w:rsid w:val="000A1CD5"/>
    <w:rsid w:val="000A1E0A"/>
    <w:rsid w:val="000A1E8A"/>
    <w:rsid w:val="000A227F"/>
    <w:rsid w:val="000A22C0"/>
    <w:rsid w:val="000A2388"/>
    <w:rsid w:val="000A2AC3"/>
    <w:rsid w:val="000A2CC6"/>
    <w:rsid w:val="000A2D51"/>
    <w:rsid w:val="000A30BD"/>
    <w:rsid w:val="000A3320"/>
    <w:rsid w:val="000A3563"/>
    <w:rsid w:val="000A3935"/>
    <w:rsid w:val="000A3E2D"/>
    <w:rsid w:val="000A40C4"/>
    <w:rsid w:val="000A44D4"/>
    <w:rsid w:val="000A4524"/>
    <w:rsid w:val="000A4554"/>
    <w:rsid w:val="000A4A38"/>
    <w:rsid w:val="000A4B74"/>
    <w:rsid w:val="000A508F"/>
    <w:rsid w:val="000A52E7"/>
    <w:rsid w:val="000A5446"/>
    <w:rsid w:val="000A544B"/>
    <w:rsid w:val="000A591E"/>
    <w:rsid w:val="000A5A20"/>
    <w:rsid w:val="000A5A43"/>
    <w:rsid w:val="000A5D40"/>
    <w:rsid w:val="000A5DAF"/>
    <w:rsid w:val="000A6107"/>
    <w:rsid w:val="000A6195"/>
    <w:rsid w:val="000A64E1"/>
    <w:rsid w:val="000A6500"/>
    <w:rsid w:val="000A65ED"/>
    <w:rsid w:val="000A6ADD"/>
    <w:rsid w:val="000A6ECC"/>
    <w:rsid w:val="000A716D"/>
    <w:rsid w:val="000A77D0"/>
    <w:rsid w:val="000A7823"/>
    <w:rsid w:val="000A79F0"/>
    <w:rsid w:val="000A7A88"/>
    <w:rsid w:val="000A7A8B"/>
    <w:rsid w:val="000A7C1F"/>
    <w:rsid w:val="000A7C9B"/>
    <w:rsid w:val="000A7F9D"/>
    <w:rsid w:val="000B01AF"/>
    <w:rsid w:val="000B0467"/>
    <w:rsid w:val="000B055C"/>
    <w:rsid w:val="000B09D0"/>
    <w:rsid w:val="000B0F74"/>
    <w:rsid w:val="000B1471"/>
    <w:rsid w:val="000B16FC"/>
    <w:rsid w:val="000B1845"/>
    <w:rsid w:val="000B1952"/>
    <w:rsid w:val="000B1B92"/>
    <w:rsid w:val="000B1C60"/>
    <w:rsid w:val="000B1CA5"/>
    <w:rsid w:val="000B250E"/>
    <w:rsid w:val="000B25E8"/>
    <w:rsid w:val="000B281C"/>
    <w:rsid w:val="000B29E5"/>
    <w:rsid w:val="000B2A6D"/>
    <w:rsid w:val="000B2C0D"/>
    <w:rsid w:val="000B2C17"/>
    <w:rsid w:val="000B2CE1"/>
    <w:rsid w:val="000B2FAD"/>
    <w:rsid w:val="000B307A"/>
    <w:rsid w:val="000B30CD"/>
    <w:rsid w:val="000B3373"/>
    <w:rsid w:val="000B3478"/>
    <w:rsid w:val="000B37E6"/>
    <w:rsid w:val="000B3BA4"/>
    <w:rsid w:val="000B3BDA"/>
    <w:rsid w:val="000B3E6B"/>
    <w:rsid w:val="000B3FC1"/>
    <w:rsid w:val="000B414C"/>
    <w:rsid w:val="000B41C6"/>
    <w:rsid w:val="000B43C6"/>
    <w:rsid w:val="000B47A7"/>
    <w:rsid w:val="000B48FF"/>
    <w:rsid w:val="000B497E"/>
    <w:rsid w:val="000B4C66"/>
    <w:rsid w:val="000B4D57"/>
    <w:rsid w:val="000B4EBD"/>
    <w:rsid w:val="000B54AE"/>
    <w:rsid w:val="000B58B6"/>
    <w:rsid w:val="000B595A"/>
    <w:rsid w:val="000B5C5B"/>
    <w:rsid w:val="000B5FF0"/>
    <w:rsid w:val="000B607D"/>
    <w:rsid w:val="000B6139"/>
    <w:rsid w:val="000B61F1"/>
    <w:rsid w:val="000B641A"/>
    <w:rsid w:val="000B64EA"/>
    <w:rsid w:val="000B66DF"/>
    <w:rsid w:val="000B67EE"/>
    <w:rsid w:val="000B6A5E"/>
    <w:rsid w:val="000B6D6D"/>
    <w:rsid w:val="000B70BC"/>
    <w:rsid w:val="000B739A"/>
    <w:rsid w:val="000B73B7"/>
    <w:rsid w:val="000B7631"/>
    <w:rsid w:val="000B776B"/>
    <w:rsid w:val="000B77B6"/>
    <w:rsid w:val="000B7910"/>
    <w:rsid w:val="000B7A33"/>
    <w:rsid w:val="000B7AF5"/>
    <w:rsid w:val="000B7B36"/>
    <w:rsid w:val="000B7E37"/>
    <w:rsid w:val="000C0100"/>
    <w:rsid w:val="000C027E"/>
    <w:rsid w:val="000C0681"/>
    <w:rsid w:val="000C0999"/>
    <w:rsid w:val="000C0E3A"/>
    <w:rsid w:val="000C0EAA"/>
    <w:rsid w:val="000C0FF7"/>
    <w:rsid w:val="000C109C"/>
    <w:rsid w:val="000C1898"/>
    <w:rsid w:val="000C1978"/>
    <w:rsid w:val="000C1A64"/>
    <w:rsid w:val="000C1ADA"/>
    <w:rsid w:val="000C1B81"/>
    <w:rsid w:val="000C1C94"/>
    <w:rsid w:val="000C1E86"/>
    <w:rsid w:val="000C1EEB"/>
    <w:rsid w:val="000C1F70"/>
    <w:rsid w:val="000C2046"/>
    <w:rsid w:val="000C25C0"/>
    <w:rsid w:val="000C2A98"/>
    <w:rsid w:val="000C2CC9"/>
    <w:rsid w:val="000C2E50"/>
    <w:rsid w:val="000C3067"/>
    <w:rsid w:val="000C30DD"/>
    <w:rsid w:val="000C323C"/>
    <w:rsid w:val="000C34F0"/>
    <w:rsid w:val="000C3512"/>
    <w:rsid w:val="000C3534"/>
    <w:rsid w:val="000C3BFA"/>
    <w:rsid w:val="000C3E3B"/>
    <w:rsid w:val="000C4015"/>
    <w:rsid w:val="000C405D"/>
    <w:rsid w:val="000C4440"/>
    <w:rsid w:val="000C45D5"/>
    <w:rsid w:val="000C4733"/>
    <w:rsid w:val="000C4791"/>
    <w:rsid w:val="000C4804"/>
    <w:rsid w:val="000C486E"/>
    <w:rsid w:val="000C4BEC"/>
    <w:rsid w:val="000C4CD3"/>
    <w:rsid w:val="000C52B2"/>
    <w:rsid w:val="000C53D4"/>
    <w:rsid w:val="000C5518"/>
    <w:rsid w:val="000C5720"/>
    <w:rsid w:val="000C5898"/>
    <w:rsid w:val="000C61AB"/>
    <w:rsid w:val="000C6577"/>
    <w:rsid w:val="000C6610"/>
    <w:rsid w:val="000C6902"/>
    <w:rsid w:val="000C69CA"/>
    <w:rsid w:val="000C71A3"/>
    <w:rsid w:val="000C728E"/>
    <w:rsid w:val="000C741E"/>
    <w:rsid w:val="000C755B"/>
    <w:rsid w:val="000C7646"/>
    <w:rsid w:val="000C7708"/>
    <w:rsid w:val="000C7914"/>
    <w:rsid w:val="000C7A75"/>
    <w:rsid w:val="000C7BE4"/>
    <w:rsid w:val="000C7E7C"/>
    <w:rsid w:val="000D02D7"/>
    <w:rsid w:val="000D0536"/>
    <w:rsid w:val="000D057B"/>
    <w:rsid w:val="000D0723"/>
    <w:rsid w:val="000D082B"/>
    <w:rsid w:val="000D0AEE"/>
    <w:rsid w:val="000D1193"/>
    <w:rsid w:val="000D1461"/>
    <w:rsid w:val="000D1C63"/>
    <w:rsid w:val="000D20A1"/>
    <w:rsid w:val="000D23CE"/>
    <w:rsid w:val="000D25EF"/>
    <w:rsid w:val="000D2718"/>
    <w:rsid w:val="000D280C"/>
    <w:rsid w:val="000D333F"/>
    <w:rsid w:val="000D34BD"/>
    <w:rsid w:val="000D3537"/>
    <w:rsid w:val="000D37F7"/>
    <w:rsid w:val="000D38B0"/>
    <w:rsid w:val="000D390C"/>
    <w:rsid w:val="000D3A17"/>
    <w:rsid w:val="000D414D"/>
    <w:rsid w:val="000D4395"/>
    <w:rsid w:val="000D45F1"/>
    <w:rsid w:val="000D46FC"/>
    <w:rsid w:val="000D47E4"/>
    <w:rsid w:val="000D4894"/>
    <w:rsid w:val="000D4E86"/>
    <w:rsid w:val="000D4EB1"/>
    <w:rsid w:val="000D51B6"/>
    <w:rsid w:val="000D5487"/>
    <w:rsid w:val="000D5579"/>
    <w:rsid w:val="000D5939"/>
    <w:rsid w:val="000D5BB3"/>
    <w:rsid w:val="000D5BD5"/>
    <w:rsid w:val="000D5BFA"/>
    <w:rsid w:val="000D60AC"/>
    <w:rsid w:val="000D60E8"/>
    <w:rsid w:val="000D63FC"/>
    <w:rsid w:val="000D655C"/>
    <w:rsid w:val="000D6660"/>
    <w:rsid w:val="000D66D1"/>
    <w:rsid w:val="000D6895"/>
    <w:rsid w:val="000D6953"/>
    <w:rsid w:val="000D6DC4"/>
    <w:rsid w:val="000D6FA4"/>
    <w:rsid w:val="000D708B"/>
    <w:rsid w:val="000D73E2"/>
    <w:rsid w:val="000D744E"/>
    <w:rsid w:val="000D7527"/>
    <w:rsid w:val="000D7721"/>
    <w:rsid w:val="000D7802"/>
    <w:rsid w:val="000D7836"/>
    <w:rsid w:val="000D7B79"/>
    <w:rsid w:val="000D7E48"/>
    <w:rsid w:val="000D7F97"/>
    <w:rsid w:val="000E0200"/>
    <w:rsid w:val="000E0223"/>
    <w:rsid w:val="000E0335"/>
    <w:rsid w:val="000E03A7"/>
    <w:rsid w:val="000E07F5"/>
    <w:rsid w:val="000E082D"/>
    <w:rsid w:val="000E0C92"/>
    <w:rsid w:val="000E0E67"/>
    <w:rsid w:val="000E1071"/>
    <w:rsid w:val="000E14F3"/>
    <w:rsid w:val="000E18B0"/>
    <w:rsid w:val="000E198B"/>
    <w:rsid w:val="000E1A41"/>
    <w:rsid w:val="000E1A9E"/>
    <w:rsid w:val="000E1BF8"/>
    <w:rsid w:val="000E1D21"/>
    <w:rsid w:val="000E2609"/>
    <w:rsid w:val="000E26CD"/>
    <w:rsid w:val="000E27EA"/>
    <w:rsid w:val="000E2C4B"/>
    <w:rsid w:val="000E2D27"/>
    <w:rsid w:val="000E2F2B"/>
    <w:rsid w:val="000E2F5A"/>
    <w:rsid w:val="000E356E"/>
    <w:rsid w:val="000E35F1"/>
    <w:rsid w:val="000E3A04"/>
    <w:rsid w:val="000E3A37"/>
    <w:rsid w:val="000E3A7F"/>
    <w:rsid w:val="000E3B7F"/>
    <w:rsid w:val="000E3C1E"/>
    <w:rsid w:val="000E3EC4"/>
    <w:rsid w:val="000E3FBC"/>
    <w:rsid w:val="000E4590"/>
    <w:rsid w:val="000E459D"/>
    <w:rsid w:val="000E4750"/>
    <w:rsid w:val="000E4788"/>
    <w:rsid w:val="000E4C9D"/>
    <w:rsid w:val="000E4E61"/>
    <w:rsid w:val="000E51A0"/>
    <w:rsid w:val="000E58E0"/>
    <w:rsid w:val="000E59FD"/>
    <w:rsid w:val="000E5C16"/>
    <w:rsid w:val="000E6201"/>
    <w:rsid w:val="000E68CA"/>
    <w:rsid w:val="000E690A"/>
    <w:rsid w:val="000E695D"/>
    <w:rsid w:val="000E699A"/>
    <w:rsid w:val="000E6FA8"/>
    <w:rsid w:val="000E702D"/>
    <w:rsid w:val="000E719A"/>
    <w:rsid w:val="000E72A8"/>
    <w:rsid w:val="000E7303"/>
    <w:rsid w:val="000E75D1"/>
    <w:rsid w:val="000E7AED"/>
    <w:rsid w:val="000E7C38"/>
    <w:rsid w:val="000E7FD0"/>
    <w:rsid w:val="000F0118"/>
    <w:rsid w:val="000F023F"/>
    <w:rsid w:val="000F0582"/>
    <w:rsid w:val="000F0603"/>
    <w:rsid w:val="000F08AF"/>
    <w:rsid w:val="000F0B16"/>
    <w:rsid w:val="000F0B77"/>
    <w:rsid w:val="000F1404"/>
    <w:rsid w:val="000F1480"/>
    <w:rsid w:val="000F1A32"/>
    <w:rsid w:val="000F24AC"/>
    <w:rsid w:val="000F2713"/>
    <w:rsid w:val="000F2E1A"/>
    <w:rsid w:val="000F343E"/>
    <w:rsid w:val="000F3948"/>
    <w:rsid w:val="000F39AA"/>
    <w:rsid w:val="000F3B1E"/>
    <w:rsid w:val="000F3CF6"/>
    <w:rsid w:val="000F3D65"/>
    <w:rsid w:val="000F3F15"/>
    <w:rsid w:val="000F4058"/>
    <w:rsid w:val="000F43EC"/>
    <w:rsid w:val="000F454E"/>
    <w:rsid w:val="000F46D8"/>
    <w:rsid w:val="000F47D5"/>
    <w:rsid w:val="000F48A0"/>
    <w:rsid w:val="000F49EA"/>
    <w:rsid w:val="000F4A60"/>
    <w:rsid w:val="000F4D76"/>
    <w:rsid w:val="000F4E7E"/>
    <w:rsid w:val="000F514F"/>
    <w:rsid w:val="000F52C9"/>
    <w:rsid w:val="000F54AD"/>
    <w:rsid w:val="000F5A73"/>
    <w:rsid w:val="000F5F64"/>
    <w:rsid w:val="000F63D5"/>
    <w:rsid w:val="000F6650"/>
    <w:rsid w:val="000F696A"/>
    <w:rsid w:val="000F6C35"/>
    <w:rsid w:val="000F6E53"/>
    <w:rsid w:val="000F7126"/>
    <w:rsid w:val="000F7275"/>
    <w:rsid w:val="000F77FE"/>
    <w:rsid w:val="000F7AFB"/>
    <w:rsid w:val="000F7BB0"/>
    <w:rsid w:val="000F7CDA"/>
    <w:rsid w:val="000F7D76"/>
    <w:rsid w:val="001002AB"/>
    <w:rsid w:val="00100669"/>
    <w:rsid w:val="0010068B"/>
    <w:rsid w:val="00100830"/>
    <w:rsid w:val="00100D89"/>
    <w:rsid w:val="00100F0B"/>
    <w:rsid w:val="00101519"/>
    <w:rsid w:val="00101721"/>
    <w:rsid w:val="0010195B"/>
    <w:rsid w:val="00101B5C"/>
    <w:rsid w:val="00101BA0"/>
    <w:rsid w:val="00101DA2"/>
    <w:rsid w:val="00101E67"/>
    <w:rsid w:val="00101ED4"/>
    <w:rsid w:val="001020E1"/>
    <w:rsid w:val="001021AF"/>
    <w:rsid w:val="001021D2"/>
    <w:rsid w:val="00102311"/>
    <w:rsid w:val="0010247B"/>
    <w:rsid w:val="001026A3"/>
    <w:rsid w:val="001028DE"/>
    <w:rsid w:val="00102CB5"/>
    <w:rsid w:val="00102E26"/>
    <w:rsid w:val="00102F10"/>
    <w:rsid w:val="00102FEA"/>
    <w:rsid w:val="00103293"/>
    <w:rsid w:val="001033A4"/>
    <w:rsid w:val="00103442"/>
    <w:rsid w:val="001035F6"/>
    <w:rsid w:val="0010374F"/>
    <w:rsid w:val="00103959"/>
    <w:rsid w:val="00103B50"/>
    <w:rsid w:val="00103CCA"/>
    <w:rsid w:val="00103DE9"/>
    <w:rsid w:val="00103FA7"/>
    <w:rsid w:val="00104198"/>
    <w:rsid w:val="0010440E"/>
    <w:rsid w:val="00104824"/>
    <w:rsid w:val="001048AE"/>
    <w:rsid w:val="00104CC5"/>
    <w:rsid w:val="00104E16"/>
    <w:rsid w:val="0010517D"/>
    <w:rsid w:val="0010525A"/>
    <w:rsid w:val="001054F9"/>
    <w:rsid w:val="001055C5"/>
    <w:rsid w:val="0010582B"/>
    <w:rsid w:val="00105A47"/>
    <w:rsid w:val="00105ABA"/>
    <w:rsid w:val="00105C4F"/>
    <w:rsid w:val="0010606B"/>
    <w:rsid w:val="0010634A"/>
    <w:rsid w:val="00106376"/>
    <w:rsid w:val="001069D6"/>
    <w:rsid w:val="00106D10"/>
    <w:rsid w:val="00107244"/>
    <w:rsid w:val="0010748A"/>
    <w:rsid w:val="001074E6"/>
    <w:rsid w:val="00107718"/>
    <w:rsid w:val="00107EB5"/>
    <w:rsid w:val="00110052"/>
    <w:rsid w:val="0011006F"/>
    <w:rsid w:val="00110158"/>
    <w:rsid w:val="001106DA"/>
    <w:rsid w:val="001107B9"/>
    <w:rsid w:val="00110C86"/>
    <w:rsid w:val="00110DE1"/>
    <w:rsid w:val="00110F5F"/>
    <w:rsid w:val="001111EF"/>
    <w:rsid w:val="00111223"/>
    <w:rsid w:val="00111350"/>
    <w:rsid w:val="0011142F"/>
    <w:rsid w:val="00111643"/>
    <w:rsid w:val="0011166B"/>
    <w:rsid w:val="00111A81"/>
    <w:rsid w:val="00111D10"/>
    <w:rsid w:val="00112203"/>
    <w:rsid w:val="00112486"/>
    <w:rsid w:val="00112539"/>
    <w:rsid w:val="00112579"/>
    <w:rsid w:val="00112A1C"/>
    <w:rsid w:val="00112ED5"/>
    <w:rsid w:val="00113072"/>
    <w:rsid w:val="0011325C"/>
    <w:rsid w:val="0011381F"/>
    <w:rsid w:val="00113B42"/>
    <w:rsid w:val="00113E69"/>
    <w:rsid w:val="00113F1A"/>
    <w:rsid w:val="00114480"/>
    <w:rsid w:val="00114568"/>
    <w:rsid w:val="0011485F"/>
    <w:rsid w:val="001148C2"/>
    <w:rsid w:val="00114954"/>
    <w:rsid w:val="00114C21"/>
    <w:rsid w:val="00115521"/>
    <w:rsid w:val="0011582E"/>
    <w:rsid w:val="001158F2"/>
    <w:rsid w:val="00115B02"/>
    <w:rsid w:val="00115E85"/>
    <w:rsid w:val="00116169"/>
    <w:rsid w:val="001163D1"/>
    <w:rsid w:val="00116539"/>
    <w:rsid w:val="001166A1"/>
    <w:rsid w:val="00116823"/>
    <w:rsid w:val="00116AC9"/>
    <w:rsid w:val="00116B75"/>
    <w:rsid w:val="001176DE"/>
    <w:rsid w:val="0011799C"/>
    <w:rsid w:val="00117E41"/>
    <w:rsid w:val="00117F86"/>
    <w:rsid w:val="00120043"/>
    <w:rsid w:val="00120230"/>
    <w:rsid w:val="00120411"/>
    <w:rsid w:val="0012079D"/>
    <w:rsid w:val="00120ADC"/>
    <w:rsid w:val="00120BD1"/>
    <w:rsid w:val="00120E34"/>
    <w:rsid w:val="00120E8D"/>
    <w:rsid w:val="0012121E"/>
    <w:rsid w:val="00121335"/>
    <w:rsid w:val="00121382"/>
    <w:rsid w:val="00121541"/>
    <w:rsid w:val="00121B5E"/>
    <w:rsid w:val="00121E93"/>
    <w:rsid w:val="00121EDE"/>
    <w:rsid w:val="00121F5D"/>
    <w:rsid w:val="00122706"/>
    <w:rsid w:val="00122B44"/>
    <w:rsid w:val="00123681"/>
    <w:rsid w:val="001238F5"/>
    <w:rsid w:val="00123957"/>
    <w:rsid w:val="00123AB0"/>
    <w:rsid w:val="00123BDF"/>
    <w:rsid w:val="0012410B"/>
    <w:rsid w:val="00124328"/>
    <w:rsid w:val="0012440C"/>
    <w:rsid w:val="00124462"/>
    <w:rsid w:val="001245F3"/>
    <w:rsid w:val="0012465E"/>
    <w:rsid w:val="0012482B"/>
    <w:rsid w:val="001249DB"/>
    <w:rsid w:val="00124A0A"/>
    <w:rsid w:val="00124A7A"/>
    <w:rsid w:val="00124E68"/>
    <w:rsid w:val="00125393"/>
    <w:rsid w:val="00125666"/>
    <w:rsid w:val="001257EB"/>
    <w:rsid w:val="00125AD3"/>
    <w:rsid w:val="00125B17"/>
    <w:rsid w:val="001260EA"/>
    <w:rsid w:val="001261A4"/>
    <w:rsid w:val="001261BA"/>
    <w:rsid w:val="00126295"/>
    <w:rsid w:val="00126493"/>
    <w:rsid w:val="0012657B"/>
    <w:rsid w:val="00126F64"/>
    <w:rsid w:val="00127008"/>
    <w:rsid w:val="0012713C"/>
    <w:rsid w:val="00127307"/>
    <w:rsid w:val="00127422"/>
    <w:rsid w:val="001275A6"/>
    <w:rsid w:val="00127654"/>
    <w:rsid w:val="00127678"/>
    <w:rsid w:val="00127939"/>
    <w:rsid w:val="00127CE6"/>
    <w:rsid w:val="001304C4"/>
    <w:rsid w:val="00130541"/>
    <w:rsid w:val="00130719"/>
    <w:rsid w:val="00130B37"/>
    <w:rsid w:val="00130B64"/>
    <w:rsid w:val="00130E70"/>
    <w:rsid w:val="00130FF4"/>
    <w:rsid w:val="001312DE"/>
    <w:rsid w:val="001315A5"/>
    <w:rsid w:val="001315EB"/>
    <w:rsid w:val="001317F7"/>
    <w:rsid w:val="00131B2B"/>
    <w:rsid w:val="00131B4D"/>
    <w:rsid w:val="00131BB3"/>
    <w:rsid w:val="001320D2"/>
    <w:rsid w:val="001322C9"/>
    <w:rsid w:val="001323E0"/>
    <w:rsid w:val="00132432"/>
    <w:rsid w:val="0013245F"/>
    <w:rsid w:val="00132665"/>
    <w:rsid w:val="001327A2"/>
    <w:rsid w:val="00132DA0"/>
    <w:rsid w:val="00132E24"/>
    <w:rsid w:val="00132F4C"/>
    <w:rsid w:val="00132F88"/>
    <w:rsid w:val="001331B5"/>
    <w:rsid w:val="001332BB"/>
    <w:rsid w:val="001332DE"/>
    <w:rsid w:val="001334FF"/>
    <w:rsid w:val="00133885"/>
    <w:rsid w:val="00133938"/>
    <w:rsid w:val="0013397A"/>
    <w:rsid w:val="00133BE8"/>
    <w:rsid w:val="00133FAD"/>
    <w:rsid w:val="00134114"/>
    <w:rsid w:val="001341EF"/>
    <w:rsid w:val="001343DF"/>
    <w:rsid w:val="0013462F"/>
    <w:rsid w:val="0013494F"/>
    <w:rsid w:val="001349BA"/>
    <w:rsid w:val="00134AAE"/>
    <w:rsid w:val="00134DB4"/>
    <w:rsid w:val="00134E51"/>
    <w:rsid w:val="00134F5D"/>
    <w:rsid w:val="00134FA5"/>
    <w:rsid w:val="0013524C"/>
    <w:rsid w:val="001354C7"/>
    <w:rsid w:val="00135DC8"/>
    <w:rsid w:val="00135F3C"/>
    <w:rsid w:val="001363F1"/>
    <w:rsid w:val="001364BC"/>
    <w:rsid w:val="001366A2"/>
    <w:rsid w:val="00136D26"/>
    <w:rsid w:val="00136E5A"/>
    <w:rsid w:val="001370BE"/>
    <w:rsid w:val="00137319"/>
    <w:rsid w:val="00137470"/>
    <w:rsid w:val="001379DA"/>
    <w:rsid w:val="00140405"/>
    <w:rsid w:val="001409FC"/>
    <w:rsid w:val="00140A06"/>
    <w:rsid w:val="00140B17"/>
    <w:rsid w:val="00140B5B"/>
    <w:rsid w:val="00140B81"/>
    <w:rsid w:val="00140C28"/>
    <w:rsid w:val="00141418"/>
    <w:rsid w:val="001416BD"/>
    <w:rsid w:val="0014174F"/>
    <w:rsid w:val="00141A02"/>
    <w:rsid w:val="00141C08"/>
    <w:rsid w:val="00141CA1"/>
    <w:rsid w:val="0014201B"/>
    <w:rsid w:val="00142062"/>
    <w:rsid w:val="0014210A"/>
    <w:rsid w:val="00142485"/>
    <w:rsid w:val="001424F2"/>
    <w:rsid w:val="0014296A"/>
    <w:rsid w:val="00143061"/>
    <w:rsid w:val="00143335"/>
    <w:rsid w:val="00143391"/>
    <w:rsid w:val="0014367F"/>
    <w:rsid w:val="001438FC"/>
    <w:rsid w:val="00143DDE"/>
    <w:rsid w:val="00143F3D"/>
    <w:rsid w:val="0014413D"/>
    <w:rsid w:val="00144F48"/>
    <w:rsid w:val="00145AB8"/>
    <w:rsid w:val="00145BBD"/>
    <w:rsid w:val="00145D7D"/>
    <w:rsid w:val="00145F7E"/>
    <w:rsid w:val="001463CA"/>
    <w:rsid w:val="00146572"/>
    <w:rsid w:val="00146971"/>
    <w:rsid w:val="0014708A"/>
    <w:rsid w:val="00147197"/>
    <w:rsid w:val="0014776E"/>
    <w:rsid w:val="00147784"/>
    <w:rsid w:val="00147791"/>
    <w:rsid w:val="001477F4"/>
    <w:rsid w:val="00147B3E"/>
    <w:rsid w:val="00147E99"/>
    <w:rsid w:val="00150056"/>
    <w:rsid w:val="0015007A"/>
    <w:rsid w:val="001501AF"/>
    <w:rsid w:val="0015095B"/>
    <w:rsid w:val="00150A4F"/>
    <w:rsid w:val="00150F85"/>
    <w:rsid w:val="00151028"/>
    <w:rsid w:val="0015144C"/>
    <w:rsid w:val="00151521"/>
    <w:rsid w:val="00151572"/>
    <w:rsid w:val="00151969"/>
    <w:rsid w:val="00151B26"/>
    <w:rsid w:val="00151F5E"/>
    <w:rsid w:val="00151F7E"/>
    <w:rsid w:val="001520FA"/>
    <w:rsid w:val="0015220F"/>
    <w:rsid w:val="00152B3C"/>
    <w:rsid w:val="00152D6E"/>
    <w:rsid w:val="00152E1C"/>
    <w:rsid w:val="00153005"/>
    <w:rsid w:val="001538A6"/>
    <w:rsid w:val="00153952"/>
    <w:rsid w:val="00153AD9"/>
    <w:rsid w:val="00153C3E"/>
    <w:rsid w:val="00153F3C"/>
    <w:rsid w:val="001540D4"/>
    <w:rsid w:val="00154153"/>
    <w:rsid w:val="00154223"/>
    <w:rsid w:val="00154492"/>
    <w:rsid w:val="001545E0"/>
    <w:rsid w:val="00154908"/>
    <w:rsid w:val="00154E3C"/>
    <w:rsid w:val="00155050"/>
    <w:rsid w:val="00155265"/>
    <w:rsid w:val="001559B7"/>
    <w:rsid w:val="00155DAE"/>
    <w:rsid w:val="0015615D"/>
    <w:rsid w:val="001561D4"/>
    <w:rsid w:val="00156301"/>
    <w:rsid w:val="001565BD"/>
    <w:rsid w:val="00156775"/>
    <w:rsid w:val="00156BB9"/>
    <w:rsid w:val="00157383"/>
    <w:rsid w:val="0015754F"/>
    <w:rsid w:val="00157717"/>
    <w:rsid w:val="001577FE"/>
    <w:rsid w:val="00157826"/>
    <w:rsid w:val="001579E7"/>
    <w:rsid w:val="00157B10"/>
    <w:rsid w:val="00160197"/>
    <w:rsid w:val="00160355"/>
    <w:rsid w:val="00160A74"/>
    <w:rsid w:val="00160B1A"/>
    <w:rsid w:val="00160EB3"/>
    <w:rsid w:val="001616F0"/>
    <w:rsid w:val="00161826"/>
    <w:rsid w:val="00161B04"/>
    <w:rsid w:val="00161DD3"/>
    <w:rsid w:val="00162094"/>
    <w:rsid w:val="001623A4"/>
    <w:rsid w:val="001625B7"/>
    <w:rsid w:val="0016261F"/>
    <w:rsid w:val="001630F8"/>
    <w:rsid w:val="0016323F"/>
    <w:rsid w:val="00163676"/>
    <w:rsid w:val="001636EE"/>
    <w:rsid w:val="001637E5"/>
    <w:rsid w:val="001638B6"/>
    <w:rsid w:val="00163961"/>
    <w:rsid w:val="00163A47"/>
    <w:rsid w:val="00163BF8"/>
    <w:rsid w:val="00163F92"/>
    <w:rsid w:val="001642FB"/>
    <w:rsid w:val="00164681"/>
    <w:rsid w:val="00164721"/>
    <w:rsid w:val="00164785"/>
    <w:rsid w:val="00164CE6"/>
    <w:rsid w:val="00164DD5"/>
    <w:rsid w:val="001650A6"/>
    <w:rsid w:val="00165345"/>
    <w:rsid w:val="00165465"/>
    <w:rsid w:val="00165656"/>
    <w:rsid w:val="00165769"/>
    <w:rsid w:val="00165A0B"/>
    <w:rsid w:val="00165C19"/>
    <w:rsid w:val="00165D60"/>
    <w:rsid w:val="001661B4"/>
    <w:rsid w:val="001661D6"/>
    <w:rsid w:val="00166332"/>
    <w:rsid w:val="001663A4"/>
    <w:rsid w:val="001663DB"/>
    <w:rsid w:val="001664C3"/>
    <w:rsid w:val="001666E5"/>
    <w:rsid w:val="0016679D"/>
    <w:rsid w:val="00166919"/>
    <w:rsid w:val="00166C29"/>
    <w:rsid w:val="00166E70"/>
    <w:rsid w:val="001674CC"/>
    <w:rsid w:val="00167650"/>
    <w:rsid w:val="001676ED"/>
    <w:rsid w:val="001678CD"/>
    <w:rsid w:val="001700A5"/>
    <w:rsid w:val="001700B5"/>
    <w:rsid w:val="001702E0"/>
    <w:rsid w:val="001705FC"/>
    <w:rsid w:val="0017076B"/>
    <w:rsid w:val="00170888"/>
    <w:rsid w:val="00170AFC"/>
    <w:rsid w:val="00170BD3"/>
    <w:rsid w:val="00171357"/>
    <w:rsid w:val="001716AB"/>
    <w:rsid w:val="00171872"/>
    <w:rsid w:val="001718D9"/>
    <w:rsid w:val="001719A8"/>
    <w:rsid w:val="001719EA"/>
    <w:rsid w:val="0017264A"/>
    <w:rsid w:val="00172D10"/>
    <w:rsid w:val="00172D59"/>
    <w:rsid w:val="00172ED9"/>
    <w:rsid w:val="00172F37"/>
    <w:rsid w:val="00172F62"/>
    <w:rsid w:val="00173099"/>
    <w:rsid w:val="001730C2"/>
    <w:rsid w:val="001730D9"/>
    <w:rsid w:val="001738A9"/>
    <w:rsid w:val="00173BC9"/>
    <w:rsid w:val="00173BFF"/>
    <w:rsid w:val="00173E07"/>
    <w:rsid w:val="00174654"/>
    <w:rsid w:val="001747EB"/>
    <w:rsid w:val="00174CD1"/>
    <w:rsid w:val="001750CD"/>
    <w:rsid w:val="001752C8"/>
    <w:rsid w:val="0017543A"/>
    <w:rsid w:val="001754EE"/>
    <w:rsid w:val="00175520"/>
    <w:rsid w:val="001755D6"/>
    <w:rsid w:val="001755FC"/>
    <w:rsid w:val="00175935"/>
    <w:rsid w:val="00175A18"/>
    <w:rsid w:val="00175C34"/>
    <w:rsid w:val="0017633D"/>
    <w:rsid w:val="001763B3"/>
    <w:rsid w:val="0017648C"/>
    <w:rsid w:val="001764A5"/>
    <w:rsid w:val="00176697"/>
    <w:rsid w:val="001766DB"/>
    <w:rsid w:val="00176734"/>
    <w:rsid w:val="00176748"/>
    <w:rsid w:val="00176AFC"/>
    <w:rsid w:val="00176E31"/>
    <w:rsid w:val="001772C8"/>
    <w:rsid w:val="00177404"/>
    <w:rsid w:val="001774B6"/>
    <w:rsid w:val="001774D3"/>
    <w:rsid w:val="00177510"/>
    <w:rsid w:val="001777B7"/>
    <w:rsid w:val="001777D3"/>
    <w:rsid w:val="00177816"/>
    <w:rsid w:val="00177996"/>
    <w:rsid w:val="00177AE0"/>
    <w:rsid w:val="00177AFD"/>
    <w:rsid w:val="00177B86"/>
    <w:rsid w:val="00177CE2"/>
    <w:rsid w:val="00177CF4"/>
    <w:rsid w:val="00177D78"/>
    <w:rsid w:val="00177F1E"/>
    <w:rsid w:val="001807A9"/>
    <w:rsid w:val="00180812"/>
    <w:rsid w:val="0018082C"/>
    <w:rsid w:val="00180844"/>
    <w:rsid w:val="00180C02"/>
    <w:rsid w:val="00180C73"/>
    <w:rsid w:val="00180CA5"/>
    <w:rsid w:val="00180DB8"/>
    <w:rsid w:val="00180DD5"/>
    <w:rsid w:val="001810AC"/>
    <w:rsid w:val="0018161C"/>
    <w:rsid w:val="0018176E"/>
    <w:rsid w:val="001818CE"/>
    <w:rsid w:val="00181DFD"/>
    <w:rsid w:val="001821DE"/>
    <w:rsid w:val="00182429"/>
    <w:rsid w:val="001824D3"/>
    <w:rsid w:val="001824FF"/>
    <w:rsid w:val="00182D32"/>
    <w:rsid w:val="00182D7D"/>
    <w:rsid w:val="00182F24"/>
    <w:rsid w:val="001831CD"/>
    <w:rsid w:val="001832C4"/>
    <w:rsid w:val="00183592"/>
    <w:rsid w:val="0018363F"/>
    <w:rsid w:val="00183764"/>
    <w:rsid w:val="001839A0"/>
    <w:rsid w:val="00183A22"/>
    <w:rsid w:val="00183EF3"/>
    <w:rsid w:val="001843EF"/>
    <w:rsid w:val="001844BB"/>
    <w:rsid w:val="001844C3"/>
    <w:rsid w:val="00184870"/>
    <w:rsid w:val="00184950"/>
    <w:rsid w:val="00184FD0"/>
    <w:rsid w:val="00185069"/>
    <w:rsid w:val="001852B6"/>
    <w:rsid w:val="00185546"/>
    <w:rsid w:val="00185816"/>
    <w:rsid w:val="00185CCB"/>
    <w:rsid w:val="00185D07"/>
    <w:rsid w:val="001864D1"/>
    <w:rsid w:val="00186B84"/>
    <w:rsid w:val="00186CA2"/>
    <w:rsid w:val="00186CD2"/>
    <w:rsid w:val="0018707E"/>
    <w:rsid w:val="001870AB"/>
    <w:rsid w:val="00187102"/>
    <w:rsid w:val="00187221"/>
    <w:rsid w:val="001872B2"/>
    <w:rsid w:val="00187488"/>
    <w:rsid w:val="001876ED"/>
    <w:rsid w:val="00187749"/>
    <w:rsid w:val="00187849"/>
    <w:rsid w:val="0018789B"/>
    <w:rsid w:val="0018792D"/>
    <w:rsid w:val="00187997"/>
    <w:rsid w:val="00187B9B"/>
    <w:rsid w:val="00187E15"/>
    <w:rsid w:val="00187E5B"/>
    <w:rsid w:val="00187E74"/>
    <w:rsid w:val="00187F9D"/>
    <w:rsid w:val="00187FBE"/>
    <w:rsid w:val="00190163"/>
    <w:rsid w:val="001908F8"/>
    <w:rsid w:val="00190A1E"/>
    <w:rsid w:val="001912E2"/>
    <w:rsid w:val="00191A2A"/>
    <w:rsid w:val="00191BF5"/>
    <w:rsid w:val="00191C56"/>
    <w:rsid w:val="00191DD2"/>
    <w:rsid w:val="00191E0F"/>
    <w:rsid w:val="00191EC5"/>
    <w:rsid w:val="001920C5"/>
    <w:rsid w:val="001922AC"/>
    <w:rsid w:val="001922FE"/>
    <w:rsid w:val="001923D6"/>
    <w:rsid w:val="0019262E"/>
    <w:rsid w:val="00192DC8"/>
    <w:rsid w:val="00192E36"/>
    <w:rsid w:val="00192ED2"/>
    <w:rsid w:val="001930FC"/>
    <w:rsid w:val="001932A6"/>
    <w:rsid w:val="0019344A"/>
    <w:rsid w:val="00193567"/>
    <w:rsid w:val="0019382E"/>
    <w:rsid w:val="001939BF"/>
    <w:rsid w:val="00193D1E"/>
    <w:rsid w:val="00193FA0"/>
    <w:rsid w:val="001946EE"/>
    <w:rsid w:val="0019484D"/>
    <w:rsid w:val="00194A0F"/>
    <w:rsid w:val="00195512"/>
    <w:rsid w:val="00196088"/>
    <w:rsid w:val="001962D1"/>
    <w:rsid w:val="00196902"/>
    <w:rsid w:val="00196BE4"/>
    <w:rsid w:val="00196CC1"/>
    <w:rsid w:val="001970C6"/>
    <w:rsid w:val="00197294"/>
    <w:rsid w:val="00197522"/>
    <w:rsid w:val="001976A1"/>
    <w:rsid w:val="0019786E"/>
    <w:rsid w:val="00197A47"/>
    <w:rsid w:val="001A01B9"/>
    <w:rsid w:val="001A02EB"/>
    <w:rsid w:val="001A0303"/>
    <w:rsid w:val="001A03B3"/>
    <w:rsid w:val="001A090B"/>
    <w:rsid w:val="001A0C22"/>
    <w:rsid w:val="001A0CB3"/>
    <w:rsid w:val="001A0D6D"/>
    <w:rsid w:val="001A102F"/>
    <w:rsid w:val="001A14A4"/>
    <w:rsid w:val="001A1572"/>
    <w:rsid w:val="001A183D"/>
    <w:rsid w:val="001A1CA7"/>
    <w:rsid w:val="001A1DC1"/>
    <w:rsid w:val="001A2019"/>
    <w:rsid w:val="001A2024"/>
    <w:rsid w:val="001A2787"/>
    <w:rsid w:val="001A2A80"/>
    <w:rsid w:val="001A2C40"/>
    <w:rsid w:val="001A2D05"/>
    <w:rsid w:val="001A3205"/>
    <w:rsid w:val="001A3266"/>
    <w:rsid w:val="001A332F"/>
    <w:rsid w:val="001A34C6"/>
    <w:rsid w:val="001A3653"/>
    <w:rsid w:val="001A3A1C"/>
    <w:rsid w:val="001A3A62"/>
    <w:rsid w:val="001A3C4B"/>
    <w:rsid w:val="001A4016"/>
    <w:rsid w:val="001A4259"/>
    <w:rsid w:val="001A446E"/>
    <w:rsid w:val="001A45AB"/>
    <w:rsid w:val="001A4C2D"/>
    <w:rsid w:val="001A4D24"/>
    <w:rsid w:val="001A4FE4"/>
    <w:rsid w:val="001A5720"/>
    <w:rsid w:val="001A58FB"/>
    <w:rsid w:val="001A59BE"/>
    <w:rsid w:val="001A5EB0"/>
    <w:rsid w:val="001A5EFC"/>
    <w:rsid w:val="001A5FC1"/>
    <w:rsid w:val="001A602A"/>
    <w:rsid w:val="001A61A3"/>
    <w:rsid w:val="001A63A1"/>
    <w:rsid w:val="001A63A2"/>
    <w:rsid w:val="001A65C7"/>
    <w:rsid w:val="001A6852"/>
    <w:rsid w:val="001A68DD"/>
    <w:rsid w:val="001A695B"/>
    <w:rsid w:val="001A6B5F"/>
    <w:rsid w:val="001A6BBB"/>
    <w:rsid w:val="001A6ED0"/>
    <w:rsid w:val="001A6F52"/>
    <w:rsid w:val="001A7123"/>
    <w:rsid w:val="001A7453"/>
    <w:rsid w:val="001A7460"/>
    <w:rsid w:val="001A7968"/>
    <w:rsid w:val="001A79CF"/>
    <w:rsid w:val="001A7A26"/>
    <w:rsid w:val="001A7F9C"/>
    <w:rsid w:val="001A9854"/>
    <w:rsid w:val="001B001A"/>
    <w:rsid w:val="001B0178"/>
    <w:rsid w:val="001B03A0"/>
    <w:rsid w:val="001B0427"/>
    <w:rsid w:val="001B05D9"/>
    <w:rsid w:val="001B061B"/>
    <w:rsid w:val="001B079F"/>
    <w:rsid w:val="001B07D6"/>
    <w:rsid w:val="001B0814"/>
    <w:rsid w:val="001B0918"/>
    <w:rsid w:val="001B0ADD"/>
    <w:rsid w:val="001B0FAC"/>
    <w:rsid w:val="001B100D"/>
    <w:rsid w:val="001B1034"/>
    <w:rsid w:val="001B1499"/>
    <w:rsid w:val="001B15A6"/>
    <w:rsid w:val="001B17DA"/>
    <w:rsid w:val="001B1A64"/>
    <w:rsid w:val="001B1B45"/>
    <w:rsid w:val="001B1BC5"/>
    <w:rsid w:val="001B1C3B"/>
    <w:rsid w:val="001B1C41"/>
    <w:rsid w:val="001B1CD7"/>
    <w:rsid w:val="001B296B"/>
    <w:rsid w:val="001B2A14"/>
    <w:rsid w:val="001B31D0"/>
    <w:rsid w:val="001B31FB"/>
    <w:rsid w:val="001B35F9"/>
    <w:rsid w:val="001B3705"/>
    <w:rsid w:val="001B3734"/>
    <w:rsid w:val="001B3A7C"/>
    <w:rsid w:val="001B3EB5"/>
    <w:rsid w:val="001B400F"/>
    <w:rsid w:val="001B4075"/>
    <w:rsid w:val="001B42A3"/>
    <w:rsid w:val="001B43E8"/>
    <w:rsid w:val="001B4508"/>
    <w:rsid w:val="001B459A"/>
    <w:rsid w:val="001B4792"/>
    <w:rsid w:val="001B4D25"/>
    <w:rsid w:val="001B4D98"/>
    <w:rsid w:val="001B5070"/>
    <w:rsid w:val="001B51CB"/>
    <w:rsid w:val="001B533B"/>
    <w:rsid w:val="001B54BE"/>
    <w:rsid w:val="001B572C"/>
    <w:rsid w:val="001B57D4"/>
    <w:rsid w:val="001B627A"/>
    <w:rsid w:val="001B6448"/>
    <w:rsid w:val="001B6B7E"/>
    <w:rsid w:val="001B6BAD"/>
    <w:rsid w:val="001B6F81"/>
    <w:rsid w:val="001B70A1"/>
    <w:rsid w:val="001B76B5"/>
    <w:rsid w:val="001B7802"/>
    <w:rsid w:val="001B7D87"/>
    <w:rsid w:val="001B7E7B"/>
    <w:rsid w:val="001C0463"/>
    <w:rsid w:val="001C04FE"/>
    <w:rsid w:val="001C10DE"/>
    <w:rsid w:val="001C11EB"/>
    <w:rsid w:val="001C13D8"/>
    <w:rsid w:val="001C15ED"/>
    <w:rsid w:val="001C17B1"/>
    <w:rsid w:val="001C17B7"/>
    <w:rsid w:val="001C18FB"/>
    <w:rsid w:val="001C19DF"/>
    <w:rsid w:val="001C1B45"/>
    <w:rsid w:val="001C1FB2"/>
    <w:rsid w:val="001C1FCF"/>
    <w:rsid w:val="001C2232"/>
    <w:rsid w:val="001C25DA"/>
    <w:rsid w:val="001C2668"/>
    <w:rsid w:val="001C2D6D"/>
    <w:rsid w:val="001C2EEF"/>
    <w:rsid w:val="001C31B9"/>
    <w:rsid w:val="001C3321"/>
    <w:rsid w:val="001C394A"/>
    <w:rsid w:val="001C3D04"/>
    <w:rsid w:val="001C3EC5"/>
    <w:rsid w:val="001C4737"/>
    <w:rsid w:val="001C4833"/>
    <w:rsid w:val="001C48DA"/>
    <w:rsid w:val="001C54A1"/>
    <w:rsid w:val="001C580F"/>
    <w:rsid w:val="001C58C0"/>
    <w:rsid w:val="001C5C8A"/>
    <w:rsid w:val="001C6197"/>
    <w:rsid w:val="001C680C"/>
    <w:rsid w:val="001C68EB"/>
    <w:rsid w:val="001C6B35"/>
    <w:rsid w:val="001C6E36"/>
    <w:rsid w:val="001C6ECF"/>
    <w:rsid w:val="001C7433"/>
    <w:rsid w:val="001C77DB"/>
    <w:rsid w:val="001C79E6"/>
    <w:rsid w:val="001C7BBA"/>
    <w:rsid w:val="001C7C96"/>
    <w:rsid w:val="001C7CF5"/>
    <w:rsid w:val="001C7D9C"/>
    <w:rsid w:val="001D00BA"/>
    <w:rsid w:val="001D0217"/>
    <w:rsid w:val="001D03B9"/>
    <w:rsid w:val="001D0804"/>
    <w:rsid w:val="001D091B"/>
    <w:rsid w:val="001D0AC4"/>
    <w:rsid w:val="001D0D78"/>
    <w:rsid w:val="001D0FE7"/>
    <w:rsid w:val="001D112C"/>
    <w:rsid w:val="001D11F0"/>
    <w:rsid w:val="001D27B6"/>
    <w:rsid w:val="001D2BA0"/>
    <w:rsid w:val="001D35D5"/>
    <w:rsid w:val="001D3722"/>
    <w:rsid w:val="001D3813"/>
    <w:rsid w:val="001D39D7"/>
    <w:rsid w:val="001D3DAC"/>
    <w:rsid w:val="001D4080"/>
    <w:rsid w:val="001D4188"/>
    <w:rsid w:val="001D41D1"/>
    <w:rsid w:val="001D41E2"/>
    <w:rsid w:val="001D437D"/>
    <w:rsid w:val="001D45BA"/>
    <w:rsid w:val="001D4679"/>
    <w:rsid w:val="001D48E3"/>
    <w:rsid w:val="001D4B50"/>
    <w:rsid w:val="001D4D89"/>
    <w:rsid w:val="001D4F82"/>
    <w:rsid w:val="001D5301"/>
    <w:rsid w:val="001D5466"/>
    <w:rsid w:val="001D585C"/>
    <w:rsid w:val="001D5903"/>
    <w:rsid w:val="001D595B"/>
    <w:rsid w:val="001D59BC"/>
    <w:rsid w:val="001D5B41"/>
    <w:rsid w:val="001D5C65"/>
    <w:rsid w:val="001D5D1B"/>
    <w:rsid w:val="001D670F"/>
    <w:rsid w:val="001D68FE"/>
    <w:rsid w:val="001D6923"/>
    <w:rsid w:val="001D6C21"/>
    <w:rsid w:val="001D6DC1"/>
    <w:rsid w:val="001D72EF"/>
    <w:rsid w:val="001D7541"/>
    <w:rsid w:val="001D7715"/>
    <w:rsid w:val="001E0259"/>
    <w:rsid w:val="001E035B"/>
    <w:rsid w:val="001E03CE"/>
    <w:rsid w:val="001E05B7"/>
    <w:rsid w:val="001E0A98"/>
    <w:rsid w:val="001E0B9A"/>
    <w:rsid w:val="001E0C41"/>
    <w:rsid w:val="001E0CEF"/>
    <w:rsid w:val="001E0F6D"/>
    <w:rsid w:val="001E15FE"/>
    <w:rsid w:val="001E161D"/>
    <w:rsid w:val="001E17B2"/>
    <w:rsid w:val="001E1BB8"/>
    <w:rsid w:val="001E2351"/>
    <w:rsid w:val="001E2525"/>
    <w:rsid w:val="001E2729"/>
    <w:rsid w:val="001E2862"/>
    <w:rsid w:val="001E295A"/>
    <w:rsid w:val="001E2A37"/>
    <w:rsid w:val="001E2C18"/>
    <w:rsid w:val="001E3584"/>
    <w:rsid w:val="001E3A51"/>
    <w:rsid w:val="001E3B09"/>
    <w:rsid w:val="001E3B15"/>
    <w:rsid w:val="001E3C0D"/>
    <w:rsid w:val="001E436A"/>
    <w:rsid w:val="001E44C6"/>
    <w:rsid w:val="001E45D5"/>
    <w:rsid w:val="001E462A"/>
    <w:rsid w:val="001E4C0D"/>
    <w:rsid w:val="001E506B"/>
    <w:rsid w:val="001E509F"/>
    <w:rsid w:val="001E519F"/>
    <w:rsid w:val="001E5308"/>
    <w:rsid w:val="001E5462"/>
    <w:rsid w:val="001E5475"/>
    <w:rsid w:val="001E549E"/>
    <w:rsid w:val="001E58C1"/>
    <w:rsid w:val="001E5CE5"/>
    <w:rsid w:val="001E5D29"/>
    <w:rsid w:val="001E5E9C"/>
    <w:rsid w:val="001E60BD"/>
    <w:rsid w:val="001E6125"/>
    <w:rsid w:val="001E63C7"/>
    <w:rsid w:val="001E6428"/>
    <w:rsid w:val="001E65C4"/>
    <w:rsid w:val="001E69E0"/>
    <w:rsid w:val="001E74CA"/>
    <w:rsid w:val="001E7518"/>
    <w:rsid w:val="001E758F"/>
    <w:rsid w:val="001E765C"/>
    <w:rsid w:val="001E7741"/>
    <w:rsid w:val="001E77A4"/>
    <w:rsid w:val="001E77D1"/>
    <w:rsid w:val="001E787B"/>
    <w:rsid w:val="001E79DD"/>
    <w:rsid w:val="001E79E2"/>
    <w:rsid w:val="001E7C26"/>
    <w:rsid w:val="001F0008"/>
    <w:rsid w:val="001F00BC"/>
    <w:rsid w:val="001F04D8"/>
    <w:rsid w:val="001F08E5"/>
    <w:rsid w:val="001F09AF"/>
    <w:rsid w:val="001F0A12"/>
    <w:rsid w:val="001F0B89"/>
    <w:rsid w:val="001F0C8D"/>
    <w:rsid w:val="001F1458"/>
    <w:rsid w:val="001F1A7E"/>
    <w:rsid w:val="001F1ACF"/>
    <w:rsid w:val="001F1F32"/>
    <w:rsid w:val="001F201C"/>
    <w:rsid w:val="001F219E"/>
    <w:rsid w:val="001F2403"/>
    <w:rsid w:val="001F25EF"/>
    <w:rsid w:val="001F28BF"/>
    <w:rsid w:val="001F28DC"/>
    <w:rsid w:val="001F34E1"/>
    <w:rsid w:val="001F37CE"/>
    <w:rsid w:val="001F3B91"/>
    <w:rsid w:val="001F3D7C"/>
    <w:rsid w:val="001F4229"/>
    <w:rsid w:val="001F4355"/>
    <w:rsid w:val="001F452E"/>
    <w:rsid w:val="001F475C"/>
    <w:rsid w:val="001F4A26"/>
    <w:rsid w:val="001F4BD7"/>
    <w:rsid w:val="001F4C53"/>
    <w:rsid w:val="001F4D28"/>
    <w:rsid w:val="001F4E1E"/>
    <w:rsid w:val="001F4F9A"/>
    <w:rsid w:val="001F51CB"/>
    <w:rsid w:val="001F5646"/>
    <w:rsid w:val="001F56D3"/>
    <w:rsid w:val="001F57FF"/>
    <w:rsid w:val="001F58F5"/>
    <w:rsid w:val="001F5956"/>
    <w:rsid w:val="001F5A25"/>
    <w:rsid w:val="001F5A4A"/>
    <w:rsid w:val="001F5AE6"/>
    <w:rsid w:val="001F5B4A"/>
    <w:rsid w:val="001F5C00"/>
    <w:rsid w:val="001F5C54"/>
    <w:rsid w:val="001F5D90"/>
    <w:rsid w:val="001F61D7"/>
    <w:rsid w:val="001F6B23"/>
    <w:rsid w:val="001F6BCF"/>
    <w:rsid w:val="001F6D8B"/>
    <w:rsid w:val="001F7077"/>
    <w:rsid w:val="001F72B2"/>
    <w:rsid w:val="001F7666"/>
    <w:rsid w:val="001F7668"/>
    <w:rsid w:val="001F7CC6"/>
    <w:rsid w:val="001F7DD5"/>
    <w:rsid w:val="00200026"/>
    <w:rsid w:val="0020021A"/>
    <w:rsid w:val="00200333"/>
    <w:rsid w:val="002003F9"/>
    <w:rsid w:val="0020057E"/>
    <w:rsid w:val="00200D57"/>
    <w:rsid w:val="00200EC8"/>
    <w:rsid w:val="0020101D"/>
    <w:rsid w:val="00201DC2"/>
    <w:rsid w:val="0020232A"/>
    <w:rsid w:val="002026BF"/>
    <w:rsid w:val="00202A30"/>
    <w:rsid w:val="00202A5F"/>
    <w:rsid w:val="00202DA7"/>
    <w:rsid w:val="00202F74"/>
    <w:rsid w:val="0020318B"/>
    <w:rsid w:val="002031AB"/>
    <w:rsid w:val="00203310"/>
    <w:rsid w:val="0020347A"/>
    <w:rsid w:val="00203B39"/>
    <w:rsid w:val="00203B3C"/>
    <w:rsid w:val="00203D52"/>
    <w:rsid w:val="00203E7E"/>
    <w:rsid w:val="002040C7"/>
    <w:rsid w:val="002044AA"/>
    <w:rsid w:val="00204843"/>
    <w:rsid w:val="00204B36"/>
    <w:rsid w:val="00204BAA"/>
    <w:rsid w:val="00204CEC"/>
    <w:rsid w:val="00205236"/>
    <w:rsid w:val="0020559E"/>
    <w:rsid w:val="00205B3A"/>
    <w:rsid w:val="0020610A"/>
    <w:rsid w:val="002064C9"/>
    <w:rsid w:val="00206676"/>
    <w:rsid w:val="0020687E"/>
    <w:rsid w:val="00206A85"/>
    <w:rsid w:val="00206CA4"/>
    <w:rsid w:val="002070EA"/>
    <w:rsid w:val="00207700"/>
    <w:rsid w:val="00207853"/>
    <w:rsid w:val="002079D9"/>
    <w:rsid w:val="00210269"/>
    <w:rsid w:val="002105BF"/>
    <w:rsid w:val="00210F5F"/>
    <w:rsid w:val="00210FDF"/>
    <w:rsid w:val="00210FF4"/>
    <w:rsid w:val="002111C6"/>
    <w:rsid w:val="00211279"/>
    <w:rsid w:val="002118CB"/>
    <w:rsid w:val="0021193D"/>
    <w:rsid w:val="00211B2F"/>
    <w:rsid w:val="00211B32"/>
    <w:rsid w:val="00211D11"/>
    <w:rsid w:val="00211D71"/>
    <w:rsid w:val="00211FFF"/>
    <w:rsid w:val="002120C0"/>
    <w:rsid w:val="00212222"/>
    <w:rsid w:val="00212706"/>
    <w:rsid w:val="002128AE"/>
    <w:rsid w:val="00212B11"/>
    <w:rsid w:val="00212B99"/>
    <w:rsid w:val="00212FD8"/>
    <w:rsid w:val="0021304A"/>
    <w:rsid w:val="002130AE"/>
    <w:rsid w:val="002134DA"/>
    <w:rsid w:val="0021353E"/>
    <w:rsid w:val="0021365E"/>
    <w:rsid w:val="002136AD"/>
    <w:rsid w:val="0021393D"/>
    <w:rsid w:val="00213A2B"/>
    <w:rsid w:val="00213AA0"/>
    <w:rsid w:val="00213D55"/>
    <w:rsid w:val="002141CA"/>
    <w:rsid w:val="002142D3"/>
    <w:rsid w:val="0021443E"/>
    <w:rsid w:val="002144DE"/>
    <w:rsid w:val="002146CF"/>
    <w:rsid w:val="002147CD"/>
    <w:rsid w:val="002147D6"/>
    <w:rsid w:val="00214A3D"/>
    <w:rsid w:val="00214E34"/>
    <w:rsid w:val="00215065"/>
    <w:rsid w:val="002150B5"/>
    <w:rsid w:val="00215329"/>
    <w:rsid w:val="0021540F"/>
    <w:rsid w:val="00215619"/>
    <w:rsid w:val="00215821"/>
    <w:rsid w:val="00215A04"/>
    <w:rsid w:val="00215C09"/>
    <w:rsid w:val="00215CD9"/>
    <w:rsid w:val="00215D24"/>
    <w:rsid w:val="00215DA9"/>
    <w:rsid w:val="0021653C"/>
    <w:rsid w:val="00216DA9"/>
    <w:rsid w:val="00216DD8"/>
    <w:rsid w:val="0021709E"/>
    <w:rsid w:val="002171ED"/>
    <w:rsid w:val="0021726E"/>
    <w:rsid w:val="002172CA"/>
    <w:rsid w:val="002178CA"/>
    <w:rsid w:val="00217919"/>
    <w:rsid w:val="002179F6"/>
    <w:rsid w:val="00217D07"/>
    <w:rsid w:val="00217E30"/>
    <w:rsid w:val="00217E33"/>
    <w:rsid w:val="00217E48"/>
    <w:rsid w:val="00220EC6"/>
    <w:rsid w:val="002210AF"/>
    <w:rsid w:val="002212B8"/>
    <w:rsid w:val="002216B1"/>
    <w:rsid w:val="0022186A"/>
    <w:rsid w:val="00221B95"/>
    <w:rsid w:val="00221CDB"/>
    <w:rsid w:val="00221CDE"/>
    <w:rsid w:val="00221D83"/>
    <w:rsid w:val="00221FFB"/>
    <w:rsid w:val="0022203A"/>
    <w:rsid w:val="00222570"/>
    <w:rsid w:val="00222764"/>
    <w:rsid w:val="00222E0F"/>
    <w:rsid w:val="0022357E"/>
    <w:rsid w:val="00223715"/>
    <w:rsid w:val="002238D6"/>
    <w:rsid w:val="00223C56"/>
    <w:rsid w:val="00223E4D"/>
    <w:rsid w:val="00224042"/>
    <w:rsid w:val="00224502"/>
    <w:rsid w:val="0022467C"/>
    <w:rsid w:val="0022491A"/>
    <w:rsid w:val="00224A14"/>
    <w:rsid w:val="00224A5D"/>
    <w:rsid w:val="00224D7F"/>
    <w:rsid w:val="00224E28"/>
    <w:rsid w:val="00224FBC"/>
    <w:rsid w:val="00225067"/>
    <w:rsid w:val="0022509F"/>
    <w:rsid w:val="002250A7"/>
    <w:rsid w:val="002250AE"/>
    <w:rsid w:val="002252C1"/>
    <w:rsid w:val="002256F7"/>
    <w:rsid w:val="002258B4"/>
    <w:rsid w:val="00225AAA"/>
    <w:rsid w:val="00225AEA"/>
    <w:rsid w:val="00225C2F"/>
    <w:rsid w:val="0022613D"/>
    <w:rsid w:val="002263AF"/>
    <w:rsid w:val="0022658F"/>
    <w:rsid w:val="00226668"/>
    <w:rsid w:val="002267B2"/>
    <w:rsid w:val="002268EA"/>
    <w:rsid w:val="00226989"/>
    <w:rsid w:val="00226C21"/>
    <w:rsid w:val="00227056"/>
    <w:rsid w:val="00227114"/>
    <w:rsid w:val="00227511"/>
    <w:rsid w:val="002276B7"/>
    <w:rsid w:val="00227749"/>
    <w:rsid w:val="00227794"/>
    <w:rsid w:val="00227EC2"/>
    <w:rsid w:val="00230277"/>
    <w:rsid w:val="0023029C"/>
    <w:rsid w:val="002302FC"/>
    <w:rsid w:val="002303C6"/>
    <w:rsid w:val="00230D30"/>
    <w:rsid w:val="00230DC9"/>
    <w:rsid w:val="00230F07"/>
    <w:rsid w:val="0023153C"/>
    <w:rsid w:val="0023194F"/>
    <w:rsid w:val="002319B1"/>
    <w:rsid w:val="00231DFE"/>
    <w:rsid w:val="00232166"/>
    <w:rsid w:val="00232359"/>
    <w:rsid w:val="00232BAA"/>
    <w:rsid w:val="00232DF2"/>
    <w:rsid w:val="00232E14"/>
    <w:rsid w:val="00232E5E"/>
    <w:rsid w:val="0023356F"/>
    <w:rsid w:val="00233656"/>
    <w:rsid w:val="00233749"/>
    <w:rsid w:val="002338E8"/>
    <w:rsid w:val="00233B5C"/>
    <w:rsid w:val="00233E26"/>
    <w:rsid w:val="00233E5C"/>
    <w:rsid w:val="00233ED8"/>
    <w:rsid w:val="00233FD6"/>
    <w:rsid w:val="002346D9"/>
    <w:rsid w:val="00234E56"/>
    <w:rsid w:val="00234EB2"/>
    <w:rsid w:val="0023552E"/>
    <w:rsid w:val="00235968"/>
    <w:rsid w:val="00235B35"/>
    <w:rsid w:val="00235BFB"/>
    <w:rsid w:val="00235D31"/>
    <w:rsid w:val="00236008"/>
    <w:rsid w:val="00236124"/>
    <w:rsid w:val="00236259"/>
    <w:rsid w:val="00236570"/>
    <w:rsid w:val="00236722"/>
    <w:rsid w:val="002367F0"/>
    <w:rsid w:val="00237015"/>
    <w:rsid w:val="00237507"/>
    <w:rsid w:val="0023752E"/>
    <w:rsid w:val="0023757C"/>
    <w:rsid w:val="00237677"/>
    <w:rsid w:val="00237701"/>
    <w:rsid w:val="00237C25"/>
    <w:rsid w:val="00237C85"/>
    <w:rsid w:val="00237D02"/>
    <w:rsid w:val="00237EEE"/>
    <w:rsid w:val="0024032B"/>
    <w:rsid w:val="002406E1"/>
    <w:rsid w:val="00240932"/>
    <w:rsid w:val="00240A59"/>
    <w:rsid w:val="00240D88"/>
    <w:rsid w:val="0024116F"/>
    <w:rsid w:val="00241806"/>
    <w:rsid w:val="002419E1"/>
    <w:rsid w:val="00241AD7"/>
    <w:rsid w:val="00241BC3"/>
    <w:rsid w:val="002422D1"/>
    <w:rsid w:val="00242379"/>
    <w:rsid w:val="002425C0"/>
    <w:rsid w:val="00242766"/>
    <w:rsid w:val="00242878"/>
    <w:rsid w:val="00242CCC"/>
    <w:rsid w:val="00242EB7"/>
    <w:rsid w:val="00243051"/>
    <w:rsid w:val="002432D1"/>
    <w:rsid w:val="00243799"/>
    <w:rsid w:val="002437AD"/>
    <w:rsid w:val="002437F7"/>
    <w:rsid w:val="00243AFA"/>
    <w:rsid w:val="00243D04"/>
    <w:rsid w:val="00243E8B"/>
    <w:rsid w:val="0024424B"/>
    <w:rsid w:val="0024431C"/>
    <w:rsid w:val="0024456F"/>
    <w:rsid w:val="00244969"/>
    <w:rsid w:val="00244EA6"/>
    <w:rsid w:val="00244EAE"/>
    <w:rsid w:val="00245424"/>
    <w:rsid w:val="0024573A"/>
    <w:rsid w:val="002457C1"/>
    <w:rsid w:val="0024588B"/>
    <w:rsid w:val="00245BF1"/>
    <w:rsid w:val="00245F0C"/>
    <w:rsid w:val="00245F73"/>
    <w:rsid w:val="002465C5"/>
    <w:rsid w:val="002465CE"/>
    <w:rsid w:val="00246682"/>
    <w:rsid w:val="0024668D"/>
    <w:rsid w:val="00246ABF"/>
    <w:rsid w:val="00246D5F"/>
    <w:rsid w:val="002474CC"/>
    <w:rsid w:val="002474F0"/>
    <w:rsid w:val="00247599"/>
    <w:rsid w:val="0024773E"/>
    <w:rsid w:val="0024780E"/>
    <w:rsid w:val="00247A12"/>
    <w:rsid w:val="00247A18"/>
    <w:rsid w:val="00247BEA"/>
    <w:rsid w:val="00247C95"/>
    <w:rsid w:val="00250018"/>
    <w:rsid w:val="0025015C"/>
    <w:rsid w:val="002501C7"/>
    <w:rsid w:val="0025093D"/>
    <w:rsid w:val="002509CE"/>
    <w:rsid w:val="002509FE"/>
    <w:rsid w:val="00250A36"/>
    <w:rsid w:val="00250E62"/>
    <w:rsid w:val="002512AA"/>
    <w:rsid w:val="00251401"/>
    <w:rsid w:val="00251693"/>
    <w:rsid w:val="002516B7"/>
    <w:rsid w:val="002517BC"/>
    <w:rsid w:val="002519D3"/>
    <w:rsid w:val="00251E29"/>
    <w:rsid w:val="00252029"/>
    <w:rsid w:val="00252072"/>
    <w:rsid w:val="00252528"/>
    <w:rsid w:val="00252719"/>
    <w:rsid w:val="00252890"/>
    <w:rsid w:val="00252898"/>
    <w:rsid w:val="00252CC6"/>
    <w:rsid w:val="00252F33"/>
    <w:rsid w:val="00252FE9"/>
    <w:rsid w:val="00253A58"/>
    <w:rsid w:val="00253D1B"/>
    <w:rsid w:val="00253F47"/>
    <w:rsid w:val="00253F7D"/>
    <w:rsid w:val="00253FB8"/>
    <w:rsid w:val="00254470"/>
    <w:rsid w:val="0025459C"/>
    <w:rsid w:val="002546A9"/>
    <w:rsid w:val="00255137"/>
    <w:rsid w:val="00255578"/>
    <w:rsid w:val="002556B3"/>
    <w:rsid w:val="002556E1"/>
    <w:rsid w:val="00255A78"/>
    <w:rsid w:val="00255BF8"/>
    <w:rsid w:val="00255C80"/>
    <w:rsid w:val="0025616F"/>
    <w:rsid w:val="002563EC"/>
    <w:rsid w:val="0025664F"/>
    <w:rsid w:val="0025668E"/>
    <w:rsid w:val="002566AB"/>
    <w:rsid w:val="002568E7"/>
    <w:rsid w:val="00256ADD"/>
    <w:rsid w:val="00256BE4"/>
    <w:rsid w:val="00256D78"/>
    <w:rsid w:val="00256F85"/>
    <w:rsid w:val="002571BB"/>
    <w:rsid w:val="002576C5"/>
    <w:rsid w:val="00257D10"/>
    <w:rsid w:val="00257D45"/>
    <w:rsid w:val="00257D71"/>
    <w:rsid w:val="00257F05"/>
    <w:rsid w:val="00260320"/>
    <w:rsid w:val="00260441"/>
    <w:rsid w:val="0026086F"/>
    <w:rsid w:val="00260B9E"/>
    <w:rsid w:val="00260BDC"/>
    <w:rsid w:val="00260BE4"/>
    <w:rsid w:val="00260DDA"/>
    <w:rsid w:val="00261102"/>
    <w:rsid w:val="00261486"/>
    <w:rsid w:val="00261624"/>
    <w:rsid w:val="0026196C"/>
    <w:rsid w:val="00261B14"/>
    <w:rsid w:val="00261C78"/>
    <w:rsid w:val="00261D2F"/>
    <w:rsid w:val="00261DD1"/>
    <w:rsid w:val="00261FEE"/>
    <w:rsid w:val="002625B1"/>
    <w:rsid w:val="002625CD"/>
    <w:rsid w:val="0026269C"/>
    <w:rsid w:val="00262AC3"/>
    <w:rsid w:val="00262ACD"/>
    <w:rsid w:val="00262DD9"/>
    <w:rsid w:val="002630EB"/>
    <w:rsid w:val="002631AE"/>
    <w:rsid w:val="002633CF"/>
    <w:rsid w:val="00263439"/>
    <w:rsid w:val="002637D2"/>
    <w:rsid w:val="00263CF9"/>
    <w:rsid w:val="00263F17"/>
    <w:rsid w:val="002640CA"/>
    <w:rsid w:val="00264112"/>
    <w:rsid w:val="002643CA"/>
    <w:rsid w:val="00264448"/>
    <w:rsid w:val="0026454F"/>
    <w:rsid w:val="0026456E"/>
    <w:rsid w:val="0026461A"/>
    <w:rsid w:val="0026467F"/>
    <w:rsid w:val="002647AF"/>
    <w:rsid w:val="0026483C"/>
    <w:rsid w:val="002648C0"/>
    <w:rsid w:val="00264913"/>
    <w:rsid w:val="00264EEC"/>
    <w:rsid w:val="00265041"/>
    <w:rsid w:val="002650E2"/>
    <w:rsid w:val="002654AF"/>
    <w:rsid w:val="002656F4"/>
    <w:rsid w:val="002658EF"/>
    <w:rsid w:val="00265BA7"/>
    <w:rsid w:val="00265CD1"/>
    <w:rsid w:val="00266140"/>
    <w:rsid w:val="0026615E"/>
    <w:rsid w:val="002664D5"/>
    <w:rsid w:val="00266567"/>
    <w:rsid w:val="00266588"/>
    <w:rsid w:val="0026689A"/>
    <w:rsid w:val="002668EB"/>
    <w:rsid w:val="00266B0F"/>
    <w:rsid w:val="002671AB"/>
    <w:rsid w:val="0026730F"/>
    <w:rsid w:val="002673CC"/>
    <w:rsid w:val="00267B57"/>
    <w:rsid w:val="00267C0D"/>
    <w:rsid w:val="00270014"/>
    <w:rsid w:val="00270017"/>
    <w:rsid w:val="00270719"/>
    <w:rsid w:val="0027096B"/>
    <w:rsid w:val="00270B0A"/>
    <w:rsid w:val="00270E3C"/>
    <w:rsid w:val="00271269"/>
    <w:rsid w:val="002712AD"/>
    <w:rsid w:val="0027150C"/>
    <w:rsid w:val="002717B1"/>
    <w:rsid w:val="00271C81"/>
    <w:rsid w:val="00271E5E"/>
    <w:rsid w:val="00271EC6"/>
    <w:rsid w:val="00271FDE"/>
    <w:rsid w:val="00272266"/>
    <w:rsid w:val="00272751"/>
    <w:rsid w:val="00272A3D"/>
    <w:rsid w:val="00272D3A"/>
    <w:rsid w:val="00272F67"/>
    <w:rsid w:val="0027312B"/>
    <w:rsid w:val="00273231"/>
    <w:rsid w:val="0027352C"/>
    <w:rsid w:val="00273A74"/>
    <w:rsid w:val="00273A98"/>
    <w:rsid w:val="00273C44"/>
    <w:rsid w:val="00273F7F"/>
    <w:rsid w:val="00274104"/>
    <w:rsid w:val="00274C62"/>
    <w:rsid w:val="00274E39"/>
    <w:rsid w:val="00274E49"/>
    <w:rsid w:val="00275026"/>
    <w:rsid w:val="0027504D"/>
    <w:rsid w:val="002750EB"/>
    <w:rsid w:val="0027528D"/>
    <w:rsid w:val="002752B9"/>
    <w:rsid w:val="00275370"/>
    <w:rsid w:val="002756D4"/>
    <w:rsid w:val="0027599E"/>
    <w:rsid w:val="00275BAA"/>
    <w:rsid w:val="00275E50"/>
    <w:rsid w:val="00276574"/>
    <w:rsid w:val="00276944"/>
    <w:rsid w:val="00276CAD"/>
    <w:rsid w:val="0027701F"/>
    <w:rsid w:val="00277198"/>
    <w:rsid w:val="002772F2"/>
    <w:rsid w:val="00277399"/>
    <w:rsid w:val="0027789B"/>
    <w:rsid w:val="00277C97"/>
    <w:rsid w:val="00277DBC"/>
    <w:rsid w:val="00277F8B"/>
    <w:rsid w:val="00280616"/>
    <w:rsid w:val="002806D9"/>
    <w:rsid w:val="0028080A"/>
    <w:rsid w:val="00280837"/>
    <w:rsid w:val="00280966"/>
    <w:rsid w:val="00280C3A"/>
    <w:rsid w:val="00280D64"/>
    <w:rsid w:val="00281040"/>
    <w:rsid w:val="002811E7"/>
    <w:rsid w:val="002814AE"/>
    <w:rsid w:val="002816AF"/>
    <w:rsid w:val="00281957"/>
    <w:rsid w:val="00281C23"/>
    <w:rsid w:val="00281D74"/>
    <w:rsid w:val="002822DD"/>
    <w:rsid w:val="002829CC"/>
    <w:rsid w:val="00282E90"/>
    <w:rsid w:val="00282F78"/>
    <w:rsid w:val="00282FDF"/>
    <w:rsid w:val="0028302D"/>
    <w:rsid w:val="0028348D"/>
    <w:rsid w:val="00283730"/>
    <w:rsid w:val="00283B0F"/>
    <w:rsid w:val="00283C63"/>
    <w:rsid w:val="00283D7F"/>
    <w:rsid w:val="00283DD8"/>
    <w:rsid w:val="00284207"/>
    <w:rsid w:val="00284491"/>
    <w:rsid w:val="00284886"/>
    <w:rsid w:val="00284928"/>
    <w:rsid w:val="00284D1A"/>
    <w:rsid w:val="00284D97"/>
    <w:rsid w:val="00284DD3"/>
    <w:rsid w:val="0028579B"/>
    <w:rsid w:val="00285CB4"/>
    <w:rsid w:val="00285E08"/>
    <w:rsid w:val="00285E27"/>
    <w:rsid w:val="0028647F"/>
    <w:rsid w:val="0028663E"/>
    <w:rsid w:val="0028681D"/>
    <w:rsid w:val="0028691E"/>
    <w:rsid w:val="00286980"/>
    <w:rsid w:val="00286B16"/>
    <w:rsid w:val="00286ECA"/>
    <w:rsid w:val="00286F8D"/>
    <w:rsid w:val="00287042"/>
    <w:rsid w:val="0028727C"/>
    <w:rsid w:val="00287310"/>
    <w:rsid w:val="00287486"/>
    <w:rsid w:val="002875AC"/>
    <w:rsid w:val="00287613"/>
    <w:rsid w:val="002877C0"/>
    <w:rsid w:val="002879FA"/>
    <w:rsid w:val="00287A97"/>
    <w:rsid w:val="00287B34"/>
    <w:rsid w:val="00287E0E"/>
    <w:rsid w:val="00290099"/>
    <w:rsid w:val="002902EA"/>
    <w:rsid w:val="0029039B"/>
    <w:rsid w:val="0029098C"/>
    <w:rsid w:val="00290AAD"/>
    <w:rsid w:val="00290B60"/>
    <w:rsid w:val="00290E98"/>
    <w:rsid w:val="002910BF"/>
    <w:rsid w:val="002910E0"/>
    <w:rsid w:val="002914DF"/>
    <w:rsid w:val="002914FC"/>
    <w:rsid w:val="00291DA7"/>
    <w:rsid w:val="002922CA"/>
    <w:rsid w:val="002924ED"/>
    <w:rsid w:val="00292578"/>
    <w:rsid w:val="00292752"/>
    <w:rsid w:val="0029277C"/>
    <w:rsid w:val="002927D0"/>
    <w:rsid w:val="002928F4"/>
    <w:rsid w:val="002929EE"/>
    <w:rsid w:val="00292AE0"/>
    <w:rsid w:val="00292D8F"/>
    <w:rsid w:val="00292F25"/>
    <w:rsid w:val="00293046"/>
    <w:rsid w:val="00293106"/>
    <w:rsid w:val="00293131"/>
    <w:rsid w:val="00293291"/>
    <w:rsid w:val="00293301"/>
    <w:rsid w:val="00293342"/>
    <w:rsid w:val="00293466"/>
    <w:rsid w:val="00293489"/>
    <w:rsid w:val="002937EF"/>
    <w:rsid w:val="00293B9E"/>
    <w:rsid w:val="002940C3"/>
    <w:rsid w:val="0029415D"/>
    <w:rsid w:val="00294170"/>
    <w:rsid w:val="00294327"/>
    <w:rsid w:val="00294809"/>
    <w:rsid w:val="00294A66"/>
    <w:rsid w:val="00294E7D"/>
    <w:rsid w:val="002952D8"/>
    <w:rsid w:val="00295404"/>
    <w:rsid w:val="00295489"/>
    <w:rsid w:val="002954EC"/>
    <w:rsid w:val="0029582E"/>
    <w:rsid w:val="00295995"/>
    <w:rsid w:val="00295A12"/>
    <w:rsid w:val="00295A33"/>
    <w:rsid w:val="00295B63"/>
    <w:rsid w:val="00295D26"/>
    <w:rsid w:val="00296014"/>
    <w:rsid w:val="002962E6"/>
    <w:rsid w:val="00296D2B"/>
    <w:rsid w:val="002972E1"/>
    <w:rsid w:val="00297A99"/>
    <w:rsid w:val="00297B82"/>
    <w:rsid w:val="00297E5E"/>
    <w:rsid w:val="002A0317"/>
    <w:rsid w:val="002A03DE"/>
    <w:rsid w:val="002A07CD"/>
    <w:rsid w:val="002A0858"/>
    <w:rsid w:val="002A0A02"/>
    <w:rsid w:val="002A0A88"/>
    <w:rsid w:val="002A0CD2"/>
    <w:rsid w:val="002A13D1"/>
    <w:rsid w:val="002A1456"/>
    <w:rsid w:val="002A1573"/>
    <w:rsid w:val="002A15D8"/>
    <w:rsid w:val="002A18D2"/>
    <w:rsid w:val="002A19A2"/>
    <w:rsid w:val="002A1B34"/>
    <w:rsid w:val="002A1C16"/>
    <w:rsid w:val="002A2787"/>
    <w:rsid w:val="002A2B61"/>
    <w:rsid w:val="002A313A"/>
    <w:rsid w:val="002A3179"/>
    <w:rsid w:val="002A3257"/>
    <w:rsid w:val="002A3292"/>
    <w:rsid w:val="002A3A49"/>
    <w:rsid w:val="002A3CFD"/>
    <w:rsid w:val="002A4132"/>
    <w:rsid w:val="002A4221"/>
    <w:rsid w:val="002A466C"/>
    <w:rsid w:val="002A46B9"/>
    <w:rsid w:val="002A4EA4"/>
    <w:rsid w:val="002A5068"/>
    <w:rsid w:val="002A512D"/>
    <w:rsid w:val="002A52D1"/>
    <w:rsid w:val="002A5B34"/>
    <w:rsid w:val="002A5BCC"/>
    <w:rsid w:val="002A648C"/>
    <w:rsid w:val="002A6A37"/>
    <w:rsid w:val="002A728E"/>
    <w:rsid w:val="002A7347"/>
    <w:rsid w:val="002A75AE"/>
    <w:rsid w:val="002A7744"/>
    <w:rsid w:val="002A7A3E"/>
    <w:rsid w:val="002A7B9D"/>
    <w:rsid w:val="002A7F12"/>
    <w:rsid w:val="002B038F"/>
    <w:rsid w:val="002B0486"/>
    <w:rsid w:val="002B0BA4"/>
    <w:rsid w:val="002B0E1C"/>
    <w:rsid w:val="002B0FE7"/>
    <w:rsid w:val="002B165A"/>
    <w:rsid w:val="002B1709"/>
    <w:rsid w:val="002B1740"/>
    <w:rsid w:val="002B1820"/>
    <w:rsid w:val="002B19FE"/>
    <w:rsid w:val="002B1A67"/>
    <w:rsid w:val="002B1BA3"/>
    <w:rsid w:val="002B2485"/>
    <w:rsid w:val="002B2627"/>
    <w:rsid w:val="002B26A2"/>
    <w:rsid w:val="002B2751"/>
    <w:rsid w:val="002B3151"/>
    <w:rsid w:val="002B366D"/>
    <w:rsid w:val="002B3939"/>
    <w:rsid w:val="002B3BD7"/>
    <w:rsid w:val="002B3C56"/>
    <w:rsid w:val="002B3D3B"/>
    <w:rsid w:val="002B3E4F"/>
    <w:rsid w:val="002B3F77"/>
    <w:rsid w:val="002B4078"/>
    <w:rsid w:val="002B45F9"/>
    <w:rsid w:val="002B4722"/>
    <w:rsid w:val="002B47A1"/>
    <w:rsid w:val="002B5080"/>
    <w:rsid w:val="002B534A"/>
    <w:rsid w:val="002B558F"/>
    <w:rsid w:val="002B5875"/>
    <w:rsid w:val="002B606D"/>
    <w:rsid w:val="002B60CB"/>
    <w:rsid w:val="002B627D"/>
    <w:rsid w:val="002B649E"/>
    <w:rsid w:val="002B64A3"/>
    <w:rsid w:val="002B65C7"/>
    <w:rsid w:val="002B6882"/>
    <w:rsid w:val="002B6B4F"/>
    <w:rsid w:val="002B6C64"/>
    <w:rsid w:val="002B6CFB"/>
    <w:rsid w:val="002B6D3A"/>
    <w:rsid w:val="002B6E97"/>
    <w:rsid w:val="002B72C1"/>
    <w:rsid w:val="002B7AD5"/>
    <w:rsid w:val="002B7BAF"/>
    <w:rsid w:val="002B7BEB"/>
    <w:rsid w:val="002B7CCD"/>
    <w:rsid w:val="002C0046"/>
    <w:rsid w:val="002C00E0"/>
    <w:rsid w:val="002C05F0"/>
    <w:rsid w:val="002C0661"/>
    <w:rsid w:val="002C089B"/>
    <w:rsid w:val="002C093A"/>
    <w:rsid w:val="002C0C05"/>
    <w:rsid w:val="002C0FF0"/>
    <w:rsid w:val="002C1656"/>
    <w:rsid w:val="002C17DF"/>
    <w:rsid w:val="002C1C93"/>
    <w:rsid w:val="002C1D99"/>
    <w:rsid w:val="002C2151"/>
    <w:rsid w:val="002C230C"/>
    <w:rsid w:val="002C2311"/>
    <w:rsid w:val="002C2312"/>
    <w:rsid w:val="002C24F2"/>
    <w:rsid w:val="002C2802"/>
    <w:rsid w:val="002C2CDB"/>
    <w:rsid w:val="002C2E02"/>
    <w:rsid w:val="002C2ECE"/>
    <w:rsid w:val="002C2F3D"/>
    <w:rsid w:val="002C30C5"/>
    <w:rsid w:val="002C33B4"/>
    <w:rsid w:val="002C33B8"/>
    <w:rsid w:val="002C3623"/>
    <w:rsid w:val="002C3AE6"/>
    <w:rsid w:val="002C3C14"/>
    <w:rsid w:val="002C3CD0"/>
    <w:rsid w:val="002C3FDC"/>
    <w:rsid w:val="002C4BB7"/>
    <w:rsid w:val="002C4CF3"/>
    <w:rsid w:val="002C530A"/>
    <w:rsid w:val="002C5558"/>
    <w:rsid w:val="002C5771"/>
    <w:rsid w:val="002C57CD"/>
    <w:rsid w:val="002C5A58"/>
    <w:rsid w:val="002C5A7A"/>
    <w:rsid w:val="002C5B07"/>
    <w:rsid w:val="002C5B23"/>
    <w:rsid w:val="002C5E51"/>
    <w:rsid w:val="002C5FCC"/>
    <w:rsid w:val="002C64FE"/>
    <w:rsid w:val="002C655E"/>
    <w:rsid w:val="002C66B2"/>
    <w:rsid w:val="002C6A79"/>
    <w:rsid w:val="002C6B27"/>
    <w:rsid w:val="002C6B40"/>
    <w:rsid w:val="002C6DA1"/>
    <w:rsid w:val="002C7857"/>
    <w:rsid w:val="002C7B8E"/>
    <w:rsid w:val="002C7E85"/>
    <w:rsid w:val="002C7F07"/>
    <w:rsid w:val="002C7FA2"/>
    <w:rsid w:val="002D032B"/>
    <w:rsid w:val="002D0428"/>
    <w:rsid w:val="002D0AE3"/>
    <w:rsid w:val="002D0C3B"/>
    <w:rsid w:val="002D0C57"/>
    <w:rsid w:val="002D0CEC"/>
    <w:rsid w:val="002D0E6B"/>
    <w:rsid w:val="002D0F86"/>
    <w:rsid w:val="002D1035"/>
    <w:rsid w:val="002D14B9"/>
    <w:rsid w:val="002D1A52"/>
    <w:rsid w:val="002D1B95"/>
    <w:rsid w:val="002D1FC1"/>
    <w:rsid w:val="002D22B1"/>
    <w:rsid w:val="002D29DA"/>
    <w:rsid w:val="002D2C46"/>
    <w:rsid w:val="002D2C48"/>
    <w:rsid w:val="002D2D7A"/>
    <w:rsid w:val="002D30A9"/>
    <w:rsid w:val="002D3157"/>
    <w:rsid w:val="002D333B"/>
    <w:rsid w:val="002D347A"/>
    <w:rsid w:val="002D3499"/>
    <w:rsid w:val="002D3704"/>
    <w:rsid w:val="002D385E"/>
    <w:rsid w:val="002D387A"/>
    <w:rsid w:val="002D3A30"/>
    <w:rsid w:val="002D3A51"/>
    <w:rsid w:val="002D3BEB"/>
    <w:rsid w:val="002D3F07"/>
    <w:rsid w:val="002D409F"/>
    <w:rsid w:val="002D40F0"/>
    <w:rsid w:val="002D4273"/>
    <w:rsid w:val="002D4719"/>
    <w:rsid w:val="002D5184"/>
    <w:rsid w:val="002D55EB"/>
    <w:rsid w:val="002D563C"/>
    <w:rsid w:val="002D58F7"/>
    <w:rsid w:val="002D5C45"/>
    <w:rsid w:val="002D5CF9"/>
    <w:rsid w:val="002D5E62"/>
    <w:rsid w:val="002D5FFF"/>
    <w:rsid w:val="002D62A4"/>
    <w:rsid w:val="002D62A9"/>
    <w:rsid w:val="002D6CF0"/>
    <w:rsid w:val="002D6FFE"/>
    <w:rsid w:val="002D7047"/>
    <w:rsid w:val="002D70C1"/>
    <w:rsid w:val="002D784E"/>
    <w:rsid w:val="002D7930"/>
    <w:rsid w:val="002D7B18"/>
    <w:rsid w:val="002D7B49"/>
    <w:rsid w:val="002D7CC3"/>
    <w:rsid w:val="002E090F"/>
    <w:rsid w:val="002E0967"/>
    <w:rsid w:val="002E0F16"/>
    <w:rsid w:val="002E0FA2"/>
    <w:rsid w:val="002E13A0"/>
    <w:rsid w:val="002E185A"/>
    <w:rsid w:val="002E1C42"/>
    <w:rsid w:val="002E1E26"/>
    <w:rsid w:val="002E2748"/>
    <w:rsid w:val="002E2A70"/>
    <w:rsid w:val="002E2B77"/>
    <w:rsid w:val="002E37B5"/>
    <w:rsid w:val="002E380E"/>
    <w:rsid w:val="002E3B41"/>
    <w:rsid w:val="002E3DF0"/>
    <w:rsid w:val="002E4608"/>
    <w:rsid w:val="002E4671"/>
    <w:rsid w:val="002E4907"/>
    <w:rsid w:val="002E4E82"/>
    <w:rsid w:val="002E4EE2"/>
    <w:rsid w:val="002E5335"/>
    <w:rsid w:val="002E5734"/>
    <w:rsid w:val="002E5811"/>
    <w:rsid w:val="002E5AF7"/>
    <w:rsid w:val="002E5CF2"/>
    <w:rsid w:val="002E660A"/>
    <w:rsid w:val="002E6799"/>
    <w:rsid w:val="002E6C40"/>
    <w:rsid w:val="002E6CCF"/>
    <w:rsid w:val="002E6E72"/>
    <w:rsid w:val="002E706B"/>
    <w:rsid w:val="002E7523"/>
    <w:rsid w:val="002E7AA9"/>
    <w:rsid w:val="002E7ABC"/>
    <w:rsid w:val="002E7BCD"/>
    <w:rsid w:val="002F0567"/>
    <w:rsid w:val="002F077D"/>
    <w:rsid w:val="002F08DC"/>
    <w:rsid w:val="002F0A6D"/>
    <w:rsid w:val="002F1017"/>
    <w:rsid w:val="002F121B"/>
    <w:rsid w:val="002F1306"/>
    <w:rsid w:val="002F13EB"/>
    <w:rsid w:val="002F140F"/>
    <w:rsid w:val="002F182E"/>
    <w:rsid w:val="002F1B67"/>
    <w:rsid w:val="002F2568"/>
    <w:rsid w:val="002F2624"/>
    <w:rsid w:val="002F29CB"/>
    <w:rsid w:val="002F2B44"/>
    <w:rsid w:val="002F2EEA"/>
    <w:rsid w:val="002F3437"/>
    <w:rsid w:val="002F3659"/>
    <w:rsid w:val="002F3BAD"/>
    <w:rsid w:val="002F3E3D"/>
    <w:rsid w:val="002F4122"/>
    <w:rsid w:val="002F41C9"/>
    <w:rsid w:val="002F476D"/>
    <w:rsid w:val="002F47C6"/>
    <w:rsid w:val="002F4893"/>
    <w:rsid w:val="002F4A47"/>
    <w:rsid w:val="002F4BDF"/>
    <w:rsid w:val="002F4C97"/>
    <w:rsid w:val="002F4FC1"/>
    <w:rsid w:val="002F50A4"/>
    <w:rsid w:val="002F538A"/>
    <w:rsid w:val="002F6268"/>
    <w:rsid w:val="002F688E"/>
    <w:rsid w:val="002F6B0D"/>
    <w:rsid w:val="002F6B84"/>
    <w:rsid w:val="002F6D2F"/>
    <w:rsid w:val="002F6D5F"/>
    <w:rsid w:val="002F76CC"/>
    <w:rsid w:val="002F77DD"/>
    <w:rsid w:val="002F78D9"/>
    <w:rsid w:val="002F793B"/>
    <w:rsid w:val="002F7AC3"/>
    <w:rsid w:val="003001EC"/>
    <w:rsid w:val="00300613"/>
    <w:rsid w:val="003008AD"/>
    <w:rsid w:val="003008E3"/>
    <w:rsid w:val="00300C7C"/>
    <w:rsid w:val="00300C85"/>
    <w:rsid w:val="00300EF7"/>
    <w:rsid w:val="0030122E"/>
    <w:rsid w:val="00301354"/>
    <w:rsid w:val="0030179B"/>
    <w:rsid w:val="00301BE1"/>
    <w:rsid w:val="00302431"/>
    <w:rsid w:val="003026DD"/>
    <w:rsid w:val="003026F0"/>
    <w:rsid w:val="0030276D"/>
    <w:rsid w:val="00302946"/>
    <w:rsid w:val="00302A86"/>
    <w:rsid w:val="00302B76"/>
    <w:rsid w:val="00302C8D"/>
    <w:rsid w:val="00302D6C"/>
    <w:rsid w:val="00302E3D"/>
    <w:rsid w:val="00303524"/>
    <w:rsid w:val="00303BB2"/>
    <w:rsid w:val="00303F41"/>
    <w:rsid w:val="00303F7C"/>
    <w:rsid w:val="003041B9"/>
    <w:rsid w:val="003041DB"/>
    <w:rsid w:val="0030429A"/>
    <w:rsid w:val="003042F3"/>
    <w:rsid w:val="00304447"/>
    <w:rsid w:val="0030452E"/>
    <w:rsid w:val="003047CA"/>
    <w:rsid w:val="003048A6"/>
    <w:rsid w:val="003049D1"/>
    <w:rsid w:val="00304A1C"/>
    <w:rsid w:val="00304AA6"/>
    <w:rsid w:val="00304E0B"/>
    <w:rsid w:val="00304E21"/>
    <w:rsid w:val="00304E88"/>
    <w:rsid w:val="00305165"/>
    <w:rsid w:val="003051C3"/>
    <w:rsid w:val="00305253"/>
    <w:rsid w:val="003052FF"/>
    <w:rsid w:val="003053C2"/>
    <w:rsid w:val="003054C3"/>
    <w:rsid w:val="00305895"/>
    <w:rsid w:val="00305CA8"/>
    <w:rsid w:val="00305DBB"/>
    <w:rsid w:val="00305DE3"/>
    <w:rsid w:val="003061A9"/>
    <w:rsid w:val="00306342"/>
    <w:rsid w:val="0030679B"/>
    <w:rsid w:val="003067B0"/>
    <w:rsid w:val="00306914"/>
    <w:rsid w:val="00306DA0"/>
    <w:rsid w:val="00306FED"/>
    <w:rsid w:val="003076A7"/>
    <w:rsid w:val="003078FC"/>
    <w:rsid w:val="00307C81"/>
    <w:rsid w:val="003100B4"/>
    <w:rsid w:val="00310475"/>
    <w:rsid w:val="0031051A"/>
    <w:rsid w:val="003107E7"/>
    <w:rsid w:val="00310AF2"/>
    <w:rsid w:val="00310CE4"/>
    <w:rsid w:val="0031100E"/>
    <w:rsid w:val="00311194"/>
    <w:rsid w:val="0031125F"/>
    <w:rsid w:val="0031136C"/>
    <w:rsid w:val="0031177F"/>
    <w:rsid w:val="00311B7B"/>
    <w:rsid w:val="00311F51"/>
    <w:rsid w:val="00312086"/>
    <w:rsid w:val="003122E8"/>
    <w:rsid w:val="00312635"/>
    <w:rsid w:val="00312B28"/>
    <w:rsid w:val="00312B96"/>
    <w:rsid w:val="00313B7C"/>
    <w:rsid w:val="00313C32"/>
    <w:rsid w:val="00314017"/>
    <w:rsid w:val="00314034"/>
    <w:rsid w:val="00314129"/>
    <w:rsid w:val="00314397"/>
    <w:rsid w:val="003144BA"/>
    <w:rsid w:val="00314523"/>
    <w:rsid w:val="00314645"/>
    <w:rsid w:val="003149A3"/>
    <w:rsid w:val="00315000"/>
    <w:rsid w:val="0031550B"/>
    <w:rsid w:val="00315540"/>
    <w:rsid w:val="003159E7"/>
    <w:rsid w:val="00315A9D"/>
    <w:rsid w:val="00315E08"/>
    <w:rsid w:val="00316755"/>
    <w:rsid w:val="003169B6"/>
    <w:rsid w:val="00316C4B"/>
    <w:rsid w:val="00316C69"/>
    <w:rsid w:val="003171CB"/>
    <w:rsid w:val="00317261"/>
    <w:rsid w:val="0031736F"/>
    <w:rsid w:val="00317766"/>
    <w:rsid w:val="003179CF"/>
    <w:rsid w:val="00317E3D"/>
    <w:rsid w:val="00320010"/>
    <w:rsid w:val="003201FF"/>
    <w:rsid w:val="00320682"/>
    <w:rsid w:val="00320862"/>
    <w:rsid w:val="00320881"/>
    <w:rsid w:val="003214CE"/>
    <w:rsid w:val="00321665"/>
    <w:rsid w:val="00321A5B"/>
    <w:rsid w:val="00321D00"/>
    <w:rsid w:val="00321D56"/>
    <w:rsid w:val="00321F48"/>
    <w:rsid w:val="00321FB7"/>
    <w:rsid w:val="003220F3"/>
    <w:rsid w:val="0032220B"/>
    <w:rsid w:val="0032238A"/>
    <w:rsid w:val="00322A19"/>
    <w:rsid w:val="00322B6A"/>
    <w:rsid w:val="00322C92"/>
    <w:rsid w:val="00322CD0"/>
    <w:rsid w:val="00322ED9"/>
    <w:rsid w:val="00322FA3"/>
    <w:rsid w:val="00323450"/>
    <w:rsid w:val="00323BC5"/>
    <w:rsid w:val="00323BEB"/>
    <w:rsid w:val="0032416B"/>
    <w:rsid w:val="00324673"/>
    <w:rsid w:val="00324B9B"/>
    <w:rsid w:val="00324D46"/>
    <w:rsid w:val="00324DE1"/>
    <w:rsid w:val="003250DD"/>
    <w:rsid w:val="003257CD"/>
    <w:rsid w:val="00325B0D"/>
    <w:rsid w:val="00325B56"/>
    <w:rsid w:val="00325DF1"/>
    <w:rsid w:val="003264E9"/>
    <w:rsid w:val="0032655A"/>
    <w:rsid w:val="003268E8"/>
    <w:rsid w:val="00326C01"/>
    <w:rsid w:val="00326D93"/>
    <w:rsid w:val="003273F4"/>
    <w:rsid w:val="0032744B"/>
    <w:rsid w:val="00327607"/>
    <w:rsid w:val="00327618"/>
    <w:rsid w:val="00327764"/>
    <w:rsid w:val="003279D2"/>
    <w:rsid w:val="00327C5F"/>
    <w:rsid w:val="00327FFA"/>
    <w:rsid w:val="00330315"/>
    <w:rsid w:val="003308CB"/>
    <w:rsid w:val="00330F5F"/>
    <w:rsid w:val="003313FF"/>
    <w:rsid w:val="00331867"/>
    <w:rsid w:val="00331871"/>
    <w:rsid w:val="003319F5"/>
    <w:rsid w:val="00331AB5"/>
    <w:rsid w:val="0033227C"/>
    <w:rsid w:val="003322F4"/>
    <w:rsid w:val="0033265D"/>
    <w:rsid w:val="0033272D"/>
    <w:rsid w:val="003328DC"/>
    <w:rsid w:val="00332BE1"/>
    <w:rsid w:val="00332D95"/>
    <w:rsid w:val="00333302"/>
    <w:rsid w:val="00333880"/>
    <w:rsid w:val="0033389B"/>
    <w:rsid w:val="003338D8"/>
    <w:rsid w:val="0033391C"/>
    <w:rsid w:val="00333CAD"/>
    <w:rsid w:val="00333F29"/>
    <w:rsid w:val="0033435C"/>
    <w:rsid w:val="00334AA7"/>
    <w:rsid w:val="0033504D"/>
    <w:rsid w:val="003351D9"/>
    <w:rsid w:val="0033532E"/>
    <w:rsid w:val="00335BDA"/>
    <w:rsid w:val="00335CE3"/>
    <w:rsid w:val="00335E9E"/>
    <w:rsid w:val="00336146"/>
    <w:rsid w:val="003364E2"/>
    <w:rsid w:val="00336662"/>
    <w:rsid w:val="003366AE"/>
    <w:rsid w:val="003369EE"/>
    <w:rsid w:val="00336A2E"/>
    <w:rsid w:val="00336A91"/>
    <w:rsid w:val="00336DB6"/>
    <w:rsid w:val="00336F08"/>
    <w:rsid w:val="003370CB"/>
    <w:rsid w:val="0033723E"/>
    <w:rsid w:val="0033735C"/>
    <w:rsid w:val="0033798E"/>
    <w:rsid w:val="00337F55"/>
    <w:rsid w:val="00337F79"/>
    <w:rsid w:val="0034027E"/>
    <w:rsid w:val="00340626"/>
    <w:rsid w:val="00340750"/>
    <w:rsid w:val="00340B0D"/>
    <w:rsid w:val="00340B2F"/>
    <w:rsid w:val="00340CA2"/>
    <w:rsid w:val="00340ED5"/>
    <w:rsid w:val="00340F9F"/>
    <w:rsid w:val="00341359"/>
    <w:rsid w:val="003413D6"/>
    <w:rsid w:val="0034152B"/>
    <w:rsid w:val="003416C2"/>
    <w:rsid w:val="00341C05"/>
    <w:rsid w:val="00341D0F"/>
    <w:rsid w:val="00341EF2"/>
    <w:rsid w:val="003420BF"/>
    <w:rsid w:val="003423CA"/>
    <w:rsid w:val="003425BE"/>
    <w:rsid w:val="0034287B"/>
    <w:rsid w:val="00342965"/>
    <w:rsid w:val="003429B5"/>
    <w:rsid w:val="00342BA1"/>
    <w:rsid w:val="00342BE0"/>
    <w:rsid w:val="00342FDE"/>
    <w:rsid w:val="0034313B"/>
    <w:rsid w:val="003431AA"/>
    <w:rsid w:val="003431F1"/>
    <w:rsid w:val="00343F07"/>
    <w:rsid w:val="003443FB"/>
    <w:rsid w:val="00344488"/>
    <w:rsid w:val="003444CF"/>
    <w:rsid w:val="003445AC"/>
    <w:rsid w:val="00344760"/>
    <w:rsid w:val="00344B24"/>
    <w:rsid w:val="00344E5B"/>
    <w:rsid w:val="0034500C"/>
    <w:rsid w:val="003450B8"/>
    <w:rsid w:val="00345185"/>
    <w:rsid w:val="003458B8"/>
    <w:rsid w:val="00345B6E"/>
    <w:rsid w:val="003461F2"/>
    <w:rsid w:val="00346411"/>
    <w:rsid w:val="003466AD"/>
    <w:rsid w:val="003469AA"/>
    <w:rsid w:val="00346F1B"/>
    <w:rsid w:val="00347337"/>
    <w:rsid w:val="003473BB"/>
    <w:rsid w:val="003473FB"/>
    <w:rsid w:val="00347505"/>
    <w:rsid w:val="00347690"/>
    <w:rsid w:val="00347719"/>
    <w:rsid w:val="00347A1E"/>
    <w:rsid w:val="00347C45"/>
    <w:rsid w:val="00347D45"/>
    <w:rsid w:val="00347DF7"/>
    <w:rsid w:val="00347F2F"/>
    <w:rsid w:val="00347FD5"/>
    <w:rsid w:val="003502F1"/>
    <w:rsid w:val="003503E7"/>
    <w:rsid w:val="00350557"/>
    <w:rsid w:val="00350967"/>
    <w:rsid w:val="00350D13"/>
    <w:rsid w:val="00350EDC"/>
    <w:rsid w:val="003510D7"/>
    <w:rsid w:val="003512E0"/>
    <w:rsid w:val="0035152F"/>
    <w:rsid w:val="00351630"/>
    <w:rsid w:val="00351C0B"/>
    <w:rsid w:val="00351FC7"/>
    <w:rsid w:val="003520DC"/>
    <w:rsid w:val="00352337"/>
    <w:rsid w:val="003524DB"/>
    <w:rsid w:val="00352522"/>
    <w:rsid w:val="003525B9"/>
    <w:rsid w:val="003528A2"/>
    <w:rsid w:val="0035296F"/>
    <w:rsid w:val="00352E69"/>
    <w:rsid w:val="00352EE8"/>
    <w:rsid w:val="00352EF6"/>
    <w:rsid w:val="003530CF"/>
    <w:rsid w:val="003530D4"/>
    <w:rsid w:val="00353333"/>
    <w:rsid w:val="003536C8"/>
    <w:rsid w:val="00353907"/>
    <w:rsid w:val="00353C8B"/>
    <w:rsid w:val="00353E7D"/>
    <w:rsid w:val="003542D4"/>
    <w:rsid w:val="003543DA"/>
    <w:rsid w:val="00354514"/>
    <w:rsid w:val="0035483F"/>
    <w:rsid w:val="00354B65"/>
    <w:rsid w:val="00354B6B"/>
    <w:rsid w:val="00354B7A"/>
    <w:rsid w:val="00355439"/>
    <w:rsid w:val="003555F5"/>
    <w:rsid w:val="00355B3F"/>
    <w:rsid w:val="0035616C"/>
    <w:rsid w:val="00356450"/>
    <w:rsid w:val="00356A2D"/>
    <w:rsid w:val="00356ADE"/>
    <w:rsid w:val="00356DB8"/>
    <w:rsid w:val="00356EF5"/>
    <w:rsid w:val="00357466"/>
    <w:rsid w:val="0035798B"/>
    <w:rsid w:val="00357999"/>
    <w:rsid w:val="00357A18"/>
    <w:rsid w:val="00357EF9"/>
    <w:rsid w:val="00357FCD"/>
    <w:rsid w:val="00360101"/>
    <w:rsid w:val="00360125"/>
    <w:rsid w:val="00360258"/>
    <w:rsid w:val="0036088E"/>
    <w:rsid w:val="003608DB"/>
    <w:rsid w:val="00360D85"/>
    <w:rsid w:val="00360F07"/>
    <w:rsid w:val="00361109"/>
    <w:rsid w:val="00361A6B"/>
    <w:rsid w:val="00362166"/>
    <w:rsid w:val="003623F6"/>
    <w:rsid w:val="00362556"/>
    <w:rsid w:val="00362709"/>
    <w:rsid w:val="0036283F"/>
    <w:rsid w:val="00362CBC"/>
    <w:rsid w:val="00362F6B"/>
    <w:rsid w:val="00362F78"/>
    <w:rsid w:val="00363328"/>
    <w:rsid w:val="0036335B"/>
    <w:rsid w:val="003636C9"/>
    <w:rsid w:val="00363D5D"/>
    <w:rsid w:val="00363F44"/>
    <w:rsid w:val="003641FE"/>
    <w:rsid w:val="003642E2"/>
    <w:rsid w:val="003644C1"/>
    <w:rsid w:val="0036461E"/>
    <w:rsid w:val="0036495E"/>
    <w:rsid w:val="00364B70"/>
    <w:rsid w:val="00364DAF"/>
    <w:rsid w:val="00364F6F"/>
    <w:rsid w:val="003652AD"/>
    <w:rsid w:val="0036554A"/>
    <w:rsid w:val="003656AA"/>
    <w:rsid w:val="00365C98"/>
    <w:rsid w:val="00365EE8"/>
    <w:rsid w:val="00365F42"/>
    <w:rsid w:val="00365F6D"/>
    <w:rsid w:val="00366965"/>
    <w:rsid w:val="003671D4"/>
    <w:rsid w:val="00367409"/>
    <w:rsid w:val="00367433"/>
    <w:rsid w:val="0036748C"/>
    <w:rsid w:val="00367716"/>
    <w:rsid w:val="00367745"/>
    <w:rsid w:val="00367816"/>
    <w:rsid w:val="00367ACE"/>
    <w:rsid w:val="00367B01"/>
    <w:rsid w:val="00367DCF"/>
    <w:rsid w:val="00367F9B"/>
    <w:rsid w:val="003700CC"/>
    <w:rsid w:val="00370536"/>
    <w:rsid w:val="00370E4B"/>
    <w:rsid w:val="00370F6E"/>
    <w:rsid w:val="00371062"/>
    <w:rsid w:val="00371091"/>
    <w:rsid w:val="003714B2"/>
    <w:rsid w:val="00371518"/>
    <w:rsid w:val="0037158B"/>
    <w:rsid w:val="003717F1"/>
    <w:rsid w:val="00371BC0"/>
    <w:rsid w:val="00371ECA"/>
    <w:rsid w:val="0037209F"/>
    <w:rsid w:val="003726B7"/>
    <w:rsid w:val="00372984"/>
    <w:rsid w:val="00372AE1"/>
    <w:rsid w:val="00372B4A"/>
    <w:rsid w:val="00373254"/>
    <w:rsid w:val="003733D9"/>
    <w:rsid w:val="003734B6"/>
    <w:rsid w:val="00373684"/>
    <w:rsid w:val="003738DA"/>
    <w:rsid w:val="00373AFB"/>
    <w:rsid w:val="00373CCC"/>
    <w:rsid w:val="00373F24"/>
    <w:rsid w:val="0037417E"/>
    <w:rsid w:val="00374622"/>
    <w:rsid w:val="0037480E"/>
    <w:rsid w:val="00374E3A"/>
    <w:rsid w:val="00374FE9"/>
    <w:rsid w:val="0037539C"/>
    <w:rsid w:val="00375424"/>
    <w:rsid w:val="003754E1"/>
    <w:rsid w:val="00375597"/>
    <w:rsid w:val="00375630"/>
    <w:rsid w:val="00375BF6"/>
    <w:rsid w:val="00375CBE"/>
    <w:rsid w:val="00375EE8"/>
    <w:rsid w:val="00375FDA"/>
    <w:rsid w:val="00376585"/>
    <w:rsid w:val="00376651"/>
    <w:rsid w:val="00376816"/>
    <w:rsid w:val="00376844"/>
    <w:rsid w:val="00376D11"/>
    <w:rsid w:val="00376DE8"/>
    <w:rsid w:val="00376F1D"/>
    <w:rsid w:val="003770C0"/>
    <w:rsid w:val="00377319"/>
    <w:rsid w:val="0037731B"/>
    <w:rsid w:val="0037740F"/>
    <w:rsid w:val="003774D4"/>
    <w:rsid w:val="0037768C"/>
    <w:rsid w:val="0037799A"/>
    <w:rsid w:val="00377A24"/>
    <w:rsid w:val="00377E52"/>
    <w:rsid w:val="003800DD"/>
    <w:rsid w:val="0038026E"/>
    <w:rsid w:val="0038028B"/>
    <w:rsid w:val="003805D6"/>
    <w:rsid w:val="003806E4"/>
    <w:rsid w:val="00380AC1"/>
    <w:rsid w:val="00380E9B"/>
    <w:rsid w:val="00381015"/>
    <w:rsid w:val="003814F7"/>
    <w:rsid w:val="00381E30"/>
    <w:rsid w:val="0038251C"/>
    <w:rsid w:val="0038264C"/>
    <w:rsid w:val="00382880"/>
    <w:rsid w:val="00382A18"/>
    <w:rsid w:val="00382AA2"/>
    <w:rsid w:val="00382ACB"/>
    <w:rsid w:val="00382B3E"/>
    <w:rsid w:val="00382DAE"/>
    <w:rsid w:val="00382F65"/>
    <w:rsid w:val="003830FC"/>
    <w:rsid w:val="003839CE"/>
    <w:rsid w:val="00383B86"/>
    <w:rsid w:val="00383C9A"/>
    <w:rsid w:val="00383D49"/>
    <w:rsid w:val="00383F4D"/>
    <w:rsid w:val="003843D7"/>
    <w:rsid w:val="0038452B"/>
    <w:rsid w:val="0038459E"/>
    <w:rsid w:val="00384611"/>
    <w:rsid w:val="00384ABB"/>
    <w:rsid w:val="00384AE0"/>
    <w:rsid w:val="00384C20"/>
    <w:rsid w:val="00384E52"/>
    <w:rsid w:val="0038500C"/>
    <w:rsid w:val="00385295"/>
    <w:rsid w:val="0038532C"/>
    <w:rsid w:val="0038556F"/>
    <w:rsid w:val="0038578E"/>
    <w:rsid w:val="00385CB4"/>
    <w:rsid w:val="00385D1A"/>
    <w:rsid w:val="00385D43"/>
    <w:rsid w:val="00385DBC"/>
    <w:rsid w:val="00385E39"/>
    <w:rsid w:val="0038630D"/>
    <w:rsid w:val="003864AE"/>
    <w:rsid w:val="003865A8"/>
    <w:rsid w:val="00386A36"/>
    <w:rsid w:val="00386B20"/>
    <w:rsid w:val="00386B7F"/>
    <w:rsid w:val="00386BB5"/>
    <w:rsid w:val="00386D61"/>
    <w:rsid w:val="00386D7C"/>
    <w:rsid w:val="00386F24"/>
    <w:rsid w:val="00386FED"/>
    <w:rsid w:val="00387056"/>
    <w:rsid w:val="0038739C"/>
    <w:rsid w:val="003874E6"/>
    <w:rsid w:val="0038755D"/>
    <w:rsid w:val="00387AA7"/>
    <w:rsid w:val="00387EA9"/>
    <w:rsid w:val="00387F13"/>
    <w:rsid w:val="00387FA6"/>
    <w:rsid w:val="00390051"/>
    <w:rsid w:val="003902B6"/>
    <w:rsid w:val="003903E6"/>
    <w:rsid w:val="0039094B"/>
    <w:rsid w:val="00390BF7"/>
    <w:rsid w:val="00390C65"/>
    <w:rsid w:val="003911BC"/>
    <w:rsid w:val="00391227"/>
    <w:rsid w:val="003912A4"/>
    <w:rsid w:val="003912C4"/>
    <w:rsid w:val="00391378"/>
    <w:rsid w:val="00391425"/>
    <w:rsid w:val="003914C8"/>
    <w:rsid w:val="003915B0"/>
    <w:rsid w:val="003915F3"/>
    <w:rsid w:val="003917A8"/>
    <w:rsid w:val="00391914"/>
    <w:rsid w:val="00391CD1"/>
    <w:rsid w:val="003922BF"/>
    <w:rsid w:val="00392E4E"/>
    <w:rsid w:val="003930EB"/>
    <w:rsid w:val="003931D8"/>
    <w:rsid w:val="00393229"/>
    <w:rsid w:val="00393509"/>
    <w:rsid w:val="00393569"/>
    <w:rsid w:val="00393C42"/>
    <w:rsid w:val="00393E53"/>
    <w:rsid w:val="00393EFB"/>
    <w:rsid w:val="00394172"/>
    <w:rsid w:val="003942F1"/>
    <w:rsid w:val="00394705"/>
    <w:rsid w:val="0039480F"/>
    <w:rsid w:val="00394B28"/>
    <w:rsid w:val="00395151"/>
    <w:rsid w:val="0039525E"/>
    <w:rsid w:val="00395514"/>
    <w:rsid w:val="0039554E"/>
    <w:rsid w:val="003957BB"/>
    <w:rsid w:val="00395C25"/>
    <w:rsid w:val="00395C2B"/>
    <w:rsid w:val="00395C4B"/>
    <w:rsid w:val="00395C7A"/>
    <w:rsid w:val="00395CC6"/>
    <w:rsid w:val="00395E22"/>
    <w:rsid w:val="00395FEF"/>
    <w:rsid w:val="003961B5"/>
    <w:rsid w:val="0039638D"/>
    <w:rsid w:val="00396828"/>
    <w:rsid w:val="00396E02"/>
    <w:rsid w:val="00397119"/>
    <w:rsid w:val="0039723A"/>
    <w:rsid w:val="003975C0"/>
    <w:rsid w:val="00397D6F"/>
    <w:rsid w:val="003A0146"/>
    <w:rsid w:val="003A03F0"/>
    <w:rsid w:val="003A0743"/>
    <w:rsid w:val="003A0C86"/>
    <w:rsid w:val="003A0EBC"/>
    <w:rsid w:val="003A193D"/>
    <w:rsid w:val="003A21D7"/>
    <w:rsid w:val="003A24F9"/>
    <w:rsid w:val="003A25B0"/>
    <w:rsid w:val="003A270F"/>
    <w:rsid w:val="003A2E76"/>
    <w:rsid w:val="003A2EA3"/>
    <w:rsid w:val="003A309A"/>
    <w:rsid w:val="003A3237"/>
    <w:rsid w:val="003A3314"/>
    <w:rsid w:val="003A335C"/>
    <w:rsid w:val="003A36D3"/>
    <w:rsid w:val="003A3B8F"/>
    <w:rsid w:val="003A3EF6"/>
    <w:rsid w:val="003A420A"/>
    <w:rsid w:val="003A4264"/>
    <w:rsid w:val="003A4296"/>
    <w:rsid w:val="003A42CC"/>
    <w:rsid w:val="003A4319"/>
    <w:rsid w:val="003A4523"/>
    <w:rsid w:val="003A4954"/>
    <w:rsid w:val="003A4AA7"/>
    <w:rsid w:val="003A4AD7"/>
    <w:rsid w:val="003A4D30"/>
    <w:rsid w:val="003A50F8"/>
    <w:rsid w:val="003A52C4"/>
    <w:rsid w:val="003A5735"/>
    <w:rsid w:val="003A58C7"/>
    <w:rsid w:val="003A5ACF"/>
    <w:rsid w:val="003A618E"/>
    <w:rsid w:val="003A66D7"/>
    <w:rsid w:val="003A6CDC"/>
    <w:rsid w:val="003A7265"/>
    <w:rsid w:val="003A7367"/>
    <w:rsid w:val="003A797C"/>
    <w:rsid w:val="003A7A6F"/>
    <w:rsid w:val="003A7FF6"/>
    <w:rsid w:val="003B03F4"/>
    <w:rsid w:val="003B0413"/>
    <w:rsid w:val="003B0677"/>
    <w:rsid w:val="003B083A"/>
    <w:rsid w:val="003B0A0F"/>
    <w:rsid w:val="003B0B9C"/>
    <w:rsid w:val="003B0D40"/>
    <w:rsid w:val="003B0EC1"/>
    <w:rsid w:val="003B12DD"/>
    <w:rsid w:val="003B16D2"/>
    <w:rsid w:val="003B192B"/>
    <w:rsid w:val="003B1B21"/>
    <w:rsid w:val="003B1C17"/>
    <w:rsid w:val="003B1CB6"/>
    <w:rsid w:val="003B202F"/>
    <w:rsid w:val="003B206D"/>
    <w:rsid w:val="003B209A"/>
    <w:rsid w:val="003B20B8"/>
    <w:rsid w:val="003B2198"/>
    <w:rsid w:val="003B2498"/>
    <w:rsid w:val="003B28BC"/>
    <w:rsid w:val="003B29FE"/>
    <w:rsid w:val="003B32F5"/>
    <w:rsid w:val="003B3709"/>
    <w:rsid w:val="003B38CD"/>
    <w:rsid w:val="003B3A56"/>
    <w:rsid w:val="003B3D10"/>
    <w:rsid w:val="003B3F0A"/>
    <w:rsid w:val="003B44FE"/>
    <w:rsid w:val="003B46B5"/>
    <w:rsid w:val="003B4849"/>
    <w:rsid w:val="003B4A40"/>
    <w:rsid w:val="003B4A70"/>
    <w:rsid w:val="003B4D70"/>
    <w:rsid w:val="003B4EDF"/>
    <w:rsid w:val="003B4F2E"/>
    <w:rsid w:val="003B55EE"/>
    <w:rsid w:val="003B58B3"/>
    <w:rsid w:val="003B5B16"/>
    <w:rsid w:val="003B5C09"/>
    <w:rsid w:val="003B5C97"/>
    <w:rsid w:val="003B5D35"/>
    <w:rsid w:val="003B605D"/>
    <w:rsid w:val="003B6110"/>
    <w:rsid w:val="003B6255"/>
    <w:rsid w:val="003B632F"/>
    <w:rsid w:val="003B6346"/>
    <w:rsid w:val="003B6427"/>
    <w:rsid w:val="003B65D2"/>
    <w:rsid w:val="003B68ED"/>
    <w:rsid w:val="003B6960"/>
    <w:rsid w:val="003B6A9C"/>
    <w:rsid w:val="003B6B94"/>
    <w:rsid w:val="003B6C95"/>
    <w:rsid w:val="003B6DB5"/>
    <w:rsid w:val="003B6E55"/>
    <w:rsid w:val="003B7014"/>
    <w:rsid w:val="003B76BF"/>
    <w:rsid w:val="003B7716"/>
    <w:rsid w:val="003B7A53"/>
    <w:rsid w:val="003B7B24"/>
    <w:rsid w:val="003B7BB9"/>
    <w:rsid w:val="003B7BEB"/>
    <w:rsid w:val="003B7ECE"/>
    <w:rsid w:val="003C00AB"/>
    <w:rsid w:val="003C041C"/>
    <w:rsid w:val="003C0F40"/>
    <w:rsid w:val="003C0F54"/>
    <w:rsid w:val="003C0FEF"/>
    <w:rsid w:val="003C121D"/>
    <w:rsid w:val="003C1658"/>
    <w:rsid w:val="003C1867"/>
    <w:rsid w:val="003C188E"/>
    <w:rsid w:val="003C1937"/>
    <w:rsid w:val="003C240B"/>
    <w:rsid w:val="003C260C"/>
    <w:rsid w:val="003C277F"/>
    <w:rsid w:val="003C281D"/>
    <w:rsid w:val="003C2897"/>
    <w:rsid w:val="003C29EE"/>
    <w:rsid w:val="003C2C8D"/>
    <w:rsid w:val="003C2E50"/>
    <w:rsid w:val="003C3016"/>
    <w:rsid w:val="003C319E"/>
    <w:rsid w:val="003C33A3"/>
    <w:rsid w:val="003C387E"/>
    <w:rsid w:val="003C3ACE"/>
    <w:rsid w:val="003C3CCD"/>
    <w:rsid w:val="003C3D25"/>
    <w:rsid w:val="003C3DB9"/>
    <w:rsid w:val="003C3F26"/>
    <w:rsid w:val="003C40A4"/>
    <w:rsid w:val="003C44E3"/>
    <w:rsid w:val="003C45A6"/>
    <w:rsid w:val="003C4DC1"/>
    <w:rsid w:val="003C4ED1"/>
    <w:rsid w:val="003C4EEA"/>
    <w:rsid w:val="003C511B"/>
    <w:rsid w:val="003C53A9"/>
    <w:rsid w:val="003C587F"/>
    <w:rsid w:val="003C5A7A"/>
    <w:rsid w:val="003C6073"/>
    <w:rsid w:val="003C64B5"/>
    <w:rsid w:val="003C64F7"/>
    <w:rsid w:val="003C675B"/>
    <w:rsid w:val="003C690E"/>
    <w:rsid w:val="003C6C49"/>
    <w:rsid w:val="003C6D10"/>
    <w:rsid w:val="003C6D72"/>
    <w:rsid w:val="003C6FBE"/>
    <w:rsid w:val="003C6FFB"/>
    <w:rsid w:val="003C74C2"/>
    <w:rsid w:val="003C757F"/>
    <w:rsid w:val="003C75B1"/>
    <w:rsid w:val="003C75B4"/>
    <w:rsid w:val="003C7820"/>
    <w:rsid w:val="003C79A3"/>
    <w:rsid w:val="003D007D"/>
    <w:rsid w:val="003D00D2"/>
    <w:rsid w:val="003D056E"/>
    <w:rsid w:val="003D06D7"/>
    <w:rsid w:val="003D0AFB"/>
    <w:rsid w:val="003D0BD2"/>
    <w:rsid w:val="003D0BE3"/>
    <w:rsid w:val="003D1331"/>
    <w:rsid w:val="003D1730"/>
    <w:rsid w:val="003D184B"/>
    <w:rsid w:val="003D1C0A"/>
    <w:rsid w:val="003D1C91"/>
    <w:rsid w:val="003D21F7"/>
    <w:rsid w:val="003D228D"/>
    <w:rsid w:val="003D23EE"/>
    <w:rsid w:val="003D2589"/>
    <w:rsid w:val="003D25F4"/>
    <w:rsid w:val="003D26D5"/>
    <w:rsid w:val="003D26F7"/>
    <w:rsid w:val="003D2CD5"/>
    <w:rsid w:val="003D2CEE"/>
    <w:rsid w:val="003D2F99"/>
    <w:rsid w:val="003D30D6"/>
    <w:rsid w:val="003D3325"/>
    <w:rsid w:val="003D34E8"/>
    <w:rsid w:val="003D3A0C"/>
    <w:rsid w:val="003D3E70"/>
    <w:rsid w:val="003D41F2"/>
    <w:rsid w:val="003D4937"/>
    <w:rsid w:val="003D4B9D"/>
    <w:rsid w:val="003D4E2B"/>
    <w:rsid w:val="003D4F92"/>
    <w:rsid w:val="003D576D"/>
    <w:rsid w:val="003D5CD5"/>
    <w:rsid w:val="003D6151"/>
    <w:rsid w:val="003D61CE"/>
    <w:rsid w:val="003D6235"/>
    <w:rsid w:val="003D6672"/>
    <w:rsid w:val="003D670E"/>
    <w:rsid w:val="003D684E"/>
    <w:rsid w:val="003D690B"/>
    <w:rsid w:val="003D69FF"/>
    <w:rsid w:val="003D6CA1"/>
    <w:rsid w:val="003D6EE8"/>
    <w:rsid w:val="003D6F6F"/>
    <w:rsid w:val="003D728F"/>
    <w:rsid w:val="003D746B"/>
    <w:rsid w:val="003D76CD"/>
    <w:rsid w:val="003D76F9"/>
    <w:rsid w:val="003D7B0C"/>
    <w:rsid w:val="003D7CF1"/>
    <w:rsid w:val="003E025F"/>
    <w:rsid w:val="003E0730"/>
    <w:rsid w:val="003E0A59"/>
    <w:rsid w:val="003E0E48"/>
    <w:rsid w:val="003E1178"/>
    <w:rsid w:val="003E1723"/>
    <w:rsid w:val="003E1769"/>
    <w:rsid w:val="003E1A3A"/>
    <w:rsid w:val="003E1A8D"/>
    <w:rsid w:val="003E1B7B"/>
    <w:rsid w:val="003E1BC0"/>
    <w:rsid w:val="003E1BC4"/>
    <w:rsid w:val="003E1D15"/>
    <w:rsid w:val="003E1D48"/>
    <w:rsid w:val="003E1D49"/>
    <w:rsid w:val="003E1EE5"/>
    <w:rsid w:val="003E1F00"/>
    <w:rsid w:val="003E2078"/>
    <w:rsid w:val="003E23F6"/>
    <w:rsid w:val="003E2540"/>
    <w:rsid w:val="003E2AA8"/>
    <w:rsid w:val="003E2D9E"/>
    <w:rsid w:val="003E2ED0"/>
    <w:rsid w:val="003E3331"/>
    <w:rsid w:val="003E33DF"/>
    <w:rsid w:val="003E35BF"/>
    <w:rsid w:val="003E3637"/>
    <w:rsid w:val="003E37EE"/>
    <w:rsid w:val="003E3860"/>
    <w:rsid w:val="003E3A1D"/>
    <w:rsid w:val="003E3A8B"/>
    <w:rsid w:val="003E3B82"/>
    <w:rsid w:val="003E3CC2"/>
    <w:rsid w:val="003E4096"/>
    <w:rsid w:val="003E4527"/>
    <w:rsid w:val="003E4927"/>
    <w:rsid w:val="003E49A2"/>
    <w:rsid w:val="003E49B0"/>
    <w:rsid w:val="003E4CF4"/>
    <w:rsid w:val="003E4FA2"/>
    <w:rsid w:val="003E5103"/>
    <w:rsid w:val="003E5330"/>
    <w:rsid w:val="003E5B22"/>
    <w:rsid w:val="003E5D70"/>
    <w:rsid w:val="003E5FD6"/>
    <w:rsid w:val="003E603E"/>
    <w:rsid w:val="003E61D8"/>
    <w:rsid w:val="003E629E"/>
    <w:rsid w:val="003E6517"/>
    <w:rsid w:val="003E6906"/>
    <w:rsid w:val="003E6985"/>
    <w:rsid w:val="003E6BF2"/>
    <w:rsid w:val="003E6D22"/>
    <w:rsid w:val="003E6D70"/>
    <w:rsid w:val="003E6FA0"/>
    <w:rsid w:val="003E7016"/>
    <w:rsid w:val="003E71CD"/>
    <w:rsid w:val="003F01F6"/>
    <w:rsid w:val="003F020C"/>
    <w:rsid w:val="003F033C"/>
    <w:rsid w:val="003F03C4"/>
    <w:rsid w:val="003F04C5"/>
    <w:rsid w:val="003F066F"/>
    <w:rsid w:val="003F07C3"/>
    <w:rsid w:val="003F0C9B"/>
    <w:rsid w:val="003F110B"/>
    <w:rsid w:val="003F1299"/>
    <w:rsid w:val="003F1C0F"/>
    <w:rsid w:val="003F1F1D"/>
    <w:rsid w:val="003F232B"/>
    <w:rsid w:val="003F2785"/>
    <w:rsid w:val="003F2A8C"/>
    <w:rsid w:val="003F2CEF"/>
    <w:rsid w:val="003F2DEE"/>
    <w:rsid w:val="003F307C"/>
    <w:rsid w:val="003F31AE"/>
    <w:rsid w:val="003F325F"/>
    <w:rsid w:val="003F3282"/>
    <w:rsid w:val="003F34C8"/>
    <w:rsid w:val="003F34E3"/>
    <w:rsid w:val="003F3650"/>
    <w:rsid w:val="003F3733"/>
    <w:rsid w:val="003F3919"/>
    <w:rsid w:val="003F39F1"/>
    <w:rsid w:val="003F3B8F"/>
    <w:rsid w:val="003F3CE3"/>
    <w:rsid w:val="003F3F63"/>
    <w:rsid w:val="003F416F"/>
    <w:rsid w:val="003F41F2"/>
    <w:rsid w:val="003F441C"/>
    <w:rsid w:val="003F443F"/>
    <w:rsid w:val="003F44C8"/>
    <w:rsid w:val="003F45EB"/>
    <w:rsid w:val="003F46B8"/>
    <w:rsid w:val="003F4D21"/>
    <w:rsid w:val="003F4DA7"/>
    <w:rsid w:val="003F576C"/>
    <w:rsid w:val="003F57F4"/>
    <w:rsid w:val="003F5BB3"/>
    <w:rsid w:val="003F5C88"/>
    <w:rsid w:val="003F62DB"/>
    <w:rsid w:val="003F62DE"/>
    <w:rsid w:val="003F62ED"/>
    <w:rsid w:val="003F6321"/>
    <w:rsid w:val="003F647C"/>
    <w:rsid w:val="003F6545"/>
    <w:rsid w:val="003F66F8"/>
    <w:rsid w:val="003F6ABD"/>
    <w:rsid w:val="003F6B6C"/>
    <w:rsid w:val="003F6F06"/>
    <w:rsid w:val="003F6F6C"/>
    <w:rsid w:val="003F703F"/>
    <w:rsid w:val="003F711F"/>
    <w:rsid w:val="003F7546"/>
    <w:rsid w:val="003F77D2"/>
    <w:rsid w:val="003F77F7"/>
    <w:rsid w:val="003F78D8"/>
    <w:rsid w:val="004000F9"/>
    <w:rsid w:val="004001FC"/>
    <w:rsid w:val="00400398"/>
    <w:rsid w:val="004003A6"/>
    <w:rsid w:val="004007D0"/>
    <w:rsid w:val="0040082E"/>
    <w:rsid w:val="00400A90"/>
    <w:rsid w:val="00400B2C"/>
    <w:rsid w:val="00400D42"/>
    <w:rsid w:val="004010A5"/>
    <w:rsid w:val="004013E1"/>
    <w:rsid w:val="00401A04"/>
    <w:rsid w:val="00401A6B"/>
    <w:rsid w:val="00401C60"/>
    <w:rsid w:val="00401D05"/>
    <w:rsid w:val="00401FCB"/>
    <w:rsid w:val="0040203A"/>
    <w:rsid w:val="00402B30"/>
    <w:rsid w:val="00402C69"/>
    <w:rsid w:val="0040305F"/>
    <w:rsid w:val="004030CE"/>
    <w:rsid w:val="004034C1"/>
    <w:rsid w:val="004034E5"/>
    <w:rsid w:val="00403504"/>
    <w:rsid w:val="00403633"/>
    <w:rsid w:val="00403812"/>
    <w:rsid w:val="00403959"/>
    <w:rsid w:val="00403B3C"/>
    <w:rsid w:val="00403DE5"/>
    <w:rsid w:val="00404053"/>
    <w:rsid w:val="004046CF"/>
    <w:rsid w:val="00404744"/>
    <w:rsid w:val="004047F2"/>
    <w:rsid w:val="0040483C"/>
    <w:rsid w:val="00404BD5"/>
    <w:rsid w:val="00404F0C"/>
    <w:rsid w:val="00404FF8"/>
    <w:rsid w:val="00405095"/>
    <w:rsid w:val="0040521E"/>
    <w:rsid w:val="00405329"/>
    <w:rsid w:val="00405562"/>
    <w:rsid w:val="004059E0"/>
    <w:rsid w:val="00405C11"/>
    <w:rsid w:val="00406009"/>
    <w:rsid w:val="004065C4"/>
    <w:rsid w:val="004066EE"/>
    <w:rsid w:val="00406765"/>
    <w:rsid w:val="00406B99"/>
    <w:rsid w:val="00406F6F"/>
    <w:rsid w:val="004073A8"/>
    <w:rsid w:val="00407428"/>
    <w:rsid w:val="004074FF"/>
    <w:rsid w:val="004077F4"/>
    <w:rsid w:val="00407840"/>
    <w:rsid w:val="0040796E"/>
    <w:rsid w:val="004079E9"/>
    <w:rsid w:val="0041021F"/>
    <w:rsid w:val="004103F2"/>
    <w:rsid w:val="00410619"/>
    <w:rsid w:val="0041073C"/>
    <w:rsid w:val="004107D2"/>
    <w:rsid w:val="00410AB1"/>
    <w:rsid w:val="004112AE"/>
    <w:rsid w:val="00411903"/>
    <w:rsid w:val="00411CCB"/>
    <w:rsid w:val="00411E7E"/>
    <w:rsid w:val="00411F4F"/>
    <w:rsid w:val="00412042"/>
    <w:rsid w:val="004124B3"/>
    <w:rsid w:val="00412535"/>
    <w:rsid w:val="004126DB"/>
    <w:rsid w:val="00412A7B"/>
    <w:rsid w:val="00412B5E"/>
    <w:rsid w:val="00412C90"/>
    <w:rsid w:val="00412D0B"/>
    <w:rsid w:val="0041303A"/>
    <w:rsid w:val="00413097"/>
    <w:rsid w:val="004134C0"/>
    <w:rsid w:val="00413C08"/>
    <w:rsid w:val="00413FFE"/>
    <w:rsid w:val="00414299"/>
    <w:rsid w:val="004145B4"/>
    <w:rsid w:val="00414712"/>
    <w:rsid w:val="00414967"/>
    <w:rsid w:val="00414B5B"/>
    <w:rsid w:val="00414C19"/>
    <w:rsid w:val="00414CAD"/>
    <w:rsid w:val="004150F4"/>
    <w:rsid w:val="00415563"/>
    <w:rsid w:val="00415BC5"/>
    <w:rsid w:val="00415DB8"/>
    <w:rsid w:val="00415EE3"/>
    <w:rsid w:val="00415F40"/>
    <w:rsid w:val="0041604E"/>
    <w:rsid w:val="004161DD"/>
    <w:rsid w:val="00416341"/>
    <w:rsid w:val="004173EB"/>
    <w:rsid w:val="00417B31"/>
    <w:rsid w:val="0042018B"/>
    <w:rsid w:val="004203E3"/>
    <w:rsid w:val="0042055A"/>
    <w:rsid w:val="00420BD0"/>
    <w:rsid w:val="00420CB0"/>
    <w:rsid w:val="00420F40"/>
    <w:rsid w:val="0042114F"/>
    <w:rsid w:val="00421840"/>
    <w:rsid w:val="00421975"/>
    <w:rsid w:val="00421BB3"/>
    <w:rsid w:val="00421F35"/>
    <w:rsid w:val="0042208B"/>
    <w:rsid w:val="00422404"/>
    <w:rsid w:val="004229AD"/>
    <w:rsid w:val="00422C05"/>
    <w:rsid w:val="0042304A"/>
    <w:rsid w:val="004232DA"/>
    <w:rsid w:val="004238F9"/>
    <w:rsid w:val="00423967"/>
    <w:rsid w:val="00423B8D"/>
    <w:rsid w:val="004240E0"/>
    <w:rsid w:val="00424879"/>
    <w:rsid w:val="00424B6C"/>
    <w:rsid w:val="00424BC8"/>
    <w:rsid w:val="00424C9B"/>
    <w:rsid w:val="00424E78"/>
    <w:rsid w:val="00424F79"/>
    <w:rsid w:val="0042523D"/>
    <w:rsid w:val="0042527E"/>
    <w:rsid w:val="004252FB"/>
    <w:rsid w:val="00425683"/>
    <w:rsid w:val="00425907"/>
    <w:rsid w:val="00425987"/>
    <w:rsid w:val="00425A69"/>
    <w:rsid w:val="00425B72"/>
    <w:rsid w:val="00425E08"/>
    <w:rsid w:val="00425F1B"/>
    <w:rsid w:val="004260FD"/>
    <w:rsid w:val="004266A3"/>
    <w:rsid w:val="004266B1"/>
    <w:rsid w:val="00427696"/>
    <w:rsid w:val="00427865"/>
    <w:rsid w:val="00427876"/>
    <w:rsid w:val="004278E6"/>
    <w:rsid w:val="00427D09"/>
    <w:rsid w:val="00430012"/>
    <w:rsid w:val="004302B7"/>
    <w:rsid w:val="0043054F"/>
    <w:rsid w:val="00430567"/>
    <w:rsid w:val="0043063B"/>
    <w:rsid w:val="004308E5"/>
    <w:rsid w:val="004309E8"/>
    <w:rsid w:val="00430DFD"/>
    <w:rsid w:val="00431096"/>
    <w:rsid w:val="004322D4"/>
    <w:rsid w:val="00432570"/>
    <w:rsid w:val="0043269D"/>
    <w:rsid w:val="00432A76"/>
    <w:rsid w:val="00432F05"/>
    <w:rsid w:val="004330BC"/>
    <w:rsid w:val="00433783"/>
    <w:rsid w:val="0043396B"/>
    <w:rsid w:val="00433AD1"/>
    <w:rsid w:val="00433C0B"/>
    <w:rsid w:val="00434174"/>
    <w:rsid w:val="0043417D"/>
    <w:rsid w:val="00434627"/>
    <w:rsid w:val="0043479C"/>
    <w:rsid w:val="00434A59"/>
    <w:rsid w:val="00434E88"/>
    <w:rsid w:val="00435099"/>
    <w:rsid w:val="004350A2"/>
    <w:rsid w:val="00435101"/>
    <w:rsid w:val="004351AE"/>
    <w:rsid w:val="00435632"/>
    <w:rsid w:val="00435734"/>
    <w:rsid w:val="004357F2"/>
    <w:rsid w:val="0043584E"/>
    <w:rsid w:val="004358C5"/>
    <w:rsid w:val="0043594B"/>
    <w:rsid w:val="004359E9"/>
    <w:rsid w:val="00435D10"/>
    <w:rsid w:val="004362BB"/>
    <w:rsid w:val="004368AE"/>
    <w:rsid w:val="004369C6"/>
    <w:rsid w:val="00436CDF"/>
    <w:rsid w:val="00437330"/>
    <w:rsid w:val="004378EC"/>
    <w:rsid w:val="004379D0"/>
    <w:rsid w:val="00440018"/>
    <w:rsid w:val="0044040B"/>
    <w:rsid w:val="00440604"/>
    <w:rsid w:val="00440DFC"/>
    <w:rsid w:val="00440E5B"/>
    <w:rsid w:val="00440FD7"/>
    <w:rsid w:val="0044129B"/>
    <w:rsid w:val="004412D1"/>
    <w:rsid w:val="0044130F"/>
    <w:rsid w:val="00441AFE"/>
    <w:rsid w:val="00441C3C"/>
    <w:rsid w:val="00442386"/>
    <w:rsid w:val="00442B2E"/>
    <w:rsid w:val="00442BD9"/>
    <w:rsid w:val="00442D21"/>
    <w:rsid w:val="00443182"/>
    <w:rsid w:val="004431E9"/>
    <w:rsid w:val="00443287"/>
    <w:rsid w:val="00443392"/>
    <w:rsid w:val="004433C5"/>
    <w:rsid w:val="00443630"/>
    <w:rsid w:val="0044365B"/>
    <w:rsid w:val="0044368D"/>
    <w:rsid w:val="00443ADC"/>
    <w:rsid w:val="004442DD"/>
    <w:rsid w:val="004443AF"/>
    <w:rsid w:val="00444631"/>
    <w:rsid w:val="00444B3D"/>
    <w:rsid w:val="00444C12"/>
    <w:rsid w:val="00444D1D"/>
    <w:rsid w:val="00444E76"/>
    <w:rsid w:val="00444EA8"/>
    <w:rsid w:val="00445089"/>
    <w:rsid w:val="00445144"/>
    <w:rsid w:val="0044536C"/>
    <w:rsid w:val="00445832"/>
    <w:rsid w:val="00445B21"/>
    <w:rsid w:val="00445CC2"/>
    <w:rsid w:val="00445CCE"/>
    <w:rsid w:val="00445E44"/>
    <w:rsid w:val="00446095"/>
    <w:rsid w:val="004460FE"/>
    <w:rsid w:val="0044680C"/>
    <w:rsid w:val="00446A40"/>
    <w:rsid w:val="00446CE8"/>
    <w:rsid w:val="004477EF"/>
    <w:rsid w:val="00447895"/>
    <w:rsid w:val="00447A38"/>
    <w:rsid w:val="00447BCF"/>
    <w:rsid w:val="0044B812"/>
    <w:rsid w:val="00450446"/>
    <w:rsid w:val="004504D6"/>
    <w:rsid w:val="004507E5"/>
    <w:rsid w:val="00450AC0"/>
    <w:rsid w:val="00450D71"/>
    <w:rsid w:val="004512E4"/>
    <w:rsid w:val="004516D6"/>
    <w:rsid w:val="004516F2"/>
    <w:rsid w:val="004519F1"/>
    <w:rsid w:val="00451ED2"/>
    <w:rsid w:val="004525C1"/>
    <w:rsid w:val="004526DF"/>
    <w:rsid w:val="00452A17"/>
    <w:rsid w:val="00452C4A"/>
    <w:rsid w:val="00452E1E"/>
    <w:rsid w:val="00452E70"/>
    <w:rsid w:val="00453037"/>
    <w:rsid w:val="00453106"/>
    <w:rsid w:val="00453314"/>
    <w:rsid w:val="0045334B"/>
    <w:rsid w:val="00453A19"/>
    <w:rsid w:val="00453B7D"/>
    <w:rsid w:val="0045437C"/>
    <w:rsid w:val="004543BB"/>
    <w:rsid w:val="00454739"/>
    <w:rsid w:val="00454A14"/>
    <w:rsid w:val="00454A30"/>
    <w:rsid w:val="00454D6E"/>
    <w:rsid w:val="00454F63"/>
    <w:rsid w:val="00454F6B"/>
    <w:rsid w:val="00454F87"/>
    <w:rsid w:val="0045588B"/>
    <w:rsid w:val="00455F9E"/>
    <w:rsid w:val="004563D6"/>
    <w:rsid w:val="00456654"/>
    <w:rsid w:val="00456C43"/>
    <w:rsid w:val="00456EC9"/>
    <w:rsid w:val="00456EF5"/>
    <w:rsid w:val="004577BF"/>
    <w:rsid w:val="0045781E"/>
    <w:rsid w:val="00457AFC"/>
    <w:rsid w:val="00457CFF"/>
    <w:rsid w:val="004600CC"/>
    <w:rsid w:val="00460494"/>
    <w:rsid w:val="004605BC"/>
    <w:rsid w:val="00460AD1"/>
    <w:rsid w:val="00461003"/>
    <w:rsid w:val="004618B8"/>
    <w:rsid w:val="00461B72"/>
    <w:rsid w:val="00462001"/>
    <w:rsid w:val="00462117"/>
    <w:rsid w:val="00462400"/>
    <w:rsid w:val="004624B9"/>
    <w:rsid w:val="004627BC"/>
    <w:rsid w:val="00462C57"/>
    <w:rsid w:val="00462F8E"/>
    <w:rsid w:val="004630A2"/>
    <w:rsid w:val="00463226"/>
    <w:rsid w:val="004635B5"/>
    <w:rsid w:val="00463769"/>
    <w:rsid w:val="00463BA9"/>
    <w:rsid w:val="00463C42"/>
    <w:rsid w:val="00463F28"/>
    <w:rsid w:val="004643B9"/>
    <w:rsid w:val="0046458A"/>
    <w:rsid w:val="004646EE"/>
    <w:rsid w:val="004648AF"/>
    <w:rsid w:val="004649AB"/>
    <w:rsid w:val="004649B8"/>
    <w:rsid w:val="00464DCD"/>
    <w:rsid w:val="00464DED"/>
    <w:rsid w:val="00464FC4"/>
    <w:rsid w:val="004651D0"/>
    <w:rsid w:val="0046566C"/>
    <w:rsid w:val="0046581F"/>
    <w:rsid w:val="00465877"/>
    <w:rsid w:val="00465A90"/>
    <w:rsid w:val="00465AEB"/>
    <w:rsid w:val="00465CC2"/>
    <w:rsid w:val="00466357"/>
    <w:rsid w:val="004665D2"/>
    <w:rsid w:val="0046689D"/>
    <w:rsid w:val="00466AB7"/>
    <w:rsid w:val="00466B35"/>
    <w:rsid w:val="00466C93"/>
    <w:rsid w:val="00466D14"/>
    <w:rsid w:val="00466DE0"/>
    <w:rsid w:val="00466F35"/>
    <w:rsid w:val="00467357"/>
    <w:rsid w:val="00467610"/>
    <w:rsid w:val="004677AB"/>
    <w:rsid w:val="00467906"/>
    <w:rsid w:val="00467B7D"/>
    <w:rsid w:val="00467CFF"/>
    <w:rsid w:val="00467E58"/>
    <w:rsid w:val="00467FAA"/>
    <w:rsid w:val="00467FFC"/>
    <w:rsid w:val="00470031"/>
    <w:rsid w:val="004700AF"/>
    <w:rsid w:val="0047030E"/>
    <w:rsid w:val="0047041D"/>
    <w:rsid w:val="004707D6"/>
    <w:rsid w:val="00470B1D"/>
    <w:rsid w:val="00470D18"/>
    <w:rsid w:val="00470F57"/>
    <w:rsid w:val="0047102C"/>
    <w:rsid w:val="00471068"/>
    <w:rsid w:val="00471161"/>
    <w:rsid w:val="004711CD"/>
    <w:rsid w:val="0047151E"/>
    <w:rsid w:val="00471868"/>
    <w:rsid w:val="00471B16"/>
    <w:rsid w:val="00471B50"/>
    <w:rsid w:val="00471BD5"/>
    <w:rsid w:val="00471C87"/>
    <w:rsid w:val="00472153"/>
    <w:rsid w:val="00472155"/>
    <w:rsid w:val="0047239D"/>
    <w:rsid w:val="0047245C"/>
    <w:rsid w:val="00472465"/>
    <w:rsid w:val="00472807"/>
    <w:rsid w:val="00472866"/>
    <w:rsid w:val="00472A7A"/>
    <w:rsid w:val="00472BB9"/>
    <w:rsid w:val="00472D9E"/>
    <w:rsid w:val="00473214"/>
    <w:rsid w:val="00473405"/>
    <w:rsid w:val="0047349E"/>
    <w:rsid w:val="00473717"/>
    <w:rsid w:val="004738CB"/>
    <w:rsid w:val="004738F7"/>
    <w:rsid w:val="00473935"/>
    <w:rsid w:val="00473A0E"/>
    <w:rsid w:val="00473D60"/>
    <w:rsid w:val="00473EC6"/>
    <w:rsid w:val="00474437"/>
    <w:rsid w:val="0047457D"/>
    <w:rsid w:val="00474709"/>
    <w:rsid w:val="0047475A"/>
    <w:rsid w:val="00474BEC"/>
    <w:rsid w:val="00474E90"/>
    <w:rsid w:val="00474F03"/>
    <w:rsid w:val="00475053"/>
    <w:rsid w:val="004750E2"/>
    <w:rsid w:val="004753C4"/>
    <w:rsid w:val="004753F4"/>
    <w:rsid w:val="00475849"/>
    <w:rsid w:val="0047592B"/>
    <w:rsid w:val="004759EC"/>
    <w:rsid w:val="00475AFC"/>
    <w:rsid w:val="00475D63"/>
    <w:rsid w:val="00475E7A"/>
    <w:rsid w:val="0047635D"/>
    <w:rsid w:val="00476425"/>
    <w:rsid w:val="00476711"/>
    <w:rsid w:val="004767BE"/>
    <w:rsid w:val="0047689B"/>
    <w:rsid w:val="00476AB0"/>
    <w:rsid w:val="00476BB5"/>
    <w:rsid w:val="00477300"/>
    <w:rsid w:val="00477402"/>
    <w:rsid w:val="00477631"/>
    <w:rsid w:val="00477975"/>
    <w:rsid w:val="00477D9B"/>
    <w:rsid w:val="0048001E"/>
    <w:rsid w:val="00480173"/>
    <w:rsid w:val="00480B68"/>
    <w:rsid w:val="00480B72"/>
    <w:rsid w:val="00480E45"/>
    <w:rsid w:val="00480E46"/>
    <w:rsid w:val="00481225"/>
    <w:rsid w:val="0048131F"/>
    <w:rsid w:val="004813B3"/>
    <w:rsid w:val="004814A1"/>
    <w:rsid w:val="004816B2"/>
    <w:rsid w:val="0048198B"/>
    <w:rsid w:val="00481A23"/>
    <w:rsid w:val="00481C46"/>
    <w:rsid w:val="00481F8D"/>
    <w:rsid w:val="00482001"/>
    <w:rsid w:val="00482138"/>
    <w:rsid w:val="004824C5"/>
    <w:rsid w:val="004829E6"/>
    <w:rsid w:val="00482BD5"/>
    <w:rsid w:val="00482BDE"/>
    <w:rsid w:val="00482C59"/>
    <w:rsid w:val="00482CB3"/>
    <w:rsid w:val="00482E4F"/>
    <w:rsid w:val="00483022"/>
    <w:rsid w:val="004830C8"/>
    <w:rsid w:val="004831A9"/>
    <w:rsid w:val="004836B8"/>
    <w:rsid w:val="004838D7"/>
    <w:rsid w:val="00483B40"/>
    <w:rsid w:val="00483C6D"/>
    <w:rsid w:val="00483D75"/>
    <w:rsid w:val="0048412E"/>
    <w:rsid w:val="00484273"/>
    <w:rsid w:val="004847CB"/>
    <w:rsid w:val="00484937"/>
    <w:rsid w:val="00484A58"/>
    <w:rsid w:val="004852F4"/>
    <w:rsid w:val="0048552D"/>
    <w:rsid w:val="004855D7"/>
    <w:rsid w:val="0048585C"/>
    <w:rsid w:val="00485CDE"/>
    <w:rsid w:val="00485D08"/>
    <w:rsid w:val="00485FCD"/>
    <w:rsid w:val="0048641F"/>
    <w:rsid w:val="00486603"/>
    <w:rsid w:val="00486C0B"/>
    <w:rsid w:val="00486CB5"/>
    <w:rsid w:val="00486D4F"/>
    <w:rsid w:val="00486D50"/>
    <w:rsid w:val="00486D7F"/>
    <w:rsid w:val="00486F13"/>
    <w:rsid w:val="00487009"/>
    <w:rsid w:val="00487069"/>
    <w:rsid w:val="004870C9"/>
    <w:rsid w:val="004871B7"/>
    <w:rsid w:val="00487659"/>
    <w:rsid w:val="00487A90"/>
    <w:rsid w:val="00487D7A"/>
    <w:rsid w:val="00487DFF"/>
    <w:rsid w:val="00487F5F"/>
    <w:rsid w:val="00490293"/>
    <w:rsid w:val="004907D3"/>
    <w:rsid w:val="004907F2"/>
    <w:rsid w:val="004909B7"/>
    <w:rsid w:val="00490E8E"/>
    <w:rsid w:val="00491088"/>
    <w:rsid w:val="00491432"/>
    <w:rsid w:val="0049143C"/>
    <w:rsid w:val="00491A0A"/>
    <w:rsid w:val="00491E7D"/>
    <w:rsid w:val="00491FDA"/>
    <w:rsid w:val="0049203F"/>
    <w:rsid w:val="00492284"/>
    <w:rsid w:val="004924A9"/>
    <w:rsid w:val="00492788"/>
    <w:rsid w:val="00492A71"/>
    <w:rsid w:val="00492AA1"/>
    <w:rsid w:val="00492D47"/>
    <w:rsid w:val="00492DA2"/>
    <w:rsid w:val="00492E70"/>
    <w:rsid w:val="00492E75"/>
    <w:rsid w:val="004934CD"/>
    <w:rsid w:val="00493B0F"/>
    <w:rsid w:val="00493B38"/>
    <w:rsid w:val="00493B68"/>
    <w:rsid w:val="00493BA4"/>
    <w:rsid w:val="00493CCF"/>
    <w:rsid w:val="0049439A"/>
    <w:rsid w:val="00494683"/>
    <w:rsid w:val="004949AD"/>
    <w:rsid w:val="00494E20"/>
    <w:rsid w:val="00494F75"/>
    <w:rsid w:val="00495054"/>
    <w:rsid w:val="004951BE"/>
    <w:rsid w:val="0049526A"/>
    <w:rsid w:val="00495557"/>
    <w:rsid w:val="00495658"/>
    <w:rsid w:val="00495748"/>
    <w:rsid w:val="00495875"/>
    <w:rsid w:val="004958A4"/>
    <w:rsid w:val="00495BB5"/>
    <w:rsid w:val="00495C30"/>
    <w:rsid w:val="00495C92"/>
    <w:rsid w:val="00495D27"/>
    <w:rsid w:val="00495D65"/>
    <w:rsid w:val="00495D8E"/>
    <w:rsid w:val="00495E63"/>
    <w:rsid w:val="00495F0C"/>
    <w:rsid w:val="00496031"/>
    <w:rsid w:val="004961B3"/>
    <w:rsid w:val="004961E7"/>
    <w:rsid w:val="0049622B"/>
    <w:rsid w:val="004962EB"/>
    <w:rsid w:val="00496865"/>
    <w:rsid w:val="00497272"/>
    <w:rsid w:val="00497671"/>
    <w:rsid w:val="0049782B"/>
    <w:rsid w:val="00497C2A"/>
    <w:rsid w:val="00497C74"/>
    <w:rsid w:val="00497CAB"/>
    <w:rsid w:val="004A0116"/>
    <w:rsid w:val="004A011E"/>
    <w:rsid w:val="004A03A0"/>
    <w:rsid w:val="004A03D9"/>
    <w:rsid w:val="004A05E1"/>
    <w:rsid w:val="004A07DF"/>
    <w:rsid w:val="004A09C8"/>
    <w:rsid w:val="004A0C18"/>
    <w:rsid w:val="004A108C"/>
    <w:rsid w:val="004A12D0"/>
    <w:rsid w:val="004A13B4"/>
    <w:rsid w:val="004A15F8"/>
    <w:rsid w:val="004A162D"/>
    <w:rsid w:val="004A1826"/>
    <w:rsid w:val="004A1A6D"/>
    <w:rsid w:val="004A1D9F"/>
    <w:rsid w:val="004A1F03"/>
    <w:rsid w:val="004A1FF3"/>
    <w:rsid w:val="004A2079"/>
    <w:rsid w:val="004A21D5"/>
    <w:rsid w:val="004A22D4"/>
    <w:rsid w:val="004A2355"/>
    <w:rsid w:val="004A23F0"/>
    <w:rsid w:val="004A272C"/>
    <w:rsid w:val="004A2805"/>
    <w:rsid w:val="004A2F7C"/>
    <w:rsid w:val="004A3254"/>
    <w:rsid w:val="004A3261"/>
    <w:rsid w:val="004A34F8"/>
    <w:rsid w:val="004A3878"/>
    <w:rsid w:val="004A3E7B"/>
    <w:rsid w:val="004A3FB2"/>
    <w:rsid w:val="004A4356"/>
    <w:rsid w:val="004A4627"/>
    <w:rsid w:val="004A4629"/>
    <w:rsid w:val="004A4774"/>
    <w:rsid w:val="004A4B32"/>
    <w:rsid w:val="004A4CFD"/>
    <w:rsid w:val="004A537E"/>
    <w:rsid w:val="004A545D"/>
    <w:rsid w:val="004A5541"/>
    <w:rsid w:val="004A5660"/>
    <w:rsid w:val="004A5E07"/>
    <w:rsid w:val="004A5F03"/>
    <w:rsid w:val="004A5F07"/>
    <w:rsid w:val="004A6334"/>
    <w:rsid w:val="004A643D"/>
    <w:rsid w:val="004A713E"/>
    <w:rsid w:val="004A72C3"/>
    <w:rsid w:val="004A73E9"/>
    <w:rsid w:val="004A7680"/>
    <w:rsid w:val="004A77AA"/>
    <w:rsid w:val="004A77B4"/>
    <w:rsid w:val="004A79E6"/>
    <w:rsid w:val="004B028E"/>
    <w:rsid w:val="004B038D"/>
    <w:rsid w:val="004B06B6"/>
    <w:rsid w:val="004B08AF"/>
    <w:rsid w:val="004B0A61"/>
    <w:rsid w:val="004B0AEA"/>
    <w:rsid w:val="004B0BD9"/>
    <w:rsid w:val="004B0E7C"/>
    <w:rsid w:val="004B105B"/>
    <w:rsid w:val="004B14A4"/>
    <w:rsid w:val="004B14E1"/>
    <w:rsid w:val="004B15AD"/>
    <w:rsid w:val="004B15F1"/>
    <w:rsid w:val="004B17CB"/>
    <w:rsid w:val="004B1891"/>
    <w:rsid w:val="004B18BE"/>
    <w:rsid w:val="004B203E"/>
    <w:rsid w:val="004B20F7"/>
    <w:rsid w:val="004B22BC"/>
    <w:rsid w:val="004B277F"/>
    <w:rsid w:val="004B28A2"/>
    <w:rsid w:val="004B2BFD"/>
    <w:rsid w:val="004B33B9"/>
    <w:rsid w:val="004B340E"/>
    <w:rsid w:val="004B3420"/>
    <w:rsid w:val="004B37E4"/>
    <w:rsid w:val="004B399F"/>
    <w:rsid w:val="004B39D5"/>
    <w:rsid w:val="004B39F4"/>
    <w:rsid w:val="004B438E"/>
    <w:rsid w:val="004B440A"/>
    <w:rsid w:val="004B496B"/>
    <w:rsid w:val="004B4A44"/>
    <w:rsid w:val="004B4BEA"/>
    <w:rsid w:val="004B50E8"/>
    <w:rsid w:val="004B5595"/>
    <w:rsid w:val="004B55C8"/>
    <w:rsid w:val="004B5888"/>
    <w:rsid w:val="004B5CC1"/>
    <w:rsid w:val="004B5DB8"/>
    <w:rsid w:val="004B5F0D"/>
    <w:rsid w:val="004B60AC"/>
    <w:rsid w:val="004B612F"/>
    <w:rsid w:val="004B6485"/>
    <w:rsid w:val="004B6618"/>
    <w:rsid w:val="004B6819"/>
    <w:rsid w:val="004B6840"/>
    <w:rsid w:val="004B6B02"/>
    <w:rsid w:val="004B6C88"/>
    <w:rsid w:val="004B6D63"/>
    <w:rsid w:val="004B71A4"/>
    <w:rsid w:val="004C0571"/>
    <w:rsid w:val="004C093C"/>
    <w:rsid w:val="004C0BC9"/>
    <w:rsid w:val="004C0DF1"/>
    <w:rsid w:val="004C0DF8"/>
    <w:rsid w:val="004C0E6F"/>
    <w:rsid w:val="004C0E96"/>
    <w:rsid w:val="004C0EF6"/>
    <w:rsid w:val="004C1479"/>
    <w:rsid w:val="004C14A0"/>
    <w:rsid w:val="004C1697"/>
    <w:rsid w:val="004C1747"/>
    <w:rsid w:val="004C17DD"/>
    <w:rsid w:val="004C1A61"/>
    <w:rsid w:val="004C1D49"/>
    <w:rsid w:val="004C1E97"/>
    <w:rsid w:val="004C2009"/>
    <w:rsid w:val="004C2076"/>
    <w:rsid w:val="004C236F"/>
    <w:rsid w:val="004C243B"/>
    <w:rsid w:val="004C246F"/>
    <w:rsid w:val="004C2683"/>
    <w:rsid w:val="004C26BA"/>
    <w:rsid w:val="004C27DD"/>
    <w:rsid w:val="004C2843"/>
    <w:rsid w:val="004C28D5"/>
    <w:rsid w:val="004C2ECD"/>
    <w:rsid w:val="004C3089"/>
    <w:rsid w:val="004C35D2"/>
    <w:rsid w:val="004C3944"/>
    <w:rsid w:val="004C394D"/>
    <w:rsid w:val="004C39B3"/>
    <w:rsid w:val="004C3B48"/>
    <w:rsid w:val="004C3D8F"/>
    <w:rsid w:val="004C44E0"/>
    <w:rsid w:val="004C44E5"/>
    <w:rsid w:val="004C4550"/>
    <w:rsid w:val="004C4814"/>
    <w:rsid w:val="004C48EC"/>
    <w:rsid w:val="004C4A8E"/>
    <w:rsid w:val="004C4F0A"/>
    <w:rsid w:val="004C4FC4"/>
    <w:rsid w:val="004C50E9"/>
    <w:rsid w:val="004C5230"/>
    <w:rsid w:val="004C53F2"/>
    <w:rsid w:val="004C55A3"/>
    <w:rsid w:val="004C5831"/>
    <w:rsid w:val="004C5D9F"/>
    <w:rsid w:val="004C5E4F"/>
    <w:rsid w:val="004C5E76"/>
    <w:rsid w:val="004C602B"/>
    <w:rsid w:val="004C61E2"/>
    <w:rsid w:val="004C648E"/>
    <w:rsid w:val="004C66F5"/>
    <w:rsid w:val="004C67F9"/>
    <w:rsid w:val="004C6804"/>
    <w:rsid w:val="004C6A3A"/>
    <w:rsid w:val="004C6ADB"/>
    <w:rsid w:val="004C6BE0"/>
    <w:rsid w:val="004C6D24"/>
    <w:rsid w:val="004C7154"/>
    <w:rsid w:val="004C7503"/>
    <w:rsid w:val="004C76F3"/>
    <w:rsid w:val="004C776E"/>
    <w:rsid w:val="004C77D9"/>
    <w:rsid w:val="004C7921"/>
    <w:rsid w:val="004C7F3E"/>
    <w:rsid w:val="004D05F3"/>
    <w:rsid w:val="004D08BF"/>
    <w:rsid w:val="004D0B9F"/>
    <w:rsid w:val="004D0C77"/>
    <w:rsid w:val="004D0DD6"/>
    <w:rsid w:val="004D0FF1"/>
    <w:rsid w:val="004D1027"/>
    <w:rsid w:val="004D12D2"/>
    <w:rsid w:val="004D13B6"/>
    <w:rsid w:val="004D156A"/>
    <w:rsid w:val="004D1B28"/>
    <w:rsid w:val="004D1D5E"/>
    <w:rsid w:val="004D1E00"/>
    <w:rsid w:val="004D1FEF"/>
    <w:rsid w:val="004D238F"/>
    <w:rsid w:val="004D323C"/>
    <w:rsid w:val="004D35C6"/>
    <w:rsid w:val="004D36FE"/>
    <w:rsid w:val="004D3771"/>
    <w:rsid w:val="004D378E"/>
    <w:rsid w:val="004D3797"/>
    <w:rsid w:val="004D3A2C"/>
    <w:rsid w:val="004D3B94"/>
    <w:rsid w:val="004D3BF7"/>
    <w:rsid w:val="004D3FDF"/>
    <w:rsid w:val="004D4312"/>
    <w:rsid w:val="004D4544"/>
    <w:rsid w:val="004D4647"/>
    <w:rsid w:val="004D4C47"/>
    <w:rsid w:val="004D5477"/>
    <w:rsid w:val="004D5745"/>
    <w:rsid w:val="004D593D"/>
    <w:rsid w:val="004D5CD9"/>
    <w:rsid w:val="004D5E82"/>
    <w:rsid w:val="004D5F42"/>
    <w:rsid w:val="004D602D"/>
    <w:rsid w:val="004D6CF4"/>
    <w:rsid w:val="004D6E44"/>
    <w:rsid w:val="004D6EDA"/>
    <w:rsid w:val="004D6F65"/>
    <w:rsid w:val="004D76BF"/>
    <w:rsid w:val="004D771F"/>
    <w:rsid w:val="004D7841"/>
    <w:rsid w:val="004D79F3"/>
    <w:rsid w:val="004D7B81"/>
    <w:rsid w:val="004E00C1"/>
    <w:rsid w:val="004E0480"/>
    <w:rsid w:val="004E0734"/>
    <w:rsid w:val="004E07AA"/>
    <w:rsid w:val="004E0DAB"/>
    <w:rsid w:val="004E0E58"/>
    <w:rsid w:val="004E0E80"/>
    <w:rsid w:val="004E0E9C"/>
    <w:rsid w:val="004E1294"/>
    <w:rsid w:val="004E1447"/>
    <w:rsid w:val="004E18DF"/>
    <w:rsid w:val="004E1905"/>
    <w:rsid w:val="004E1992"/>
    <w:rsid w:val="004E1FDF"/>
    <w:rsid w:val="004E2138"/>
    <w:rsid w:val="004E21C6"/>
    <w:rsid w:val="004E22A4"/>
    <w:rsid w:val="004E2726"/>
    <w:rsid w:val="004E281C"/>
    <w:rsid w:val="004E283A"/>
    <w:rsid w:val="004E2A17"/>
    <w:rsid w:val="004E2ADF"/>
    <w:rsid w:val="004E2CE5"/>
    <w:rsid w:val="004E2E35"/>
    <w:rsid w:val="004E3200"/>
    <w:rsid w:val="004E3415"/>
    <w:rsid w:val="004E3543"/>
    <w:rsid w:val="004E366E"/>
    <w:rsid w:val="004E374C"/>
    <w:rsid w:val="004E39FA"/>
    <w:rsid w:val="004E3AE0"/>
    <w:rsid w:val="004E3C70"/>
    <w:rsid w:val="004E3EFB"/>
    <w:rsid w:val="004E4161"/>
    <w:rsid w:val="004E438B"/>
    <w:rsid w:val="004E443C"/>
    <w:rsid w:val="004E451A"/>
    <w:rsid w:val="004E4B90"/>
    <w:rsid w:val="004E4F11"/>
    <w:rsid w:val="004E53E0"/>
    <w:rsid w:val="004E5A51"/>
    <w:rsid w:val="004E5A77"/>
    <w:rsid w:val="004E5AD2"/>
    <w:rsid w:val="004E5C72"/>
    <w:rsid w:val="004E5FFF"/>
    <w:rsid w:val="004E6091"/>
    <w:rsid w:val="004E6617"/>
    <w:rsid w:val="004E6625"/>
    <w:rsid w:val="004E6929"/>
    <w:rsid w:val="004E698C"/>
    <w:rsid w:val="004E6EB9"/>
    <w:rsid w:val="004E74E2"/>
    <w:rsid w:val="004E7CA9"/>
    <w:rsid w:val="004E7CE1"/>
    <w:rsid w:val="004E7D7E"/>
    <w:rsid w:val="004E7FA9"/>
    <w:rsid w:val="004F0057"/>
    <w:rsid w:val="004F0144"/>
    <w:rsid w:val="004F01C3"/>
    <w:rsid w:val="004F01DD"/>
    <w:rsid w:val="004F0776"/>
    <w:rsid w:val="004F0C08"/>
    <w:rsid w:val="004F0D65"/>
    <w:rsid w:val="004F0D81"/>
    <w:rsid w:val="004F10BF"/>
    <w:rsid w:val="004F1AC2"/>
    <w:rsid w:val="004F1FAC"/>
    <w:rsid w:val="004F1FBB"/>
    <w:rsid w:val="004F1FE4"/>
    <w:rsid w:val="004F212A"/>
    <w:rsid w:val="004F217D"/>
    <w:rsid w:val="004F2D15"/>
    <w:rsid w:val="004F3127"/>
    <w:rsid w:val="004F313B"/>
    <w:rsid w:val="004F34D9"/>
    <w:rsid w:val="004F38E8"/>
    <w:rsid w:val="004F3B07"/>
    <w:rsid w:val="004F3B17"/>
    <w:rsid w:val="004F3D83"/>
    <w:rsid w:val="004F3E85"/>
    <w:rsid w:val="004F4071"/>
    <w:rsid w:val="004F41DE"/>
    <w:rsid w:val="004F4638"/>
    <w:rsid w:val="004F4655"/>
    <w:rsid w:val="004F481D"/>
    <w:rsid w:val="004F498B"/>
    <w:rsid w:val="004F4C1A"/>
    <w:rsid w:val="004F514F"/>
    <w:rsid w:val="004F58C9"/>
    <w:rsid w:val="004F5A1A"/>
    <w:rsid w:val="004F5AA1"/>
    <w:rsid w:val="004F5AE3"/>
    <w:rsid w:val="004F5B97"/>
    <w:rsid w:val="004F6187"/>
    <w:rsid w:val="004F68F7"/>
    <w:rsid w:val="004F6C03"/>
    <w:rsid w:val="004F6E44"/>
    <w:rsid w:val="004F7584"/>
    <w:rsid w:val="004F7A0A"/>
    <w:rsid w:val="004F7A2C"/>
    <w:rsid w:val="004F7FEF"/>
    <w:rsid w:val="005001D7"/>
    <w:rsid w:val="00500369"/>
    <w:rsid w:val="00500412"/>
    <w:rsid w:val="00500480"/>
    <w:rsid w:val="005008E5"/>
    <w:rsid w:val="00500B0C"/>
    <w:rsid w:val="00500DB5"/>
    <w:rsid w:val="00500DDC"/>
    <w:rsid w:val="00501282"/>
    <w:rsid w:val="005013AF"/>
    <w:rsid w:val="0050144E"/>
    <w:rsid w:val="005015B1"/>
    <w:rsid w:val="005016F1"/>
    <w:rsid w:val="00501B32"/>
    <w:rsid w:val="00501CE9"/>
    <w:rsid w:val="00501E42"/>
    <w:rsid w:val="00501E71"/>
    <w:rsid w:val="0050214A"/>
    <w:rsid w:val="00502387"/>
    <w:rsid w:val="00502D0D"/>
    <w:rsid w:val="00502D67"/>
    <w:rsid w:val="00502F22"/>
    <w:rsid w:val="0050310D"/>
    <w:rsid w:val="0050345A"/>
    <w:rsid w:val="005035BF"/>
    <w:rsid w:val="0050397D"/>
    <w:rsid w:val="0050461E"/>
    <w:rsid w:val="005049A3"/>
    <w:rsid w:val="005052B3"/>
    <w:rsid w:val="005055E5"/>
    <w:rsid w:val="005057EA"/>
    <w:rsid w:val="00505A5D"/>
    <w:rsid w:val="00505B38"/>
    <w:rsid w:val="00505D76"/>
    <w:rsid w:val="005062A4"/>
    <w:rsid w:val="0050661D"/>
    <w:rsid w:val="0050681E"/>
    <w:rsid w:val="005069A8"/>
    <w:rsid w:val="00506C13"/>
    <w:rsid w:val="00506CFE"/>
    <w:rsid w:val="00507067"/>
    <w:rsid w:val="00507367"/>
    <w:rsid w:val="00507380"/>
    <w:rsid w:val="005074C9"/>
    <w:rsid w:val="005075AB"/>
    <w:rsid w:val="005078B3"/>
    <w:rsid w:val="00507918"/>
    <w:rsid w:val="00507ABB"/>
    <w:rsid w:val="00507D22"/>
    <w:rsid w:val="00510059"/>
    <w:rsid w:val="0051085D"/>
    <w:rsid w:val="005108B1"/>
    <w:rsid w:val="00510991"/>
    <w:rsid w:val="005109F2"/>
    <w:rsid w:val="00510B8E"/>
    <w:rsid w:val="00510BAA"/>
    <w:rsid w:val="00510E9B"/>
    <w:rsid w:val="00510F84"/>
    <w:rsid w:val="00510FAF"/>
    <w:rsid w:val="00510FF4"/>
    <w:rsid w:val="0051108C"/>
    <w:rsid w:val="00511288"/>
    <w:rsid w:val="00511343"/>
    <w:rsid w:val="0051152C"/>
    <w:rsid w:val="0051194C"/>
    <w:rsid w:val="00511E58"/>
    <w:rsid w:val="005120EA"/>
    <w:rsid w:val="0051212A"/>
    <w:rsid w:val="00512314"/>
    <w:rsid w:val="005123D3"/>
    <w:rsid w:val="00512A6D"/>
    <w:rsid w:val="00512BA1"/>
    <w:rsid w:val="0051347D"/>
    <w:rsid w:val="0051349F"/>
    <w:rsid w:val="00513851"/>
    <w:rsid w:val="00513877"/>
    <w:rsid w:val="00513BF5"/>
    <w:rsid w:val="00513CF8"/>
    <w:rsid w:val="005140E6"/>
    <w:rsid w:val="0051411E"/>
    <w:rsid w:val="005145C5"/>
    <w:rsid w:val="00514730"/>
    <w:rsid w:val="005147BB"/>
    <w:rsid w:val="005147F4"/>
    <w:rsid w:val="00514A3A"/>
    <w:rsid w:val="00514E17"/>
    <w:rsid w:val="005152C9"/>
    <w:rsid w:val="0051551E"/>
    <w:rsid w:val="0051560D"/>
    <w:rsid w:val="00515737"/>
    <w:rsid w:val="0051587A"/>
    <w:rsid w:val="00516066"/>
    <w:rsid w:val="00516265"/>
    <w:rsid w:val="00516D9F"/>
    <w:rsid w:val="00516E9F"/>
    <w:rsid w:val="00516F49"/>
    <w:rsid w:val="00516FE4"/>
    <w:rsid w:val="00517357"/>
    <w:rsid w:val="005175AE"/>
    <w:rsid w:val="0051783B"/>
    <w:rsid w:val="00517B20"/>
    <w:rsid w:val="00517CB7"/>
    <w:rsid w:val="00520154"/>
    <w:rsid w:val="00520162"/>
    <w:rsid w:val="005202BD"/>
    <w:rsid w:val="005204F4"/>
    <w:rsid w:val="005207FC"/>
    <w:rsid w:val="00520D7C"/>
    <w:rsid w:val="00521034"/>
    <w:rsid w:val="005214ED"/>
    <w:rsid w:val="0052164E"/>
    <w:rsid w:val="0052187E"/>
    <w:rsid w:val="005219B7"/>
    <w:rsid w:val="00521AB9"/>
    <w:rsid w:val="00521ABB"/>
    <w:rsid w:val="0052209B"/>
    <w:rsid w:val="005221B2"/>
    <w:rsid w:val="005223A5"/>
    <w:rsid w:val="0052243A"/>
    <w:rsid w:val="0052299E"/>
    <w:rsid w:val="00522DDE"/>
    <w:rsid w:val="0052304E"/>
    <w:rsid w:val="00523157"/>
    <w:rsid w:val="005233F5"/>
    <w:rsid w:val="0052349A"/>
    <w:rsid w:val="005235CB"/>
    <w:rsid w:val="005236AB"/>
    <w:rsid w:val="005237B8"/>
    <w:rsid w:val="005237BA"/>
    <w:rsid w:val="00523A83"/>
    <w:rsid w:val="00523AEC"/>
    <w:rsid w:val="00523E19"/>
    <w:rsid w:val="00523F25"/>
    <w:rsid w:val="00524136"/>
    <w:rsid w:val="00524150"/>
    <w:rsid w:val="00524370"/>
    <w:rsid w:val="005244C5"/>
    <w:rsid w:val="00524693"/>
    <w:rsid w:val="005246B0"/>
    <w:rsid w:val="0052474E"/>
    <w:rsid w:val="00524C6A"/>
    <w:rsid w:val="00524F60"/>
    <w:rsid w:val="005256E5"/>
    <w:rsid w:val="00525992"/>
    <w:rsid w:val="00525A0D"/>
    <w:rsid w:val="005260C5"/>
    <w:rsid w:val="0052615C"/>
    <w:rsid w:val="00526293"/>
    <w:rsid w:val="0052643B"/>
    <w:rsid w:val="005267DC"/>
    <w:rsid w:val="00526827"/>
    <w:rsid w:val="00526BD8"/>
    <w:rsid w:val="00526CA2"/>
    <w:rsid w:val="00526CA8"/>
    <w:rsid w:val="00526CCF"/>
    <w:rsid w:val="00526D49"/>
    <w:rsid w:val="00526E1F"/>
    <w:rsid w:val="00526EBD"/>
    <w:rsid w:val="005272D7"/>
    <w:rsid w:val="005273F0"/>
    <w:rsid w:val="00527545"/>
    <w:rsid w:val="00527995"/>
    <w:rsid w:val="00527B51"/>
    <w:rsid w:val="00527CA2"/>
    <w:rsid w:val="005300DA"/>
    <w:rsid w:val="00530157"/>
    <w:rsid w:val="00530208"/>
    <w:rsid w:val="00530472"/>
    <w:rsid w:val="005304E0"/>
    <w:rsid w:val="005308E1"/>
    <w:rsid w:val="00530CAC"/>
    <w:rsid w:val="00531062"/>
    <w:rsid w:val="00531595"/>
    <w:rsid w:val="00531B26"/>
    <w:rsid w:val="0053232E"/>
    <w:rsid w:val="005323F1"/>
    <w:rsid w:val="005328B7"/>
    <w:rsid w:val="00532B79"/>
    <w:rsid w:val="00532BDF"/>
    <w:rsid w:val="00532D8A"/>
    <w:rsid w:val="005332CE"/>
    <w:rsid w:val="00533353"/>
    <w:rsid w:val="005337E4"/>
    <w:rsid w:val="00533922"/>
    <w:rsid w:val="00533E9B"/>
    <w:rsid w:val="00533FA2"/>
    <w:rsid w:val="00533FA7"/>
    <w:rsid w:val="00533FDB"/>
    <w:rsid w:val="00534343"/>
    <w:rsid w:val="00534644"/>
    <w:rsid w:val="00534757"/>
    <w:rsid w:val="00535205"/>
    <w:rsid w:val="00535232"/>
    <w:rsid w:val="00535388"/>
    <w:rsid w:val="005358B3"/>
    <w:rsid w:val="00535B25"/>
    <w:rsid w:val="00535C32"/>
    <w:rsid w:val="00536069"/>
    <w:rsid w:val="0053639C"/>
    <w:rsid w:val="005365AA"/>
    <w:rsid w:val="00536692"/>
    <w:rsid w:val="00536975"/>
    <w:rsid w:val="0053698E"/>
    <w:rsid w:val="00536B68"/>
    <w:rsid w:val="00536B76"/>
    <w:rsid w:val="00536D4D"/>
    <w:rsid w:val="00537005"/>
    <w:rsid w:val="00537035"/>
    <w:rsid w:val="0053779B"/>
    <w:rsid w:val="00537854"/>
    <w:rsid w:val="005378AA"/>
    <w:rsid w:val="00537C42"/>
    <w:rsid w:val="00537C61"/>
    <w:rsid w:val="00537CF6"/>
    <w:rsid w:val="00537D43"/>
    <w:rsid w:val="00537E7F"/>
    <w:rsid w:val="005400BC"/>
    <w:rsid w:val="00540304"/>
    <w:rsid w:val="00540437"/>
    <w:rsid w:val="00540AF1"/>
    <w:rsid w:val="00540D35"/>
    <w:rsid w:val="00540F30"/>
    <w:rsid w:val="00540F4B"/>
    <w:rsid w:val="0054144C"/>
    <w:rsid w:val="00541B3F"/>
    <w:rsid w:val="00541CB8"/>
    <w:rsid w:val="00542241"/>
    <w:rsid w:val="005427AE"/>
    <w:rsid w:val="005427D7"/>
    <w:rsid w:val="005428BB"/>
    <w:rsid w:val="00542B93"/>
    <w:rsid w:val="00543466"/>
    <w:rsid w:val="00543717"/>
    <w:rsid w:val="00543A8D"/>
    <w:rsid w:val="00543B2D"/>
    <w:rsid w:val="00543F46"/>
    <w:rsid w:val="00543F92"/>
    <w:rsid w:val="00544082"/>
    <w:rsid w:val="00544918"/>
    <w:rsid w:val="00544928"/>
    <w:rsid w:val="0054498D"/>
    <w:rsid w:val="00544B77"/>
    <w:rsid w:val="00544E23"/>
    <w:rsid w:val="00545062"/>
    <w:rsid w:val="0054534A"/>
    <w:rsid w:val="0054540D"/>
    <w:rsid w:val="005459D3"/>
    <w:rsid w:val="00545C38"/>
    <w:rsid w:val="00545D61"/>
    <w:rsid w:val="00545F99"/>
    <w:rsid w:val="005462CB"/>
    <w:rsid w:val="00546375"/>
    <w:rsid w:val="0054653E"/>
    <w:rsid w:val="00546B02"/>
    <w:rsid w:val="00546D0E"/>
    <w:rsid w:val="00546D78"/>
    <w:rsid w:val="00546E3B"/>
    <w:rsid w:val="0054707A"/>
    <w:rsid w:val="005473EA"/>
    <w:rsid w:val="005475E1"/>
    <w:rsid w:val="0054763F"/>
    <w:rsid w:val="00547841"/>
    <w:rsid w:val="00547A50"/>
    <w:rsid w:val="00547DF0"/>
    <w:rsid w:val="00547F6E"/>
    <w:rsid w:val="005501E1"/>
    <w:rsid w:val="0055043E"/>
    <w:rsid w:val="0055050E"/>
    <w:rsid w:val="005508DC"/>
    <w:rsid w:val="00550BFF"/>
    <w:rsid w:val="00550CF4"/>
    <w:rsid w:val="00550F07"/>
    <w:rsid w:val="00550FC4"/>
    <w:rsid w:val="00551288"/>
    <w:rsid w:val="005513E0"/>
    <w:rsid w:val="005514EE"/>
    <w:rsid w:val="005516B2"/>
    <w:rsid w:val="0055194B"/>
    <w:rsid w:val="00551A60"/>
    <w:rsid w:val="00551B63"/>
    <w:rsid w:val="00551EB0"/>
    <w:rsid w:val="00551FED"/>
    <w:rsid w:val="00552C21"/>
    <w:rsid w:val="00552DB9"/>
    <w:rsid w:val="00553081"/>
    <w:rsid w:val="005535AA"/>
    <w:rsid w:val="0055362B"/>
    <w:rsid w:val="005536A7"/>
    <w:rsid w:val="005537A2"/>
    <w:rsid w:val="00553DAD"/>
    <w:rsid w:val="00554683"/>
    <w:rsid w:val="00554758"/>
    <w:rsid w:val="00554ACD"/>
    <w:rsid w:val="00554C20"/>
    <w:rsid w:val="00554D72"/>
    <w:rsid w:val="00554DAD"/>
    <w:rsid w:val="00554FA2"/>
    <w:rsid w:val="005550E6"/>
    <w:rsid w:val="0055520C"/>
    <w:rsid w:val="005554BC"/>
    <w:rsid w:val="005558D9"/>
    <w:rsid w:val="00555B72"/>
    <w:rsid w:val="00555BD7"/>
    <w:rsid w:val="00555CF6"/>
    <w:rsid w:val="00556361"/>
    <w:rsid w:val="005564B8"/>
    <w:rsid w:val="005569FC"/>
    <w:rsid w:val="00556A21"/>
    <w:rsid w:val="00556E35"/>
    <w:rsid w:val="00556F11"/>
    <w:rsid w:val="00556FD5"/>
    <w:rsid w:val="00557019"/>
    <w:rsid w:val="005570F7"/>
    <w:rsid w:val="0055711F"/>
    <w:rsid w:val="00557270"/>
    <w:rsid w:val="00557359"/>
    <w:rsid w:val="00557827"/>
    <w:rsid w:val="00557B9E"/>
    <w:rsid w:val="00557DE4"/>
    <w:rsid w:val="00557EF3"/>
    <w:rsid w:val="00557F82"/>
    <w:rsid w:val="00560102"/>
    <w:rsid w:val="005606DA"/>
    <w:rsid w:val="005609D2"/>
    <w:rsid w:val="00560A3D"/>
    <w:rsid w:val="005610A0"/>
    <w:rsid w:val="005612D0"/>
    <w:rsid w:val="00561631"/>
    <w:rsid w:val="0056185C"/>
    <w:rsid w:val="00561E6D"/>
    <w:rsid w:val="00561F9C"/>
    <w:rsid w:val="00561FED"/>
    <w:rsid w:val="005621A6"/>
    <w:rsid w:val="005623E8"/>
    <w:rsid w:val="005625F4"/>
    <w:rsid w:val="005626BF"/>
    <w:rsid w:val="005629B1"/>
    <w:rsid w:val="00562BBA"/>
    <w:rsid w:val="0056371A"/>
    <w:rsid w:val="00563955"/>
    <w:rsid w:val="005639FD"/>
    <w:rsid w:val="00563B74"/>
    <w:rsid w:val="00563D08"/>
    <w:rsid w:val="00563DFF"/>
    <w:rsid w:val="00563E54"/>
    <w:rsid w:val="00563F16"/>
    <w:rsid w:val="00563F47"/>
    <w:rsid w:val="00563F55"/>
    <w:rsid w:val="00564021"/>
    <w:rsid w:val="0056431B"/>
    <w:rsid w:val="005643B1"/>
    <w:rsid w:val="005647DB"/>
    <w:rsid w:val="005648E4"/>
    <w:rsid w:val="00564B70"/>
    <w:rsid w:val="00565272"/>
    <w:rsid w:val="00565921"/>
    <w:rsid w:val="00565D02"/>
    <w:rsid w:val="00565F56"/>
    <w:rsid w:val="0056637F"/>
    <w:rsid w:val="00566394"/>
    <w:rsid w:val="00566803"/>
    <w:rsid w:val="005668BB"/>
    <w:rsid w:val="0056697E"/>
    <w:rsid w:val="00566AB4"/>
    <w:rsid w:val="00566CD4"/>
    <w:rsid w:val="005670DA"/>
    <w:rsid w:val="0056743F"/>
    <w:rsid w:val="005675E9"/>
    <w:rsid w:val="0056777A"/>
    <w:rsid w:val="00567783"/>
    <w:rsid w:val="00567877"/>
    <w:rsid w:val="00567949"/>
    <w:rsid w:val="00567C85"/>
    <w:rsid w:val="00567E2F"/>
    <w:rsid w:val="00567FC5"/>
    <w:rsid w:val="00570010"/>
    <w:rsid w:val="00570129"/>
    <w:rsid w:val="00570147"/>
    <w:rsid w:val="005704F0"/>
    <w:rsid w:val="00570623"/>
    <w:rsid w:val="00570AEF"/>
    <w:rsid w:val="00570F91"/>
    <w:rsid w:val="005712A4"/>
    <w:rsid w:val="005718A8"/>
    <w:rsid w:val="00571942"/>
    <w:rsid w:val="00571B5A"/>
    <w:rsid w:val="00571B64"/>
    <w:rsid w:val="005721A4"/>
    <w:rsid w:val="00572203"/>
    <w:rsid w:val="005722BC"/>
    <w:rsid w:val="005723B6"/>
    <w:rsid w:val="005723BB"/>
    <w:rsid w:val="0057289B"/>
    <w:rsid w:val="005731E9"/>
    <w:rsid w:val="00573302"/>
    <w:rsid w:val="00573647"/>
    <w:rsid w:val="00573903"/>
    <w:rsid w:val="005739D7"/>
    <w:rsid w:val="00573B1A"/>
    <w:rsid w:val="00573D33"/>
    <w:rsid w:val="00573DC5"/>
    <w:rsid w:val="00574223"/>
    <w:rsid w:val="00574D66"/>
    <w:rsid w:val="00574E2E"/>
    <w:rsid w:val="00575284"/>
    <w:rsid w:val="0057546D"/>
    <w:rsid w:val="0057554A"/>
    <w:rsid w:val="00575822"/>
    <w:rsid w:val="00575E87"/>
    <w:rsid w:val="0057604C"/>
    <w:rsid w:val="00576147"/>
    <w:rsid w:val="00576436"/>
    <w:rsid w:val="00576564"/>
    <w:rsid w:val="005767C0"/>
    <w:rsid w:val="00576DD5"/>
    <w:rsid w:val="00576E83"/>
    <w:rsid w:val="00576EAA"/>
    <w:rsid w:val="00576FFD"/>
    <w:rsid w:val="005773DC"/>
    <w:rsid w:val="00577618"/>
    <w:rsid w:val="005776CB"/>
    <w:rsid w:val="00577812"/>
    <w:rsid w:val="005779D6"/>
    <w:rsid w:val="00577DE7"/>
    <w:rsid w:val="0058007E"/>
    <w:rsid w:val="0058019F"/>
    <w:rsid w:val="00580408"/>
    <w:rsid w:val="00580664"/>
    <w:rsid w:val="00580CCE"/>
    <w:rsid w:val="005814E6"/>
    <w:rsid w:val="0058172C"/>
    <w:rsid w:val="00581958"/>
    <w:rsid w:val="00581A42"/>
    <w:rsid w:val="00581C03"/>
    <w:rsid w:val="00581D7D"/>
    <w:rsid w:val="005821CC"/>
    <w:rsid w:val="00582D68"/>
    <w:rsid w:val="00582E7D"/>
    <w:rsid w:val="00582E8D"/>
    <w:rsid w:val="005833D3"/>
    <w:rsid w:val="00583944"/>
    <w:rsid w:val="00583E5F"/>
    <w:rsid w:val="00584205"/>
    <w:rsid w:val="00584757"/>
    <w:rsid w:val="00584BFE"/>
    <w:rsid w:val="00584D23"/>
    <w:rsid w:val="00584EC4"/>
    <w:rsid w:val="00585172"/>
    <w:rsid w:val="00585537"/>
    <w:rsid w:val="005855E7"/>
    <w:rsid w:val="00585692"/>
    <w:rsid w:val="00585CF3"/>
    <w:rsid w:val="00585F57"/>
    <w:rsid w:val="00586025"/>
    <w:rsid w:val="005860DE"/>
    <w:rsid w:val="00586302"/>
    <w:rsid w:val="005864D9"/>
    <w:rsid w:val="0058654F"/>
    <w:rsid w:val="0058662C"/>
    <w:rsid w:val="0058693D"/>
    <w:rsid w:val="00586ACB"/>
    <w:rsid w:val="00586CF9"/>
    <w:rsid w:val="00586E61"/>
    <w:rsid w:val="00586F26"/>
    <w:rsid w:val="00587122"/>
    <w:rsid w:val="00587E8E"/>
    <w:rsid w:val="00590248"/>
    <w:rsid w:val="005903FA"/>
    <w:rsid w:val="0059077C"/>
    <w:rsid w:val="00590885"/>
    <w:rsid w:val="00591000"/>
    <w:rsid w:val="0059119C"/>
    <w:rsid w:val="005911E2"/>
    <w:rsid w:val="005916D5"/>
    <w:rsid w:val="005918AF"/>
    <w:rsid w:val="00591940"/>
    <w:rsid w:val="00591C6E"/>
    <w:rsid w:val="00591CC1"/>
    <w:rsid w:val="00591EF0"/>
    <w:rsid w:val="005926E2"/>
    <w:rsid w:val="00592AA8"/>
    <w:rsid w:val="005931F5"/>
    <w:rsid w:val="00593202"/>
    <w:rsid w:val="0059340C"/>
    <w:rsid w:val="00593546"/>
    <w:rsid w:val="00593DE3"/>
    <w:rsid w:val="005940A3"/>
    <w:rsid w:val="00594376"/>
    <w:rsid w:val="00594451"/>
    <w:rsid w:val="0059465D"/>
    <w:rsid w:val="005949B6"/>
    <w:rsid w:val="00594A07"/>
    <w:rsid w:val="00594A50"/>
    <w:rsid w:val="005951D7"/>
    <w:rsid w:val="0059526A"/>
    <w:rsid w:val="005958A4"/>
    <w:rsid w:val="005958A8"/>
    <w:rsid w:val="00595993"/>
    <w:rsid w:val="00595CF0"/>
    <w:rsid w:val="00595ECA"/>
    <w:rsid w:val="0059622C"/>
    <w:rsid w:val="0059629E"/>
    <w:rsid w:val="005967D4"/>
    <w:rsid w:val="0059681A"/>
    <w:rsid w:val="00596B26"/>
    <w:rsid w:val="00596B65"/>
    <w:rsid w:val="00596CA5"/>
    <w:rsid w:val="00596DEF"/>
    <w:rsid w:val="00597096"/>
    <w:rsid w:val="0059734D"/>
    <w:rsid w:val="00597394"/>
    <w:rsid w:val="0059741D"/>
    <w:rsid w:val="0059783C"/>
    <w:rsid w:val="00597C14"/>
    <w:rsid w:val="005A03EA"/>
    <w:rsid w:val="005A05F8"/>
    <w:rsid w:val="005A0983"/>
    <w:rsid w:val="005A0C46"/>
    <w:rsid w:val="005A0D27"/>
    <w:rsid w:val="005A127B"/>
    <w:rsid w:val="005A12CE"/>
    <w:rsid w:val="005A14C5"/>
    <w:rsid w:val="005A16D2"/>
    <w:rsid w:val="005A19A2"/>
    <w:rsid w:val="005A19B3"/>
    <w:rsid w:val="005A1B49"/>
    <w:rsid w:val="005A1BD4"/>
    <w:rsid w:val="005A214D"/>
    <w:rsid w:val="005A2383"/>
    <w:rsid w:val="005A2C93"/>
    <w:rsid w:val="005A2D82"/>
    <w:rsid w:val="005A2DFD"/>
    <w:rsid w:val="005A2E96"/>
    <w:rsid w:val="005A3447"/>
    <w:rsid w:val="005A3602"/>
    <w:rsid w:val="005A36B6"/>
    <w:rsid w:val="005A3DA1"/>
    <w:rsid w:val="005A4315"/>
    <w:rsid w:val="005A4487"/>
    <w:rsid w:val="005A4977"/>
    <w:rsid w:val="005A4A3A"/>
    <w:rsid w:val="005A4ECB"/>
    <w:rsid w:val="005A501A"/>
    <w:rsid w:val="005A5135"/>
    <w:rsid w:val="005A54D4"/>
    <w:rsid w:val="005A5B14"/>
    <w:rsid w:val="005A5BDE"/>
    <w:rsid w:val="005A602F"/>
    <w:rsid w:val="005A60E0"/>
    <w:rsid w:val="005A633C"/>
    <w:rsid w:val="005A6E15"/>
    <w:rsid w:val="005A6EFE"/>
    <w:rsid w:val="005A7074"/>
    <w:rsid w:val="005A7121"/>
    <w:rsid w:val="005A71D1"/>
    <w:rsid w:val="005A7257"/>
    <w:rsid w:val="005A7276"/>
    <w:rsid w:val="005A74F7"/>
    <w:rsid w:val="005A756C"/>
    <w:rsid w:val="005A7869"/>
    <w:rsid w:val="005A7895"/>
    <w:rsid w:val="005A7B3C"/>
    <w:rsid w:val="005B0135"/>
    <w:rsid w:val="005B0157"/>
    <w:rsid w:val="005B045A"/>
    <w:rsid w:val="005B08D3"/>
    <w:rsid w:val="005B0963"/>
    <w:rsid w:val="005B0BE8"/>
    <w:rsid w:val="005B0C83"/>
    <w:rsid w:val="005B10C2"/>
    <w:rsid w:val="005B1338"/>
    <w:rsid w:val="005B141E"/>
    <w:rsid w:val="005B18B3"/>
    <w:rsid w:val="005B1AB3"/>
    <w:rsid w:val="005B1F12"/>
    <w:rsid w:val="005B20C7"/>
    <w:rsid w:val="005B215A"/>
    <w:rsid w:val="005B25EC"/>
    <w:rsid w:val="005B2820"/>
    <w:rsid w:val="005B2CBF"/>
    <w:rsid w:val="005B31C8"/>
    <w:rsid w:val="005B3204"/>
    <w:rsid w:val="005B363A"/>
    <w:rsid w:val="005B466D"/>
    <w:rsid w:val="005B4BB9"/>
    <w:rsid w:val="005B4EE9"/>
    <w:rsid w:val="005B4F48"/>
    <w:rsid w:val="005B5615"/>
    <w:rsid w:val="005B56F3"/>
    <w:rsid w:val="005B5751"/>
    <w:rsid w:val="005B57A5"/>
    <w:rsid w:val="005B5CB2"/>
    <w:rsid w:val="005B60C7"/>
    <w:rsid w:val="005B60D6"/>
    <w:rsid w:val="005B636A"/>
    <w:rsid w:val="005B640F"/>
    <w:rsid w:val="005B6763"/>
    <w:rsid w:val="005B69F0"/>
    <w:rsid w:val="005B6A18"/>
    <w:rsid w:val="005B7207"/>
    <w:rsid w:val="005B780A"/>
    <w:rsid w:val="005B7913"/>
    <w:rsid w:val="005B7E45"/>
    <w:rsid w:val="005B7F65"/>
    <w:rsid w:val="005C0039"/>
    <w:rsid w:val="005C0448"/>
    <w:rsid w:val="005C0981"/>
    <w:rsid w:val="005C098F"/>
    <w:rsid w:val="005C0A8D"/>
    <w:rsid w:val="005C0BF7"/>
    <w:rsid w:val="005C0BFD"/>
    <w:rsid w:val="005C1201"/>
    <w:rsid w:val="005C131D"/>
    <w:rsid w:val="005C1634"/>
    <w:rsid w:val="005C1AC5"/>
    <w:rsid w:val="005C1B7D"/>
    <w:rsid w:val="005C2352"/>
    <w:rsid w:val="005C28BB"/>
    <w:rsid w:val="005C2956"/>
    <w:rsid w:val="005C2DD4"/>
    <w:rsid w:val="005C2E02"/>
    <w:rsid w:val="005C2E7C"/>
    <w:rsid w:val="005C2F04"/>
    <w:rsid w:val="005C3288"/>
    <w:rsid w:val="005C389C"/>
    <w:rsid w:val="005C3A23"/>
    <w:rsid w:val="005C3B0C"/>
    <w:rsid w:val="005C3BF3"/>
    <w:rsid w:val="005C3CFC"/>
    <w:rsid w:val="005C3E80"/>
    <w:rsid w:val="005C407B"/>
    <w:rsid w:val="005C4284"/>
    <w:rsid w:val="005C43E2"/>
    <w:rsid w:val="005C469E"/>
    <w:rsid w:val="005C4877"/>
    <w:rsid w:val="005C4892"/>
    <w:rsid w:val="005C4922"/>
    <w:rsid w:val="005C4EAA"/>
    <w:rsid w:val="005C5095"/>
    <w:rsid w:val="005C53DD"/>
    <w:rsid w:val="005C5A7E"/>
    <w:rsid w:val="005C5B7B"/>
    <w:rsid w:val="005C5BE0"/>
    <w:rsid w:val="005C5DF6"/>
    <w:rsid w:val="005C5EE0"/>
    <w:rsid w:val="005C6425"/>
    <w:rsid w:val="005C65AB"/>
    <w:rsid w:val="005C684A"/>
    <w:rsid w:val="005C69BE"/>
    <w:rsid w:val="005C6A03"/>
    <w:rsid w:val="005C6ADA"/>
    <w:rsid w:val="005C6C3D"/>
    <w:rsid w:val="005C6DDF"/>
    <w:rsid w:val="005C71A6"/>
    <w:rsid w:val="005C71EA"/>
    <w:rsid w:val="005C730E"/>
    <w:rsid w:val="005C74DA"/>
    <w:rsid w:val="005C78FE"/>
    <w:rsid w:val="005C7BF3"/>
    <w:rsid w:val="005C7DFF"/>
    <w:rsid w:val="005D0215"/>
    <w:rsid w:val="005D027C"/>
    <w:rsid w:val="005D077F"/>
    <w:rsid w:val="005D07C9"/>
    <w:rsid w:val="005D10A9"/>
    <w:rsid w:val="005D1144"/>
    <w:rsid w:val="005D19AC"/>
    <w:rsid w:val="005D1C5B"/>
    <w:rsid w:val="005D1EF4"/>
    <w:rsid w:val="005D2072"/>
    <w:rsid w:val="005D221A"/>
    <w:rsid w:val="005D2333"/>
    <w:rsid w:val="005D234F"/>
    <w:rsid w:val="005D24AF"/>
    <w:rsid w:val="005D289E"/>
    <w:rsid w:val="005D297B"/>
    <w:rsid w:val="005D2A4F"/>
    <w:rsid w:val="005D2A97"/>
    <w:rsid w:val="005D2F3A"/>
    <w:rsid w:val="005D3430"/>
    <w:rsid w:val="005D360C"/>
    <w:rsid w:val="005D36CE"/>
    <w:rsid w:val="005D39EF"/>
    <w:rsid w:val="005D3B50"/>
    <w:rsid w:val="005D3E72"/>
    <w:rsid w:val="005D4028"/>
    <w:rsid w:val="005D4565"/>
    <w:rsid w:val="005D4997"/>
    <w:rsid w:val="005D51F0"/>
    <w:rsid w:val="005D5298"/>
    <w:rsid w:val="005D52A1"/>
    <w:rsid w:val="005D532B"/>
    <w:rsid w:val="005D5392"/>
    <w:rsid w:val="005D54EF"/>
    <w:rsid w:val="005D5533"/>
    <w:rsid w:val="005D55A7"/>
    <w:rsid w:val="005D55D2"/>
    <w:rsid w:val="005D56BC"/>
    <w:rsid w:val="005D5C1F"/>
    <w:rsid w:val="005D603E"/>
    <w:rsid w:val="005D60C9"/>
    <w:rsid w:val="005D613F"/>
    <w:rsid w:val="005D6198"/>
    <w:rsid w:val="005D660C"/>
    <w:rsid w:val="005D678B"/>
    <w:rsid w:val="005D6C8E"/>
    <w:rsid w:val="005D73A6"/>
    <w:rsid w:val="005D7574"/>
    <w:rsid w:val="005D77C7"/>
    <w:rsid w:val="005D790D"/>
    <w:rsid w:val="005D7951"/>
    <w:rsid w:val="005E018B"/>
    <w:rsid w:val="005E0660"/>
    <w:rsid w:val="005E0815"/>
    <w:rsid w:val="005E0A1F"/>
    <w:rsid w:val="005E0D4F"/>
    <w:rsid w:val="005E0E6C"/>
    <w:rsid w:val="005E1480"/>
    <w:rsid w:val="005E1512"/>
    <w:rsid w:val="005E15E3"/>
    <w:rsid w:val="005E1A55"/>
    <w:rsid w:val="005E1E55"/>
    <w:rsid w:val="005E2005"/>
    <w:rsid w:val="005E224F"/>
    <w:rsid w:val="005E2460"/>
    <w:rsid w:val="005E262C"/>
    <w:rsid w:val="005E2A6D"/>
    <w:rsid w:val="005E2B22"/>
    <w:rsid w:val="005E2C61"/>
    <w:rsid w:val="005E2CA4"/>
    <w:rsid w:val="005E2E08"/>
    <w:rsid w:val="005E3046"/>
    <w:rsid w:val="005E3510"/>
    <w:rsid w:val="005E36D6"/>
    <w:rsid w:val="005E38C2"/>
    <w:rsid w:val="005E3967"/>
    <w:rsid w:val="005E3A70"/>
    <w:rsid w:val="005E3D05"/>
    <w:rsid w:val="005E3E22"/>
    <w:rsid w:val="005E3F5B"/>
    <w:rsid w:val="005E443D"/>
    <w:rsid w:val="005E445A"/>
    <w:rsid w:val="005E449A"/>
    <w:rsid w:val="005E45FB"/>
    <w:rsid w:val="005E4723"/>
    <w:rsid w:val="005E4E46"/>
    <w:rsid w:val="005E50AA"/>
    <w:rsid w:val="005E51EC"/>
    <w:rsid w:val="005E521A"/>
    <w:rsid w:val="005E526A"/>
    <w:rsid w:val="005E5311"/>
    <w:rsid w:val="005E571B"/>
    <w:rsid w:val="005E5771"/>
    <w:rsid w:val="005E5A02"/>
    <w:rsid w:val="005E5B7D"/>
    <w:rsid w:val="005E6317"/>
    <w:rsid w:val="005E636F"/>
    <w:rsid w:val="005E6F07"/>
    <w:rsid w:val="005E74B4"/>
    <w:rsid w:val="005E79D7"/>
    <w:rsid w:val="005E7E6E"/>
    <w:rsid w:val="005E7E8D"/>
    <w:rsid w:val="005F006A"/>
    <w:rsid w:val="005F00E1"/>
    <w:rsid w:val="005F00FC"/>
    <w:rsid w:val="005F0231"/>
    <w:rsid w:val="005F02B2"/>
    <w:rsid w:val="005F0691"/>
    <w:rsid w:val="005F09F5"/>
    <w:rsid w:val="005F0A4B"/>
    <w:rsid w:val="005F0A74"/>
    <w:rsid w:val="005F0BF7"/>
    <w:rsid w:val="005F1311"/>
    <w:rsid w:val="005F14F7"/>
    <w:rsid w:val="005F1558"/>
    <w:rsid w:val="005F188D"/>
    <w:rsid w:val="005F1D8D"/>
    <w:rsid w:val="005F21C9"/>
    <w:rsid w:val="005F247D"/>
    <w:rsid w:val="005F26B1"/>
    <w:rsid w:val="005F2EF6"/>
    <w:rsid w:val="005F30BF"/>
    <w:rsid w:val="005F372C"/>
    <w:rsid w:val="005F3739"/>
    <w:rsid w:val="005F3E71"/>
    <w:rsid w:val="005F3FB8"/>
    <w:rsid w:val="005F4312"/>
    <w:rsid w:val="005F4523"/>
    <w:rsid w:val="005F4788"/>
    <w:rsid w:val="005F4856"/>
    <w:rsid w:val="005F4B69"/>
    <w:rsid w:val="005F4EA7"/>
    <w:rsid w:val="005F502B"/>
    <w:rsid w:val="005F5040"/>
    <w:rsid w:val="005F51F2"/>
    <w:rsid w:val="005F520D"/>
    <w:rsid w:val="005F54FF"/>
    <w:rsid w:val="005F56AE"/>
    <w:rsid w:val="005F5978"/>
    <w:rsid w:val="005F5CB9"/>
    <w:rsid w:val="005F5E35"/>
    <w:rsid w:val="005F61FC"/>
    <w:rsid w:val="005F6447"/>
    <w:rsid w:val="005F64CD"/>
    <w:rsid w:val="005F653A"/>
    <w:rsid w:val="005F6615"/>
    <w:rsid w:val="005F68A0"/>
    <w:rsid w:val="005F69B7"/>
    <w:rsid w:val="005F6AC0"/>
    <w:rsid w:val="005F6D52"/>
    <w:rsid w:val="005F73C6"/>
    <w:rsid w:val="005F7421"/>
    <w:rsid w:val="005F7DB6"/>
    <w:rsid w:val="005F7E7B"/>
    <w:rsid w:val="0060026E"/>
    <w:rsid w:val="00600389"/>
    <w:rsid w:val="0060043C"/>
    <w:rsid w:val="00600815"/>
    <w:rsid w:val="006009AC"/>
    <w:rsid w:val="006009F3"/>
    <w:rsid w:val="00600E99"/>
    <w:rsid w:val="00601165"/>
    <w:rsid w:val="006011BA"/>
    <w:rsid w:val="0060144C"/>
    <w:rsid w:val="00601957"/>
    <w:rsid w:val="00602081"/>
    <w:rsid w:val="00602180"/>
    <w:rsid w:val="00602383"/>
    <w:rsid w:val="006023DB"/>
    <w:rsid w:val="006025CC"/>
    <w:rsid w:val="006026AC"/>
    <w:rsid w:val="006026E6"/>
    <w:rsid w:val="00602987"/>
    <w:rsid w:val="00602BEF"/>
    <w:rsid w:val="00602E57"/>
    <w:rsid w:val="00603012"/>
    <w:rsid w:val="006030BB"/>
    <w:rsid w:val="006030BD"/>
    <w:rsid w:val="00603808"/>
    <w:rsid w:val="00603C02"/>
    <w:rsid w:val="00603C48"/>
    <w:rsid w:val="006047B1"/>
    <w:rsid w:val="006047D4"/>
    <w:rsid w:val="00604C70"/>
    <w:rsid w:val="00604DE8"/>
    <w:rsid w:val="006051F3"/>
    <w:rsid w:val="00605261"/>
    <w:rsid w:val="0060548A"/>
    <w:rsid w:val="006054D2"/>
    <w:rsid w:val="006055B8"/>
    <w:rsid w:val="0060563D"/>
    <w:rsid w:val="00605BE0"/>
    <w:rsid w:val="00605BE6"/>
    <w:rsid w:val="00605FAA"/>
    <w:rsid w:val="006064F1"/>
    <w:rsid w:val="00606608"/>
    <w:rsid w:val="0060683B"/>
    <w:rsid w:val="00606BA1"/>
    <w:rsid w:val="00606C4D"/>
    <w:rsid w:val="00606D98"/>
    <w:rsid w:val="00606FA7"/>
    <w:rsid w:val="0060719F"/>
    <w:rsid w:val="0060722B"/>
    <w:rsid w:val="006076E6"/>
    <w:rsid w:val="00607856"/>
    <w:rsid w:val="006079D1"/>
    <w:rsid w:val="00607BD8"/>
    <w:rsid w:val="00607C4F"/>
    <w:rsid w:val="00607DA0"/>
    <w:rsid w:val="00610168"/>
    <w:rsid w:val="006101F7"/>
    <w:rsid w:val="0061038F"/>
    <w:rsid w:val="00610465"/>
    <w:rsid w:val="00610479"/>
    <w:rsid w:val="00610A82"/>
    <w:rsid w:val="00610A92"/>
    <w:rsid w:val="00610BAF"/>
    <w:rsid w:val="00611228"/>
    <w:rsid w:val="0061156F"/>
    <w:rsid w:val="00611990"/>
    <w:rsid w:val="00611B42"/>
    <w:rsid w:val="00611BAB"/>
    <w:rsid w:val="00611CF8"/>
    <w:rsid w:val="00611E6A"/>
    <w:rsid w:val="00611EAE"/>
    <w:rsid w:val="00612031"/>
    <w:rsid w:val="006120DC"/>
    <w:rsid w:val="0061213B"/>
    <w:rsid w:val="0061224F"/>
    <w:rsid w:val="006124F6"/>
    <w:rsid w:val="0061286F"/>
    <w:rsid w:val="00612A4F"/>
    <w:rsid w:val="00612B0B"/>
    <w:rsid w:val="0061317B"/>
    <w:rsid w:val="006131C5"/>
    <w:rsid w:val="00613427"/>
    <w:rsid w:val="00613534"/>
    <w:rsid w:val="0061373D"/>
    <w:rsid w:val="0061388C"/>
    <w:rsid w:val="006139BA"/>
    <w:rsid w:val="00613A9B"/>
    <w:rsid w:val="00613B66"/>
    <w:rsid w:val="00613CCA"/>
    <w:rsid w:val="00614424"/>
    <w:rsid w:val="00614C5D"/>
    <w:rsid w:val="00614D6C"/>
    <w:rsid w:val="00614E47"/>
    <w:rsid w:val="0061530F"/>
    <w:rsid w:val="006154AB"/>
    <w:rsid w:val="00615572"/>
    <w:rsid w:val="0061557B"/>
    <w:rsid w:val="006160C4"/>
    <w:rsid w:val="00616265"/>
    <w:rsid w:val="006163CF"/>
    <w:rsid w:val="0061668C"/>
    <w:rsid w:val="00616B95"/>
    <w:rsid w:val="00617344"/>
    <w:rsid w:val="00617401"/>
    <w:rsid w:val="006176D6"/>
    <w:rsid w:val="00617784"/>
    <w:rsid w:val="00617806"/>
    <w:rsid w:val="00617EEA"/>
    <w:rsid w:val="006206B5"/>
    <w:rsid w:val="006207FC"/>
    <w:rsid w:val="006208FF"/>
    <w:rsid w:val="00620D96"/>
    <w:rsid w:val="00621183"/>
    <w:rsid w:val="0062190D"/>
    <w:rsid w:val="006219AD"/>
    <w:rsid w:val="00621B7A"/>
    <w:rsid w:val="00621C4D"/>
    <w:rsid w:val="00621D64"/>
    <w:rsid w:val="00621E7D"/>
    <w:rsid w:val="00622278"/>
    <w:rsid w:val="0062254B"/>
    <w:rsid w:val="00622929"/>
    <w:rsid w:val="00622E59"/>
    <w:rsid w:val="00623205"/>
    <w:rsid w:val="00623262"/>
    <w:rsid w:val="006233E1"/>
    <w:rsid w:val="00623488"/>
    <w:rsid w:val="00623515"/>
    <w:rsid w:val="006235BB"/>
    <w:rsid w:val="006236DB"/>
    <w:rsid w:val="0062377F"/>
    <w:rsid w:val="00623907"/>
    <w:rsid w:val="00623954"/>
    <w:rsid w:val="00623B98"/>
    <w:rsid w:val="00623C13"/>
    <w:rsid w:val="0062415F"/>
    <w:rsid w:val="00624376"/>
    <w:rsid w:val="0062460B"/>
    <w:rsid w:val="0062479F"/>
    <w:rsid w:val="0062495F"/>
    <w:rsid w:val="00624A70"/>
    <w:rsid w:val="00624AB7"/>
    <w:rsid w:val="00624B39"/>
    <w:rsid w:val="00624BA2"/>
    <w:rsid w:val="00624DAB"/>
    <w:rsid w:val="0062509A"/>
    <w:rsid w:val="0062595E"/>
    <w:rsid w:val="00625C6D"/>
    <w:rsid w:val="00625F42"/>
    <w:rsid w:val="00626004"/>
    <w:rsid w:val="006262F3"/>
    <w:rsid w:val="006264E6"/>
    <w:rsid w:val="006269A8"/>
    <w:rsid w:val="00626A30"/>
    <w:rsid w:val="00626CEC"/>
    <w:rsid w:val="0062703F"/>
    <w:rsid w:val="006270A1"/>
    <w:rsid w:val="006270A7"/>
    <w:rsid w:val="006272A4"/>
    <w:rsid w:val="00627705"/>
    <w:rsid w:val="0062773E"/>
    <w:rsid w:val="0062796F"/>
    <w:rsid w:val="006279C8"/>
    <w:rsid w:val="00627D4A"/>
    <w:rsid w:val="006300E3"/>
    <w:rsid w:val="0063013E"/>
    <w:rsid w:val="006306A9"/>
    <w:rsid w:val="006307DF"/>
    <w:rsid w:val="00630A60"/>
    <w:rsid w:val="00630EB3"/>
    <w:rsid w:val="00630F9E"/>
    <w:rsid w:val="006312D6"/>
    <w:rsid w:val="0063139E"/>
    <w:rsid w:val="006314DF"/>
    <w:rsid w:val="00631605"/>
    <w:rsid w:val="0063176C"/>
    <w:rsid w:val="00631A71"/>
    <w:rsid w:val="00631DA7"/>
    <w:rsid w:val="00631FF6"/>
    <w:rsid w:val="00632021"/>
    <w:rsid w:val="006325F6"/>
    <w:rsid w:val="0063274C"/>
    <w:rsid w:val="00632A39"/>
    <w:rsid w:val="00632C15"/>
    <w:rsid w:val="00632EE5"/>
    <w:rsid w:val="006334FA"/>
    <w:rsid w:val="00633969"/>
    <w:rsid w:val="00633A06"/>
    <w:rsid w:val="00633A5F"/>
    <w:rsid w:val="00633CAE"/>
    <w:rsid w:val="00633E70"/>
    <w:rsid w:val="006340AF"/>
    <w:rsid w:val="006341F7"/>
    <w:rsid w:val="00634297"/>
    <w:rsid w:val="00634A6B"/>
    <w:rsid w:val="00634C12"/>
    <w:rsid w:val="00634C5F"/>
    <w:rsid w:val="00634CB5"/>
    <w:rsid w:val="00634D24"/>
    <w:rsid w:val="00634ECD"/>
    <w:rsid w:val="00634F72"/>
    <w:rsid w:val="00635127"/>
    <w:rsid w:val="00635301"/>
    <w:rsid w:val="00635317"/>
    <w:rsid w:val="00635457"/>
    <w:rsid w:val="00635485"/>
    <w:rsid w:val="0063561D"/>
    <w:rsid w:val="0063563F"/>
    <w:rsid w:val="00635860"/>
    <w:rsid w:val="006359F5"/>
    <w:rsid w:val="00635C89"/>
    <w:rsid w:val="00635DF2"/>
    <w:rsid w:val="00635E59"/>
    <w:rsid w:val="00636542"/>
    <w:rsid w:val="006366DB"/>
    <w:rsid w:val="00636717"/>
    <w:rsid w:val="00636C84"/>
    <w:rsid w:val="00636CAE"/>
    <w:rsid w:val="00636DF1"/>
    <w:rsid w:val="0063717F"/>
    <w:rsid w:val="00637224"/>
    <w:rsid w:val="006377C8"/>
    <w:rsid w:val="00637999"/>
    <w:rsid w:val="00637B92"/>
    <w:rsid w:val="00637C9E"/>
    <w:rsid w:val="00637CC6"/>
    <w:rsid w:val="00637D06"/>
    <w:rsid w:val="00637E56"/>
    <w:rsid w:val="006400B3"/>
    <w:rsid w:val="00640161"/>
    <w:rsid w:val="0064022B"/>
    <w:rsid w:val="00640412"/>
    <w:rsid w:val="006405B9"/>
    <w:rsid w:val="00640967"/>
    <w:rsid w:val="006409F4"/>
    <w:rsid w:val="00640AA9"/>
    <w:rsid w:val="00640AEF"/>
    <w:rsid w:val="00640D07"/>
    <w:rsid w:val="00641298"/>
    <w:rsid w:val="0064145C"/>
    <w:rsid w:val="00641F9C"/>
    <w:rsid w:val="0064200B"/>
    <w:rsid w:val="0064202D"/>
    <w:rsid w:val="0064226C"/>
    <w:rsid w:val="0064238B"/>
    <w:rsid w:val="00642742"/>
    <w:rsid w:val="006429DB"/>
    <w:rsid w:val="00642A43"/>
    <w:rsid w:val="00642C89"/>
    <w:rsid w:val="00642E56"/>
    <w:rsid w:val="00642FD8"/>
    <w:rsid w:val="006430AE"/>
    <w:rsid w:val="0064310B"/>
    <w:rsid w:val="006431A1"/>
    <w:rsid w:val="00643313"/>
    <w:rsid w:val="0064346C"/>
    <w:rsid w:val="006434A3"/>
    <w:rsid w:val="00643563"/>
    <w:rsid w:val="006439A0"/>
    <w:rsid w:val="006439E9"/>
    <w:rsid w:val="00643AE4"/>
    <w:rsid w:val="00643DE6"/>
    <w:rsid w:val="006441C9"/>
    <w:rsid w:val="00644553"/>
    <w:rsid w:val="00644E7A"/>
    <w:rsid w:val="00644E7E"/>
    <w:rsid w:val="00644E87"/>
    <w:rsid w:val="00644E92"/>
    <w:rsid w:val="0064511E"/>
    <w:rsid w:val="00645339"/>
    <w:rsid w:val="0064533B"/>
    <w:rsid w:val="00645512"/>
    <w:rsid w:val="006457C8"/>
    <w:rsid w:val="00645D23"/>
    <w:rsid w:val="00646231"/>
    <w:rsid w:val="00646235"/>
    <w:rsid w:val="00646259"/>
    <w:rsid w:val="0064625A"/>
    <w:rsid w:val="006466A7"/>
    <w:rsid w:val="006469BA"/>
    <w:rsid w:val="00646E88"/>
    <w:rsid w:val="00646EE8"/>
    <w:rsid w:val="0064706F"/>
    <w:rsid w:val="0064732A"/>
    <w:rsid w:val="006474B3"/>
    <w:rsid w:val="006474F2"/>
    <w:rsid w:val="00647EB2"/>
    <w:rsid w:val="00647FD7"/>
    <w:rsid w:val="0065008E"/>
    <w:rsid w:val="00650092"/>
    <w:rsid w:val="006506EC"/>
    <w:rsid w:val="0065098C"/>
    <w:rsid w:val="00650D8F"/>
    <w:rsid w:val="00651340"/>
    <w:rsid w:val="006513A5"/>
    <w:rsid w:val="006513C3"/>
    <w:rsid w:val="00651686"/>
    <w:rsid w:val="0065172C"/>
    <w:rsid w:val="00651740"/>
    <w:rsid w:val="0065180D"/>
    <w:rsid w:val="00651A4F"/>
    <w:rsid w:val="00651C93"/>
    <w:rsid w:val="00651CD7"/>
    <w:rsid w:val="00651E14"/>
    <w:rsid w:val="00651FF6"/>
    <w:rsid w:val="006520E3"/>
    <w:rsid w:val="006522EC"/>
    <w:rsid w:val="006527D6"/>
    <w:rsid w:val="00652939"/>
    <w:rsid w:val="0065299B"/>
    <w:rsid w:val="00652AA8"/>
    <w:rsid w:val="00652CC1"/>
    <w:rsid w:val="0065326D"/>
    <w:rsid w:val="0065343C"/>
    <w:rsid w:val="0065343E"/>
    <w:rsid w:val="0065373D"/>
    <w:rsid w:val="00653842"/>
    <w:rsid w:val="006539EE"/>
    <w:rsid w:val="00653E17"/>
    <w:rsid w:val="00654090"/>
    <w:rsid w:val="006541E3"/>
    <w:rsid w:val="00654280"/>
    <w:rsid w:val="006542F2"/>
    <w:rsid w:val="006543E4"/>
    <w:rsid w:val="006546BB"/>
    <w:rsid w:val="0065481D"/>
    <w:rsid w:val="00654876"/>
    <w:rsid w:val="00654A84"/>
    <w:rsid w:val="00654AB8"/>
    <w:rsid w:val="00654AD7"/>
    <w:rsid w:val="00654B50"/>
    <w:rsid w:val="00654B83"/>
    <w:rsid w:val="006550AE"/>
    <w:rsid w:val="00655436"/>
    <w:rsid w:val="006554E8"/>
    <w:rsid w:val="006555CF"/>
    <w:rsid w:val="006556B5"/>
    <w:rsid w:val="00655798"/>
    <w:rsid w:val="006559E6"/>
    <w:rsid w:val="00655CB3"/>
    <w:rsid w:val="00656066"/>
    <w:rsid w:val="006561E2"/>
    <w:rsid w:val="0065663A"/>
    <w:rsid w:val="00656AF0"/>
    <w:rsid w:val="00656C7F"/>
    <w:rsid w:val="00656CC2"/>
    <w:rsid w:val="00656E87"/>
    <w:rsid w:val="00656F8B"/>
    <w:rsid w:val="00656FCA"/>
    <w:rsid w:val="00657366"/>
    <w:rsid w:val="00657AE5"/>
    <w:rsid w:val="00657BE2"/>
    <w:rsid w:val="00657C4B"/>
    <w:rsid w:val="00657EBC"/>
    <w:rsid w:val="00657F70"/>
    <w:rsid w:val="00657FC6"/>
    <w:rsid w:val="0066015F"/>
    <w:rsid w:val="00660361"/>
    <w:rsid w:val="006603FD"/>
    <w:rsid w:val="006604B7"/>
    <w:rsid w:val="00660675"/>
    <w:rsid w:val="0066089E"/>
    <w:rsid w:val="00660BE4"/>
    <w:rsid w:val="00660E89"/>
    <w:rsid w:val="00660EFE"/>
    <w:rsid w:val="006619C8"/>
    <w:rsid w:val="006621A6"/>
    <w:rsid w:val="0066224E"/>
    <w:rsid w:val="006626D9"/>
    <w:rsid w:val="00662883"/>
    <w:rsid w:val="00662EDB"/>
    <w:rsid w:val="0066301F"/>
    <w:rsid w:val="006631F7"/>
    <w:rsid w:val="006633C0"/>
    <w:rsid w:val="006635CF"/>
    <w:rsid w:val="0066376F"/>
    <w:rsid w:val="006637E3"/>
    <w:rsid w:val="0066384C"/>
    <w:rsid w:val="00663AFC"/>
    <w:rsid w:val="00663FB6"/>
    <w:rsid w:val="00664205"/>
    <w:rsid w:val="006646A5"/>
    <w:rsid w:val="00664883"/>
    <w:rsid w:val="00664975"/>
    <w:rsid w:val="00664ADF"/>
    <w:rsid w:val="00664CFD"/>
    <w:rsid w:val="00665A2E"/>
    <w:rsid w:val="00665AD4"/>
    <w:rsid w:val="00665B5C"/>
    <w:rsid w:val="00665C42"/>
    <w:rsid w:val="00665C96"/>
    <w:rsid w:val="00665CEA"/>
    <w:rsid w:val="00666084"/>
    <w:rsid w:val="006661EA"/>
    <w:rsid w:val="00666215"/>
    <w:rsid w:val="00666499"/>
    <w:rsid w:val="0066655F"/>
    <w:rsid w:val="006665CB"/>
    <w:rsid w:val="0066661F"/>
    <w:rsid w:val="00666B90"/>
    <w:rsid w:val="00666C1E"/>
    <w:rsid w:val="006675B0"/>
    <w:rsid w:val="00667961"/>
    <w:rsid w:val="00667D30"/>
    <w:rsid w:val="0067002B"/>
    <w:rsid w:val="00670147"/>
    <w:rsid w:val="0067029D"/>
    <w:rsid w:val="00670403"/>
    <w:rsid w:val="006704C3"/>
    <w:rsid w:val="00670B0C"/>
    <w:rsid w:val="00670F2F"/>
    <w:rsid w:val="00671028"/>
    <w:rsid w:val="00671299"/>
    <w:rsid w:val="006713DF"/>
    <w:rsid w:val="0067143B"/>
    <w:rsid w:val="00671487"/>
    <w:rsid w:val="006715B7"/>
    <w:rsid w:val="00671D6A"/>
    <w:rsid w:val="00672129"/>
    <w:rsid w:val="0067253E"/>
    <w:rsid w:val="00672583"/>
    <w:rsid w:val="00672736"/>
    <w:rsid w:val="006729B7"/>
    <w:rsid w:val="00672CD3"/>
    <w:rsid w:val="006732E8"/>
    <w:rsid w:val="00673426"/>
    <w:rsid w:val="00673482"/>
    <w:rsid w:val="0067369D"/>
    <w:rsid w:val="006737AC"/>
    <w:rsid w:val="006738FF"/>
    <w:rsid w:val="00673A9C"/>
    <w:rsid w:val="00673D17"/>
    <w:rsid w:val="00673E4F"/>
    <w:rsid w:val="00673F85"/>
    <w:rsid w:val="00674022"/>
    <w:rsid w:val="0067444B"/>
    <w:rsid w:val="00674684"/>
    <w:rsid w:val="00674AAE"/>
    <w:rsid w:val="00674B42"/>
    <w:rsid w:val="00674BAF"/>
    <w:rsid w:val="006752F2"/>
    <w:rsid w:val="00675509"/>
    <w:rsid w:val="006757AA"/>
    <w:rsid w:val="00675916"/>
    <w:rsid w:val="006759B3"/>
    <w:rsid w:val="00675AD1"/>
    <w:rsid w:val="00675C3F"/>
    <w:rsid w:val="00675CC8"/>
    <w:rsid w:val="00675F5D"/>
    <w:rsid w:val="00675FCF"/>
    <w:rsid w:val="006760AC"/>
    <w:rsid w:val="00676467"/>
    <w:rsid w:val="006766AA"/>
    <w:rsid w:val="006767BC"/>
    <w:rsid w:val="00676904"/>
    <w:rsid w:val="0067695B"/>
    <w:rsid w:val="00677604"/>
    <w:rsid w:val="00677861"/>
    <w:rsid w:val="0067798F"/>
    <w:rsid w:val="00677AD6"/>
    <w:rsid w:val="006800E7"/>
    <w:rsid w:val="00680197"/>
    <w:rsid w:val="006804C4"/>
    <w:rsid w:val="00680500"/>
    <w:rsid w:val="006806CA"/>
    <w:rsid w:val="00680ED3"/>
    <w:rsid w:val="00680F0D"/>
    <w:rsid w:val="00680F69"/>
    <w:rsid w:val="00681293"/>
    <w:rsid w:val="006816AC"/>
    <w:rsid w:val="00681933"/>
    <w:rsid w:val="0068194A"/>
    <w:rsid w:val="00681A7A"/>
    <w:rsid w:val="00681C42"/>
    <w:rsid w:val="00681EF1"/>
    <w:rsid w:val="006825F9"/>
    <w:rsid w:val="00682847"/>
    <w:rsid w:val="006829C2"/>
    <w:rsid w:val="00682A2B"/>
    <w:rsid w:val="00683473"/>
    <w:rsid w:val="00683520"/>
    <w:rsid w:val="006836B9"/>
    <w:rsid w:val="0068374A"/>
    <w:rsid w:val="006838ED"/>
    <w:rsid w:val="00683A16"/>
    <w:rsid w:val="006840C6"/>
    <w:rsid w:val="006840EA"/>
    <w:rsid w:val="006847B6"/>
    <w:rsid w:val="006847CF"/>
    <w:rsid w:val="006848D2"/>
    <w:rsid w:val="00684B52"/>
    <w:rsid w:val="00684BF5"/>
    <w:rsid w:val="00684EEF"/>
    <w:rsid w:val="006851A5"/>
    <w:rsid w:val="006851A7"/>
    <w:rsid w:val="00685266"/>
    <w:rsid w:val="00685571"/>
    <w:rsid w:val="006856F1"/>
    <w:rsid w:val="006858DF"/>
    <w:rsid w:val="00685A4D"/>
    <w:rsid w:val="00685ACD"/>
    <w:rsid w:val="00685B24"/>
    <w:rsid w:val="006861E9"/>
    <w:rsid w:val="00686313"/>
    <w:rsid w:val="0068655A"/>
    <w:rsid w:val="00686C7F"/>
    <w:rsid w:val="0068775A"/>
    <w:rsid w:val="00687BC0"/>
    <w:rsid w:val="00687E54"/>
    <w:rsid w:val="00690013"/>
    <w:rsid w:val="0069026C"/>
    <w:rsid w:val="0069071A"/>
    <w:rsid w:val="00690823"/>
    <w:rsid w:val="00690A1B"/>
    <w:rsid w:val="00690BDE"/>
    <w:rsid w:val="00690C39"/>
    <w:rsid w:val="00690D30"/>
    <w:rsid w:val="00690F7C"/>
    <w:rsid w:val="00691180"/>
    <w:rsid w:val="00691460"/>
    <w:rsid w:val="0069149A"/>
    <w:rsid w:val="006915DD"/>
    <w:rsid w:val="00691935"/>
    <w:rsid w:val="00691ABB"/>
    <w:rsid w:val="00691B2F"/>
    <w:rsid w:val="00691B50"/>
    <w:rsid w:val="00691C9D"/>
    <w:rsid w:val="006920F4"/>
    <w:rsid w:val="0069258D"/>
    <w:rsid w:val="00692D95"/>
    <w:rsid w:val="00693086"/>
    <w:rsid w:val="0069346F"/>
    <w:rsid w:val="0069360E"/>
    <w:rsid w:val="0069389B"/>
    <w:rsid w:val="00693943"/>
    <w:rsid w:val="00693A6B"/>
    <w:rsid w:val="00693AC5"/>
    <w:rsid w:val="00693D4E"/>
    <w:rsid w:val="00693F81"/>
    <w:rsid w:val="006941FD"/>
    <w:rsid w:val="0069432C"/>
    <w:rsid w:val="006945B4"/>
    <w:rsid w:val="00694630"/>
    <w:rsid w:val="0069471C"/>
    <w:rsid w:val="00694A94"/>
    <w:rsid w:val="00694C68"/>
    <w:rsid w:val="00694E98"/>
    <w:rsid w:val="0069509A"/>
    <w:rsid w:val="006952CE"/>
    <w:rsid w:val="00695629"/>
    <w:rsid w:val="006956AF"/>
    <w:rsid w:val="00695BC0"/>
    <w:rsid w:val="00695C46"/>
    <w:rsid w:val="00695D25"/>
    <w:rsid w:val="00696041"/>
    <w:rsid w:val="006963CB"/>
    <w:rsid w:val="006969DC"/>
    <w:rsid w:val="00696E73"/>
    <w:rsid w:val="00696EAD"/>
    <w:rsid w:val="00696EF5"/>
    <w:rsid w:val="006971B0"/>
    <w:rsid w:val="00697310"/>
    <w:rsid w:val="00697441"/>
    <w:rsid w:val="006A01DE"/>
    <w:rsid w:val="006A024D"/>
    <w:rsid w:val="006A04DE"/>
    <w:rsid w:val="006A0927"/>
    <w:rsid w:val="006A0A0A"/>
    <w:rsid w:val="006A0BDB"/>
    <w:rsid w:val="006A0C73"/>
    <w:rsid w:val="006A0D67"/>
    <w:rsid w:val="006A114D"/>
    <w:rsid w:val="006A153A"/>
    <w:rsid w:val="006A1831"/>
    <w:rsid w:val="006A1981"/>
    <w:rsid w:val="006A1C0D"/>
    <w:rsid w:val="006A1F34"/>
    <w:rsid w:val="006A2071"/>
    <w:rsid w:val="006A2238"/>
    <w:rsid w:val="006A22D0"/>
    <w:rsid w:val="006A2370"/>
    <w:rsid w:val="006A2479"/>
    <w:rsid w:val="006A25BC"/>
    <w:rsid w:val="006A264A"/>
    <w:rsid w:val="006A2D94"/>
    <w:rsid w:val="006A300D"/>
    <w:rsid w:val="006A3278"/>
    <w:rsid w:val="006A327C"/>
    <w:rsid w:val="006A33EF"/>
    <w:rsid w:val="006A3415"/>
    <w:rsid w:val="006A34E2"/>
    <w:rsid w:val="006A3535"/>
    <w:rsid w:val="006A36F7"/>
    <w:rsid w:val="006A3804"/>
    <w:rsid w:val="006A3908"/>
    <w:rsid w:val="006A3964"/>
    <w:rsid w:val="006A3CA5"/>
    <w:rsid w:val="006A3CB4"/>
    <w:rsid w:val="006A44FD"/>
    <w:rsid w:val="006A4694"/>
    <w:rsid w:val="006A4C45"/>
    <w:rsid w:val="006A4E79"/>
    <w:rsid w:val="006A4F27"/>
    <w:rsid w:val="006A4F64"/>
    <w:rsid w:val="006A5093"/>
    <w:rsid w:val="006A52D5"/>
    <w:rsid w:val="006A544E"/>
    <w:rsid w:val="006A5729"/>
    <w:rsid w:val="006A5A90"/>
    <w:rsid w:val="006A5BCC"/>
    <w:rsid w:val="006A5D48"/>
    <w:rsid w:val="006A5D76"/>
    <w:rsid w:val="006A5E27"/>
    <w:rsid w:val="006A5EA3"/>
    <w:rsid w:val="006A5F2A"/>
    <w:rsid w:val="006A63BF"/>
    <w:rsid w:val="006A63F1"/>
    <w:rsid w:val="006A64A4"/>
    <w:rsid w:val="006A677A"/>
    <w:rsid w:val="006A6BD0"/>
    <w:rsid w:val="006A6C22"/>
    <w:rsid w:val="006A6C6C"/>
    <w:rsid w:val="006A6D16"/>
    <w:rsid w:val="006A6E8C"/>
    <w:rsid w:val="006A70FE"/>
    <w:rsid w:val="006A7227"/>
    <w:rsid w:val="006A735B"/>
    <w:rsid w:val="006A7738"/>
    <w:rsid w:val="006A77C7"/>
    <w:rsid w:val="006A7DBE"/>
    <w:rsid w:val="006A7F52"/>
    <w:rsid w:val="006A7FF0"/>
    <w:rsid w:val="006B028F"/>
    <w:rsid w:val="006B0483"/>
    <w:rsid w:val="006B0992"/>
    <w:rsid w:val="006B09D4"/>
    <w:rsid w:val="006B0C5B"/>
    <w:rsid w:val="006B0DB4"/>
    <w:rsid w:val="006B130E"/>
    <w:rsid w:val="006B1587"/>
    <w:rsid w:val="006B1766"/>
    <w:rsid w:val="006B1AD0"/>
    <w:rsid w:val="006B1ED2"/>
    <w:rsid w:val="006B21BB"/>
    <w:rsid w:val="006B2449"/>
    <w:rsid w:val="006B2734"/>
    <w:rsid w:val="006B2D56"/>
    <w:rsid w:val="006B2EA4"/>
    <w:rsid w:val="006B3151"/>
    <w:rsid w:val="006B31C4"/>
    <w:rsid w:val="006B320C"/>
    <w:rsid w:val="006B3462"/>
    <w:rsid w:val="006B36B3"/>
    <w:rsid w:val="006B3832"/>
    <w:rsid w:val="006B3891"/>
    <w:rsid w:val="006B3A2C"/>
    <w:rsid w:val="006B3AB6"/>
    <w:rsid w:val="006B3ADC"/>
    <w:rsid w:val="006B3CAB"/>
    <w:rsid w:val="006B3FAE"/>
    <w:rsid w:val="006B42AA"/>
    <w:rsid w:val="006B44CB"/>
    <w:rsid w:val="006B46BC"/>
    <w:rsid w:val="006B49B3"/>
    <w:rsid w:val="006B49D2"/>
    <w:rsid w:val="006B4CE5"/>
    <w:rsid w:val="006B570A"/>
    <w:rsid w:val="006B5715"/>
    <w:rsid w:val="006B5A61"/>
    <w:rsid w:val="006B648C"/>
    <w:rsid w:val="006B6546"/>
    <w:rsid w:val="006B6728"/>
    <w:rsid w:val="006B6CB7"/>
    <w:rsid w:val="006B6D0B"/>
    <w:rsid w:val="006B6ED5"/>
    <w:rsid w:val="006B6F1F"/>
    <w:rsid w:val="006B6F7D"/>
    <w:rsid w:val="006B7082"/>
    <w:rsid w:val="006B709A"/>
    <w:rsid w:val="006B7254"/>
    <w:rsid w:val="006B7408"/>
    <w:rsid w:val="006B7501"/>
    <w:rsid w:val="006B7513"/>
    <w:rsid w:val="006B760E"/>
    <w:rsid w:val="006B7837"/>
    <w:rsid w:val="006B785A"/>
    <w:rsid w:val="006B7910"/>
    <w:rsid w:val="006B7A59"/>
    <w:rsid w:val="006B7D98"/>
    <w:rsid w:val="006C01C8"/>
    <w:rsid w:val="006C0253"/>
    <w:rsid w:val="006C03A4"/>
    <w:rsid w:val="006C0412"/>
    <w:rsid w:val="006C0632"/>
    <w:rsid w:val="006C067E"/>
    <w:rsid w:val="006C071F"/>
    <w:rsid w:val="006C0A54"/>
    <w:rsid w:val="006C0C90"/>
    <w:rsid w:val="006C0EE9"/>
    <w:rsid w:val="006C0FCD"/>
    <w:rsid w:val="006C1729"/>
    <w:rsid w:val="006C192D"/>
    <w:rsid w:val="006C1C38"/>
    <w:rsid w:val="006C1CD1"/>
    <w:rsid w:val="006C2550"/>
    <w:rsid w:val="006C2678"/>
    <w:rsid w:val="006C29F9"/>
    <w:rsid w:val="006C2C38"/>
    <w:rsid w:val="006C2C45"/>
    <w:rsid w:val="006C2C8F"/>
    <w:rsid w:val="006C2E65"/>
    <w:rsid w:val="006C2E7F"/>
    <w:rsid w:val="006C2F33"/>
    <w:rsid w:val="006C2F83"/>
    <w:rsid w:val="006C3037"/>
    <w:rsid w:val="006C31A3"/>
    <w:rsid w:val="006C31F8"/>
    <w:rsid w:val="006C39EA"/>
    <w:rsid w:val="006C3C36"/>
    <w:rsid w:val="006C3DC2"/>
    <w:rsid w:val="006C3E46"/>
    <w:rsid w:val="006C402B"/>
    <w:rsid w:val="006C40E5"/>
    <w:rsid w:val="006C40F8"/>
    <w:rsid w:val="006C410E"/>
    <w:rsid w:val="006C42C4"/>
    <w:rsid w:val="006C4313"/>
    <w:rsid w:val="006C4338"/>
    <w:rsid w:val="006C440F"/>
    <w:rsid w:val="006C4623"/>
    <w:rsid w:val="006C4703"/>
    <w:rsid w:val="006C4EB7"/>
    <w:rsid w:val="006C52E8"/>
    <w:rsid w:val="006C5346"/>
    <w:rsid w:val="006C583D"/>
    <w:rsid w:val="006C589E"/>
    <w:rsid w:val="006C58E9"/>
    <w:rsid w:val="006C5B44"/>
    <w:rsid w:val="006C5F68"/>
    <w:rsid w:val="006C61F8"/>
    <w:rsid w:val="006C64D5"/>
    <w:rsid w:val="006C66F0"/>
    <w:rsid w:val="006C67DA"/>
    <w:rsid w:val="006C684F"/>
    <w:rsid w:val="006C6D0C"/>
    <w:rsid w:val="006C6E6D"/>
    <w:rsid w:val="006C7242"/>
    <w:rsid w:val="006C74DD"/>
    <w:rsid w:val="006C79A8"/>
    <w:rsid w:val="006C7AE2"/>
    <w:rsid w:val="006C7CC7"/>
    <w:rsid w:val="006D077B"/>
    <w:rsid w:val="006D0974"/>
    <w:rsid w:val="006D09D2"/>
    <w:rsid w:val="006D0A72"/>
    <w:rsid w:val="006D0C8A"/>
    <w:rsid w:val="006D0D92"/>
    <w:rsid w:val="006D121E"/>
    <w:rsid w:val="006D13F9"/>
    <w:rsid w:val="006D176E"/>
    <w:rsid w:val="006D1BD4"/>
    <w:rsid w:val="006D1EE5"/>
    <w:rsid w:val="006D2145"/>
    <w:rsid w:val="006D2ED4"/>
    <w:rsid w:val="006D2FF8"/>
    <w:rsid w:val="006D302A"/>
    <w:rsid w:val="006D30B2"/>
    <w:rsid w:val="006D35FD"/>
    <w:rsid w:val="006D3811"/>
    <w:rsid w:val="006D3872"/>
    <w:rsid w:val="006D3F34"/>
    <w:rsid w:val="006D40E7"/>
    <w:rsid w:val="006D447B"/>
    <w:rsid w:val="006D4954"/>
    <w:rsid w:val="006D496A"/>
    <w:rsid w:val="006D49C4"/>
    <w:rsid w:val="006D4ACE"/>
    <w:rsid w:val="006D4BE1"/>
    <w:rsid w:val="006D4D3F"/>
    <w:rsid w:val="006D4F23"/>
    <w:rsid w:val="006D5154"/>
    <w:rsid w:val="006D517D"/>
    <w:rsid w:val="006D518F"/>
    <w:rsid w:val="006D5268"/>
    <w:rsid w:val="006D58DB"/>
    <w:rsid w:val="006D5C2B"/>
    <w:rsid w:val="006D5C96"/>
    <w:rsid w:val="006D6010"/>
    <w:rsid w:val="006D6080"/>
    <w:rsid w:val="006D656D"/>
    <w:rsid w:val="006D668D"/>
    <w:rsid w:val="006D68C5"/>
    <w:rsid w:val="006D6AD3"/>
    <w:rsid w:val="006D6B10"/>
    <w:rsid w:val="006D6B95"/>
    <w:rsid w:val="006D6C39"/>
    <w:rsid w:val="006D6E5E"/>
    <w:rsid w:val="006D6F77"/>
    <w:rsid w:val="006D7146"/>
    <w:rsid w:val="006D7309"/>
    <w:rsid w:val="006D74E0"/>
    <w:rsid w:val="006D7795"/>
    <w:rsid w:val="006D79BA"/>
    <w:rsid w:val="006E0054"/>
    <w:rsid w:val="006E0258"/>
    <w:rsid w:val="006E06B3"/>
    <w:rsid w:val="006E09ED"/>
    <w:rsid w:val="006E0BB8"/>
    <w:rsid w:val="006E0D37"/>
    <w:rsid w:val="006E0FB9"/>
    <w:rsid w:val="006E14B3"/>
    <w:rsid w:val="006E175D"/>
    <w:rsid w:val="006E191C"/>
    <w:rsid w:val="006E1963"/>
    <w:rsid w:val="006E1EAC"/>
    <w:rsid w:val="006E1F52"/>
    <w:rsid w:val="006E22E1"/>
    <w:rsid w:val="006E2554"/>
    <w:rsid w:val="006E2653"/>
    <w:rsid w:val="006E27DA"/>
    <w:rsid w:val="006E2875"/>
    <w:rsid w:val="006E2D3E"/>
    <w:rsid w:val="006E329A"/>
    <w:rsid w:val="006E3477"/>
    <w:rsid w:val="006E358D"/>
    <w:rsid w:val="006E3A90"/>
    <w:rsid w:val="006E3CC7"/>
    <w:rsid w:val="006E4585"/>
    <w:rsid w:val="006E4900"/>
    <w:rsid w:val="006E4923"/>
    <w:rsid w:val="006E4960"/>
    <w:rsid w:val="006E4DC4"/>
    <w:rsid w:val="006E4FEC"/>
    <w:rsid w:val="006E5332"/>
    <w:rsid w:val="006E533F"/>
    <w:rsid w:val="006E53A3"/>
    <w:rsid w:val="006E5696"/>
    <w:rsid w:val="006E5BBA"/>
    <w:rsid w:val="006E6338"/>
    <w:rsid w:val="006E66A7"/>
    <w:rsid w:val="006E68C1"/>
    <w:rsid w:val="006E6EAF"/>
    <w:rsid w:val="006E6F14"/>
    <w:rsid w:val="006E79B9"/>
    <w:rsid w:val="006F007E"/>
    <w:rsid w:val="006F02FD"/>
    <w:rsid w:val="006F0D91"/>
    <w:rsid w:val="006F0DA1"/>
    <w:rsid w:val="006F0E98"/>
    <w:rsid w:val="006F14F2"/>
    <w:rsid w:val="006F18BB"/>
    <w:rsid w:val="006F1A95"/>
    <w:rsid w:val="006F1B02"/>
    <w:rsid w:val="006F1BCA"/>
    <w:rsid w:val="006F1CA0"/>
    <w:rsid w:val="006F1D16"/>
    <w:rsid w:val="006F1EFF"/>
    <w:rsid w:val="006F23EC"/>
    <w:rsid w:val="006F2578"/>
    <w:rsid w:val="006F2F10"/>
    <w:rsid w:val="006F344B"/>
    <w:rsid w:val="006F3664"/>
    <w:rsid w:val="006F40BA"/>
    <w:rsid w:val="006F42AE"/>
    <w:rsid w:val="006F4507"/>
    <w:rsid w:val="006F5608"/>
    <w:rsid w:val="006F560B"/>
    <w:rsid w:val="006F604B"/>
    <w:rsid w:val="006F6337"/>
    <w:rsid w:val="006F6502"/>
    <w:rsid w:val="006F6847"/>
    <w:rsid w:val="006F7262"/>
    <w:rsid w:val="006F73B3"/>
    <w:rsid w:val="006F73B4"/>
    <w:rsid w:val="006F73FC"/>
    <w:rsid w:val="006F7524"/>
    <w:rsid w:val="006F7546"/>
    <w:rsid w:val="006F76C5"/>
    <w:rsid w:val="006F78B1"/>
    <w:rsid w:val="006F794B"/>
    <w:rsid w:val="006F7A24"/>
    <w:rsid w:val="006F7CA3"/>
    <w:rsid w:val="006F7E88"/>
    <w:rsid w:val="007003D9"/>
    <w:rsid w:val="0070089D"/>
    <w:rsid w:val="00700B9A"/>
    <w:rsid w:val="0070116F"/>
    <w:rsid w:val="00701369"/>
    <w:rsid w:val="007013B5"/>
    <w:rsid w:val="00701496"/>
    <w:rsid w:val="00701705"/>
    <w:rsid w:val="0070170E"/>
    <w:rsid w:val="00701D18"/>
    <w:rsid w:val="00701F44"/>
    <w:rsid w:val="007027F8"/>
    <w:rsid w:val="00702AAC"/>
    <w:rsid w:val="00702C97"/>
    <w:rsid w:val="00702D7E"/>
    <w:rsid w:val="00702E1B"/>
    <w:rsid w:val="007030C7"/>
    <w:rsid w:val="0070343A"/>
    <w:rsid w:val="007035D6"/>
    <w:rsid w:val="007035E8"/>
    <w:rsid w:val="007039BA"/>
    <w:rsid w:val="00703AFB"/>
    <w:rsid w:val="00703EFD"/>
    <w:rsid w:val="007040E6"/>
    <w:rsid w:val="007044BB"/>
    <w:rsid w:val="007047F5"/>
    <w:rsid w:val="0070488F"/>
    <w:rsid w:val="00704F73"/>
    <w:rsid w:val="00705306"/>
    <w:rsid w:val="007053A6"/>
    <w:rsid w:val="007054E5"/>
    <w:rsid w:val="00705554"/>
    <w:rsid w:val="00705812"/>
    <w:rsid w:val="00706076"/>
    <w:rsid w:val="007060FC"/>
    <w:rsid w:val="00706625"/>
    <w:rsid w:val="007068BB"/>
    <w:rsid w:val="0070690C"/>
    <w:rsid w:val="00706952"/>
    <w:rsid w:val="00706B0E"/>
    <w:rsid w:val="00706B40"/>
    <w:rsid w:val="00706C63"/>
    <w:rsid w:val="00706FC4"/>
    <w:rsid w:val="007073B1"/>
    <w:rsid w:val="007073E5"/>
    <w:rsid w:val="0070768C"/>
    <w:rsid w:val="007076E6"/>
    <w:rsid w:val="00707D18"/>
    <w:rsid w:val="00707F91"/>
    <w:rsid w:val="00710129"/>
    <w:rsid w:val="00710683"/>
    <w:rsid w:val="00710736"/>
    <w:rsid w:val="00710F1F"/>
    <w:rsid w:val="007112F8"/>
    <w:rsid w:val="00711AB9"/>
    <w:rsid w:val="00711E02"/>
    <w:rsid w:val="0071226A"/>
    <w:rsid w:val="007122DA"/>
    <w:rsid w:val="00712475"/>
    <w:rsid w:val="0071247C"/>
    <w:rsid w:val="0071255A"/>
    <w:rsid w:val="00712622"/>
    <w:rsid w:val="007126B1"/>
    <w:rsid w:val="007127A2"/>
    <w:rsid w:val="007127A3"/>
    <w:rsid w:val="007129D9"/>
    <w:rsid w:val="00712C57"/>
    <w:rsid w:val="00712F2D"/>
    <w:rsid w:val="00713515"/>
    <w:rsid w:val="00713587"/>
    <w:rsid w:val="0071385C"/>
    <w:rsid w:val="007138DE"/>
    <w:rsid w:val="00713970"/>
    <w:rsid w:val="00714A31"/>
    <w:rsid w:val="00714A43"/>
    <w:rsid w:val="007150B0"/>
    <w:rsid w:val="007155A6"/>
    <w:rsid w:val="00715797"/>
    <w:rsid w:val="00715A9A"/>
    <w:rsid w:val="00715B97"/>
    <w:rsid w:val="00716314"/>
    <w:rsid w:val="00716813"/>
    <w:rsid w:val="00716926"/>
    <w:rsid w:val="00716979"/>
    <w:rsid w:val="00716A08"/>
    <w:rsid w:val="00716B77"/>
    <w:rsid w:val="00716CF5"/>
    <w:rsid w:val="00717224"/>
    <w:rsid w:val="0071732C"/>
    <w:rsid w:val="00717392"/>
    <w:rsid w:val="007175CC"/>
    <w:rsid w:val="007177D8"/>
    <w:rsid w:val="007177D9"/>
    <w:rsid w:val="0071796A"/>
    <w:rsid w:val="00717D89"/>
    <w:rsid w:val="00717EA3"/>
    <w:rsid w:val="00720157"/>
    <w:rsid w:val="007201AB"/>
    <w:rsid w:val="007207F3"/>
    <w:rsid w:val="00720953"/>
    <w:rsid w:val="00720992"/>
    <w:rsid w:val="007209F3"/>
    <w:rsid w:val="00720B6F"/>
    <w:rsid w:val="00720BAA"/>
    <w:rsid w:val="00720BFD"/>
    <w:rsid w:val="00720D83"/>
    <w:rsid w:val="00721020"/>
    <w:rsid w:val="00721163"/>
    <w:rsid w:val="00721572"/>
    <w:rsid w:val="007217D3"/>
    <w:rsid w:val="007219BF"/>
    <w:rsid w:val="00721ACB"/>
    <w:rsid w:val="00721BAF"/>
    <w:rsid w:val="00721D1C"/>
    <w:rsid w:val="00721DC7"/>
    <w:rsid w:val="00721DDE"/>
    <w:rsid w:val="00721E02"/>
    <w:rsid w:val="00721F29"/>
    <w:rsid w:val="00722140"/>
    <w:rsid w:val="007222B1"/>
    <w:rsid w:val="007224BD"/>
    <w:rsid w:val="0072282B"/>
    <w:rsid w:val="00722949"/>
    <w:rsid w:val="00722A36"/>
    <w:rsid w:val="00722D3C"/>
    <w:rsid w:val="00722F29"/>
    <w:rsid w:val="0072339E"/>
    <w:rsid w:val="007233C9"/>
    <w:rsid w:val="0072350A"/>
    <w:rsid w:val="00723619"/>
    <w:rsid w:val="007237A2"/>
    <w:rsid w:val="00723859"/>
    <w:rsid w:val="00723A54"/>
    <w:rsid w:val="00723D05"/>
    <w:rsid w:val="00723D0A"/>
    <w:rsid w:val="00723DA4"/>
    <w:rsid w:val="00723F44"/>
    <w:rsid w:val="00724316"/>
    <w:rsid w:val="007249C7"/>
    <w:rsid w:val="00724CC7"/>
    <w:rsid w:val="00724DE0"/>
    <w:rsid w:val="007250E5"/>
    <w:rsid w:val="00725157"/>
    <w:rsid w:val="00725267"/>
    <w:rsid w:val="007254F6"/>
    <w:rsid w:val="00725838"/>
    <w:rsid w:val="00725D0B"/>
    <w:rsid w:val="00725E6B"/>
    <w:rsid w:val="007262BD"/>
    <w:rsid w:val="00726414"/>
    <w:rsid w:val="007265FA"/>
    <w:rsid w:val="00726997"/>
    <w:rsid w:val="00726A2C"/>
    <w:rsid w:val="00726F50"/>
    <w:rsid w:val="00726FA4"/>
    <w:rsid w:val="007276BE"/>
    <w:rsid w:val="00727856"/>
    <w:rsid w:val="00727AD4"/>
    <w:rsid w:val="00727BD2"/>
    <w:rsid w:val="00730286"/>
    <w:rsid w:val="007306DC"/>
    <w:rsid w:val="007309B3"/>
    <w:rsid w:val="00730A05"/>
    <w:rsid w:val="00730C79"/>
    <w:rsid w:val="007312CA"/>
    <w:rsid w:val="007317E5"/>
    <w:rsid w:val="0073183B"/>
    <w:rsid w:val="00731859"/>
    <w:rsid w:val="007318DD"/>
    <w:rsid w:val="00731D48"/>
    <w:rsid w:val="00731DB2"/>
    <w:rsid w:val="00732583"/>
    <w:rsid w:val="00732779"/>
    <w:rsid w:val="00732854"/>
    <w:rsid w:val="00732C89"/>
    <w:rsid w:val="00732C99"/>
    <w:rsid w:val="00732DFE"/>
    <w:rsid w:val="00732FCA"/>
    <w:rsid w:val="007330EB"/>
    <w:rsid w:val="007334CA"/>
    <w:rsid w:val="007334CC"/>
    <w:rsid w:val="007335B6"/>
    <w:rsid w:val="007336DE"/>
    <w:rsid w:val="0073402E"/>
    <w:rsid w:val="00734033"/>
    <w:rsid w:val="007344BB"/>
    <w:rsid w:val="007346F5"/>
    <w:rsid w:val="0073489F"/>
    <w:rsid w:val="007349EC"/>
    <w:rsid w:val="00734C92"/>
    <w:rsid w:val="00734ED8"/>
    <w:rsid w:val="007352FB"/>
    <w:rsid w:val="0073538B"/>
    <w:rsid w:val="00735467"/>
    <w:rsid w:val="007354B7"/>
    <w:rsid w:val="00735528"/>
    <w:rsid w:val="00735777"/>
    <w:rsid w:val="00735A18"/>
    <w:rsid w:val="00735BA3"/>
    <w:rsid w:val="00736037"/>
    <w:rsid w:val="0073605C"/>
    <w:rsid w:val="007364DE"/>
    <w:rsid w:val="007365B7"/>
    <w:rsid w:val="00736924"/>
    <w:rsid w:val="00736971"/>
    <w:rsid w:val="00736A21"/>
    <w:rsid w:val="007371C1"/>
    <w:rsid w:val="007371F5"/>
    <w:rsid w:val="007373D9"/>
    <w:rsid w:val="00737595"/>
    <w:rsid w:val="00737925"/>
    <w:rsid w:val="00737C55"/>
    <w:rsid w:val="00737D5E"/>
    <w:rsid w:val="0074002E"/>
    <w:rsid w:val="00740045"/>
    <w:rsid w:val="007401CE"/>
    <w:rsid w:val="00740260"/>
    <w:rsid w:val="0074028F"/>
    <w:rsid w:val="007402F4"/>
    <w:rsid w:val="0074107F"/>
    <w:rsid w:val="0074122F"/>
    <w:rsid w:val="00741684"/>
    <w:rsid w:val="00741714"/>
    <w:rsid w:val="007417A9"/>
    <w:rsid w:val="0074185E"/>
    <w:rsid w:val="0074188B"/>
    <w:rsid w:val="007418E5"/>
    <w:rsid w:val="00741A20"/>
    <w:rsid w:val="00741B43"/>
    <w:rsid w:val="00741F41"/>
    <w:rsid w:val="00741FFB"/>
    <w:rsid w:val="00742016"/>
    <w:rsid w:val="00742242"/>
    <w:rsid w:val="00742245"/>
    <w:rsid w:val="007423BB"/>
    <w:rsid w:val="00742666"/>
    <w:rsid w:val="00742862"/>
    <w:rsid w:val="00742B32"/>
    <w:rsid w:val="00743169"/>
    <w:rsid w:val="0074338A"/>
    <w:rsid w:val="00743682"/>
    <w:rsid w:val="00743964"/>
    <w:rsid w:val="007439D0"/>
    <w:rsid w:val="00743A8A"/>
    <w:rsid w:val="00743B3A"/>
    <w:rsid w:val="00743EFB"/>
    <w:rsid w:val="00743FA6"/>
    <w:rsid w:val="0074425D"/>
    <w:rsid w:val="00744A81"/>
    <w:rsid w:val="00744AF4"/>
    <w:rsid w:val="00744C07"/>
    <w:rsid w:val="00744EE4"/>
    <w:rsid w:val="007457BD"/>
    <w:rsid w:val="0074586F"/>
    <w:rsid w:val="007459BF"/>
    <w:rsid w:val="00745A65"/>
    <w:rsid w:val="00745CA3"/>
    <w:rsid w:val="00745D71"/>
    <w:rsid w:val="007460AE"/>
    <w:rsid w:val="00746214"/>
    <w:rsid w:val="007463AA"/>
    <w:rsid w:val="00746512"/>
    <w:rsid w:val="007468D5"/>
    <w:rsid w:val="00746F46"/>
    <w:rsid w:val="007471F8"/>
    <w:rsid w:val="00747516"/>
    <w:rsid w:val="0074755D"/>
    <w:rsid w:val="007476F0"/>
    <w:rsid w:val="00747949"/>
    <w:rsid w:val="00747BB2"/>
    <w:rsid w:val="00747E51"/>
    <w:rsid w:val="00750897"/>
    <w:rsid w:val="00750981"/>
    <w:rsid w:val="00750C2F"/>
    <w:rsid w:val="00750D2E"/>
    <w:rsid w:val="00751098"/>
    <w:rsid w:val="0075111B"/>
    <w:rsid w:val="007513EE"/>
    <w:rsid w:val="00751B89"/>
    <w:rsid w:val="00751B8F"/>
    <w:rsid w:val="00751C7C"/>
    <w:rsid w:val="00751F34"/>
    <w:rsid w:val="0075295E"/>
    <w:rsid w:val="007529BE"/>
    <w:rsid w:val="00752ACF"/>
    <w:rsid w:val="00752E3A"/>
    <w:rsid w:val="00752E92"/>
    <w:rsid w:val="00752EC6"/>
    <w:rsid w:val="00752FB3"/>
    <w:rsid w:val="00752FD3"/>
    <w:rsid w:val="007532EE"/>
    <w:rsid w:val="007536E9"/>
    <w:rsid w:val="0075393B"/>
    <w:rsid w:val="00753A31"/>
    <w:rsid w:val="00754589"/>
    <w:rsid w:val="00754F4E"/>
    <w:rsid w:val="00754F9F"/>
    <w:rsid w:val="00755089"/>
    <w:rsid w:val="00755223"/>
    <w:rsid w:val="00755262"/>
    <w:rsid w:val="007555BA"/>
    <w:rsid w:val="007555DD"/>
    <w:rsid w:val="007555F5"/>
    <w:rsid w:val="00755851"/>
    <w:rsid w:val="00755F22"/>
    <w:rsid w:val="00755FD6"/>
    <w:rsid w:val="00755FF4"/>
    <w:rsid w:val="007560B5"/>
    <w:rsid w:val="00756393"/>
    <w:rsid w:val="00756786"/>
    <w:rsid w:val="00756B24"/>
    <w:rsid w:val="00756D40"/>
    <w:rsid w:val="00756D44"/>
    <w:rsid w:val="00756D82"/>
    <w:rsid w:val="00756E3F"/>
    <w:rsid w:val="00756E5D"/>
    <w:rsid w:val="00756FC0"/>
    <w:rsid w:val="007571F0"/>
    <w:rsid w:val="0075728D"/>
    <w:rsid w:val="00757377"/>
    <w:rsid w:val="007577C1"/>
    <w:rsid w:val="00757B34"/>
    <w:rsid w:val="00757ED3"/>
    <w:rsid w:val="00757EF0"/>
    <w:rsid w:val="00757FDF"/>
    <w:rsid w:val="00760136"/>
    <w:rsid w:val="0076014D"/>
    <w:rsid w:val="007604D5"/>
    <w:rsid w:val="007604FB"/>
    <w:rsid w:val="007606EE"/>
    <w:rsid w:val="00760715"/>
    <w:rsid w:val="00760F11"/>
    <w:rsid w:val="0076101C"/>
    <w:rsid w:val="0076146C"/>
    <w:rsid w:val="00761660"/>
    <w:rsid w:val="00761894"/>
    <w:rsid w:val="00761949"/>
    <w:rsid w:val="00761B7E"/>
    <w:rsid w:val="00761CEB"/>
    <w:rsid w:val="00762031"/>
    <w:rsid w:val="007620CF"/>
    <w:rsid w:val="0076227B"/>
    <w:rsid w:val="00762364"/>
    <w:rsid w:val="0076237E"/>
    <w:rsid w:val="0076238A"/>
    <w:rsid w:val="007623B8"/>
    <w:rsid w:val="00762619"/>
    <w:rsid w:val="007629C0"/>
    <w:rsid w:val="00762A95"/>
    <w:rsid w:val="00762B54"/>
    <w:rsid w:val="00762D6F"/>
    <w:rsid w:val="00763648"/>
    <w:rsid w:val="007636BD"/>
    <w:rsid w:val="00763CB7"/>
    <w:rsid w:val="00763D1B"/>
    <w:rsid w:val="00763F2D"/>
    <w:rsid w:val="00764135"/>
    <w:rsid w:val="00764194"/>
    <w:rsid w:val="0076445A"/>
    <w:rsid w:val="0076446C"/>
    <w:rsid w:val="00764490"/>
    <w:rsid w:val="007646AC"/>
    <w:rsid w:val="00764A6D"/>
    <w:rsid w:val="00764C3D"/>
    <w:rsid w:val="00765A1B"/>
    <w:rsid w:val="00765A2E"/>
    <w:rsid w:val="00765C5D"/>
    <w:rsid w:val="00765ECF"/>
    <w:rsid w:val="00765FE6"/>
    <w:rsid w:val="0076612F"/>
    <w:rsid w:val="0076642C"/>
    <w:rsid w:val="0076647C"/>
    <w:rsid w:val="00766491"/>
    <w:rsid w:val="007664B8"/>
    <w:rsid w:val="00766609"/>
    <w:rsid w:val="0076685D"/>
    <w:rsid w:val="0076687C"/>
    <w:rsid w:val="00766F38"/>
    <w:rsid w:val="00767473"/>
    <w:rsid w:val="00767514"/>
    <w:rsid w:val="007675D8"/>
    <w:rsid w:val="0076768E"/>
    <w:rsid w:val="007676E5"/>
    <w:rsid w:val="00767700"/>
    <w:rsid w:val="0076771A"/>
    <w:rsid w:val="00767D35"/>
    <w:rsid w:val="00767E15"/>
    <w:rsid w:val="00767FD9"/>
    <w:rsid w:val="007700F8"/>
    <w:rsid w:val="007703E0"/>
    <w:rsid w:val="007707CE"/>
    <w:rsid w:val="00770D59"/>
    <w:rsid w:val="00770D71"/>
    <w:rsid w:val="007713FB"/>
    <w:rsid w:val="00771AE2"/>
    <w:rsid w:val="00771BFA"/>
    <w:rsid w:val="00771C6C"/>
    <w:rsid w:val="00771D80"/>
    <w:rsid w:val="00771E2B"/>
    <w:rsid w:val="007721A7"/>
    <w:rsid w:val="007721DC"/>
    <w:rsid w:val="00772257"/>
    <w:rsid w:val="00772356"/>
    <w:rsid w:val="007725AF"/>
    <w:rsid w:val="007726A9"/>
    <w:rsid w:val="00772723"/>
    <w:rsid w:val="00772BB8"/>
    <w:rsid w:val="00772E41"/>
    <w:rsid w:val="0077313D"/>
    <w:rsid w:val="007735A3"/>
    <w:rsid w:val="007735FD"/>
    <w:rsid w:val="0077367E"/>
    <w:rsid w:val="007736A6"/>
    <w:rsid w:val="00773830"/>
    <w:rsid w:val="007738D3"/>
    <w:rsid w:val="00773FF9"/>
    <w:rsid w:val="00774581"/>
    <w:rsid w:val="00774779"/>
    <w:rsid w:val="007748BB"/>
    <w:rsid w:val="00774A0D"/>
    <w:rsid w:val="00774AAA"/>
    <w:rsid w:val="00774AD8"/>
    <w:rsid w:val="00774FCC"/>
    <w:rsid w:val="0077510C"/>
    <w:rsid w:val="00775284"/>
    <w:rsid w:val="00775886"/>
    <w:rsid w:val="00775934"/>
    <w:rsid w:val="00775974"/>
    <w:rsid w:val="00775CBC"/>
    <w:rsid w:val="00775F0A"/>
    <w:rsid w:val="007762E2"/>
    <w:rsid w:val="00776B7F"/>
    <w:rsid w:val="00776DA5"/>
    <w:rsid w:val="0077711A"/>
    <w:rsid w:val="007773AE"/>
    <w:rsid w:val="00777789"/>
    <w:rsid w:val="0077778C"/>
    <w:rsid w:val="00777CD2"/>
    <w:rsid w:val="00777D1A"/>
    <w:rsid w:val="00777E6D"/>
    <w:rsid w:val="00777FA6"/>
    <w:rsid w:val="00777FCC"/>
    <w:rsid w:val="00780084"/>
    <w:rsid w:val="007802F9"/>
    <w:rsid w:val="00780541"/>
    <w:rsid w:val="00780617"/>
    <w:rsid w:val="007807F3"/>
    <w:rsid w:val="007809B8"/>
    <w:rsid w:val="007809E7"/>
    <w:rsid w:val="00780BB3"/>
    <w:rsid w:val="00780D9E"/>
    <w:rsid w:val="00780E5D"/>
    <w:rsid w:val="007813C1"/>
    <w:rsid w:val="007814AB"/>
    <w:rsid w:val="007814F2"/>
    <w:rsid w:val="0078189F"/>
    <w:rsid w:val="00781BEF"/>
    <w:rsid w:val="00781C13"/>
    <w:rsid w:val="00781C96"/>
    <w:rsid w:val="00781EA9"/>
    <w:rsid w:val="007820BF"/>
    <w:rsid w:val="00782305"/>
    <w:rsid w:val="00782599"/>
    <w:rsid w:val="0078262A"/>
    <w:rsid w:val="00782A7E"/>
    <w:rsid w:val="00782D4D"/>
    <w:rsid w:val="00782D7F"/>
    <w:rsid w:val="00782EE3"/>
    <w:rsid w:val="00783197"/>
    <w:rsid w:val="007833CA"/>
    <w:rsid w:val="007834F3"/>
    <w:rsid w:val="00783A1E"/>
    <w:rsid w:val="00783B53"/>
    <w:rsid w:val="0078476D"/>
    <w:rsid w:val="007847CD"/>
    <w:rsid w:val="00784840"/>
    <w:rsid w:val="00784C02"/>
    <w:rsid w:val="00784C1B"/>
    <w:rsid w:val="00784D76"/>
    <w:rsid w:val="00784E22"/>
    <w:rsid w:val="00784FC2"/>
    <w:rsid w:val="00785562"/>
    <w:rsid w:val="00785A27"/>
    <w:rsid w:val="00785F6D"/>
    <w:rsid w:val="0078660B"/>
    <w:rsid w:val="00786A73"/>
    <w:rsid w:val="00786ACC"/>
    <w:rsid w:val="00786CE9"/>
    <w:rsid w:val="00786D0E"/>
    <w:rsid w:val="00786D77"/>
    <w:rsid w:val="00786F74"/>
    <w:rsid w:val="00787634"/>
    <w:rsid w:val="0078784E"/>
    <w:rsid w:val="00787999"/>
    <w:rsid w:val="0079035A"/>
    <w:rsid w:val="007903DE"/>
    <w:rsid w:val="007906A1"/>
    <w:rsid w:val="007906F9"/>
    <w:rsid w:val="007907BA"/>
    <w:rsid w:val="00790A2B"/>
    <w:rsid w:val="00790A2F"/>
    <w:rsid w:val="00790E92"/>
    <w:rsid w:val="0079139D"/>
    <w:rsid w:val="00791536"/>
    <w:rsid w:val="007915C8"/>
    <w:rsid w:val="007915DD"/>
    <w:rsid w:val="00791AC8"/>
    <w:rsid w:val="0079224B"/>
    <w:rsid w:val="0079229A"/>
    <w:rsid w:val="0079230E"/>
    <w:rsid w:val="00792514"/>
    <w:rsid w:val="007925DE"/>
    <w:rsid w:val="00792683"/>
    <w:rsid w:val="007926C8"/>
    <w:rsid w:val="007926E9"/>
    <w:rsid w:val="00792813"/>
    <w:rsid w:val="00792AAC"/>
    <w:rsid w:val="00792D38"/>
    <w:rsid w:val="0079348E"/>
    <w:rsid w:val="007935C4"/>
    <w:rsid w:val="007936A6"/>
    <w:rsid w:val="007936F3"/>
    <w:rsid w:val="00793884"/>
    <w:rsid w:val="00794503"/>
    <w:rsid w:val="007946CE"/>
    <w:rsid w:val="00794740"/>
    <w:rsid w:val="007948B5"/>
    <w:rsid w:val="007949EC"/>
    <w:rsid w:val="00794BA7"/>
    <w:rsid w:val="00794F8E"/>
    <w:rsid w:val="00795330"/>
    <w:rsid w:val="007954DA"/>
    <w:rsid w:val="007959A9"/>
    <w:rsid w:val="007959D7"/>
    <w:rsid w:val="00795AC3"/>
    <w:rsid w:val="00795AD3"/>
    <w:rsid w:val="00795BEE"/>
    <w:rsid w:val="007962E0"/>
    <w:rsid w:val="00796386"/>
    <w:rsid w:val="007966B4"/>
    <w:rsid w:val="00796862"/>
    <w:rsid w:val="00796CFC"/>
    <w:rsid w:val="00796D4B"/>
    <w:rsid w:val="00797165"/>
    <w:rsid w:val="007974B1"/>
    <w:rsid w:val="00797545"/>
    <w:rsid w:val="007975F5"/>
    <w:rsid w:val="00797701"/>
    <w:rsid w:val="00797CF0"/>
    <w:rsid w:val="00797F43"/>
    <w:rsid w:val="00797F7F"/>
    <w:rsid w:val="007A055C"/>
    <w:rsid w:val="007A0767"/>
    <w:rsid w:val="007A0928"/>
    <w:rsid w:val="007A0C8F"/>
    <w:rsid w:val="007A0D76"/>
    <w:rsid w:val="007A111B"/>
    <w:rsid w:val="007A1381"/>
    <w:rsid w:val="007A16F4"/>
    <w:rsid w:val="007A194E"/>
    <w:rsid w:val="007A19B2"/>
    <w:rsid w:val="007A19E0"/>
    <w:rsid w:val="007A1D46"/>
    <w:rsid w:val="007A2072"/>
    <w:rsid w:val="007A2162"/>
    <w:rsid w:val="007A216C"/>
    <w:rsid w:val="007A242A"/>
    <w:rsid w:val="007A2553"/>
    <w:rsid w:val="007A2A37"/>
    <w:rsid w:val="007A2E2A"/>
    <w:rsid w:val="007A3364"/>
    <w:rsid w:val="007A3CC4"/>
    <w:rsid w:val="007A3D28"/>
    <w:rsid w:val="007A3FE3"/>
    <w:rsid w:val="007A4074"/>
    <w:rsid w:val="007A41F4"/>
    <w:rsid w:val="007A44F7"/>
    <w:rsid w:val="007A476B"/>
    <w:rsid w:val="007A483E"/>
    <w:rsid w:val="007A4DE6"/>
    <w:rsid w:val="007A4E7D"/>
    <w:rsid w:val="007A518E"/>
    <w:rsid w:val="007A51C1"/>
    <w:rsid w:val="007A55C4"/>
    <w:rsid w:val="007A55F4"/>
    <w:rsid w:val="007A5738"/>
    <w:rsid w:val="007A573A"/>
    <w:rsid w:val="007A58E0"/>
    <w:rsid w:val="007A5B85"/>
    <w:rsid w:val="007A5D89"/>
    <w:rsid w:val="007A5EEB"/>
    <w:rsid w:val="007A5F26"/>
    <w:rsid w:val="007A60E5"/>
    <w:rsid w:val="007A64CF"/>
    <w:rsid w:val="007A6708"/>
    <w:rsid w:val="007A685F"/>
    <w:rsid w:val="007A6ED6"/>
    <w:rsid w:val="007A71D7"/>
    <w:rsid w:val="007A7600"/>
    <w:rsid w:val="007A7960"/>
    <w:rsid w:val="007AD7E3"/>
    <w:rsid w:val="007B0002"/>
    <w:rsid w:val="007B017D"/>
    <w:rsid w:val="007B01AF"/>
    <w:rsid w:val="007B075C"/>
    <w:rsid w:val="007B083D"/>
    <w:rsid w:val="007B09B4"/>
    <w:rsid w:val="007B09D1"/>
    <w:rsid w:val="007B0ACC"/>
    <w:rsid w:val="007B1265"/>
    <w:rsid w:val="007B1A21"/>
    <w:rsid w:val="007B1ACD"/>
    <w:rsid w:val="007B21B1"/>
    <w:rsid w:val="007B234D"/>
    <w:rsid w:val="007B2840"/>
    <w:rsid w:val="007B28B4"/>
    <w:rsid w:val="007B2E7A"/>
    <w:rsid w:val="007B2FDF"/>
    <w:rsid w:val="007B30EA"/>
    <w:rsid w:val="007B33D2"/>
    <w:rsid w:val="007B354B"/>
    <w:rsid w:val="007B3A86"/>
    <w:rsid w:val="007B3DE7"/>
    <w:rsid w:val="007B4246"/>
    <w:rsid w:val="007B43A1"/>
    <w:rsid w:val="007B4499"/>
    <w:rsid w:val="007B473D"/>
    <w:rsid w:val="007B4BFD"/>
    <w:rsid w:val="007B5366"/>
    <w:rsid w:val="007B5419"/>
    <w:rsid w:val="007B544B"/>
    <w:rsid w:val="007B55D0"/>
    <w:rsid w:val="007B58B3"/>
    <w:rsid w:val="007B5B06"/>
    <w:rsid w:val="007B5E6F"/>
    <w:rsid w:val="007B5F7A"/>
    <w:rsid w:val="007B6199"/>
    <w:rsid w:val="007B63AE"/>
    <w:rsid w:val="007B677E"/>
    <w:rsid w:val="007B690E"/>
    <w:rsid w:val="007B6AAE"/>
    <w:rsid w:val="007B6C4C"/>
    <w:rsid w:val="007B6C69"/>
    <w:rsid w:val="007B6F26"/>
    <w:rsid w:val="007B7279"/>
    <w:rsid w:val="007B7837"/>
    <w:rsid w:val="007B7A69"/>
    <w:rsid w:val="007B7DF3"/>
    <w:rsid w:val="007B7E46"/>
    <w:rsid w:val="007B7F1B"/>
    <w:rsid w:val="007C056D"/>
    <w:rsid w:val="007C05EB"/>
    <w:rsid w:val="007C0F4F"/>
    <w:rsid w:val="007C1743"/>
    <w:rsid w:val="007C1AA2"/>
    <w:rsid w:val="007C1F3A"/>
    <w:rsid w:val="007C2114"/>
    <w:rsid w:val="007C231D"/>
    <w:rsid w:val="007C23AE"/>
    <w:rsid w:val="007C261E"/>
    <w:rsid w:val="007C2806"/>
    <w:rsid w:val="007C2AEF"/>
    <w:rsid w:val="007C2DEB"/>
    <w:rsid w:val="007C34BA"/>
    <w:rsid w:val="007C3946"/>
    <w:rsid w:val="007C3A53"/>
    <w:rsid w:val="007C3A83"/>
    <w:rsid w:val="007C3C2C"/>
    <w:rsid w:val="007C4201"/>
    <w:rsid w:val="007C463C"/>
    <w:rsid w:val="007C46BA"/>
    <w:rsid w:val="007C4ABD"/>
    <w:rsid w:val="007C4B44"/>
    <w:rsid w:val="007C5273"/>
    <w:rsid w:val="007C59EB"/>
    <w:rsid w:val="007C5A14"/>
    <w:rsid w:val="007C5C83"/>
    <w:rsid w:val="007C5D8A"/>
    <w:rsid w:val="007C6321"/>
    <w:rsid w:val="007C662A"/>
    <w:rsid w:val="007C66AF"/>
    <w:rsid w:val="007C6958"/>
    <w:rsid w:val="007C6A21"/>
    <w:rsid w:val="007C6AAA"/>
    <w:rsid w:val="007C708A"/>
    <w:rsid w:val="007C70D1"/>
    <w:rsid w:val="007C7680"/>
    <w:rsid w:val="007C7D92"/>
    <w:rsid w:val="007D00FA"/>
    <w:rsid w:val="007D014E"/>
    <w:rsid w:val="007D022D"/>
    <w:rsid w:val="007D0527"/>
    <w:rsid w:val="007D0846"/>
    <w:rsid w:val="007D0C47"/>
    <w:rsid w:val="007D0D50"/>
    <w:rsid w:val="007D0DD4"/>
    <w:rsid w:val="007D0EF7"/>
    <w:rsid w:val="007D16FF"/>
    <w:rsid w:val="007D1A42"/>
    <w:rsid w:val="007D1A5A"/>
    <w:rsid w:val="007D1AFC"/>
    <w:rsid w:val="007D1DCE"/>
    <w:rsid w:val="007D1DE9"/>
    <w:rsid w:val="007D221D"/>
    <w:rsid w:val="007D269C"/>
    <w:rsid w:val="007D26D0"/>
    <w:rsid w:val="007D2B58"/>
    <w:rsid w:val="007D2B94"/>
    <w:rsid w:val="007D2CAF"/>
    <w:rsid w:val="007D31A0"/>
    <w:rsid w:val="007D34B9"/>
    <w:rsid w:val="007D35B2"/>
    <w:rsid w:val="007D3AEC"/>
    <w:rsid w:val="007D3FD8"/>
    <w:rsid w:val="007D4DC3"/>
    <w:rsid w:val="007D50FE"/>
    <w:rsid w:val="007D5181"/>
    <w:rsid w:val="007D5317"/>
    <w:rsid w:val="007D5450"/>
    <w:rsid w:val="007D573B"/>
    <w:rsid w:val="007D57F6"/>
    <w:rsid w:val="007D5967"/>
    <w:rsid w:val="007D5E26"/>
    <w:rsid w:val="007D5F56"/>
    <w:rsid w:val="007D602B"/>
    <w:rsid w:val="007D61E4"/>
    <w:rsid w:val="007D628A"/>
    <w:rsid w:val="007D62B4"/>
    <w:rsid w:val="007D64D8"/>
    <w:rsid w:val="007D6551"/>
    <w:rsid w:val="007D67A4"/>
    <w:rsid w:val="007D69BC"/>
    <w:rsid w:val="007D6AFB"/>
    <w:rsid w:val="007D6BAA"/>
    <w:rsid w:val="007D6D5E"/>
    <w:rsid w:val="007D6FC8"/>
    <w:rsid w:val="007D7175"/>
    <w:rsid w:val="007D73E1"/>
    <w:rsid w:val="007D769B"/>
    <w:rsid w:val="007D76AE"/>
    <w:rsid w:val="007D77C7"/>
    <w:rsid w:val="007D7CC8"/>
    <w:rsid w:val="007E0349"/>
    <w:rsid w:val="007E0432"/>
    <w:rsid w:val="007E0597"/>
    <w:rsid w:val="007E069D"/>
    <w:rsid w:val="007E0BC4"/>
    <w:rsid w:val="007E0F92"/>
    <w:rsid w:val="007E122B"/>
    <w:rsid w:val="007E1915"/>
    <w:rsid w:val="007E1B41"/>
    <w:rsid w:val="007E2202"/>
    <w:rsid w:val="007E249B"/>
    <w:rsid w:val="007E2590"/>
    <w:rsid w:val="007E2756"/>
    <w:rsid w:val="007E2770"/>
    <w:rsid w:val="007E288F"/>
    <w:rsid w:val="007E2A73"/>
    <w:rsid w:val="007E2E46"/>
    <w:rsid w:val="007E2F5A"/>
    <w:rsid w:val="007E320E"/>
    <w:rsid w:val="007E340D"/>
    <w:rsid w:val="007E3484"/>
    <w:rsid w:val="007E3982"/>
    <w:rsid w:val="007E4176"/>
    <w:rsid w:val="007E41A5"/>
    <w:rsid w:val="007E4646"/>
    <w:rsid w:val="007E4795"/>
    <w:rsid w:val="007E48FD"/>
    <w:rsid w:val="007E4EB3"/>
    <w:rsid w:val="007E4EE6"/>
    <w:rsid w:val="007E5099"/>
    <w:rsid w:val="007E50C5"/>
    <w:rsid w:val="007E55BE"/>
    <w:rsid w:val="007E5A5A"/>
    <w:rsid w:val="007E5BC4"/>
    <w:rsid w:val="007E5CD4"/>
    <w:rsid w:val="007E5CE2"/>
    <w:rsid w:val="007E5D41"/>
    <w:rsid w:val="007E5E2C"/>
    <w:rsid w:val="007E5F27"/>
    <w:rsid w:val="007E6043"/>
    <w:rsid w:val="007E619E"/>
    <w:rsid w:val="007E6254"/>
    <w:rsid w:val="007E62B4"/>
    <w:rsid w:val="007E656D"/>
    <w:rsid w:val="007E65DD"/>
    <w:rsid w:val="007E66E2"/>
    <w:rsid w:val="007E67FB"/>
    <w:rsid w:val="007E6AAB"/>
    <w:rsid w:val="007E6FAA"/>
    <w:rsid w:val="007E7501"/>
    <w:rsid w:val="007E756C"/>
    <w:rsid w:val="007E7B9F"/>
    <w:rsid w:val="007E7D0D"/>
    <w:rsid w:val="007E7E1C"/>
    <w:rsid w:val="007F03D9"/>
    <w:rsid w:val="007F0776"/>
    <w:rsid w:val="007F07F4"/>
    <w:rsid w:val="007F07FD"/>
    <w:rsid w:val="007F0BF6"/>
    <w:rsid w:val="007F0CB8"/>
    <w:rsid w:val="007F0FD2"/>
    <w:rsid w:val="007F1016"/>
    <w:rsid w:val="007F10FC"/>
    <w:rsid w:val="007F142B"/>
    <w:rsid w:val="007F190C"/>
    <w:rsid w:val="007F19AA"/>
    <w:rsid w:val="007F2272"/>
    <w:rsid w:val="007F2306"/>
    <w:rsid w:val="007F26DB"/>
    <w:rsid w:val="007F2C18"/>
    <w:rsid w:val="007F2DF4"/>
    <w:rsid w:val="007F2F43"/>
    <w:rsid w:val="007F2F4D"/>
    <w:rsid w:val="007F37AD"/>
    <w:rsid w:val="007F37AE"/>
    <w:rsid w:val="007F38D3"/>
    <w:rsid w:val="007F3C73"/>
    <w:rsid w:val="007F42CF"/>
    <w:rsid w:val="007F4331"/>
    <w:rsid w:val="007F48BB"/>
    <w:rsid w:val="007F48ED"/>
    <w:rsid w:val="007F4D56"/>
    <w:rsid w:val="007F4D74"/>
    <w:rsid w:val="007F4F16"/>
    <w:rsid w:val="007F53A9"/>
    <w:rsid w:val="007F55F1"/>
    <w:rsid w:val="007F5C43"/>
    <w:rsid w:val="007F5D52"/>
    <w:rsid w:val="007F5EAD"/>
    <w:rsid w:val="007F5F33"/>
    <w:rsid w:val="007F6724"/>
    <w:rsid w:val="007F67A9"/>
    <w:rsid w:val="007F691E"/>
    <w:rsid w:val="007F6E0C"/>
    <w:rsid w:val="007F727C"/>
    <w:rsid w:val="007F73E2"/>
    <w:rsid w:val="007F748F"/>
    <w:rsid w:val="007F7624"/>
    <w:rsid w:val="007F76BB"/>
    <w:rsid w:val="007F7E2B"/>
    <w:rsid w:val="0080043A"/>
    <w:rsid w:val="00800555"/>
    <w:rsid w:val="00800593"/>
    <w:rsid w:val="008005CC"/>
    <w:rsid w:val="0080060F"/>
    <w:rsid w:val="00800797"/>
    <w:rsid w:val="00800C51"/>
    <w:rsid w:val="00800CA5"/>
    <w:rsid w:val="00800CAA"/>
    <w:rsid w:val="00800FC4"/>
    <w:rsid w:val="00801189"/>
    <w:rsid w:val="00801548"/>
    <w:rsid w:val="00801586"/>
    <w:rsid w:val="0080159E"/>
    <w:rsid w:val="008019DF"/>
    <w:rsid w:val="00801A3A"/>
    <w:rsid w:val="00801E69"/>
    <w:rsid w:val="00802385"/>
    <w:rsid w:val="0080240A"/>
    <w:rsid w:val="008026E5"/>
    <w:rsid w:val="0080298A"/>
    <w:rsid w:val="0080298B"/>
    <w:rsid w:val="00802A07"/>
    <w:rsid w:val="00802C75"/>
    <w:rsid w:val="00802DA5"/>
    <w:rsid w:val="00803046"/>
    <w:rsid w:val="00803776"/>
    <w:rsid w:val="008037DB"/>
    <w:rsid w:val="008039AB"/>
    <w:rsid w:val="00803B4B"/>
    <w:rsid w:val="00803BF3"/>
    <w:rsid w:val="008040B3"/>
    <w:rsid w:val="008040BC"/>
    <w:rsid w:val="008040E8"/>
    <w:rsid w:val="00804470"/>
    <w:rsid w:val="008045AD"/>
    <w:rsid w:val="008048AD"/>
    <w:rsid w:val="00804913"/>
    <w:rsid w:val="00804ABA"/>
    <w:rsid w:val="00804E79"/>
    <w:rsid w:val="0080503F"/>
    <w:rsid w:val="00805262"/>
    <w:rsid w:val="00805269"/>
    <w:rsid w:val="0080543D"/>
    <w:rsid w:val="008055A7"/>
    <w:rsid w:val="008055EA"/>
    <w:rsid w:val="0080578D"/>
    <w:rsid w:val="008058F6"/>
    <w:rsid w:val="00805C7D"/>
    <w:rsid w:val="00805DE6"/>
    <w:rsid w:val="00805FB9"/>
    <w:rsid w:val="00806141"/>
    <w:rsid w:val="00806932"/>
    <w:rsid w:val="00806B10"/>
    <w:rsid w:val="00806BF8"/>
    <w:rsid w:val="00807252"/>
    <w:rsid w:val="00807383"/>
    <w:rsid w:val="00807419"/>
    <w:rsid w:val="008076A5"/>
    <w:rsid w:val="008077B2"/>
    <w:rsid w:val="0080780B"/>
    <w:rsid w:val="008078B7"/>
    <w:rsid w:val="00807C1A"/>
    <w:rsid w:val="00807CE2"/>
    <w:rsid w:val="00807CE5"/>
    <w:rsid w:val="00810474"/>
    <w:rsid w:val="008111F2"/>
    <w:rsid w:val="0081147E"/>
    <w:rsid w:val="00812128"/>
    <w:rsid w:val="00812176"/>
    <w:rsid w:val="00812321"/>
    <w:rsid w:val="00812AAE"/>
    <w:rsid w:val="00812AF2"/>
    <w:rsid w:val="00812D5C"/>
    <w:rsid w:val="00812E06"/>
    <w:rsid w:val="00813274"/>
    <w:rsid w:val="00813288"/>
    <w:rsid w:val="00813315"/>
    <w:rsid w:val="008133B2"/>
    <w:rsid w:val="008136B2"/>
    <w:rsid w:val="00813804"/>
    <w:rsid w:val="00813855"/>
    <w:rsid w:val="00813888"/>
    <w:rsid w:val="00813B99"/>
    <w:rsid w:val="00814159"/>
    <w:rsid w:val="008141D2"/>
    <w:rsid w:val="0081445E"/>
    <w:rsid w:val="0081457A"/>
    <w:rsid w:val="008145BC"/>
    <w:rsid w:val="00814855"/>
    <w:rsid w:val="00814AC5"/>
    <w:rsid w:val="00814AF0"/>
    <w:rsid w:val="00814D42"/>
    <w:rsid w:val="00814F0E"/>
    <w:rsid w:val="00815556"/>
    <w:rsid w:val="00815A27"/>
    <w:rsid w:val="00816359"/>
    <w:rsid w:val="00816442"/>
    <w:rsid w:val="008164CF"/>
    <w:rsid w:val="0081656D"/>
    <w:rsid w:val="0081659C"/>
    <w:rsid w:val="00816884"/>
    <w:rsid w:val="00816F05"/>
    <w:rsid w:val="00817166"/>
    <w:rsid w:val="00817469"/>
    <w:rsid w:val="008174E0"/>
    <w:rsid w:val="008176C7"/>
    <w:rsid w:val="008177C2"/>
    <w:rsid w:val="00817A33"/>
    <w:rsid w:val="00817C17"/>
    <w:rsid w:val="00817F19"/>
    <w:rsid w:val="008200F6"/>
    <w:rsid w:val="0082043D"/>
    <w:rsid w:val="008204D5"/>
    <w:rsid w:val="008206A5"/>
    <w:rsid w:val="008208ED"/>
    <w:rsid w:val="00820AEC"/>
    <w:rsid w:val="00820B2F"/>
    <w:rsid w:val="00820CE9"/>
    <w:rsid w:val="00820D90"/>
    <w:rsid w:val="00820DC9"/>
    <w:rsid w:val="00820F3A"/>
    <w:rsid w:val="00820FC7"/>
    <w:rsid w:val="00821271"/>
    <w:rsid w:val="00821C68"/>
    <w:rsid w:val="00821C76"/>
    <w:rsid w:val="00821C8D"/>
    <w:rsid w:val="00821CA8"/>
    <w:rsid w:val="00822050"/>
    <w:rsid w:val="0082225E"/>
    <w:rsid w:val="00822425"/>
    <w:rsid w:val="0082242E"/>
    <w:rsid w:val="00822787"/>
    <w:rsid w:val="00822798"/>
    <w:rsid w:val="00822DF8"/>
    <w:rsid w:val="00822E12"/>
    <w:rsid w:val="00822F9D"/>
    <w:rsid w:val="00822FEE"/>
    <w:rsid w:val="0082313E"/>
    <w:rsid w:val="008232CC"/>
    <w:rsid w:val="0082343D"/>
    <w:rsid w:val="00823459"/>
    <w:rsid w:val="00823477"/>
    <w:rsid w:val="00823C26"/>
    <w:rsid w:val="00823EAE"/>
    <w:rsid w:val="00823F6F"/>
    <w:rsid w:val="00824055"/>
    <w:rsid w:val="0082405D"/>
    <w:rsid w:val="008242B4"/>
    <w:rsid w:val="00824671"/>
    <w:rsid w:val="008246B9"/>
    <w:rsid w:val="00824A4A"/>
    <w:rsid w:val="00824AF1"/>
    <w:rsid w:val="00824BE7"/>
    <w:rsid w:val="00824D37"/>
    <w:rsid w:val="00824D4D"/>
    <w:rsid w:val="00824E46"/>
    <w:rsid w:val="00825189"/>
    <w:rsid w:val="0082519E"/>
    <w:rsid w:val="00825227"/>
    <w:rsid w:val="008252D3"/>
    <w:rsid w:val="00825335"/>
    <w:rsid w:val="008253A1"/>
    <w:rsid w:val="008257AA"/>
    <w:rsid w:val="0082585C"/>
    <w:rsid w:val="008259D7"/>
    <w:rsid w:val="00825B33"/>
    <w:rsid w:val="00825C27"/>
    <w:rsid w:val="00825CBB"/>
    <w:rsid w:val="00825DFA"/>
    <w:rsid w:val="00825FA7"/>
    <w:rsid w:val="008263BD"/>
    <w:rsid w:val="008264D6"/>
    <w:rsid w:val="0082663A"/>
    <w:rsid w:val="008266F1"/>
    <w:rsid w:val="008268CA"/>
    <w:rsid w:val="00826994"/>
    <w:rsid w:val="008269A8"/>
    <w:rsid w:val="00826EB4"/>
    <w:rsid w:val="008270CD"/>
    <w:rsid w:val="008273FF"/>
    <w:rsid w:val="0082748B"/>
    <w:rsid w:val="008275F5"/>
    <w:rsid w:val="008276E7"/>
    <w:rsid w:val="00827733"/>
    <w:rsid w:val="00827924"/>
    <w:rsid w:val="00827ACF"/>
    <w:rsid w:val="00827F8D"/>
    <w:rsid w:val="00830030"/>
    <w:rsid w:val="008300C9"/>
    <w:rsid w:val="00830447"/>
    <w:rsid w:val="008306D8"/>
    <w:rsid w:val="00830920"/>
    <w:rsid w:val="00830AC8"/>
    <w:rsid w:val="00830C27"/>
    <w:rsid w:val="008313BB"/>
    <w:rsid w:val="008313E6"/>
    <w:rsid w:val="00831943"/>
    <w:rsid w:val="00831B63"/>
    <w:rsid w:val="00831BD2"/>
    <w:rsid w:val="00831E69"/>
    <w:rsid w:val="00831EFF"/>
    <w:rsid w:val="00831F1E"/>
    <w:rsid w:val="0083219B"/>
    <w:rsid w:val="0083247A"/>
    <w:rsid w:val="00832DA5"/>
    <w:rsid w:val="008331E9"/>
    <w:rsid w:val="008332FE"/>
    <w:rsid w:val="00833474"/>
    <w:rsid w:val="0083357E"/>
    <w:rsid w:val="00833663"/>
    <w:rsid w:val="008336D4"/>
    <w:rsid w:val="008337A8"/>
    <w:rsid w:val="00833AF4"/>
    <w:rsid w:val="00833BA9"/>
    <w:rsid w:val="00833CCA"/>
    <w:rsid w:val="00833DDE"/>
    <w:rsid w:val="0083403D"/>
    <w:rsid w:val="00834301"/>
    <w:rsid w:val="0083440F"/>
    <w:rsid w:val="00834420"/>
    <w:rsid w:val="00834505"/>
    <w:rsid w:val="008345BF"/>
    <w:rsid w:val="00834876"/>
    <w:rsid w:val="008348F3"/>
    <w:rsid w:val="00834AAD"/>
    <w:rsid w:val="00834CE9"/>
    <w:rsid w:val="00835077"/>
    <w:rsid w:val="00835635"/>
    <w:rsid w:val="00835773"/>
    <w:rsid w:val="00835B17"/>
    <w:rsid w:val="00835CCC"/>
    <w:rsid w:val="00835FCE"/>
    <w:rsid w:val="0083602B"/>
    <w:rsid w:val="00836126"/>
    <w:rsid w:val="00836715"/>
    <w:rsid w:val="00836E03"/>
    <w:rsid w:val="00836EFF"/>
    <w:rsid w:val="00836F2C"/>
    <w:rsid w:val="00837848"/>
    <w:rsid w:val="008379C8"/>
    <w:rsid w:val="00837D08"/>
    <w:rsid w:val="00840853"/>
    <w:rsid w:val="0084097C"/>
    <w:rsid w:val="00840AAC"/>
    <w:rsid w:val="00840B80"/>
    <w:rsid w:val="00841076"/>
    <w:rsid w:val="008416C0"/>
    <w:rsid w:val="008416F2"/>
    <w:rsid w:val="008418B1"/>
    <w:rsid w:val="008418F3"/>
    <w:rsid w:val="008419C5"/>
    <w:rsid w:val="00841BFE"/>
    <w:rsid w:val="00841C7E"/>
    <w:rsid w:val="00841F59"/>
    <w:rsid w:val="00841F66"/>
    <w:rsid w:val="0084226A"/>
    <w:rsid w:val="00842BB3"/>
    <w:rsid w:val="00842F90"/>
    <w:rsid w:val="0084310E"/>
    <w:rsid w:val="00843591"/>
    <w:rsid w:val="00843761"/>
    <w:rsid w:val="008438B6"/>
    <w:rsid w:val="00843AA6"/>
    <w:rsid w:val="00843E2B"/>
    <w:rsid w:val="00843FFE"/>
    <w:rsid w:val="0084406B"/>
    <w:rsid w:val="008443BA"/>
    <w:rsid w:val="0084458D"/>
    <w:rsid w:val="00844606"/>
    <w:rsid w:val="008446F6"/>
    <w:rsid w:val="00844AA5"/>
    <w:rsid w:val="008458D1"/>
    <w:rsid w:val="00845939"/>
    <w:rsid w:val="00845AEA"/>
    <w:rsid w:val="00845C2E"/>
    <w:rsid w:val="00845D3D"/>
    <w:rsid w:val="00845F26"/>
    <w:rsid w:val="00846069"/>
    <w:rsid w:val="008460AE"/>
    <w:rsid w:val="008462C7"/>
    <w:rsid w:val="0084644F"/>
    <w:rsid w:val="008464D2"/>
    <w:rsid w:val="008465E6"/>
    <w:rsid w:val="00846905"/>
    <w:rsid w:val="00846A7E"/>
    <w:rsid w:val="00847379"/>
    <w:rsid w:val="00847536"/>
    <w:rsid w:val="008476AA"/>
    <w:rsid w:val="008477BD"/>
    <w:rsid w:val="0084781B"/>
    <w:rsid w:val="0084791B"/>
    <w:rsid w:val="0084796D"/>
    <w:rsid w:val="00847B3A"/>
    <w:rsid w:val="00847CB1"/>
    <w:rsid w:val="00847D3B"/>
    <w:rsid w:val="00847ED7"/>
    <w:rsid w:val="00847F2D"/>
    <w:rsid w:val="008500FA"/>
    <w:rsid w:val="00850396"/>
    <w:rsid w:val="008506D0"/>
    <w:rsid w:val="00850895"/>
    <w:rsid w:val="008509E2"/>
    <w:rsid w:val="00850CC6"/>
    <w:rsid w:val="00850DEB"/>
    <w:rsid w:val="008511B7"/>
    <w:rsid w:val="008512A6"/>
    <w:rsid w:val="008513C5"/>
    <w:rsid w:val="008513EA"/>
    <w:rsid w:val="008514DE"/>
    <w:rsid w:val="008514F5"/>
    <w:rsid w:val="008516A0"/>
    <w:rsid w:val="008517C9"/>
    <w:rsid w:val="008517EE"/>
    <w:rsid w:val="00851A99"/>
    <w:rsid w:val="00851B1C"/>
    <w:rsid w:val="00851B27"/>
    <w:rsid w:val="00851C82"/>
    <w:rsid w:val="00851ED1"/>
    <w:rsid w:val="00851F36"/>
    <w:rsid w:val="00852052"/>
    <w:rsid w:val="00852113"/>
    <w:rsid w:val="00852141"/>
    <w:rsid w:val="0085294E"/>
    <w:rsid w:val="00852A01"/>
    <w:rsid w:val="00852BFE"/>
    <w:rsid w:val="00852F8B"/>
    <w:rsid w:val="00853100"/>
    <w:rsid w:val="0085396A"/>
    <w:rsid w:val="00853A2E"/>
    <w:rsid w:val="00853D05"/>
    <w:rsid w:val="00853D12"/>
    <w:rsid w:val="00853F0F"/>
    <w:rsid w:val="00853F97"/>
    <w:rsid w:val="008540EB"/>
    <w:rsid w:val="0085431B"/>
    <w:rsid w:val="0085444A"/>
    <w:rsid w:val="008544B5"/>
    <w:rsid w:val="00854566"/>
    <w:rsid w:val="00854AC2"/>
    <w:rsid w:val="00854BC0"/>
    <w:rsid w:val="00854C05"/>
    <w:rsid w:val="008558EF"/>
    <w:rsid w:val="008559FD"/>
    <w:rsid w:val="00855C66"/>
    <w:rsid w:val="00855D46"/>
    <w:rsid w:val="008560CE"/>
    <w:rsid w:val="008561F9"/>
    <w:rsid w:val="00856992"/>
    <w:rsid w:val="00856A09"/>
    <w:rsid w:val="00856AA3"/>
    <w:rsid w:val="00857DEE"/>
    <w:rsid w:val="00857DF4"/>
    <w:rsid w:val="0085F2EF"/>
    <w:rsid w:val="008607F2"/>
    <w:rsid w:val="00860AD4"/>
    <w:rsid w:val="00860C63"/>
    <w:rsid w:val="00860DB7"/>
    <w:rsid w:val="00860DD6"/>
    <w:rsid w:val="00860F8F"/>
    <w:rsid w:val="00860F9B"/>
    <w:rsid w:val="00860FAE"/>
    <w:rsid w:val="00861272"/>
    <w:rsid w:val="00861477"/>
    <w:rsid w:val="008614CA"/>
    <w:rsid w:val="0086179E"/>
    <w:rsid w:val="00862226"/>
    <w:rsid w:val="00862902"/>
    <w:rsid w:val="00862C4F"/>
    <w:rsid w:val="00862CD3"/>
    <w:rsid w:val="00862DAC"/>
    <w:rsid w:val="00863378"/>
    <w:rsid w:val="008637E9"/>
    <w:rsid w:val="00863958"/>
    <w:rsid w:val="00863D7C"/>
    <w:rsid w:val="00863DF7"/>
    <w:rsid w:val="00863E90"/>
    <w:rsid w:val="00863EF6"/>
    <w:rsid w:val="0086409B"/>
    <w:rsid w:val="00864660"/>
    <w:rsid w:val="00864B33"/>
    <w:rsid w:val="00864B88"/>
    <w:rsid w:val="0086511E"/>
    <w:rsid w:val="0086530E"/>
    <w:rsid w:val="008654CA"/>
    <w:rsid w:val="00865506"/>
    <w:rsid w:val="0086566F"/>
    <w:rsid w:val="008656F8"/>
    <w:rsid w:val="008658AA"/>
    <w:rsid w:val="00865C52"/>
    <w:rsid w:val="00865D6C"/>
    <w:rsid w:val="00865DC7"/>
    <w:rsid w:val="00865FE9"/>
    <w:rsid w:val="00866341"/>
    <w:rsid w:val="0086637F"/>
    <w:rsid w:val="00866B94"/>
    <w:rsid w:val="00866EB5"/>
    <w:rsid w:val="00866EEF"/>
    <w:rsid w:val="00867014"/>
    <w:rsid w:val="00867290"/>
    <w:rsid w:val="008672FE"/>
    <w:rsid w:val="0086738B"/>
    <w:rsid w:val="00867459"/>
    <w:rsid w:val="00867703"/>
    <w:rsid w:val="00867833"/>
    <w:rsid w:val="00867B6F"/>
    <w:rsid w:val="00867CE1"/>
    <w:rsid w:val="00867DA2"/>
    <w:rsid w:val="00867E4D"/>
    <w:rsid w:val="00867F26"/>
    <w:rsid w:val="00867F43"/>
    <w:rsid w:val="0087007B"/>
    <w:rsid w:val="0087008C"/>
    <w:rsid w:val="008700CA"/>
    <w:rsid w:val="00870128"/>
    <w:rsid w:val="008701E7"/>
    <w:rsid w:val="008703C3"/>
    <w:rsid w:val="00870508"/>
    <w:rsid w:val="00870722"/>
    <w:rsid w:val="008709A1"/>
    <w:rsid w:val="00870B54"/>
    <w:rsid w:val="00870C6F"/>
    <w:rsid w:val="00870C8B"/>
    <w:rsid w:val="00871095"/>
    <w:rsid w:val="008714E6"/>
    <w:rsid w:val="0087151E"/>
    <w:rsid w:val="00871A9E"/>
    <w:rsid w:val="00871AF3"/>
    <w:rsid w:val="00871B95"/>
    <w:rsid w:val="00872461"/>
    <w:rsid w:val="008724E3"/>
    <w:rsid w:val="0087271B"/>
    <w:rsid w:val="00872DB3"/>
    <w:rsid w:val="00873001"/>
    <w:rsid w:val="00873068"/>
    <w:rsid w:val="0087326F"/>
    <w:rsid w:val="00873530"/>
    <w:rsid w:val="008735DD"/>
    <w:rsid w:val="008737CC"/>
    <w:rsid w:val="00873986"/>
    <w:rsid w:val="00873CDB"/>
    <w:rsid w:val="00873E43"/>
    <w:rsid w:val="008742B1"/>
    <w:rsid w:val="00874609"/>
    <w:rsid w:val="0087490F"/>
    <w:rsid w:val="00874991"/>
    <w:rsid w:val="00874AD4"/>
    <w:rsid w:val="00874B51"/>
    <w:rsid w:val="00874DD4"/>
    <w:rsid w:val="00874E18"/>
    <w:rsid w:val="008751E6"/>
    <w:rsid w:val="0087531F"/>
    <w:rsid w:val="00875B1F"/>
    <w:rsid w:val="00875D8A"/>
    <w:rsid w:val="00875FD1"/>
    <w:rsid w:val="00875FFE"/>
    <w:rsid w:val="00876321"/>
    <w:rsid w:val="0087659D"/>
    <w:rsid w:val="00876731"/>
    <w:rsid w:val="00876797"/>
    <w:rsid w:val="008769B5"/>
    <w:rsid w:val="00876B80"/>
    <w:rsid w:val="00876E8B"/>
    <w:rsid w:val="008774C0"/>
    <w:rsid w:val="00877BD5"/>
    <w:rsid w:val="00877DE5"/>
    <w:rsid w:val="00877F09"/>
    <w:rsid w:val="0088010C"/>
    <w:rsid w:val="008802CA"/>
    <w:rsid w:val="00880355"/>
    <w:rsid w:val="0088051A"/>
    <w:rsid w:val="00880834"/>
    <w:rsid w:val="00880CBB"/>
    <w:rsid w:val="00880FD7"/>
    <w:rsid w:val="0088127C"/>
    <w:rsid w:val="0088159C"/>
    <w:rsid w:val="00881887"/>
    <w:rsid w:val="008818E4"/>
    <w:rsid w:val="00881FA5"/>
    <w:rsid w:val="008822D5"/>
    <w:rsid w:val="00882364"/>
    <w:rsid w:val="008823A3"/>
    <w:rsid w:val="008824F9"/>
    <w:rsid w:val="008826DC"/>
    <w:rsid w:val="00882967"/>
    <w:rsid w:val="00882BE0"/>
    <w:rsid w:val="00882C14"/>
    <w:rsid w:val="00882E4B"/>
    <w:rsid w:val="00883483"/>
    <w:rsid w:val="008839E4"/>
    <w:rsid w:val="00883CA2"/>
    <w:rsid w:val="00883D38"/>
    <w:rsid w:val="00883E17"/>
    <w:rsid w:val="00884163"/>
    <w:rsid w:val="008842DF"/>
    <w:rsid w:val="00884465"/>
    <w:rsid w:val="0088477C"/>
    <w:rsid w:val="0088484D"/>
    <w:rsid w:val="00884CE8"/>
    <w:rsid w:val="00884EF2"/>
    <w:rsid w:val="008852AB"/>
    <w:rsid w:val="0088545A"/>
    <w:rsid w:val="00885671"/>
    <w:rsid w:val="00885D54"/>
    <w:rsid w:val="00885E17"/>
    <w:rsid w:val="008863A6"/>
    <w:rsid w:val="008865E3"/>
    <w:rsid w:val="008865F9"/>
    <w:rsid w:val="008866E0"/>
    <w:rsid w:val="00886F5E"/>
    <w:rsid w:val="008872C2"/>
    <w:rsid w:val="008872C6"/>
    <w:rsid w:val="00887CAB"/>
    <w:rsid w:val="0089021A"/>
    <w:rsid w:val="008902C1"/>
    <w:rsid w:val="00890481"/>
    <w:rsid w:val="00890B56"/>
    <w:rsid w:val="00890ED1"/>
    <w:rsid w:val="00891182"/>
    <w:rsid w:val="008911CD"/>
    <w:rsid w:val="00891206"/>
    <w:rsid w:val="00892250"/>
    <w:rsid w:val="008922AC"/>
    <w:rsid w:val="008922E2"/>
    <w:rsid w:val="0089248B"/>
    <w:rsid w:val="00892A3C"/>
    <w:rsid w:val="00892BFA"/>
    <w:rsid w:val="00893121"/>
    <w:rsid w:val="00893473"/>
    <w:rsid w:val="00893656"/>
    <w:rsid w:val="0089365A"/>
    <w:rsid w:val="0089396D"/>
    <w:rsid w:val="008939CF"/>
    <w:rsid w:val="00893B73"/>
    <w:rsid w:val="00893CEE"/>
    <w:rsid w:val="00893D96"/>
    <w:rsid w:val="0089400A"/>
    <w:rsid w:val="00894067"/>
    <w:rsid w:val="00894301"/>
    <w:rsid w:val="008944F0"/>
    <w:rsid w:val="00894772"/>
    <w:rsid w:val="008949E8"/>
    <w:rsid w:val="00894BCE"/>
    <w:rsid w:val="00894BFF"/>
    <w:rsid w:val="00894C3C"/>
    <w:rsid w:val="0089516D"/>
    <w:rsid w:val="00895193"/>
    <w:rsid w:val="008952F1"/>
    <w:rsid w:val="00895545"/>
    <w:rsid w:val="00895AB8"/>
    <w:rsid w:val="00895D58"/>
    <w:rsid w:val="00895E0F"/>
    <w:rsid w:val="00895F87"/>
    <w:rsid w:val="008961A7"/>
    <w:rsid w:val="008962CD"/>
    <w:rsid w:val="008963A5"/>
    <w:rsid w:val="00896575"/>
    <w:rsid w:val="00896612"/>
    <w:rsid w:val="008966F8"/>
    <w:rsid w:val="008968D9"/>
    <w:rsid w:val="0089690E"/>
    <w:rsid w:val="00896A26"/>
    <w:rsid w:val="00896BC5"/>
    <w:rsid w:val="00896ED7"/>
    <w:rsid w:val="00897960"/>
    <w:rsid w:val="0089797E"/>
    <w:rsid w:val="00897A0E"/>
    <w:rsid w:val="00897ED1"/>
    <w:rsid w:val="00897F20"/>
    <w:rsid w:val="008A0453"/>
    <w:rsid w:val="008A061D"/>
    <w:rsid w:val="008A07CE"/>
    <w:rsid w:val="008A07F0"/>
    <w:rsid w:val="008A0C6F"/>
    <w:rsid w:val="008A1609"/>
    <w:rsid w:val="008A1BAA"/>
    <w:rsid w:val="008A1BC1"/>
    <w:rsid w:val="008A1E72"/>
    <w:rsid w:val="008A2413"/>
    <w:rsid w:val="008A25A6"/>
    <w:rsid w:val="008A2904"/>
    <w:rsid w:val="008A291F"/>
    <w:rsid w:val="008A2E0C"/>
    <w:rsid w:val="008A34E0"/>
    <w:rsid w:val="008A368E"/>
    <w:rsid w:val="008A36F0"/>
    <w:rsid w:val="008A37E5"/>
    <w:rsid w:val="008A401D"/>
    <w:rsid w:val="008A4256"/>
    <w:rsid w:val="008A451C"/>
    <w:rsid w:val="008A47DC"/>
    <w:rsid w:val="008A4824"/>
    <w:rsid w:val="008A49B1"/>
    <w:rsid w:val="008A4F1E"/>
    <w:rsid w:val="008A529E"/>
    <w:rsid w:val="008A53F8"/>
    <w:rsid w:val="008A56DC"/>
    <w:rsid w:val="008A5771"/>
    <w:rsid w:val="008A57FB"/>
    <w:rsid w:val="008A5E33"/>
    <w:rsid w:val="008A5ED4"/>
    <w:rsid w:val="008A63B0"/>
    <w:rsid w:val="008A65AB"/>
    <w:rsid w:val="008A6623"/>
    <w:rsid w:val="008A663D"/>
    <w:rsid w:val="008A680F"/>
    <w:rsid w:val="008A6A40"/>
    <w:rsid w:val="008A728F"/>
    <w:rsid w:val="008A73C1"/>
    <w:rsid w:val="008A74D2"/>
    <w:rsid w:val="008A76A5"/>
    <w:rsid w:val="008B007B"/>
    <w:rsid w:val="008B052D"/>
    <w:rsid w:val="008B0B57"/>
    <w:rsid w:val="008B0CB1"/>
    <w:rsid w:val="008B1089"/>
    <w:rsid w:val="008B1146"/>
    <w:rsid w:val="008B114F"/>
    <w:rsid w:val="008B1150"/>
    <w:rsid w:val="008B1161"/>
    <w:rsid w:val="008B1293"/>
    <w:rsid w:val="008B13DE"/>
    <w:rsid w:val="008B1813"/>
    <w:rsid w:val="008B1870"/>
    <w:rsid w:val="008B21B6"/>
    <w:rsid w:val="008B2236"/>
    <w:rsid w:val="008B226B"/>
    <w:rsid w:val="008B22DB"/>
    <w:rsid w:val="008B297A"/>
    <w:rsid w:val="008B2FAB"/>
    <w:rsid w:val="008B31D5"/>
    <w:rsid w:val="008B3498"/>
    <w:rsid w:val="008B3A18"/>
    <w:rsid w:val="008B3A4A"/>
    <w:rsid w:val="008B3D66"/>
    <w:rsid w:val="008B411F"/>
    <w:rsid w:val="008B4175"/>
    <w:rsid w:val="008B4397"/>
    <w:rsid w:val="008B444E"/>
    <w:rsid w:val="008B44D0"/>
    <w:rsid w:val="008B452F"/>
    <w:rsid w:val="008B4626"/>
    <w:rsid w:val="008B47CA"/>
    <w:rsid w:val="008B48B7"/>
    <w:rsid w:val="008B4976"/>
    <w:rsid w:val="008B4FC7"/>
    <w:rsid w:val="008B5102"/>
    <w:rsid w:val="008B548D"/>
    <w:rsid w:val="008B58E7"/>
    <w:rsid w:val="008B5E20"/>
    <w:rsid w:val="008B615E"/>
    <w:rsid w:val="008B63D6"/>
    <w:rsid w:val="008B67BC"/>
    <w:rsid w:val="008B6E48"/>
    <w:rsid w:val="008B6FC0"/>
    <w:rsid w:val="008B7102"/>
    <w:rsid w:val="008B7149"/>
    <w:rsid w:val="008B71D6"/>
    <w:rsid w:val="008B723D"/>
    <w:rsid w:val="008B76EE"/>
    <w:rsid w:val="008B7721"/>
    <w:rsid w:val="008B77E9"/>
    <w:rsid w:val="008B781A"/>
    <w:rsid w:val="008B7CB2"/>
    <w:rsid w:val="008C0597"/>
    <w:rsid w:val="008C081E"/>
    <w:rsid w:val="008C0BCD"/>
    <w:rsid w:val="008C0E6B"/>
    <w:rsid w:val="008C1B54"/>
    <w:rsid w:val="008C23C8"/>
    <w:rsid w:val="008C23C9"/>
    <w:rsid w:val="008C24CB"/>
    <w:rsid w:val="008C2C78"/>
    <w:rsid w:val="008C2E28"/>
    <w:rsid w:val="008C2FA9"/>
    <w:rsid w:val="008C30E7"/>
    <w:rsid w:val="008C310E"/>
    <w:rsid w:val="008C32A9"/>
    <w:rsid w:val="008C33E6"/>
    <w:rsid w:val="008C363C"/>
    <w:rsid w:val="008C37DA"/>
    <w:rsid w:val="008C3A88"/>
    <w:rsid w:val="008C3B2E"/>
    <w:rsid w:val="008C4352"/>
    <w:rsid w:val="008C4456"/>
    <w:rsid w:val="008C47FA"/>
    <w:rsid w:val="008C497B"/>
    <w:rsid w:val="008C4C86"/>
    <w:rsid w:val="008C4CC1"/>
    <w:rsid w:val="008C4DF2"/>
    <w:rsid w:val="008C4F20"/>
    <w:rsid w:val="008C5008"/>
    <w:rsid w:val="008C525B"/>
    <w:rsid w:val="008C5B5B"/>
    <w:rsid w:val="008C5E64"/>
    <w:rsid w:val="008C65CC"/>
    <w:rsid w:val="008C6796"/>
    <w:rsid w:val="008C6D97"/>
    <w:rsid w:val="008C6FA4"/>
    <w:rsid w:val="008C7015"/>
    <w:rsid w:val="008C7160"/>
    <w:rsid w:val="008C73AC"/>
    <w:rsid w:val="008C7674"/>
    <w:rsid w:val="008C770D"/>
    <w:rsid w:val="008C781A"/>
    <w:rsid w:val="008C7953"/>
    <w:rsid w:val="008C79B9"/>
    <w:rsid w:val="008C7B2E"/>
    <w:rsid w:val="008C7C58"/>
    <w:rsid w:val="008C7C7C"/>
    <w:rsid w:val="008D052F"/>
    <w:rsid w:val="008D06AC"/>
    <w:rsid w:val="008D06CF"/>
    <w:rsid w:val="008D0782"/>
    <w:rsid w:val="008D0833"/>
    <w:rsid w:val="008D0D2A"/>
    <w:rsid w:val="008D0DAA"/>
    <w:rsid w:val="008D115B"/>
    <w:rsid w:val="008D122C"/>
    <w:rsid w:val="008D1351"/>
    <w:rsid w:val="008D1B09"/>
    <w:rsid w:val="008D1B67"/>
    <w:rsid w:val="008D1DA5"/>
    <w:rsid w:val="008D204F"/>
    <w:rsid w:val="008D20E2"/>
    <w:rsid w:val="008D2521"/>
    <w:rsid w:val="008D2C41"/>
    <w:rsid w:val="008D3301"/>
    <w:rsid w:val="008D3347"/>
    <w:rsid w:val="008D394B"/>
    <w:rsid w:val="008D3AC8"/>
    <w:rsid w:val="008D4E81"/>
    <w:rsid w:val="008D4F44"/>
    <w:rsid w:val="008D5053"/>
    <w:rsid w:val="008D51EC"/>
    <w:rsid w:val="008D5326"/>
    <w:rsid w:val="008D53DC"/>
    <w:rsid w:val="008D5517"/>
    <w:rsid w:val="008D5530"/>
    <w:rsid w:val="008D582A"/>
    <w:rsid w:val="008D5960"/>
    <w:rsid w:val="008D5A82"/>
    <w:rsid w:val="008D5C2B"/>
    <w:rsid w:val="008D6132"/>
    <w:rsid w:val="008D6163"/>
    <w:rsid w:val="008D64F3"/>
    <w:rsid w:val="008D6627"/>
    <w:rsid w:val="008D684F"/>
    <w:rsid w:val="008D6B42"/>
    <w:rsid w:val="008D6B6B"/>
    <w:rsid w:val="008D6CA4"/>
    <w:rsid w:val="008D6CCB"/>
    <w:rsid w:val="008D6EF6"/>
    <w:rsid w:val="008D71C6"/>
    <w:rsid w:val="008D754B"/>
    <w:rsid w:val="008D7579"/>
    <w:rsid w:val="008D7731"/>
    <w:rsid w:val="008D77CB"/>
    <w:rsid w:val="008D7B61"/>
    <w:rsid w:val="008D7FB4"/>
    <w:rsid w:val="008E05F9"/>
    <w:rsid w:val="008E0629"/>
    <w:rsid w:val="008E06C1"/>
    <w:rsid w:val="008E089A"/>
    <w:rsid w:val="008E08AC"/>
    <w:rsid w:val="008E0967"/>
    <w:rsid w:val="008E0AE2"/>
    <w:rsid w:val="008E0F86"/>
    <w:rsid w:val="008E116D"/>
    <w:rsid w:val="008E14A9"/>
    <w:rsid w:val="008E1615"/>
    <w:rsid w:val="008E171E"/>
    <w:rsid w:val="008E1816"/>
    <w:rsid w:val="008E1A26"/>
    <w:rsid w:val="008E1CA0"/>
    <w:rsid w:val="008E2A23"/>
    <w:rsid w:val="008E2ABF"/>
    <w:rsid w:val="008E2C87"/>
    <w:rsid w:val="008E37BC"/>
    <w:rsid w:val="008E3A51"/>
    <w:rsid w:val="008E3D95"/>
    <w:rsid w:val="008E3EDB"/>
    <w:rsid w:val="008E3FEB"/>
    <w:rsid w:val="008E4256"/>
    <w:rsid w:val="008E45AD"/>
    <w:rsid w:val="008E460F"/>
    <w:rsid w:val="008E48AD"/>
    <w:rsid w:val="008E48E8"/>
    <w:rsid w:val="008E4B6C"/>
    <w:rsid w:val="008E4F0C"/>
    <w:rsid w:val="008E503F"/>
    <w:rsid w:val="008E5070"/>
    <w:rsid w:val="008E53A2"/>
    <w:rsid w:val="008E5434"/>
    <w:rsid w:val="008E5B2F"/>
    <w:rsid w:val="008E5E6B"/>
    <w:rsid w:val="008E62A2"/>
    <w:rsid w:val="008E6841"/>
    <w:rsid w:val="008E694A"/>
    <w:rsid w:val="008E6BB6"/>
    <w:rsid w:val="008E6BBA"/>
    <w:rsid w:val="008E6E8C"/>
    <w:rsid w:val="008E6F38"/>
    <w:rsid w:val="008E7006"/>
    <w:rsid w:val="008E706E"/>
    <w:rsid w:val="008E7163"/>
    <w:rsid w:val="008E72F9"/>
    <w:rsid w:val="008E75DC"/>
    <w:rsid w:val="008E7B49"/>
    <w:rsid w:val="008E7B51"/>
    <w:rsid w:val="008E7CC6"/>
    <w:rsid w:val="008F0202"/>
    <w:rsid w:val="008F03B6"/>
    <w:rsid w:val="008F054C"/>
    <w:rsid w:val="008F0CE6"/>
    <w:rsid w:val="008F0D78"/>
    <w:rsid w:val="008F0FAA"/>
    <w:rsid w:val="008F122E"/>
    <w:rsid w:val="008F1286"/>
    <w:rsid w:val="008F1311"/>
    <w:rsid w:val="008F1584"/>
    <w:rsid w:val="008F1693"/>
    <w:rsid w:val="008F179B"/>
    <w:rsid w:val="008F18EC"/>
    <w:rsid w:val="008F1A55"/>
    <w:rsid w:val="008F1AF6"/>
    <w:rsid w:val="008F1F72"/>
    <w:rsid w:val="008F27AA"/>
    <w:rsid w:val="008F286D"/>
    <w:rsid w:val="008F2ACF"/>
    <w:rsid w:val="008F2BF5"/>
    <w:rsid w:val="008F2D5A"/>
    <w:rsid w:val="008F2E11"/>
    <w:rsid w:val="008F2E39"/>
    <w:rsid w:val="008F2EDB"/>
    <w:rsid w:val="008F313B"/>
    <w:rsid w:val="008F3270"/>
    <w:rsid w:val="008F3286"/>
    <w:rsid w:val="008F337D"/>
    <w:rsid w:val="008F3411"/>
    <w:rsid w:val="008F3484"/>
    <w:rsid w:val="008F389C"/>
    <w:rsid w:val="008F4055"/>
    <w:rsid w:val="008F45B6"/>
    <w:rsid w:val="008F45F2"/>
    <w:rsid w:val="008F46DA"/>
    <w:rsid w:val="008F4920"/>
    <w:rsid w:val="008F4C85"/>
    <w:rsid w:val="008F4E07"/>
    <w:rsid w:val="008F4F30"/>
    <w:rsid w:val="008F4F8E"/>
    <w:rsid w:val="008F55E8"/>
    <w:rsid w:val="008F56EA"/>
    <w:rsid w:val="008F596E"/>
    <w:rsid w:val="008F5F8F"/>
    <w:rsid w:val="008F68DC"/>
    <w:rsid w:val="008F6AFF"/>
    <w:rsid w:val="008F7036"/>
    <w:rsid w:val="008F71E8"/>
    <w:rsid w:val="008F725B"/>
    <w:rsid w:val="008F726F"/>
    <w:rsid w:val="008F7C31"/>
    <w:rsid w:val="008F7CB3"/>
    <w:rsid w:val="008F7EA1"/>
    <w:rsid w:val="00900429"/>
    <w:rsid w:val="0090044B"/>
    <w:rsid w:val="009005A2"/>
    <w:rsid w:val="00900C94"/>
    <w:rsid w:val="009010AA"/>
    <w:rsid w:val="009011E8"/>
    <w:rsid w:val="009014A7"/>
    <w:rsid w:val="0090153F"/>
    <w:rsid w:val="00901EF1"/>
    <w:rsid w:val="009020C2"/>
    <w:rsid w:val="0090280E"/>
    <w:rsid w:val="0090287A"/>
    <w:rsid w:val="00902E36"/>
    <w:rsid w:val="00902E73"/>
    <w:rsid w:val="00902FFC"/>
    <w:rsid w:val="009030C4"/>
    <w:rsid w:val="00903532"/>
    <w:rsid w:val="00903906"/>
    <w:rsid w:val="00903914"/>
    <w:rsid w:val="00903B72"/>
    <w:rsid w:val="00903BF8"/>
    <w:rsid w:val="009040B5"/>
    <w:rsid w:val="0090460F"/>
    <w:rsid w:val="009046B5"/>
    <w:rsid w:val="00905201"/>
    <w:rsid w:val="00905396"/>
    <w:rsid w:val="009054A3"/>
    <w:rsid w:val="00905775"/>
    <w:rsid w:val="00905939"/>
    <w:rsid w:val="0090594B"/>
    <w:rsid w:val="009059C1"/>
    <w:rsid w:val="00905A22"/>
    <w:rsid w:val="00905DB4"/>
    <w:rsid w:val="00906310"/>
    <w:rsid w:val="009064A7"/>
    <w:rsid w:val="00906817"/>
    <w:rsid w:val="009069DA"/>
    <w:rsid w:val="00906C6F"/>
    <w:rsid w:val="009070A1"/>
    <w:rsid w:val="00907123"/>
    <w:rsid w:val="00907197"/>
    <w:rsid w:val="009073ED"/>
    <w:rsid w:val="00907604"/>
    <w:rsid w:val="00907AC2"/>
    <w:rsid w:val="00907B27"/>
    <w:rsid w:val="00907BBE"/>
    <w:rsid w:val="00907E9A"/>
    <w:rsid w:val="00910259"/>
    <w:rsid w:val="00910422"/>
    <w:rsid w:val="00910455"/>
    <w:rsid w:val="009107F5"/>
    <w:rsid w:val="00910832"/>
    <w:rsid w:val="00910A32"/>
    <w:rsid w:val="00910CED"/>
    <w:rsid w:val="00910EE8"/>
    <w:rsid w:val="00910F83"/>
    <w:rsid w:val="00911278"/>
    <w:rsid w:val="009115BB"/>
    <w:rsid w:val="00911639"/>
    <w:rsid w:val="009117C6"/>
    <w:rsid w:val="00911A9D"/>
    <w:rsid w:val="00911BBF"/>
    <w:rsid w:val="0091259A"/>
    <w:rsid w:val="00912BDE"/>
    <w:rsid w:val="00912EEE"/>
    <w:rsid w:val="00912F51"/>
    <w:rsid w:val="009131EC"/>
    <w:rsid w:val="0091324D"/>
    <w:rsid w:val="00913445"/>
    <w:rsid w:val="009136B4"/>
    <w:rsid w:val="009136CA"/>
    <w:rsid w:val="00913DCF"/>
    <w:rsid w:val="009141B2"/>
    <w:rsid w:val="009142AD"/>
    <w:rsid w:val="0091432D"/>
    <w:rsid w:val="00914BD1"/>
    <w:rsid w:val="00914CD0"/>
    <w:rsid w:val="00914DC0"/>
    <w:rsid w:val="00914F65"/>
    <w:rsid w:val="0091541B"/>
    <w:rsid w:val="009154B0"/>
    <w:rsid w:val="009157B2"/>
    <w:rsid w:val="00915A63"/>
    <w:rsid w:val="00915EF3"/>
    <w:rsid w:val="00915FC6"/>
    <w:rsid w:val="009168D4"/>
    <w:rsid w:val="00916CF7"/>
    <w:rsid w:val="00916EB2"/>
    <w:rsid w:val="00917175"/>
    <w:rsid w:val="0091762D"/>
    <w:rsid w:val="009177D8"/>
    <w:rsid w:val="00917A4F"/>
    <w:rsid w:val="00917B90"/>
    <w:rsid w:val="0092005C"/>
    <w:rsid w:val="009201DB"/>
    <w:rsid w:val="00920209"/>
    <w:rsid w:val="0092033B"/>
    <w:rsid w:val="009204C4"/>
    <w:rsid w:val="009205C1"/>
    <w:rsid w:val="0092067F"/>
    <w:rsid w:val="00920923"/>
    <w:rsid w:val="00920ADB"/>
    <w:rsid w:val="00920BF1"/>
    <w:rsid w:val="00920C92"/>
    <w:rsid w:val="00920CBF"/>
    <w:rsid w:val="00920D77"/>
    <w:rsid w:val="009210F0"/>
    <w:rsid w:val="009211D1"/>
    <w:rsid w:val="009217D6"/>
    <w:rsid w:val="009217EE"/>
    <w:rsid w:val="00921846"/>
    <w:rsid w:val="0092184A"/>
    <w:rsid w:val="00921CAD"/>
    <w:rsid w:val="00922481"/>
    <w:rsid w:val="009226FB"/>
    <w:rsid w:val="00922ECF"/>
    <w:rsid w:val="00923092"/>
    <w:rsid w:val="009231BC"/>
    <w:rsid w:val="009231DC"/>
    <w:rsid w:val="0092330D"/>
    <w:rsid w:val="009233CD"/>
    <w:rsid w:val="009234A1"/>
    <w:rsid w:val="00923881"/>
    <w:rsid w:val="00923A7F"/>
    <w:rsid w:val="00923B39"/>
    <w:rsid w:val="00923CAC"/>
    <w:rsid w:val="00923D1C"/>
    <w:rsid w:val="00924208"/>
    <w:rsid w:val="009246EF"/>
    <w:rsid w:val="0092498B"/>
    <w:rsid w:val="009249A3"/>
    <w:rsid w:val="00924B8D"/>
    <w:rsid w:val="00924D43"/>
    <w:rsid w:val="00924F9A"/>
    <w:rsid w:val="0092510C"/>
    <w:rsid w:val="009251E1"/>
    <w:rsid w:val="009252F0"/>
    <w:rsid w:val="00925946"/>
    <w:rsid w:val="00925AD5"/>
    <w:rsid w:val="00925FBF"/>
    <w:rsid w:val="0092606F"/>
    <w:rsid w:val="009263BA"/>
    <w:rsid w:val="0092657E"/>
    <w:rsid w:val="00926837"/>
    <w:rsid w:val="00926A86"/>
    <w:rsid w:val="00927126"/>
    <w:rsid w:val="009276B5"/>
    <w:rsid w:val="00927913"/>
    <w:rsid w:val="00927987"/>
    <w:rsid w:val="00927B2F"/>
    <w:rsid w:val="00927C80"/>
    <w:rsid w:val="00927F58"/>
    <w:rsid w:val="00930063"/>
    <w:rsid w:val="009305F1"/>
    <w:rsid w:val="0093065A"/>
    <w:rsid w:val="00930B2A"/>
    <w:rsid w:val="00930D85"/>
    <w:rsid w:val="00930F3E"/>
    <w:rsid w:val="00931144"/>
    <w:rsid w:val="009312FC"/>
    <w:rsid w:val="009315BA"/>
    <w:rsid w:val="0093175F"/>
    <w:rsid w:val="00931AB8"/>
    <w:rsid w:val="00931BC2"/>
    <w:rsid w:val="00931DB3"/>
    <w:rsid w:val="00931E9E"/>
    <w:rsid w:val="00932106"/>
    <w:rsid w:val="009326FE"/>
    <w:rsid w:val="00932746"/>
    <w:rsid w:val="009328DF"/>
    <w:rsid w:val="00932CA3"/>
    <w:rsid w:val="0093322F"/>
    <w:rsid w:val="00933350"/>
    <w:rsid w:val="00933379"/>
    <w:rsid w:val="009337AC"/>
    <w:rsid w:val="00933813"/>
    <w:rsid w:val="00933BCC"/>
    <w:rsid w:val="00933D05"/>
    <w:rsid w:val="00933E0F"/>
    <w:rsid w:val="009342D9"/>
    <w:rsid w:val="009342F2"/>
    <w:rsid w:val="00934309"/>
    <w:rsid w:val="00934709"/>
    <w:rsid w:val="00934800"/>
    <w:rsid w:val="0093481E"/>
    <w:rsid w:val="0093485C"/>
    <w:rsid w:val="00934C2A"/>
    <w:rsid w:val="00934E49"/>
    <w:rsid w:val="00934F9A"/>
    <w:rsid w:val="00935410"/>
    <w:rsid w:val="009355EC"/>
    <w:rsid w:val="009355F5"/>
    <w:rsid w:val="00935B2B"/>
    <w:rsid w:val="00935B74"/>
    <w:rsid w:val="00935F85"/>
    <w:rsid w:val="00936658"/>
    <w:rsid w:val="00936CCE"/>
    <w:rsid w:val="00936CF4"/>
    <w:rsid w:val="00936E80"/>
    <w:rsid w:val="009370A1"/>
    <w:rsid w:val="0093710E"/>
    <w:rsid w:val="00937175"/>
    <w:rsid w:val="00937760"/>
    <w:rsid w:val="009377E4"/>
    <w:rsid w:val="00937BB5"/>
    <w:rsid w:val="0094008E"/>
    <w:rsid w:val="00940266"/>
    <w:rsid w:val="00940537"/>
    <w:rsid w:val="009406DE"/>
    <w:rsid w:val="00940CDC"/>
    <w:rsid w:val="00940EBC"/>
    <w:rsid w:val="00940F49"/>
    <w:rsid w:val="0094112C"/>
    <w:rsid w:val="009412BE"/>
    <w:rsid w:val="009413F8"/>
    <w:rsid w:val="00941920"/>
    <w:rsid w:val="009419EE"/>
    <w:rsid w:val="00941D68"/>
    <w:rsid w:val="00941FAC"/>
    <w:rsid w:val="00942270"/>
    <w:rsid w:val="009427AB"/>
    <w:rsid w:val="009429B6"/>
    <w:rsid w:val="0094321B"/>
    <w:rsid w:val="00943A3D"/>
    <w:rsid w:val="00943DCF"/>
    <w:rsid w:val="00943DE2"/>
    <w:rsid w:val="00943E9A"/>
    <w:rsid w:val="009441E4"/>
    <w:rsid w:val="009441F5"/>
    <w:rsid w:val="009442FA"/>
    <w:rsid w:val="00944375"/>
    <w:rsid w:val="00944845"/>
    <w:rsid w:val="00944B9C"/>
    <w:rsid w:val="00944E0B"/>
    <w:rsid w:val="00944E96"/>
    <w:rsid w:val="009451C8"/>
    <w:rsid w:val="0094538B"/>
    <w:rsid w:val="009455B1"/>
    <w:rsid w:val="00945742"/>
    <w:rsid w:val="00945824"/>
    <w:rsid w:val="00945988"/>
    <w:rsid w:val="00945A6B"/>
    <w:rsid w:val="00945D77"/>
    <w:rsid w:val="00945F9F"/>
    <w:rsid w:val="00946198"/>
    <w:rsid w:val="0094624D"/>
    <w:rsid w:val="009463B1"/>
    <w:rsid w:val="009463BF"/>
    <w:rsid w:val="0094667B"/>
    <w:rsid w:val="00946746"/>
    <w:rsid w:val="00946C09"/>
    <w:rsid w:val="00946EE4"/>
    <w:rsid w:val="00947339"/>
    <w:rsid w:val="009473AB"/>
    <w:rsid w:val="00947511"/>
    <w:rsid w:val="009475D0"/>
    <w:rsid w:val="00947611"/>
    <w:rsid w:val="00947D9F"/>
    <w:rsid w:val="00947E10"/>
    <w:rsid w:val="00947FE4"/>
    <w:rsid w:val="00950292"/>
    <w:rsid w:val="0095032F"/>
    <w:rsid w:val="00950499"/>
    <w:rsid w:val="00950937"/>
    <w:rsid w:val="00950AD0"/>
    <w:rsid w:val="00950AEF"/>
    <w:rsid w:val="009510C4"/>
    <w:rsid w:val="0095114E"/>
    <w:rsid w:val="0095147A"/>
    <w:rsid w:val="009516C4"/>
    <w:rsid w:val="009519DA"/>
    <w:rsid w:val="00951B64"/>
    <w:rsid w:val="00952202"/>
    <w:rsid w:val="0095239B"/>
    <w:rsid w:val="009525CB"/>
    <w:rsid w:val="009529F3"/>
    <w:rsid w:val="00952A1B"/>
    <w:rsid w:val="00952CFE"/>
    <w:rsid w:val="00952E5F"/>
    <w:rsid w:val="0095313A"/>
    <w:rsid w:val="009532AC"/>
    <w:rsid w:val="00953322"/>
    <w:rsid w:val="009537A7"/>
    <w:rsid w:val="00953A4C"/>
    <w:rsid w:val="00953A7E"/>
    <w:rsid w:val="00953CF4"/>
    <w:rsid w:val="00953F73"/>
    <w:rsid w:val="00953FA1"/>
    <w:rsid w:val="009541AC"/>
    <w:rsid w:val="00954263"/>
    <w:rsid w:val="00954286"/>
    <w:rsid w:val="009542A8"/>
    <w:rsid w:val="00954501"/>
    <w:rsid w:val="00954892"/>
    <w:rsid w:val="009549F9"/>
    <w:rsid w:val="00954ADB"/>
    <w:rsid w:val="00954BF0"/>
    <w:rsid w:val="009552EA"/>
    <w:rsid w:val="0095582B"/>
    <w:rsid w:val="009559B6"/>
    <w:rsid w:val="00955DDE"/>
    <w:rsid w:val="009561EF"/>
    <w:rsid w:val="00956793"/>
    <w:rsid w:val="00956827"/>
    <w:rsid w:val="009568F4"/>
    <w:rsid w:val="00956C96"/>
    <w:rsid w:val="00956E87"/>
    <w:rsid w:val="00956FD3"/>
    <w:rsid w:val="009571A6"/>
    <w:rsid w:val="0095738D"/>
    <w:rsid w:val="00957C78"/>
    <w:rsid w:val="00957CEF"/>
    <w:rsid w:val="00957E04"/>
    <w:rsid w:val="0096018A"/>
    <w:rsid w:val="0096034D"/>
    <w:rsid w:val="009603BD"/>
    <w:rsid w:val="00960559"/>
    <w:rsid w:val="009606F6"/>
    <w:rsid w:val="00960972"/>
    <w:rsid w:val="00960A6A"/>
    <w:rsid w:val="00960C62"/>
    <w:rsid w:val="00960C9C"/>
    <w:rsid w:val="00960FEE"/>
    <w:rsid w:val="009616EC"/>
    <w:rsid w:val="0096174B"/>
    <w:rsid w:val="00961909"/>
    <w:rsid w:val="00961B9A"/>
    <w:rsid w:val="00961D17"/>
    <w:rsid w:val="00961EA3"/>
    <w:rsid w:val="00961F76"/>
    <w:rsid w:val="00961FCD"/>
    <w:rsid w:val="0096203D"/>
    <w:rsid w:val="00962117"/>
    <w:rsid w:val="0096215D"/>
    <w:rsid w:val="009621C5"/>
    <w:rsid w:val="0096221B"/>
    <w:rsid w:val="00962243"/>
    <w:rsid w:val="00962362"/>
    <w:rsid w:val="00962A49"/>
    <w:rsid w:val="00962AF0"/>
    <w:rsid w:val="00962CC0"/>
    <w:rsid w:val="00962DA1"/>
    <w:rsid w:val="00962F80"/>
    <w:rsid w:val="00963025"/>
    <w:rsid w:val="00963187"/>
    <w:rsid w:val="00963420"/>
    <w:rsid w:val="009635A6"/>
    <w:rsid w:val="00963885"/>
    <w:rsid w:val="00963AC8"/>
    <w:rsid w:val="00963EC6"/>
    <w:rsid w:val="0096417C"/>
    <w:rsid w:val="009645D2"/>
    <w:rsid w:val="00964834"/>
    <w:rsid w:val="00964EA4"/>
    <w:rsid w:val="00964F50"/>
    <w:rsid w:val="009653A7"/>
    <w:rsid w:val="0096551D"/>
    <w:rsid w:val="009658C6"/>
    <w:rsid w:val="00965AD4"/>
    <w:rsid w:val="00965C8E"/>
    <w:rsid w:val="00965CB9"/>
    <w:rsid w:val="00965DF9"/>
    <w:rsid w:val="00965FD4"/>
    <w:rsid w:val="00965FE7"/>
    <w:rsid w:val="009660AB"/>
    <w:rsid w:val="009661AC"/>
    <w:rsid w:val="00966389"/>
    <w:rsid w:val="009663F1"/>
    <w:rsid w:val="00966488"/>
    <w:rsid w:val="009665B9"/>
    <w:rsid w:val="009665DA"/>
    <w:rsid w:val="0096669B"/>
    <w:rsid w:val="009669BE"/>
    <w:rsid w:val="00966B4A"/>
    <w:rsid w:val="00967021"/>
    <w:rsid w:val="009674AC"/>
    <w:rsid w:val="00967660"/>
    <w:rsid w:val="009676C2"/>
    <w:rsid w:val="00967754"/>
    <w:rsid w:val="0096777C"/>
    <w:rsid w:val="009678A2"/>
    <w:rsid w:val="00967B58"/>
    <w:rsid w:val="00967C23"/>
    <w:rsid w:val="00967EF5"/>
    <w:rsid w:val="00970039"/>
    <w:rsid w:val="009702C1"/>
    <w:rsid w:val="00970389"/>
    <w:rsid w:val="0097041A"/>
    <w:rsid w:val="00970687"/>
    <w:rsid w:val="00970793"/>
    <w:rsid w:val="009707DF"/>
    <w:rsid w:val="0097083A"/>
    <w:rsid w:val="00970CD4"/>
    <w:rsid w:val="00970F19"/>
    <w:rsid w:val="00971146"/>
    <w:rsid w:val="009711A9"/>
    <w:rsid w:val="009711CD"/>
    <w:rsid w:val="0097195B"/>
    <w:rsid w:val="00971E6E"/>
    <w:rsid w:val="00971FDE"/>
    <w:rsid w:val="00972316"/>
    <w:rsid w:val="0097242F"/>
    <w:rsid w:val="00972E0C"/>
    <w:rsid w:val="00972F5B"/>
    <w:rsid w:val="009733B4"/>
    <w:rsid w:val="009733D4"/>
    <w:rsid w:val="009734B2"/>
    <w:rsid w:val="00973604"/>
    <w:rsid w:val="00973607"/>
    <w:rsid w:val="009739F4"/>
    <w:rsid w:val="00973BDF"/>
    <w:rsid w:val="00973FF9"/>
    <w:rsid w:val="009740EE"/>
    <w:rsid w:val="00974552"/>
    <w:rsid w:val="009745C3"/>
    <w:rsid w:val="009745F4"/>
    <w:rsid w:val="00974688"/>
    <w:rsid w:val="00974B6E"/>
    <w:rsid w:val="00974CD8"/>
    <w:rsid w:val="00974E5C"/>
    <w:rsid w:val="00975097"/>
    <w:rsid w:val="009750A7"/>
    <w:rsid w:val="009753D0"/>
    <w:rsid w:val="00975444"/>
    <w:rsid w:val="00975594"/>
    <w:rsid w:val="0097578E"/>
    <w:rsid w:val="00975933"/>
    <w:rsid w:val="00975965"/>
    <w:rsid w:val="00975977"/>
    <w:rsid w:val="00975DB5"/>
    <w:rsid w:val="00976045"/>
    <w:rsid w:val="00976088"/>
    <w:rsid w:val="0097626D"/>
    <w:rsid w:val="00976338"/>
    <w:rsid w:val="00976442"/>
    <w:rsid w:val="00976A05"/>
    <w:rsid w:val="00976A8A"/>
    <w:rsid w:val="00976D93"/>
    <w:rsid w:val="009772A5"/>
    <w:rsid w:val="00977342"/>
    <w:rsid w:val="00977354"/>
    <w:rsid w:val="009777C2"/>
    <w:rsid w:val="00977866"/>
    <w:rsid w:val="00977E3C"/>
    <w:rsid w:val="00980064"/>
    <w:rsid w:val="0098013A"/>
    <w:rsid w:val="00980301"/>
    <w:rsid w:val="009804B5"/>
    <w:rsid w:val="0098050D"/>
    <w:rsid w:val="0098076A"/>
    <w:rsid w:val="0098083F"/>
    <w:rsid w:val="00980865"/>
    <w:rsid w:val="00980B01"/>
    <w:rsid w:val="00980B57"/>
    <w:rsid w:val="00980E28"/>
    <w:rsid w:val="00980E63"/>
    <w:rsid w:val="009815EC"/>
    <w:rsid w:val="009818A8"/>
    <w:rsid w:val="00981C16"/>
    <w:rsid w:val="00981D00"/>
    <w:rsid w:val="00981D20"/>
    <w:rsid w:val="00981E6F"/>
    <w:rsid w:val="00982465"/>
    <w:rsid w:val="009824A2"/>
    <w:rsid w:val="009824D5"/>
    <w:rsid w:val="00982534"/>
    <w:rsid w:val="00982B80"/>
    <w:rsid w:val="00982CBB"/>
    <w:rsid w:val="00982E2B"/>
    <w:rsid w:val="00982E47"/>
    <w:rsid w:val="009830E6"/>
    <w:rsid w:val="0098325C"/>
    <w:rsid w:val="00983580"/>
    <w:rsid w:val="00983B10"/>
    <w:rsid w:val="00983DC3"/>
    <w:rsid w:val="0098408A"/>
    <w:rsid w:val="00984240"/>
    <w:rsid w:val="00984369"/>
    <w:rsid w:val="0098449E"/>
    <w:rsid w:val="0098464F"/>
    <w:rsid w:val="0098480B"/>
    <w:rsid w:val="00985149"/>
    <w:rsid w:val="00985488"/>
    <w:rsid w:val="009854FA"/>
    <w:rsid w:val="00985C21"/>
    <w:rsid w:val="00985C48"/>
    <w:rsid w:val="00985E24"/>
    <w:rsid w:val="0098673A"/>
    <w:rsid w:val="00986DA8"/>
    <w:rsid w:val="00986E12"/>
    <w:rsid w:val="009875AA"/>
    <w:rsid w:val="009877AD"/>
    <w:rsid w:val="009877BF"/>
    <w:rsid w:val="00990461"/>
    <w:rsid w:val="00990698"/>
    <w:rsid w:val="00990790"/>
    <w:rsid w:val="0099095D"/>
    <w:rsid w:val="00990A5D"/>
    <w:rsid w:val="00990BE4"/>
    <w:rsid w:val="00990C54"/>
    <w:rsid w:val="009910BA"/>
    <w:rsid w:val="0099135D"/>
    <w:rsid w:val="0099168F"/>
    <w:rsid w:val="009918EC"/>
    <w:rsid w:val="00991D3C"/>
    <w:rsid w:val="00991D93"/>
    <w:rsid w:val="0099234E"/>
    <w:rsid w:val="00992394"/>
    <w:rsid w:val="0099261C"/>
    <w:rsid w:val="0099264F"/>
    <w:rsid w:val="009928FA"/>
    <w:rsid w:val="00992B2B"/>
    <w:rsid w:val="00992B68"/>
    <w:rsid w:val="00992D80"/>
    <w:rsid w:val="00993183"/>
    <w:rsid w:val="009932C9"/>
    <w:rsid w:val="00993329"/>
    <w:rsid w:val="0099366C"/>
    <w:rsid w:val="00993A2A"/>
    <w:rsid w:val="00993B08"/>
    <w:rsid w:val="00993B7B"/>
    <w:rsid w:val="00993B7C"/>
    <w:rsid w:val="00993CC2"/>
    <w:rsid w:val="00993DF8"/>
    <w:rsid w:val="0099414F"/>
    <w:rsid w:val="00994284"/>
    <w:rsid w:val="009945D8"/>
    <w:rsid w:val="0099470F"/>
    <w:rsid w:val="00994959"/>
    <w:rsid w:val="00994B76"/>
    <w:rsid w:val="00994CA4"/>
    <w:rsid w:val="00995104"/>
    <w:rsid w:val="009951D8"/>
    <w:rsid w:val="00995295"/>
    <w:rsid w:val="00995AC7"/>
    <w:rsid w:val="00995D14"/>
    <w:rsid w:val="00995D18"/>
    <w:rsid w:val="00995E52"/>
    <w:rsid w:val="00995E56"/>
    <w:rsid w:val="009960AC"/>
    <w:rsid w:val="009965FE"/>
    <w:rsid w:val="009966ED"/>
    <w:rsid w:val="00996960"/>
    <w:rsid w:val="00996ABB"/>
    <w:rsid w:val="00996D8B"/>
    <w:rsid w:val="00996F81"/>
    <w:rsid w:val="00996FA9"/>
    <w:rsid w:val="0099721B"/>
    <w:rsid w:val="00997369"/>
    <w:rsid w:val="0099745B"/>
    <w:rsid w:val="0099757A"/>
    <w:rsid w:val="0099773F"/>
    <w:rsid w:val="00997E3B"/>
    <w:rsid w:val="00997E9D"/>
    <w:rsid w:val="009A0087"/>
    <w:rsid w:val="009A0106"/>
    <w:rsid w:val="009A0452"/>
    <w:rsid w:val="009A0582"/>
    <w:rsid w:val="009A05E5"/>
    <w:rsid w:val="009A0696"/>
    <w:rsid w:val="009A07BE"/>
    <w:rsid w:val="009A07FB"/>
    <w:rsid w:val="009A0922"/>
    <w:rsid w:val="009A0CE2"/>
    <w:rsid w:val="009A0D05"/>
    <w:rsid w:val="009A0DD2"/>
    <w:rsid w:val="009A0E0E"/>
    <w:rsid w:val="009A11FA"/>
    <w:rsid w:val="009A133C"/>
    <w:rsid w:val="009A15CF"/>
    <w:rsid w:val="009A174C"/>
    <w:rsid w:val="009A1896"/>
    <w:rsid w:val="009A1CB7"/>
    <w:rsid w:val="009A1F37"/>
    <w:rsid w:val="009A2048"/>
    <w:rsid w:val="009A207E"/>
    <w:rsid w:val="009A2518"/>
    <w:rsid w:val="009A26C8"/>
    <w:rsid w:val="009A26FF"/>
    <w:rsid w:val="009A27AE"/>
    <w:rsid w:val="009A2BEA"/>
    <w:rsid w:val="009A2C73"/>
    <w:rsid w:val="009A2EA3"/>
    <w:rsid w:val="009A302F"/>
    <w:rsid w:val="009A3191"/>
    <w:rsid w:val="009A39B2"/>
    <w:rsid w:val="009A3DA0"/>
    <w:rsid w:val="009A402B"/>
    <w:rsid w:val="009A41F0"/>
    <w:rsid w:val="009A4295"/>
    <w:rsid w:val="009A4321"/>
    <w:rsid w:val="009A46B9"/>
    <w:rsid w:val="009A4A04"/>
    <w:rsid w:val="009A4A94"/>
    <w:rsid w:val="009A4CD7"/>
    <w:rsid w:val="009A4D3E"/>
    <w:rsid w:val="009A4F66"/>
    <w:rsid w:val="009A50A4"/>
    <w:rsid w:val="009A597B"/>
    <w:rsid w:val="009A60B8"/>
    <w:rsid w:val="009A6382"/>
    <w:rsid w:val="009A675D"/>
    <w:rsid w:val="009A6A1A"/>
    <w:rsid w:val="009A6B3E"/>
    <w:rsid w:val="009A6BC5"/>
    <w:rsid w:val="009A6CA4"/>
    <w:rsid w:val="009A6EA0"/>
    <w:rsid w:val="009A6FD9"/>
    <w:rsid w:val="009A6FF6"/>
    <w:rsid w:val="009A70AF"/>
    <w:rsid w:val="009A724D"/>
    <w:rsid w:val="009A727F"/>
    <w:rsid w:val="009A742A"/>
    <w:rsid w:val="009A7692"/>
    <w:rsid w:val="009A772C"/>
    <w:rsid w:val="009A794E"/>
    <w:rsid w:val="009A7C10"/>
    <w:rsid w:val="009B000F"/>
    <w:rsid w:val="009B010F"/>
    <w:rsid w:val="009B018C"/>
    <w:rsid w:val="009B094D"/>
    <w:rsid w:val="009B09D9"/>
    <w:rsid w:val="009B0A3C"/>
    <w:rsid w:val="009B0CA1"/>
    <w:rsid w:val="009B0F4B"/>
    <w:rsid w:val="009B106D"/>
    <w:rsid w:val="009B1547"/>
    <w:rsid w:val="009B1561"/>
    <w:rsid w:val="009B15F1"/>
    <w:rsid w:val="009B172E"/>
    <w:rsid w:val="009B1742"/>
    <w:rsid w:val="009B1BCA"/>
    <w:rsid w:val="009B1CD1"/>
    <w:rsid w:val="009B1E2D"/>
    <w:rsid w:val="009B296B"/>
    <w:rsid w:val="009B2B38"/>
    <w:rsid w:val="009B3132"/>
    <w:rsid w:val="009B33C7"/>
    <w:rsid w:val="009B3615"/>
    <w:rsid w:val="009B3B3A"/>
    <w:rsid w:val="009B4268"/>
    <w:rsid w:val="009B433D"/>
    <w:rsid w:val="009B46AF"/>
    <w:rsid w:val="009B4797"/>
    <w:rsid w:val="009B47BE"/>
    <w:rsid w:val="009B4CFD"/>
    <w:rsid w:val="009B4D72"/>
    <w:rsid w:val="009B4E72"/>
    <w:rsid w:val="009B504B"/>
    <w:rsid w:val="009B53BD"/>
    <w:rsid w:val="009B57EC"/>
    <w:rsid w:val="009B5BA4"/>
    <w:rsid w:val="009B5E8D"/>
    <w:rsid w:val="009B5F42"/>
    <w:rsid w:val="009B5FC2"/>
    <w:rsid w:val="009B61B8"/>
    <w:rsid w:val="009B6596"/>
    <w:rsid w:val="009B65AD"/>
    <w:rsid w:val="009B6B3D"/>
    <w:rsid w:val="009B6DA1"/>
    <w:rsid w:val="009B6F81"/>
    <w:rsid w:val="009B7003"/>
    <w:rsid w:val="009B782C"/>
    <w:rsid w:val="009B7E72"/>
    <w:rsid w:val="009B7EC9"/>
    <w:rsid w:val="009C056C"/>
    <w:rsid w:val="009C0732"/>
    <w:rsid w:val="009C0A90"/>
    <w:rsid w:val="009C0BE8"/>
    <w:rsid w:val="009C11F9"/>
    <w:rsid w:val="009C1250"/>
    <w:rsid w:val="009C1251"/>
    <w:rsid w:val="009C1551"/>
    <w:rsid w:val="009C1694"/>
    <w:rsid w:val="009C181E"/>
    <w:rsid w:val="009C18C4"/>
    <w:rsid w:val="009C1A28"/>
    <w:rsid w:val="009C1CDC"/>
    <w:rsid w:val="009C1D89"/>
    <w:rsid w:val="009C1E4E"/>
    <w:rsid w:val="009C20FD"/>
    <w:rsid w:val="009C22B2"/>
    <w:rsid w:val="009C235B"/>
    <w:rsid w:val="009C28FD"/>
    <w:rsid w:val="009C2E33"/>
    <w:rsid w:val="009C2F12"/>
    <w:rsid w:val="009C3222"/>
    <w:rsid w:val="009C33D9"/>
    <w:rsid w:val="009C34D0"/>
    <w:rsid w:val="009C3526"/>
    <w:rsid w:val="009C3623"/>
    <w:rsid w:val="009C3A20"/>
    <w:rsid w:val="009C3CD6"/>
    <w:rsid w:val="009C3E2F"/>
    <w:rsid w:val="009C3E87"/>
    <w:rsid w:val="009C40AA"/>
    <w:rsid w:val="009C40EF"/>
    <w:rsid w:val="009C46AC"/>
    <w:rsid w:val="009C4B49"/>
    <w:rsid w:val="009C4BBB"/>
    <w:rsid w:val="009C4C6C"/>
    <w:rsid w:val="009C4D2B"/>
    <w:rsid w:val="009C4F45"/>
    <w:rsid w:val="009C5039"/>
    <w:rsid w:val="009C5067"/>
    <w:rsid w:val="009C50A7"/>
    <w:rsid w:val="009C55B8"/>
    <w:rsid w:val="009C5634"/>
    <w:rsid w:val="009C565D"/>
    <w:rsid w:val="009C56E0"/>
    <w:rsid w:val="009C57B3"/>
    <w:rsid w:val="009C5864"/>
    <w:rsid w:val="009C5D3E"/>
    <w:rsid w:val="009C5F69"/>
    <w:rsid w:val="009C5FD2"/>
    <w:rsid w:val="009C6193"/>
    <w:rsid w:val="009C6265"/>
    <w:rsid w:val="009C626B"/>
    <w:rsid w:val="009C6BDC"/>
    <w:rsid w:val="009C6F03"/>
    <w:rsid w:val="009C7016"/>
    <w:rsid w:val="009C704D"/>
    <w:rsid w:val="009C7070"/>
    <w:rsid w:val="009C7289"/>
    <w:rsid w:val="009C72D9"/>
    <w:rsid w:val="009C7315"/>
    <w:rsid w:val="009C7770"/>
    <w:rsid w:val="009C7C5D"/>
    <w:rsid w:val="009C7D03"/>
    <w:rsid w:val="009D011E"/>
    <w:rsid w:val="009D0161"/>
    <w:rsid w:val="009D019B"/>
    <w:rsid w:val="009D05BF"/>
    <w:rsid w:val="009D08F6"/>
    <w:rsid w:val="009D09B5"/>
    <w:rsid w:val="009D15AE"/>
    <w:rsid w:val="009D17EA"/>
    <w:rsid w:val="009D17FA"/>
    <w:rsid w:val="009D18AC"/>
    <w:rsid w:val="009D1A01"/>
    <w:rsid w:val="009D1F0C"/>
    <w:rsid w:val="009D1F29"/>
    <w:rsid w:val="009D203F"/>
    <w:rsid w:val="009D268F"/>
    <w:rsid w:val="009D2740"/>
    <w:rsid w:val="009D2B9C"/>
    <w:rsid w:val="009D2BD0"/>
    <w:rsid w:val="009D2DE3"/>
    <w:rsid w:val="009D38C0"/>
    <w:rsid w:val="009D3A3D"/>
    <w:rsid w:val="009D3B39"/>
    <w:rsid w:val="009D3C12"/>
    <w:rsid w:val="009D3D89"/>
    <w:rsid w:val="009D4016"/>
    <w:rsid w:val="009D4291"/>
    <w:rsid w:val="009D4778"/>
    <w:rsid w:val="009D4F45"/>
    <w:rsid w:val="009D51AA"/>
    <w:rsid w:val="009D5417"/>
    <w:rsid w:val="009D569C"/>
    <w:rsid w:val="009D579A"/>
    <w:rsid w:val="009D58F8"/>
    <w:rsid w:val="009D5941"/>
    <w:rsid w:val="009D5C71"/>
    <w:rsid w:val="009D5E2A"/>
    <w:rsid w:val="009D6277"/>
    <w:rsid w:val="009D676E"/>
    <w:rsid w:val="009D691F"/>
    <w:rsid w:val="009D69AC"/>
    <w:rsid w:val="009D6A99"/>
    <w:rsid w:val="009D6DDE"/>
    <w:rsid w:val="009D704A"/>
    <w:rsid w:val="009D7112"/>
    <w:rsid w:val="009D72DF"/>
    <w:rsid w:val="009D755F"/>
    <w:rsid w:val="009D7797"/>
    <w:rsid w:val="009D7B15"/>
    <w:rsid w:val="009D7E7F"/>
    <w:rsid w:val="009E00DB"/>
    <w:rsid w:val="009E0625"/>
    <w:rsid w:val="009E0768"/>
    <w:rsid w:val="009E07CF"/>
    <w:rsid w:val="009E0978"/>
    <w:rsid w:val="009E0AD2"/>
    <w:rsid w:val="009E0B18"/>
    <w:rsid w:val="009E0FE9"/>
    <w:rsid w:val="009E1439"/>
    <w:rsid w:val="009E149D"/>
    <w:rsid w:val="009E175C"/>
    <w:rsid w:val="009E175E"/>
    <w:rsid w:val="009E187B"/>
    <w:rsid w:val="009E19FF"/>
    <w:rsid w:val="009E1CA3"/>
    <w:rsid w:val="009E1D65"/>
    <w:rsid w:val="009E1DD1"/>
    <w:rsid w:val="009E1E6F"/>
    <w:rsid w:val="009E216E"/>
    <w:rsid w:val="009E2245"/>
    <w:rsid w:val="009E22DA"/>
    <w:rsid w:val="009E276A"/>
    <w:rsid w:val="009E27E3"/>
    <w:rsid w:val="009E29A1"/>
    <w:rsid w:val="009E2D74"/>
    <w:rsid w:val="009E2FE1"/>
    <w:rsid w:val="009E2FF2"/>
    <w:rsid w:val="009E3297"/>
    <w:rsid w:val="009E3E52"/>
    <w:rsid w:val="009E3EBA"/>
    <w:rsid w:val="009E430F"/>
    <w:rsid w:val="009E449A"/>
    <w:rsid w:val="009E44BB"/>
    <w:rsid w:val="009E4A53"/>
    <w:rsid w:val="009E4C2D"/>
    <w:rsid w:val="009E4CA1"/>
    <w:rsid w:val="009E4CC5"/>
    <w:rsid w:val="009E4F0F"/>
    <w:rsid w:val="009E4F89"/>
    <w:rsid w:val="009E5394"/>
    <w:rsid w:val="009E53D3"/>
    <w:rsid w:val="009E5549"/>
    <w:rsid w:val="009E55D5"/>
    <w:rsid w:val="009E560C"/>
    <w:rsid w:val="009E57AD"/>
    <w:rsid w:val="009E592A"/>
    <w:rsid w:val="009E59B4"/>
    <w:rsid w:val="009E5B20"/>
    <w:rsid w:val="009E5B4D"/>
    <w:rsid w:val="009E5B90"/>
    <w:rsid w:val="009E5BF9"/>
    <w:rsid w:val="009E5DCF"/>
    <w:rsid w:val="009E5F36"/>
    <w:rsid w:val="009E5F3B"/>
    <w:rsid w:val="009E610E"/>
    <w:rsid w:val="009E634F"/>
    <w:rsid w:val="009E6426"/>
    <w:rsid w:val="009E6B48"/>
    <w:rsid w:val="009E6CDE"/>
    <w:rsid w:val="009E71AF"/>
    <w:rsid w:val="009E72D8"/>
    <w:rsid w:val="009E734D"/>
    <w:rsid w:val="009E7364"/>
    <w:rsid w:val="009E74F7"/>
    <w:rsid w:val="009E76F9"/>
    <w:rsid w:val="009E77FC"/>
    <w:rsid w:val="009E7C1D"/>
    <w:rsid w:val="009F0014"/>
    <w:rsid w:val="009F028D"/>
    <w:rsid w:val="009F09D7"/>
    <w:rsid w:val="009F0A1D"/>
    <w:rsid w:val="009F0BB9"/>
    <w:rsid w:val="009F0DCC"/>
    <w:rsid w:val="009F0E1A"/>
    <w:rsid w:val="009F122A"/>
    <w:rsid w:val="009F13D3"/>
    <w:rsid w:val="009F1C9B"/>
    <w:rsid w:val="009F1D06"/>
    <w:rsid w:val="009F2269"/>
    <w:rsid w:val="009F27B5"/>
    <w:rsid w:val="009F28B5"/>
    <w:rsid w:val="009F2E5F"/>
    <w:rsid w:val="009F2F2C"/>
    <w:rsid w:val="009F3077"/>
    <w:rsid w:val="009F30A9"/>
    <w:rsid w:val="009F3581"/>
    <w:rsid w:val="009F3A71"/>
    <w:rsid w:val="009F3DD0"/>
    <w:rsid w:val="009F3DE5"/>
    <w:rsid w:val="009F3FB2"/>
    <w:rsid w:val="009F410E"/>
    <w:rsid w:val="009F4261"/>
    <w:rsid w:val="009F4450"/>
    <w:rsid w:val="009F48C0"/>
    <w:rsid w:val="009F4955"/>
    <w:rsid w:val="009F4E2E"/>
    <w:rsid w:val="009F4E3D"/>
    <w:rsid w:val="009F4F1F"/>
    <w:rsid w:val="009F50A4"/>
    <w:rsid w:val="009F52C4"/>
    <w:rsid w:val="009F5447"/>
    <w:rsid w:val="009F557B"/>
    <w:rsid w:val="009F568B"/>
    <w:rsid w:val="009F5828"/>
    <w:rsid w:val="009F5A25"/>
    <w:rsid w:val="009F5A79"/>
    <w:rsid w:val="009F6177"/>
    <w:rsid w:val="009F662B"/>
    <w:rsid w:val="009F68E2"/>
    <w:rsid w:val="009F6B62"/>
    <w:rsid w:val="009F6E3A"/>
    <w:rsid w:val="009F72B0"/>
    <w:rsid w:val="009F7403"/>
    <w:rsid w:val="009F741C"/>
    <w:rsid w:val="009F7500"/>
    <w:rsid w:val="009F758F"/>
    <w:rsid w:val="009F7626"/>
    <w:rsid w:val="009F768E"/>
    <w:rsid w:val="009F76E7"/>
    <w:rsid w:val="009F76F9"/>
    <w:rsid w:val="009F7A94"/>
    <w:rsid w:val="009F7D59"/>
    <w:rsid w:val="009F7D5D"/>
    <w:rsid w:val="00A0010B"/>
    <w:rsid w:val="00A010DC"/>
    <w:rsid w:val="00A012C7"/>
    <w:rsid w:val="00A01677"/>
    <w:rsid w:val="00A01B12"/>
    <w:rsid w:val="00A01E2A"/>
    <w:rsid w:val="00A01E81"/>
    <w:rsid w:val="00A022D4"/>
    <w:rsid w:val="00A023B0"/>
    <w:rsid w:val="00A029F2"/>
    <w:rsid w:val="00A02A02"/>
    <w:rsid w:val="00A02D43"/>
    <w:rsid w:val="00A02D4C"/>
    <w:rsid w:val="00A038E0"/>
    <w:rsid w:val="00A03ADC"/>
    <w:rsid w:val="00A03AE3"/>
    <w:rsid w:val="00A03CB8"/>
    <w:rsid w:val="00A042BE"/>
    <w:rsid w:val="00A0454F"/>
    <w:rsid w:val="00A0458F"/>
    <w:rsid w:val="00A04690"/>
    <w:rsid w:val="00A046FB"/>
    <w:rsid w:val="00A04765"/>
    <w:rsid w:val="00A0492A"/>
    <w:rsid w:val="00A04B93"/>
    <w:rsid w:val="00A0512C"/>
    <w:rsid w:val="00A051CB"/>
    <w:rsid w:val="00A052DE"/>
    <w:rsid w:val="00A0574A"/>
    <w:rsid w:val="00A05977"/>
    <w:rsid w:val="00A05ABE"/>
    <w:rsid w:val="00A05CC5"/>
    <w:rsid w:val="00A05ED2"/>
    <w:rsid w:val="00A05F04"/>
    <w:rsid w:val="00A06019"/>
    <w:rsid w:val="00A06168"/>
    <w:rsid w:val="00A06186"/>
    <w:rsid w:val="00A06372"/>
    <w:rsid w:val="00A06D7F"/>
    <w:rsid w:val="00A06FB0"/>
    <w:rsid w:val="00A073CF"/>
    <w:rsid w:val="00A0752A"/>
    <w:rsid w:val="00A078F4"/>
    <w:rsid w:val="00A07980"/>
    <w:rsid w:val="00A07D10"/>
    <w:rsid w:val="00A102E4"/>
    <w:rsid w:val="00A10649"/>
    <w:rsid w:val="00A10808"/>
    <w:rsid w:val="00A10CC6"/>
    <w:rsid w:val="00A10D11"/>
    <w:rsid w:val="00A10F29"/>
    <w:rsid w:val="00A110CE"/>
    <w:rsid w:val="00A11444"/>
    <w:rsid w:val="00A116E5"/>
    <w:rsid w:val="00A11800"/>
    <w:rsid w:val="00A11A9A"/>
    <w:rsid w:val="00A11AB8"/>
    <w:rsid w:val="00A11C0C"/>
    <w:rsid w:val="00A11D59"/>
    <w:rsid w:val="00A11D5C"/>
    <w:rsid w:val="00A121E6"/>
    <w:rsid w:val="00A12403"/>
    <w:rsid w:val="00A12750"/>
    <w:rsid w:val="00A12B27"/>
    <w:rsid w:val="00A12B2A"/>
    <w:rsid w:val="00A12CA3"/>
    <w:rsid w:val="00A12CB4"/>
    <w:rsid w:val="00A12D69"/>
    <w:rsid w:val="00A12D9D"/>
    <w:rsid w:val="00A12E2D"/>
    <w:rsid w:val="00A135A8"/>
    <w:rsid w:val="00A13725"/>
    <w:rsid w:val="00A1386E"/>
    <w:rsid w:val="00A138EF"/>
    <w:rsid w:val="00A13C1F"/>
    <w:rsid w:val="00A141BA"/>
    <w:rsid w:val="00A14210"/>
    <w:rsid w:val="00A142AE"/>
    <w:rsid w:val="00A148BF"/>
    <w:rsid w:val="00A14A24"/>
    <w:rsid w:val="00A15108"/>
    <w:rsid w:val="00A1521B"/>
    <w:rsid w:val="00A159F7"/>
    <w:rsid w:val="00A15C50"/>
    <w:rsid w:val="00A15CF5"/>
    <w:rsid w:val="00A15F89"/>
    <w:rsid w:val="00A1649C"/>
    <w:rsid w:val="00A1660F"/>
    <w:rsid w:val="00A16616"/>
    <w:rsid w:val="00A16969"/>
    <w:rsid w:val="00A16B1D"/>
    <w:rsid w:val="00A16C9D"/>
    <w:rsid w:val="00A16EBB"/>
    <w:rsid w:val="00A1735A"/>
    <w:rsid w:val="00A1785B"/>
    <w:rsid w:val="00A178CF"/>
    <w:rsid w:val="00A17926"/>
    <w:rsid w:val="00A17DAE"/>
    <w:rsid w:val="00A203C1"/>
    <w:rsid w:val="00A203E2"/>
    <w:rsid w:val="00A20603"/>
    <w:rsid w:val="00A20925"/>
    <w:rsid w:val="00A20A4E"/>
    <w:rsid w:val="00A20C1B"/>
    <w:rsid w:val="00A21277"/>
    <w:rsid w:val="00A212EF"/>
    <w:rsid w:val="00A21569"/>
    <w:rsid w:val="00A217EC"/>
    <w:rsid w:val="00A21AE9"/>
    <w:rsid w:val="00A21B58"/>
    <w:rsid w:val="00A2222A"/>
    <w:rsid w:val="00A224EB"/>
    <w:rsid w:val="00A225CB"/>
    <w:rsid w:val="00A22951"/>
    <w:rsid w:val="00A22B7E"/>
    <w:rsid w:val="00A23113"/>
    <w:rsid w:val="00A231F2"/>
    <w:rsid w:val="00A236CB"/>
    <w:rsid w:val="00A237E3"/>
    <w:rsid w:val="00A23968"/>
    <w:rsid w:val="00A23B78"/>
    <w:rsid w:val="00A23C2D"/>
    <w:rsid w:val="00A23D71"/>
    <w:rsid w:val="00A23D7F"/>
    <w:rsid w:val="00A243EF"/>
    <w:rsid w:val="00A24401"/>
    <w:rsid w:val="00A244A8"/>
    <w:rsid w:val="00A24CB3"/>
    <w:rsid w:val="00A253A6"/>
    <w:rsid w:val="00A25A78"/>
    <w:rsid w:val="00A25ACB"/>
    <w:rsid w:val="00A25B9E"/>
    <w:rsid w:val="00A2642F"/>
    <w:rsid w:val="00A26B77"/>
    <w:rsid w:val="00A26E28"/>
    <w:rsid w:val="00A26E31"/>
    <w:rsid w:val="00A272CE"/>
    <w:rsid w:val="00A2750B"/>
    <w:rsid w:val="00A275C3"/>
    <w:rsid w:val="00A276B9"/>
    <w:rsid w:val="00A2774B"/>
    <w:rsid w:val="00A27A5F"/>
    <w:rsid w:val="00A27B69"/>
    <w:rsid w:val="00A27D4B"/>
    <w:rsid w:val="00A27EB5"/>
    <w:rsid w:val="00A3002C"/>
    <w:rsid w:val="00A3022B"/>
    <w:rsid w:val="00A30338"/>
    <w:rsid w:val="00A303BB"/>
    <w:rsid w:val="00A30A01"/>
    <w:rsid w:val="00A30B08"/>
    <w:rsid w:val="00A30D9E"/>
    <w:rsid w:val="00A30E58"/>
    <w:rsid w:val="00A30E6F"/>
    <w:rsid w:val="00A3128B"/>
    <w:rsid w:val="00A312CC"/>
    <w:rsid w:val="00A3147A"/>
    <w:rsid w:val="00A314F4"/>
    <w:rsid w:val="00A31775"/>
    <w:rsid w:val="00A3183D"/>
    <w:rsid w:val="00A31B3F"/>
    <w:rsid w:val="00A31C0F"/>
    <w:rsid w:val="00A31C6D"/>
    <w:rsid w:val="00A31F64"/>
    <w:rsid w:val="00A32226"/>
    <w:rsid w:val="00A32378"/>
    <w:rsid w:val="00A32386"/>
    <w:rsid w:val="00A323A2"/>
    <w:rsid w:val="00A323B0"/>
    <w:rsid w:val="00A323BD"/>
    <w:rsid w:val="00A32885"/>
    <w:rsid w:val="00A328C5"/>
    <w:rsid w:val="00A32B8B"/>
    <w:rsid w:val="00A32E4F"/>
    <w:rsid w:val="00A3320F"/>
    <w:rsid w:val="00A33220"/>
    <w:rsid w:val="00A33432"/>
    <w:rsid w:val="00A335A9"/>
    <w:rsid w:val="00A3360C"/>
    <w:rsid w:val="00A33618"/>
    <w:rsid w:val="00A336C5"/>
    <w:rsid w:val="00A3376A"/>
    <w:rsid w:val="00A33939"/>
    <w:rsid w:val="00A33BCC"/>
    <w:rsid w:val="00A342D4"/>
    <w:rsid w:val="00A3445C"/>
    <w:rsid w:val="00A345AC"/>
    <w:rsid w:val="00A34854"/>
    <w:rsid w:val="00A3496B"/>
    <w:rsid w:val="00A34BA0"/>
    <w:rsid w:val="00A34CED"/>
    <w:rsid w:val="00A34DD6"/>
    <w:rsid w:val="00A34E1F"/>
    <w:rsid w:val="00A34EAA"/>
    <w:rsid w:val="00A3517E"/>
    <w:rsid w:val="00A35286"/>
    <w:rsid w:val="00A352E1"/>
    <w:rsid w:val="00A35378"/>
    <w:rsid w:val="00A354DC"/>
    <w:rsid w:val="00A35576"/>
    <w:rsid w:val="00A35843"/>
    <w:rsid w:val="00A35CB2"/>
    <w:rsid w:val="00A36075"/>
    <w:rsid w:val="00A360CA"/>
    <w:rsid w:val="00A36298"/>
    <w:rsid w:val="00A367FD"/>
    <w:rsid w:val="00A36A97"/>
    <w:rsid w:val="00A36CE8"/>
    <w:rsid w:val="00A36D90"/>
    <w:rsid w:val="00A36F02"/>
    <w:rsid w:val="00A36F6A"/>
    <w:rsid w:val="00A37069"/>
    <w:rsid w:val="00A37327"/>
    <w:rsid w:val="00A37465"/>
    <w:rsid w:val="00A374A2"/>
    <w:rsid w:val="00A37603"/>
    <w:rsid w:val="00A376DE"/>
    <w:rsid w:val="00A376E4"/>
    <w:rsid w:val="00A37EE1"/>
    <w:rsid w:val="00A403D4"/>
    <w:rsid w:val="00A4047C"/>
    <w:rsid w:val="00A404E0"/>
    <w:rsid w:val="00A40516"/>
    <w:rsid w:val="00A408FA"/>
    <w:rsid w:val="00A40962"/>
    <w:rsid w:val="00A40B01"/>
    <w:rsid w:val="00A40CB8"/>
    <w:rsid w:val="00A40D3E"/>
    <w:rsid w:val="00A40D9A"/>
    <w:rsid w:val="00A41102"/>
    <w:rsid w:val="00A41371"/>
    <w:rsid w:val="00A41400"/>
    <w:rsid w:val="00A41797"/>
    <w:rsid w:val="00A417B5"/>
    <w:rsid w:val="00A41DD3"/>
    <w:rsid w:val="00A41F51"/>
    <w:rsid w:val="00A42067"/>
    <w:rsid w:val="00A42165"/>
    <w:rsid w:val="00A42213"/>
    <w:rsid w:val="00A42463"/>
    <w:rsid w:val="00A427B3"/>
    <w:rsid w:val="00A429F6"/>
    <w:rsid w:val="00A42AC6"/>
    <w:rsid w:val="00A42B71"/>
    <w:rsid w:val="00A42B99"/>
    <w:rsid w:val="00A43042"/>
    <w:rsid w:val="00A4317B"/>
    <w:rsid w:val="00A4353D"/>
    <w:rsid w:val="00A43806"/>
    <w:rsid w:val="00A438A2"/>
    <w:rsid w:val="00A43CC0"/>
    <w:rsid w:val="00A43E9C"/>
    <w:rsid w:val="00A43EA3"/>
    <w:rsid w:val="00A44006"/>
    <w:rsid w:val="00A443EC"/>
    <w:rsid w:val="00A447DD"/>
    <w:rsid w:val="00A44806"/>
    <w:rsid w:val="00A449DF"/>
    <w:rsid w:val="00A44AA7"/>
    <w:rsid w:val="00A44BF3"/>
    <w:rsid w:val="00A44C6A"/>
    <w:rsid w:val="00A44C83"/>
    <w:rsid w:val="00A44C96"/>
    <w:rsid w:val="00A44F67"/>
    <w:rsid w:val="00A45218"/>
    <w:rsid w:val="00A454CE"/>
    <w:rsid w:val="00A45893"/>
    <w:rsid w:val="00A45CF3"/>
    <w:rsid w:val="00A45D05"/>
    <w:rsid w:val="00A45D78"/>
    <w:rsid w:val="00A45E1D"/>
    <w:rsid w:val="00A46189"/>
    <w:rsid w:val="00A46772"/>
    <w:rsid w:val="00A467B3"/>
    <w:rsid w:val="00A46FB6"/>
    <w:rsid w:val="00A4708A"/>
    <w:rsid w:val="00A4723A"/>
    <w:rsid w:val="00A47B6C"/>
    <w:rsid w:val="00A47CB5"/>
    <w:rsid w:val="00A47E64"/>
    <w:rsid w:val="00A50335"/>
    <w:rsid w:val="00A511D6"/>
    <w:rsid w:val="00A516D5"/>
    <w:rsid w:val="00A5191C"/>
    <w:rsid w:val="00A51C53"/>
    <w:rsid w:val="00A520B6"/>
    <w:rsid w:val="00A5217E"/>
    <w:rsid w:val="00A522FF"/>
    <w:rsid w:val="00A523E0"/>
    <w:rsid w:val="00A52402"/>
    <w:rsid w:val="00A52580"/>
    <w:rsid w:val="00A525D8"/>
    <w:rsid w:val="00A528BA"/>
    <w:rsid w:val="00A52A26"/>
    <w:rsid w:val="00A52D50"/>
    <w:rsid w:val="00A52F74"/>
    <w:rsid w:val="00A530E3"/>
    <w:rsid w:val="00A534E0"/>
    <w:rsid w:val="00A535C9"/>
    <w:rsid w:val="00A53715"/>
    <w:rsid w:val="00A53735"/>
    <w:rsid w:val="00A5387E"/>
    <w:rsid w:val="00A53898"/>
    <w:rsid w:val="00A53936"/>
    <w:rsid w:val="00A53971"/>
    <w:rsid w:val="00A53B3D"/>
    <w:rsid w:val="00A53D4B"/>
    <w:rsid w:val="00A53DA8"/>
    <w:rsid w:val="00A54099"/>
    <w:rsid w:val="00A54184"/>
    <w:rsid w:val="00A5418D"/>
    <w:rsid w:val="00A54403"/>
    <w:rsid w:val="00A544E6"/>
    <w:rsid w:val="00A54925"/>
    <w:rsid w:val="00A54A3E"/>
    <w:rsid w:val="00A54C1D"/>
    <w:rsid w:val="00A54DE9"/>
    <w:rsid w:val="00A54E4D"/>
    <w:rsid w:val="00A54FC0"/>
    <w:rsid w:val="00A55157"/>
    <w:rsid w:val="00A554D2"/>
    <w:rsid w:val="00A55722"/>
    <w:rsid w:val="00A55779"/>
    <w:rsid w:val="00A55A7B"/>
    <w:rsid w:val="00A55ECB"/>
    <w:rsid w:val="00A55FD9"/>
    <w:rsid w:val="00A5668D"/>
    <w:rsid w:val="00A56B05"/>
    <w:rsid w:val="00A56B33"/>
    <w:rsid w:val="00A57103"/>
    <w:rsid w:val="00A5715D"/>
    <w:rsid w:val="00A57162"/>
    <w:rsid w:val="00A571C1"/>
    <w:rsid w:val="00A57935"/>
    <w:rsid w:val="00A57B78"/>
    <w:rsid w:val="00A57CF9"/>
    <w:rsid w:val="00A602AD"/>
    <w:rsid w:val="00A6040F"/>
    <w:rsid w:val="00A60708"/>
    <w:rsid w:val="00A60BFE"/>
    <w:rsid w:val="00A60DF7"/>
    <w:rsid w:val="00A60EEA"/>
    <w:rsid w:val="00A612B7"/>
    <w:rsid w:val="00A61D48"/>
    <w:rsid w:val="00A62533"/>
    <w:rsid w:val="00A62579"/>
    <w:rsid w:val="00A626A0"/>
    <w:rsid w:val="00A62A13"/>
    <w:rsid w:val="00A62B74"/>
    <w:rsid w:val="00A62C13"/>
    <w:rsid w:val="00A62C24"/>
    <w:rsid w:val="00A62C74"/>
    <w:rsid w:val="00A62C7B"/>
    <w:rsid w:val="00A62CB7"/>
    <w:rsid w:val="00A62DFF"/>
    <w:rsid w:val="00A62E6A"/>
    <w:rsid w:val="00A62FA7"/>
    <w:rsid w:val="00A631E9"/>
    <w:rsid w:val="00A63518"/>
    <w:rsid w:val="00A63587"/>
    <w:rsid w:val="00A635B2"/>
    <w:rsid w:val="00A63DD5"/>
    <w:rsid w:val="00A63FA6"/>
    <w:rsid w:val="00A6400E"/>
    <w:rsid w:val="00A6433D"/>
    <w:rsid w:val="00A64370"/>
    <w:rsid w:val="00A64432"/>
    <w:rsid w:val="00A64892"/>
    <w:rsid w:val="00A648EF"/>
    <w:rsid w:val="00A64A2F"/>
    <w:rsid w:val="00A64A63"/>
    <w:rsid w:val="00A64D7C"/>
    <w:rsid w:val="00A64FEF"/>
    <w:rsid w:val="00A65018"/>
    <w:rsid w:val="00A6514D"/>
    <w:rsid w:val="00A65683"/>
    <w:rsid w:val="00A65BE7"/>
    <w:rsid w:val="00A65D68"/>
    <w:rsid w:val="00A66005"/>
    <w:rsid w:val="00A6607F"/>
    <w:rsid w:val="00A6632C"/>
    <w:rsid w:val="00A6636C"/>
    <w:rsid w:val="00A66431"/>
    <w:rsid w:val="00A664E3"/>
    <w:rsid w:val="00A6659E"/>
    <w:rsid w:val="00A668DD"/>
    <w:rsid w:val="00A66C3D"/>
    <w:rsid w:val="00A66C8C"/>
    <w:rsid w:val="00A671FA"/>
    <w:rsid w:val="00A67383"/>
    <w:rsid w:val="00A67710"/>
    <w:rsid w:val="00A677C7"/>
    <w:rsid w:val="00A70023"/>
    <w:rsid w:val="00A70394"/>
    <w:rsid w:val="00A703A0"/>
    <w:rsid w:val="00A704B9"/>
    <w:rsid w:val="00A7054C"/>
    <w:rsid w:val="00A7057A"/>
    <w:rsid w:val="00A7097F"/>
    <w:rsid w:val="00A70A7D"/>
    <w:rsid w:val="00A70C6A"/>
    <w:rsid w:val="00A70C81"/>
    <w:rsid w:val="00A71042"/>
    <w:rsid w:val="00A710EA"/>
    <w:rsid w:val="00A71343"/>
    <w:rsid w:val="00A714A4"/>
    <w:rsid w:val="00A71832"/>
    <w:rsid w:val="00A71875"/>
    <w:rsid w:val="00A71AFA"/>
    <w:rsid w:val="00A71B7D"/>
    <w:rsid w:val="00A71C84"/>
    <w:rsid w:val="00A71DB5"/>
    <w:rsid w:val="00A71E21"/>
    <w:rsid w:val="00A71E6D"/>
    <w:rsid w:val="00A7208A"/>
    <w:rsid w:val="00A721AB"/>
    <w:rsid w:val="00A728E1"/>
    <w:rsid w:val="00A72C65"/>
    <w:rsid w:val="00A730ED"/>
    <w:rsid w:val="00A73139"/>
    <w:rsid w:val="00A731F9"/>
    <w:rsid w:val="00A7327E"/>
    <w:rsid w:val="00A7340E"/>
    <w:rsid w:val="00A73437"/>
    <w:rsid w:val="00A73621"/>
    <w:rsid w:val="00A73811"/>
    <w:rsid w:val="00A73D03"/>
    <w:rsid w:val="00A73F50"/>
    <w:rsid w:val="00A7428C"/>
    <w:rsid w:val="00A74790"/>
    <w:rsid w:val="00A749D2"/>
    <w:rsid w:val="00A74DB9"/>
    <w:rsid w:val="00A74F61"/>
    <w:rsid w:val="00A751EF"/>
    <w:rsid w:val="00A752D8"/>
    <w:rsid w:val="00A75423"/>
    <w:rsid w:val="00A75E8D"/>
    <w:rsid w:val="00A75F81"/>
    <w:rsid w:val="00A762AA"/>
    <w:rsid w:val="00A766FF"/>
    <w:rsid w:val="00A76B4A"/>
    <w:rsid w:val="00A76E00"/>
    <w:rsid w:val="00A76EE9"/>
    <w:rsid w:val="00A7700E"/>
    <w:rsid w:val="00A77131"/>
    <w:rsid w:val="00A7746B"/>
    <w:rsid w:val="00A77620"/>
    <w:rsid w:val="00A77845"/>
    <w:rsid w:val="00A77B53"/>
    <w:rsid w:val="00A77C7B"/>
    <w:rsid w:val="00A77D15"/>
    <w:rsid w:val="00A77D45"/>
    <w:rsid w:val="00A77E99"/>
    <w:rsid w:val="00A8050B"/>
    <w:rsid w:val="00A80624"/>
    <w:rsid w:val="00A8094A"/>
    <w:rsid w:val="00A80A31"/>
    <w:rsid w:val="00A80C47"/>
    <w:rsid w:val="00A80FCE"/>
    <w:rsid w:val="00A81089"/>
    <w:rsid w:val="00A8111C"/>
    <w:rsid w:val="00A813B1"/>
    <w:rsid w:val="00A81D11"/>
    <w:rsid w:val="00A81EFB"/>
    <w:rsid w:val="00A8210E"/>
    <w:rsid w:val="00A8212E"/>
    <w:rsid w:val="00A8236D"/>
    <w:rsid w:val="00A823E1"/>
    <w:rsid w:val="00A82770"/>
    <w:rsid w:val="00A82D76"/>
    <w:rsid w:val="00A82E0C"/>
    <w:rsid w:val="00A831ED"/>
    <w:rsid w:val="00A83369"/>
    <w:rsid w:val="00A83525"/>
    <w:rsid w:val="00A836CD"/>
    <w:rsid w:val="00A83851"/>
    <w:rsid w:val="00A83BF4"/>
    <w:rsid w:val="00A83C2C"/>
    <w:rsid w:val="00A8409F"/>
    <w:rsid w:val="00A841B8"/>
    <w:rsid w:val="00A8489D"/>
    <w:rsid w:val="00A84967"/>
    <w:rsid w:val="00A849AF"/>
    <w:rsid w:val="00A849D1"/>
    <w:rsid w:val="00A84A59"/>
    <w:rsid w:val="00A84B62"/>
    <w:rsid w:val="00A84B65"/>
    <w:rsid w:val="00A84C30"/>
    <w:rsid w:val="00A84C41"/>
    <w:rsid w:val="00A85115"/>
    <w:rsid w:val="00A8546E"/>
    <w:rsid w:val="00A855C1"/>
    <w:rsid w:val="00A8597C"/>
    <w:rsid w:val="00A859E5"/>
    <w:rsid w:val="00A85C13"/>
    <w:rsid w:val="00A85C6A"/>
    <w:rsid w:val="00A861D1"/>
    <w:rsid w:val="00A862C5"/>
    <w:rsid w:val="00A86418"/>
    <w:rsid w:val="00A86617"/>
    <w:rsid w:val="00A86E24"/>
    <w:rsid w:val="00A86F95"/>
    <w:rsid w:val="00A870D1"/>
    <w:rsid w:val="00A87180"/>
    <w:rsid w:val="00A87261"/>
    <w:rsid w:val="00A87514"/>
    <w:rsid w:val="00A87648"/>
    <w:rsid w:val="00A878D1"/>
    <w:rsid w:val="00A87CC9"/>
    <w:rsid w:val="00A87FE1"/>
    <w:rsid w:val="00A90154"/>
    <w:rsid w:val="00A90272"/>
    <w:rsid w:val="00A90657"/>
    <w:rsid w:val="00A906FA"/>
    <w:rsid w:val="00A90944"/>
    <w:rsid w:val="00A90A7F"/>
    <w:rsid w:val="00A90AAD"/>
    <w:rsid w:val="00A90B82"/>
    <w:rsid w:val="00A90FFA"/>
    <w:rsid w:val="00A91051"/>
    <w:rsid w:val="00A91215"/>
    <w:rsid w:val="00A9132A"/>
    <w:rsid w:val="00A9134F"/>
    <w:rsid w:val="00A91BCE"/>
    <w:rsid w:val="00A91E60"/>
    <w:rsid w:val="00A9216C"/>
    <w:rsid w:val="00A928CC"/>
    <w:rsid w:val="00A92B1E"/>
    <w:rsid w:val="00A92DBF"/>
    <w:rsid w:val="00A9343B"/>
    <w:rsid w:val="00A945D4"/>
    <w:rsid w:val="00A94765"/>
    <w:rsid w:val="00A947DF"/>
    <w:rsid w:val="00A94ACE"/>
    <w:rsid w:val="00A94BF2"/>
    <w:rsid w:val="00A94FB6"/>
    <w:rsid w:val="00A9520D"/>
    <w:rsid w:val="00A952BB"/>
    <w:rsid w:val="00A95486"/>
    <w:rsid w:val="00A95715"/>
    <w:rsid w:val="00A957ED"/>
    <w:rsid w:val="00A958CB"/>
    <w:rsid w:val="00A9593F"/>
    <w:rsid w:val="00A959E2"/>
    <w:rsid w:val="00A95EAD"/>
    <w:rsid w:val="00A96099"/>
    <w:rsid w:val="00A9622F"/>
    <w:rsid w:val="00A96293"/>
    <w:rsid w:val="00A9692E"/>
    <w:rsid w:val="00A969CA"/>
    <w:rsid w:val="00A96AAF"/>
    <w:rsid w:val="00A97011"/>
    <w:rsid w:val="00A970D3"/>
    <w:rsid w:val="00A973E2"/>
    <w:rsid w:val="00A976F1"/>
    <w:rsid w:val="00A9775F"/>
    <w:rsid w:val="00A97A08"/>
    <w:rsid w:val="00A97CE6"/>
    <w:rsid w:val="00AA02CB"/>
    <w:rsid w:val="00AA05DF"/>
    <w:rsid w:val="00AA0AC1"/>
    <w:rsid w:val="00AA0B79"/>
    <w:rsid w:val="00AA0FDB"/>
    <w:rsid w:val="00AA1092"/>
    <w:rsid w:val="00AA13DA"/>
    <w:rsid w:val="00AA1532"/>
    <w:rsid w:val="00AA1757"/>
    <w:rsid w:val="00AA181B"/>
    <w:rsid w:val="00AA1907"/>
    <w:rsid w:val="00AA2221"/>
    <w:rsid w:val="00AA2801"/>
    <w:rsid w:val="00AA29BD"/>
    <w:rsid w:val="00AA2BE2"/>
    <w:rsid w:val="00AA3671"/>
    <w:rsid w:val="00AA3A33"/>
    <w:rsid w:val="00AA3AFC"/>
    <w:rsid w:val="00AA3CC0"/>
    <w:rsid w:val="00AA3EF2"/>
    <w:rsid w:val="00AA42AC"/>
    <w:rsid w:val="00AA450F"/>
    <w:rsid w:val="00AA467D"/>
    <w:rsid w:val="00AA47BA"/>
    <w:rsid w:val="00AA4802"/>
    <w:rsid w:val="00AA4BF2"/>
    <w:rsid w:val="00AA4C11"/>
    <w:rsid w:val="00AA4C22"/>
    <w:rsid w:val="00AA4D65"/>
    <w:rsid w:val="00AA4DF6"/>
    <w:rsid w:val="00AA5118"/>
    <w:rsid w:val="00AA54C6"/>
    <w:rsid w:val="00AA56B0"/>
    <w:rsid w:val="00AA575C"/>
    <w:rsid w:val="00AA5A3C"/>
    <w:rsid w:val="00AA5BC6"/>
    <w:rsid w:val="00AA5D47"/>
    <w:rsid w:val="00AA6097"/>
    <w:rsid w:val="00AA6163"/>
    <w:rsid w:val="00AA61F2"/>
    <w:rsid w:val="00AA6616"/>
    <w:rsid w:val="00AA667E"/>
    <w:rsid w:val="00AA68D2"/>
    <w:rsid w:val="00AA6AC1"/>
    <w:rsid w:val="00AA6AE7"/>
    <w:rsid w:val="00AA6B65"/>
    <w:rsid w:val="00AA6DD4"/>
    <w:rsid w:val="00AA7090"/>
    <w:rsid w:val="00AA73FF"/>
    <w:rsid w:val="00AA7751"/>
    <w:rsid w:val="00AA77EF"/>
    <w:rsid w:val="00AA7D2E"/>
    <w:rsid w:val="00AA7D3D"/>
    <w:rsid w:val="00AB01F2"/>
    <w:rsid w:val="00AB0274"/>
    <w:rsid w:val="00AB036B"/>
    <w:rsid w:val="00AB039D"/>
    <w:rsid w:val="00AB03F7"/>
    <w:rsid w:val="00AB0436"/>
    <w:rsid w:val="00AB0D3A"/>
    <w:rsid w:val="00AB1196"/>
    <w:rsid w:val="00AB11AB"/>
    <w:rsid w:val="00AB14CC"/>
    <w:rsid w:val="00AB1738"/>
    <w:rsid w:val="00AB173C"/>
    <w:rsid w:val="00AB1950"/>
    <w:rsid w:val="00AB1AD7"/>
    <w:rsid w:val="00AB1D8F"/>
    <w:rsid w:val="00AB1DC2"/>
    <w:rsid w:val="00AB1EF6"/>
    <w:rsid w:val="00AB221A"/>
    <w:rsid w:val="00AB2456"/>
    <w:rsid w:val="00AB2569"/>
    <w:rsid w:val="00AB261F"/>
    <w:rsid w:val="00AB289F"/>
    <w:rsid w:val="00AB2DC1"/>
    <w:rsid w:val="00AB2EC2"/>
    <w:rsid w:val="00AB2EEB"/>
    <w:rsid w:val="00AB2F7D"/>
    <w:rsid w:val="00AB3292"/>
    <w:rsid w:val="00AB33E3"/>
    <w:rsid w:val="00AB361A"/>
    <w:rsid w:val="00AB3657"/>
    <w:rsid w:val="00AB38C6"/>
    <w:rsid w:val="00AB3960"/>
    <w:rsid w:val="00AB39B3"/>
    <w:rsid w:val="00AB3A69"/>
    <w:rsid w:val="00AB3B56"/>
    <w:rsid w:val="00AB3E86"/>
    <w:rsid w:val="00AB4299"/>
    <w:rsid w:val="00AB44AC"/>
    <w:rsid w:val="00AB4865"/>
    <w:rsid w:val="00AB4D93"/>
    <w:rsid w:val="00AB4DA2"/>
    <w:rsid w:val="00AB52DD"/>
    <w:rsid w:val="00AB56A2"/>
    <w:rsid w:val="00AB58D2"/>
    <w:rsid w:val="00AB5DE5"/>
    <w:rsid w:val="00AB5E40"/>
    <w:rsid w:val="00AB5F98"/>
    <w:rsid w:val="00AB608D"/>
    <w:rsid w:val="00AB61FB"/>
    <w:rsid w:val="00AB63A6"/>
    <w:rsid w:val="00AB650D"/>
    <w:rsid w:val="00AB688C"/>
    <w:rsid w:val="00AB6D49"/>
    <w:rsid w:val="00AB6F6C"/>
    <w:rsid w:val="00AB70BE"/>
    <w:rsid w:val="00AB7255"/>
    <w:rsid w:val="00AB7787"/>
    <w:rsid w:val="00AB77E5"/>
    <w:rsid w:val="00AB78D9"/>
    <w:rsid w:val="00AB7DC2"/>
    <w:rsid w:val="00AB7E74"/>
    <w:rsid w:val="00AB7FD0"/>
    <w:rsid w:val="00AC00F3"/>
    <w:rsid w:val="00AC0222"/>
    <w:rsid w:val="00AC04C8"/>
    <w:rsid w:val="00AC0612"/>
    <w:rsid w:val="00AC0AB1"/>
    <w:rsid w:val="00AC1217"/>
    <w:rsid w:val="00AC1346"/>
    <w:rsid w:val="00AC18D9"/>
    <w:rsid w:val="00AC2487"/>
    <w:rsid w:val="00AC27FF"/>
    <w:rsid w:val="00AC2A2F"/>
    <w:rsid w:val="00AC2C04"/>
    <w:rsid w:val="00AC2C70"/>
    <w:rsid w:val="00AC31EC"/>
    <w:rsid w:val="00AC31FD"/>
    <w:rsid w:val="00AC3293"/>
    <w:rsid w:val="00AC3624"/>
    <w:rsid w:val="00AC39FE"/>
    <w:rsid w:val="00AC3B0B"/>
    <w:rsid w:val="00AC3B27"/>
    <w:rsid w:val="00AC410C"/>
    <w:rsid w:val="00AC429F"/>
    <w:rsid w:val="00AC4321"/>
    <w:rsid w:val="00AC4557"/>
    <w:rsid w:val="00AC49CF"/>
    <w:rsid w:val="00AC4A47"/>
    <w:rsid w:val="00AC4B2B"/>
    <w:rsid w:val="00AC527B"/>
    <w:rsid w:val="00AC53F6"/>
    <w:rsid w:val="00AC542C"/>
    <w:rsid w:val="00AC59A7"/>
    <w:rsid w:val="00AC5B6C"/>
    <w:rsid w:val="00AC5BE8"/>
    <w:rsid w:val="00AC5C06"/>
    <w:rsid w:val="00AC5E46"/>
    <w:rsid w:val="00AC5EFE"/>
    <w:rsid w:val="00AC68C8"/>
    <w:rsid w:val="00AC6955"/>
    <w:rsid w:val="00AC6AFA"/>
    <w:rsid w:val="00AC6F35"/>
    <w:rsid w:val="00AC717A"/>
    <w:rsid w:val="00AC77CB"/>
    <w:rsid w:val="00AC782D"/>
    <w:rsid w:val="00AC7908"/>
    <w:rsid w:val="00AC79A0"/>
    <w:rsid w:val="00AC7A16"/>
    <w:rsid w:val="00AC7C5A"/>
    <w:rsid w:val="00AC7E54"/>
    <w:rsid w:val="00AD0009"/>
    <w:rsid w:val="00AD012E"/>
    <w:rsid w:val="00AD069D"/>
    <w:rsid w:val="00AD081B"/>
    <w:rsid w:val="00AD084B"/>
    <w:rsid w:val="00AD0A55"/>
    <w:rsid w:val="00AD0C38"/>
    <w:rsid w:val="00AD101C"/>
    <w:rsid w:val="00AD1295"/>
    <w:rsid w:val="00AD14C1"/>
    <w:rsid w:val="00AD16FC"/>
    <w:rsid w:val="00AD1A5D"/>
    <w:rsid w:val="00AD1C9D"/>
    <w:rsid w:val="00AD1E58"/>
    <w:rsid w:val="00AD1F54"/>
    <w:rsid w:val="00AD2058"/>
    <w:rsid w:val="00AD2113"/>
    <w:rsid w:val="00AD212F"/>
    <w:rsid w:val="00AD22EF"/>
    <w:rsid w:val="00AD2DAC"/>
    <w:rsid w:val="00AD2E1C"/>
    <w:rsid w:val="00AD2E79"/>
    <w:rsid w:val="00AD2EC5"/>
    <w:rsid w:val="00AD323C"/>
    <w:rsid w:val="00AD36E0"/>
    <w:rsid w:val="00AD3888"/>
    <w:rsid w:val="00AD38A2"/>
    <w:rsid w:val="00AD38EF"/>
    <w:rsid w:val="00AD3A52"/>
    <w:rsid w:val="00AD3A59"/>
    <w:rsid w:val="00AD3F62"/>
    <w:rsid w:val="00AD4035"/>
    <w:rsid w:val="00AD44DE"/>
    <w:rsid w:val="00AD4872"/>
    <w:rsid w:val="00AD4DB2"/>
    <w:rsid w:val="00AD500B"/>
    <w:rsid w:val="00AD51AB"/>
    <w:rsid w:val="00AD5205"/>
    <w:rsid w:val="00AD5708"/>
    <w:rsid w:val="00AD5852"/>
    <w:rsid w:val="00AD598B"/>
    <w:rsid w:val="00AD5E0C"/>
    <w:rsid w:val="00AD6123"/>
    <w:rsid w:val="00AD6845"/>
    <w:rsid w:val="00AD68C1"/>
    <w:rsid w:val="00AD6C00"/>
    <w:rsid w:val="00AD6C74"/>
    <w:rsid w:val="00AD7053"/>
    <w:rsid w:val="00AD7377"/>
    <w:rsid w:val="00AD748B"/>
    <w:rsid w:val="00AD7659"/>
    <w:rsid w:val="00AD7895"/>
    <w:rsid w:val="00AD79F1"/>
    <w:rsid w:val="00AD79F4"/>
    <w:rsid w:val="00AD7B8E"/>
    <w:rsid w:val="00AD7FC8"/>
    <w:rsid w:val="00AE00E2"/>
    <w:rsid w:val="00AE01CF"/>
    <w:rsid w:val="00AE01E4"/>
    <w:rsid w:val="00AE0677"/>
    <w:rsid w:val="00AE0A3A"/>
    <w:rsid w:val="00AE0B68"/>
    <w:rsid w:val="00AE0C87"/>
    <w:rsid w:val="00AE0DCC"/>
    <w:rsid w:val="00AE1315"/>
    <w:rsid w:val="00AE1842"/>
    <w:rsid w:val="00AE1C39"/>
    <w:rsid w:val="00AE2025"/>
    <w:rsid w:val="00AE2421"/>
    <w:rsid w:val="00AE26DD"/>
    <w:rsid w:val="00AE2A19"/>
    <w:rsid w:val="00AE2EA0"/>
    <w:rsid w:val="00AE3557"/>
    <w:rsid w:val="00AE368F"/>
    <w:rsid w:val="00AE386E"/>
    <w:rsid w:val="00AE41B1"/>
    <w:rsid w:val="00AE4240"/>
    <w:rsid w:val="00AE43E9"/>
    <w:rsid w:val="00AE45D5"/>
    <w:rsid w:val="00AE46C8"/>
    <w:rsid w:val="00AE4955"/>
    <w:rsid w:val="00AE4C04"/>
    <w:rsid w:val="00AE4E68"/>
    <w:rsid w:val="00AE4E9D"/>
    <w:rsid w:val="00AE527A"/>
    <w:rsid w:val="00AE5404"/>
    <w:rsid w:val="00AE5422"/>
    <w:rsid w:val="00AE5791"/>
    <w:rsid w:val="00AE579B"/>
    <w:rsid w:val="00AE57BB"/>
    <w:rsid w:val="00AE59A6"/>
    <w:rsid w:val="00AE64D2"/>
    <w:rsid w:val="00AE6AAA"/>
    <w:rsid w:val="00AE6BE3"/>
    <w:rsid w:val="00AE6F13"/>
    <w:rsid w:val="00AE7068"/>
    <w:rsid w:val="00AE7321"/>
    <w:rsid w:val="00AE73D7"/>
    <w:rsid w:val="00AE75C1"/>
    <w:rsid w:val="00AE76FD"/>
    <w:rsid w:val="00AE7841"/>
    <w:rsid w:val="00AE7B30"/>
    <w:rsid w:val="00AE7C82"/>
    <w:rsid w:val="00AE7D10"/>
    <w:rsid w:val="00AF025C"/>
    <w:rsid w:val="00AF043A"/>
    <w:rsid w:val="00AF05B0"/>
    <w:rsid w:val="00AF0E17"/>
    <w:rsid w:val="00AF10B2"/>
    <w:rsid w:val="00AF112A"/>
    <w:rsid w:val="00AF11C4"/>
    <w:rsid w:val="00AF12A8"/>
    <w:rsid w:val="00AF18E7"/>
    <w:rsid w:val="00AF1BE6"/>
    <w:rsid w:val="00AF1C90"/>
    <w:rsid w:val="00AF1D41"/>
    <w:rsid w:val="00AF1F1A"/>
    <w:rsid w:val="00AF2181"/>
    <w:rsid w:val="00AF24DF"/>
    <w:rsid w:val="00AF263B"/>
    <w:rsid w:val="00AF29F6"/>
    <w:rsid w:val="00AF2A7B"/>
    <w:rsid w:val="00AF2C75"/>
    <w:rsid w:val="00AF2CCD"/>
    <w:rsid w:val="00AF34A0"/>
    <w:rsid w:val="00AF3903"/>
    <w:rsid w:val="00AF3B34"/>
    <w:rsid w:val="00AF3C5C"/>
    <w:rsid w:val="00AF3D83"/>
    <w:rsid w:val="00AF3DCD"/>
    <w:rsid w:val="00AF427C"/>
    <w:rsid w:val="00AF45D7"/>
    <w:rsid w:val="00AF47D4"/>
    <w:rsid w:val="00AF48C4"/>
    <w:rsid w:val="00AF495B"/>
    <w:rsid w:val="00AF49DD"/>
    <w:rsid w:val="00AF4F9C"/>
    <w:rsid w:val="00AF52BC"/>
    <w:rsid w:val="00AF5337"/>
    <w:rsid w:val="00AF540E"/>
    <w:rsid w:val="00AF57F7"/>
    <w:rsid w:val="00AF5C5D"/>
    <w:rsid w:val="00AF64B6"/>
    <w:rsid w:val="00AF64C5"/>
    <w:rsid w:val="00AF659E"/>
    <w:rsid w:val="00AF6681"/>
    <w:rsid w:val="00AF66A9"/>
    <w:rsid w:val="00AF67DD"/>
    <w:rsid w:val="00AF692A"/>
    <w:rsid w:val="00AF6CF2"/>
    <w:rsid w:val="00AF6DB9"/>
    <w:rsid w:val="00AF744E"/>
    <w:rsid w:val="00AF74C2"/>
    <w:rsid w:val="00AF76E1"/>
    <w:rsid w:val="00AF79E5"/>
    <w:rsid w:val="00AF7A9B"/>
    <w:rsid w:val="00AF7E92"/>
    <w:rsid w:val="00B00018"/>
    <w:rsid w:val="00B000BE"/>
    <w:rsid w:val="00B0030E"/>
    <w:rsid w:val="00B00879"/>
    <w:rsid w:val="00B00938"/>
    <w:rsid w:val="00B00C29"/>
    <w:rsid w:val="00B00D80"/>
    <w:rsid w:val="00B012CA"/>
    <w:rsid w:val="00B01369"/>
    <w:rsid w:val="00B01D56"/>
    <w:rsid w:val="00B01E3F"/>
    <w:rsid w:val="00B0234B"/>
    <w:rsid w:val="00B023FD"/>
    <w:rsid w:val="00B0249F"/>
    <w:rsid w:val="00B02584"/>
    <w:rsid w:val="00B029D0"/>
    <w:rsid w:val="00B029D6"/>
    <w:rsid w:val="00B02C47"/>
    <w:rsid w:val="00B0321B"/>
    <w:rsid w:val="00B035D9"/>
    <w:rsid w:val="00B03AAB"/>
    <w:rsid w:val="00B03AC1"/>
    <w:rsid w:val="00B03BF2"/>
    <w:rsid w:val="00B04024"/>
    <w:rsid w:val="00B042BF"/>
    <w:rsid w:val="00B04410"/>
    <w:rsid w:val="00B044CA"/>
    <w:rsid w:val="00B044E2"/>
    <w:rsid w:val="00B0470A"/>
    <w:rsid w:val="00B04734"/>
    <w:rsid w:val="00B0479B"/>
    <w:rsid w:val="00B048F0"/>
    <w:rsid w:val="00B04D56"/>
    <w:rsid w:val="00B0510E"/>
    <w:rsid w:val="00B05139"/>
    <w:rsid w:val="00B052F6"/>
    <w:rsid w:val="00B05423"/>
    <w:rsid w:val="00B05D68"/>
    <w:rsid w:val="00B05FEC"/>
    <w:rsid w:val="00B0627F"/>
    <w:rsid w:val="00B062B1"/>
    <w:rsid w:val="00B064DB"/>
    <w:rsid w:val="00B066FD"/>
    <w:rsid w:val="00B06898"/>
    <w:rsid w:val="00B0726C"/>
    <w:rsid w:val="00B073B7"/>
    <w:rsid w:val="00B073DD"/>
    <w:rsid w:val="00B07491"/>
    <w:rsid w:val="00B07527"/>
    <w:rsid w:val="00B07569"/>
    <w:rsid w:val="00B07601"/>
    <w:rsid w:val="00B076A4"/>
    <w:rsid w:val="00B079BF"/>
    <w:rsid w:val="00B07AC0"/>
    <w:rsid w:val="00B07BA0"/>
    <w:rsid w:val="00B07C18"/>
    <w:rsid w:val="00B07D12"/>
    <w:rsid w:val="00B07F3D"/>
    <w:rsid w:val="00B1019C"/>
    <w:rsid w:val="00B101CD"/>
    <w:rsid w:val="00B10463"/>
    <w:rsid w:val="00B105C4"/>
    <w:rsid w:val="00B1068B"/>
    <w:rsid w:val="00B10790"/>
    <w:rsid w:val="00B10A48"/>
    <w:rsid w:val="00B10B4E"/>
    <w:rsid w:val="00B10CD5"/>
    <w:rsid w:val="00B110CA"/>
    <w:rsid w:val="00B110F5"/>
    <w:rsid w:val="00B1119D"/>
    <w:rsid w:val="00B11322"/>
    <w:rsid w:val="00B11430"/>
    <w:rsid w:val="00B118D1"/>
    <w:rsid w:val="00B11B5F"/>
    <w:rsid w:val="00B11BD3"/>
    <w:rsid w:val="00B11F81"/>
    <w:rsid w:val="00B121CA"/>
    <w:rsid w:val="00B12319"/>
    <w:rsid w:val="00B1265F"/>
    <w:rsid w:val="00B12B3E"/>
    <w:rsid w:val="00B12F0E"/>
    <w:rsid w:val="00B12F3B"/>
    <w:rsid w:val="00B13015"/>
    <w:rsid w:val="00B13206"/>
    <w:rsid w:val="00B13405"/>
    <w:rsid w:val="00B136FB"/>
    <w:rsid w:val="00B13794"/>
    <w:rsid w:val="00B1382F"/>
    <w:rsid w:val="00B13921"/>
    <w:rsid w:val="00B13A33"/>
    <w:rsid w:val="00B13A9F"/>
    <w:rsid w:val="00B13B99"/>
    <w:rsid w:val="00B13CD1"/>
    <w:rsid w:val="00B1412C"/>
    <w:rsid w:val="00B144A8"/>
    <w:rsid w:val="00B14578"/>
    <w:rsid w:val="00B14A35"/>
    <w:rsid w:val="00B14F54"/>
    <w:rsid w:val="00B15302"/>
    <w:rsid w:val="00B1535C"/>
    <w:rsid w:val="00B1536C"/>
    <w:rsid w:val="00B15397"/>
    <w:rsid w:val="00B15581"/>
    <w:rsid w:val="00B155AE"/>
    <w:rsid w:val="00B15A59"/>
    <w:rsid w:val="00B161E9"/>
    <w:rsid w:val="00B16354"/>
    <w:rsid w:val="00B16548"/>
    <w:rsid w:val="00B169DB"/>
    <w:rsid w:val="00B169F0"/>
    <w:rsid w:val="00B16AEC"/>
    <w:rsid w:val="00B16C7D"/>
    <w:rsid w:val="00B16EFC"/>
    <w:rsid w:val="00B17232"/>
    <w:rsid w:val="00B17491"/>
    <w:rsid w:val="00B17AFB"/>
    <w:rsid w:val="00B17F37"/>
    <w:rsid w:val="00B17F6C"/>
    <w:rsid w:val="00B20090"/>
    <w:rsid w:val="00B202D4"/>
    <w:rsid w:val="00B20515"/>
    <w:rsid w:val="00B20E42"/>
    <w:rsid w:val="00B20E6A"/>
    <w:rsid w:val="00B20E83"/>
    <w:rsid w:val="00B21057"/>
    <w:rsid w:val="00B2112B"/>
    <w:rsid w:val="00B216EC"/>
    <w:rsid w:val="00B21868"/>
    <w:rsid w:val="00B21A36"/>
    <w:rsid w:val="00B21A6C"/>
    <w:rsid w:val="00B21AC9"/>
    <w:rsid w:val="00B21B7A"/>
    <w:rsid w:val="00B21CF3"/>
    <w:rsid w:val="00B21D69"/>
    <w:rsid w:val="00B21F61"/>
    <w:rsid w:val="00B21F71"/>
    <w:rsid w:val="00B220CC"/>
    <w:rsid w:val="00B2217D"/>
    <w:rsid w:val="00B22760"/>
    <w:rsid w:val="00B2295C"/>
    <w:rsid w:val="00B22A4E"/>
    <w:rsid w:val="00B22AC9"/>
    <w:rsid w:val="00B22CEE"/>
    <w:rsid w:val="00B22E39"/>
    <w:rsid w:val="00B2319A"/>
    <w:rsid w:val="00B234C3"/>
    <w:rsid w:val="00B235E1"/>
    <w:rsid w:val="00B2377F"/>
    <w:rsid w:val="00B237DE"/>
    <w:rsid w:val="00B23887"/>
    <w:rsid w:val="00B23950"/>
    <w:rsid w:val="00B23DBD"/>
    <w:rsid w:val="00B24082"/>
    <w:rsid w:val="00B241F9"/>
    <w:rsid w:val="00B24238"/>
    <w:rsid w:val="00B24CD7"/>
    <w:rsid w:val="00B24F22"/>
    <w:rsid w:val="00B24F96"/>
    <w:rsid w:val="00B25579"/>
    <w:rsid w:val="00B25994"/>
    <w:rsid w:val="00B259BD"/>
    <w:rsid w:val="00B259CD"/>
    <w:rsid w:val="00B25F06"/>
    <w:rsid w:val="00B25F50"/>
    <w:rsid w:val="00B25F52"/>
    <w:rsid w:val="00B2603B"/>
    <w:rsid w:val="00B261AA"/>
    <w:rsid w:val="00B261DE"/>
    <w:rsid w:val="00B2621B"/>
    <w:rsid w:val="00B263D0"/>
    <w:rsid w:val="00B266A0"/>
    <w:rsid w:val="00B266C8"/>
    <w:rsid w:val="00B26A1F"/>
    <w:rsid w:val="00B26A5D"/>
    <w:rsid w:val="00B26B55"/>
    <w:rsid w:val="00B270E9"/>
    <w:rsid w:val="00B27104"/>
    <w:rsid w:val="00B2748A"/>
    <w:rsid w:val="00B27560"/>
    <w:rsid w:val="00B275FA"/>
    <w:rsid w:val="00B276E7"/>
    <w:rsid w:val="00B2779E"/>
    <w:rsid w:val="00B27937"/>
    <w:rsid w:val="00B27B06"/>
    <w:rsid w:val="00B27BC2"/>
    <w:rsid w:val="00B27BD5"/>
    <w:rsid w:val="00B27D92"/>
    <w:rsid w:val="00B27EAF"/>
    <w:rsid w:val="00B302ED"/>
    <w:rsid w:val="00B305A8"/>
    <w:rsid w:val="00B3087F"/>
    <w:rsid w:val="00B30929"/>
    <w:rsid w:val="00B3114C"/>
    <w:rsid w:val="00B31308"/>
    <w:rsid w:val="00B31441"/>
    <w:rsid w:val="00B31560"/>
    <w:rsid w:val="00B31669"/>
    <w:rsid w:val="00B317FA"/>
    <w:rsid w:val="00B3191D"/>
    <w:rsid w:val="00B32343"/>
    <w:rsid w:val="00B3274B"/>
    <w:rsid w:val="00B32D73"/>
    <w:rsid w:val="00B32F05"/>
    <w:rsid w:val="00B32FAD"/>
    <w:rsid w:val="00B330EE"/>
    <w:rsid w:val="00B331E1"/>
    <w:rsid w:val="00B332CB"/>
    <w:rsid w:val="00B33494"/>
    <w:rsid w:val="00B336BF"/>
    <w:rsid w:val="00B33C54"/>
    <w:rsid w:val="00B33D25"/>
    <w:rsid w:val="00B33E67"/>
    <w:rsid w:val="00B33F8B"/>
    <w:rsid w:val="00B3400C"/>
    <w:rsid w:val="00B34194"/>
    <w:rsid w:val="00B3452F"/>
    <w:rsid w:val="00B34564"/>
    <w:rsid w:val="00B348F5"/>
    <w:rsid w:val="00B34AF9"/>
    <w:rsid w:val="00B34F0D"/>
    <w:rsid w:val="00B34F20"/>
    <w:rsid w:val="00B352C0"/>
    <w:rsid w:val="00B3533D"/>
    <w:rsid w:val="00B35523"/>
    <w:rsid w:val="00B35BF4"/>
    <w:rsid w:val="00B35E70"/>
    <w:rsid w:val="00B3614B"/>
    <w:rsid w:val="00B36749"/>
    <w:rsid w:val="00B36803"/>
    <w:rsid w:val="00B36921"/>
    <w:rsid w:val="00B36DE3"/>
    <w:rsid w:val="00B3750F"/>
    <w:rsid w:val="00B37757"/>
    <w:rsid w:val="00B37D40"/>
    <w:rsid w:val="00B37DE1"/>
    <w:rsid w:val="00B37DFC"/>
    <w:rsid w:val="00B37EA2"/>
    <w:rsid w:val="00B37EF4"/>
    <w:rsid w:val="00B40760"/>
    <w:rsid w:val="00B409C0"/>
    <w:rsid w:val="00B409F4"/>
    <w:rsid w:val="00B40CD0"/>
    <w:rsid w:val="00B40E39"/>
    <w:rsid w:val="00B4107F"/>
    <w:rsid w:val="00B4135A"/>
    <w:rsid w:val="00B4141A"/>
    <w:rsid w:val="00B41471"/>
    <w:rsid w:val="00B414BD"/>
    <w:rsid w:val="00B4159C"/>
    <w:rsid w:val="00B41749"/>
    <w:rsid w:val="00B417DF"/>
    <w:rsid w:val="00B4197F"/>
    <w:rsid w:val="00B41AD3"/>
    <w:rsid w:val="00B42146"/>
    <w:rsid w:val="00B42270"/>
    <w:rsid w:val="00B426F8"/>
    <w:rsid w:val="00B42D23"/>
    <w:rsid w:val="00B42FC1"/>
    <w:rsid w:val="00B432AA"/>
    <w:rsid w:val="00B4361C"/>
    <w:rsid w:val="00B436D9"/>
    <w:rsid w:val="00B4387A"/>
    <w:rsid w:val="00B43A66"/>
    <w:rsid w:val="00B43B10"/>
    <w:rsid w:val="00B43D20"/>
    <w:rsid w:val="00B43D9C"/>
    <w:rsid w:val="00B441DB"/>
    <w:rsid w:val="00B443C1"/>
    <w:rsid w:val="00B44422"/>
    <w:rsid w:val="00B44674"/>
    <w:rsid w:val="00B44915"/>
    <w:rsid w:val="00B44C24"/>
    <w:rsid w:val="00B45079"/>
    <w:rsid w:val="00B4556A"/>
    <w:rsid w:val="00B45626"/>
    <w:rsid w:val="00B45AF9"/>
    <w:rsid w:val="00B45B79"/>
    <w:rsid w:val="00B45B7A"/>
    <w:rsid w:val="00B46B64"/>
    <w:rsid w:val="00B46BDD"/>
    <w:rsid w:val="00B46CC1"/>
    <w:rsid w:val="00B46DBE"/>
    <w:rsid w:val="00B470EA"/>
    <w:rsid w:val="00B47394"/>
    <w:rsid w:val="00B475A9"/>
    <w:rsid w:val="00B4799D"/>
    <w:rsid w:val="00B47A89"/>
    <w:rsid w:val="00B47D66"/>
    <w:rsid w:val="00B47F0C"/>
    <w:rsid w:val="00B50331"/>
    <w:rsid w:val="00B50334"/>
    <w:rsid w:val="00B50C5A"/>
    <w:rsid w:val="00B50D1D"/>
    <w:rsid w:val="00B50DBD"/>
    <w:rsid w:val="00B50EB7"/>
    <w:rsid w:val="00B50EBE"/>
    <w:rsid w:val="00B51334"/>
    <w:rsid w:val="00B5135D"/>
    <w:rsid w:val="00B5160C"/>
    <w:rsid w:val="00B51A16"/>
    <w:rsid w:val="00B51BFA"/>
    <w:rsid w:val="00B51E10"/>
    <w:rsid w:val="00B51E46"/>
    <w:rsid w:val="00B51EB4"/>
    <w:rsid w:val="00B52323"/>
    <w:rsid w:val="00B5274E"/>
    <w:rsid w:val="00B52B71"/>
    <w:rsid w:val="00B52B80"/>
    <w:rsid w:val="00B52CCA"/>
    <w:rsid w:val="00B52D3E"/>
    <w:rsid w:val="00B52DCB"/>
    <w:rsid w:val="00B52E0E"/>
    <w:rsid w:val="00B52F34"/>
    <w:rsid w:val="00B530DC"/>
    <w:rsid w:val="00B5313E"/>
    <w:rsid w:val="00B53267"/>
    <w:rsid w:val="00B53387"/>
    <w:rsid w:val="00B534F0"/>
    <w:rsid w:val="00B53AEF"/>
    <w:rsid w:val="00B53BC9"/>
    <w:rsid w:val="00B53D03"/>
    <w:rsid w:val="00B53E86"/>
    <w:rsid w:val="00B5417C"/>
    <w:rsid w:val="00B546E2"/>
    <w:rsid w:val="00B5548E"/>
    <w:rsid w:val="00B55AC6"/>
    <w:rsid w:val="00B55D56"/>
    <w:rsid w:val="00B55F9E"/>
    <w:rsid w:val="00B55FBA"/>
    <w:rsid w:val="00B560F0"/>
    <w:rsid w:val="00B56134"/>
    <w:rsid w:val="00B566BA"/>
    <w:rsid w:val="00B569A4"/>
    <w:rsid w:val="00B569B8"/>
    <w:rsid w:val="00B570F1"/>
    <w:rsid w:val="00B57DC9"/>
    <w:rsid w:val="00B57E2F"/>
    <w:rsid w:val="00B60670"/>
    <w:rsid w:val="00B60950"/>
    <w:rsid w:val="00B609BB"/>
    <w:rsid w:val="00B60D86"/>
    <w:rsid w:val="00B60DEB"/>
    <w:rsid w:val="00B60E31"/>
    <w:rsid w:val="00B6114D"/>
    <w:rsid w:val="00B612DE"/>
    <w:rsid w:val="00B6132E"/>
    <w:rsid w:val="00B613EC"/>
    <w:rsid w:val="00B615D3"/>
    <w:rsid w:val="00B61650"/>
    <w:rsid w:val="00B61EB6"/>
    <w:rsid w:val="00B62148"/>
    <w:rsid w:val="00B62226"/>
    <w:rsid w:val="00B626A3"/>
    <w:rsid w:val="00B62746"/>
    <w:rsid w:val="00B62954"/>
    <w:rsid w:val="00B62DAF"/>
    <w:rsid w:val="00B62E1E"/>
    <w:rsid w:val="00B62F2A"/>
    <w:rsid w:val="00B62FE1"/>
    <w:rsid w:val="00B6392E"/>
    <w:rsid w:val="00B63BA9"/>
    <w:rsid w:val="00B63C03"/>
    <w:rsid w:val="00B64103"/>
    <w:rsid w:val="00B641A2"/>
    <w:rsid w:val="00B6429C"/>
    <w:rsid w:val="00B64AB2"/>
    <w:rsid w:val="00B651FC"/>
    <w:rsid w:val="00B65207"/>
    <w:rsid w:val="00B6522F"/>
    <w:rsid w:val="00B65343"/>
    <w:rsid w:val="00B654FC"/>
    <w:rsid w:val="00B65BE6"/>
    <w:rsid w:val="00B65C8F"/>
    <w:rsid w:val="00B65D39"/>
    <w:rsid w:val="00B65EDD"/>
    <w:rsid w:val="00B65FEF"/>
    <w:rsid w:val="00B6648B"/>
    <w:rsid w:val="00B665B6"/>
    <w:rsid w:val="00B66615"/>
    <w:rsid w:val="00B667B3"/>
    <w:rsid w:val="00B66D07"/>
    <w:rsid w:val="00B66D23"/>
    <w:rsid w:val="00B66E04"/>
    <w:rsid w:val="00B67104"/>
    <w:rsid w:val="00B672A1"/>
    <w:rsid w:val="00B67333"/>
    <w:rsid w:val="00B673C4"/>
    <w:rsid w:val="00B67518"/>
    <w:rsid w:val="00B678D5"/>
    <w:rsid w:val="00B678D9"/>
    <w:rsid w:val="00B67CB0"/>
    <w:rsid w:val="00B67DB4"/>
    <w:rsid w:val="00B67DB7"/>
    <w:rsid w:val="00B67DC3"/>
    <w:rsid w:val="00B67E5F"/>
    <w:rsid w:val="00B70554"/>
    <w:rsid w:val="00B706D1"/>
    <w:rsid w:val="00B70FE1"/>
    <w:rsid w:val="00B71015"/>
    <w:rsid w:val="00B71248"/>
    <w:rsid w:val="00B7127C"/>
    <w:rsid w:val="00B71B61"/>
    <w:rsid w:val="00B72018"/>
    <w:rsid w:val="00B72633"/>
    <w:rsid w:val="00B727D2"/>
    <w:rsid w:val="00B72965"/>
    <w:rsid w:val="00B72A38"/>
    <w:rsid w:val="00B72A3E"/>
    <w:rsid w:val="00B72E6C"/>
    <w:rsid w:val="00B72F50"/>
    <w:rsid w:val="00B731DE"/>
    <w:rsid w:val="00B731EC"/>
    <w:rsid w:val="00B732C5"/>
    <w:rsid w:val="00B7354A"/>
    <w:rsid w:val="00B739B0"/>
    <w:rsid w:val="00B73A00"/>
    <w:rsid w:val="00B73AAF"/>
    <w:rsid w:val="00B73D41"/>
    <w:rsid w:val="00B73DE6"/>
    <w:rsid w:val="00B73DF3"/>
    <w:rsid w:val="00B73F25"/>
    <w:rsid w:val="00B741AF"/>
    <w:rsid w:val="00B7439A"/>
    <w:rsid w:val="00B74454"/>
    <w:rsid w:val="00B7465C"/>
    <w:rsid w:val="00B748CC"/>
    <w:rsid w:val="00B74A97"/>
    <w:rsid w:val="00B74B49"/>
    <w:rsid w:val="00B74B4A"/>
    <w:rsid w:val="00B74B7D"/>
    <w:rsid w:val="00B74FAA"/>
    <w:rsid w:val="00B75285"/>
    <w:rsid w:val="00B75485"/>
    <w:rsid w:val="00B75488"/>
    <w:rsid w:val="00B7555F"/>
    <w:rsid w:val="00B757AA"/>
    <w:rsid w:val="00B758A5"/>
    <w:rsid w:val="00B75A8C"/>
    <w:rsid w:val="00B75B2C"/>
    <w:rsid w:val="00B75E18"/>
    <w:rsid w:val="00B76067"/>
    <w:rsid w:val="00B76260"/>
    <w:rsid w:val="00B76399"/>
    <w:rsid w:val="00B76706"/>
    <w:rsid w:val="00B76966"/>
    <w:rsid w:val="00B76E0E"/>
    <w:rsid w:val="00B76EBD"/>
    <w:rsid w:val="00B76ECE"/>
    <w:rsid w:val="00B77545"/>
    <w:rsid w:val="00B775BE"/>
    <w:rsid w:val="00B776CD"/>
    <w:rsid w:val="00B77801"/>
    <w:rsid w:val="00B80197"/>
    <w:rsid w:val="00B801A8"/>
    <w:rsid w:val="00B80214"/>
    <w:rsid w:val="00B80476"/>
    <w:rsid w:val="00B8064C"/>
    <w:rsid w:val="00B806CB"/>
    <w:rsid w:val="00B808E4"/>
    <w:rsid w:val="00B80A92"/>
    <w:rsid w:val="00B80C40"/>
    <w:rsid w:val="00B80E47"/>
    <w:rsid w:val="00B81052"/>
    <w:rsid w:val="00B81156"/>
    <w:rsid w:val="00B812BD"/>
    <w:rsid w:val="00B815B0"/>
    <w:rsid w:val="00B81879"/>
    <w:rsid w:val="00B81A78"/>
    <w:rsid w:val="00B81B6B"/>
    <w:rsid w:val="00B81C89"/>
    <w:rsid w:val="00B81E3E"/>
    <w:rsid w:val="00B82082"/>
    <w:rsid w:val="00B82321"/>
    <w:rsid w:val="00B8255F"/>
    <w:rsid w:val="00B825B0"/>
    <w:rsid w:val="00B82A7D"/>
    <w:rsid w:val="00B82C01"/>
    <w:rsid w:val="00B82C1F"/>
    <w:rsid w:val="00B82E52"/>
    <w:rsid w:val="00B8304C"/>
    <w:rsid w:val="00B83381"/>
    <w:rsid w:val="00B835A3"/>
    <w:rsid w:val="00B83E46"/>
    <w:rsid w:val="00B843B6"/>
    <w:rsid w:val="00B84689"/>
    <w:rsid w:val="00B849C9"/>
    <w:rsid w:val="00B84A62"/>
    <w:rsid w:val="00B84ED3"/>
    <w:rsid w:val="00B84F34"/>
    <w:rsid w:val="00B84F7F"/>
    <w:rsid w:val="00B853C7"/>
    <w:rsid w:val="00B85414"/>
    <w:rsid w:val="00B85465"/>
    <w:rsid w:val="00B85747"/>
    <w:rsid w:val="00B8645C"/>
    <w:rsid w:val="00B86801"/>
    <w:rsid w:val="00B86933"/>
    <w:rsid w:val="00B86BB1"/>
    <w:rsid w:val="00B86C48"/>
    <w:rsid w:val="00B87258"/>
    <w:rsid w:val="00B87688"/>
    <w:rsid w:val="00B8777E"/>
    <w:rsid w:val="00B87D7A"/>
    <w:rsid w:val="00B908F8"/>
    <w:rsid w:val="00B90B26"/>
    <w:rsid w:val="00B90D71"/>
    <w:rsid w:val="00B90DBE"/>
    <w:rsid w:val="00B90DC1"/>
    <w:rsid w:val="00B9101E"/>
    <w:rsid w:val="00B91027"/>
    <w:rsid w:val="00B9111B"/>
    <w:rsid w:val="00B911E7"/>
    <w:rsid w:val="00B91223"/>
    <w:rsid w:val="00B9141B"/>
    <w:rsid w:val="00B91487"/>
    <w:rsid w:val="00B917C1"/>
    <w:rsid w:val="00B91D5A"/>
    <w:rsid w:val="00B91F97"/>
    <w:rsid w:val="00B921B0"/>
    <w:rsid w:val="00B9259E"/>
    <w:rsid w:val="00B927CB"/>
    <w:rsid w:val="00B92982"/>
    <w:rsid w:val="00B92CB2"/>
    <w:rsid w:val="00B92DCC"/>
    <w:rsid w:val="00B92FE6"/>
    <w:rsid w:val="00B93044"/>
    <w:rsid w:val="00B935F8"/>
    <w:rsid w:val="00B93D0B"/>
    <w:rsid w:val="00B93D3B"/>
    <w:rsid w:val="00B93E98"/>
    <w:rsid w:val="00B943FB"/>
    <w:rsid w:val="00B94914"/>
    <w:rsid w:val="00B94A79"/>
    <w:rsid w:val="00B94ADD"/>
    <w:rsid w:val="00B94C87"/>
    <w:rsid w:val="00B94D17"/>
    <w:rsid w:val="00B950CA"/>
    <w:rsid w:val="00B952F6"/>
    <w:rsid w:val="00B953B9"/>
    <w:rsid w:val="00B95491"/>
    <w:rsid w:val="00B95568"/>
    <w:rsid w:val="00B9557F"/>
    <w:rsid w:val="00B955B8"/>
    <w:rsid w:val="00B95AB2"/>
    <w:rsid w:val="00B95D4B"/>
    <w:rsid w:val="00B95D73"/>
    <w:rsid w:val="00B96316"/>
    <w:rsid w:val="00B963DB"/>
    <w:rsid w:val="00B964E1"/>
    <w:rsid w:val="00B9652D"/>
    <w:rsid w:val="00B965FD"/>
    <w:rsid w:val="00B96766"/>
    <w:rsid w:val="00B96C7F"/>
    <w:rsid w:val="00B96E51"/>
    <w:rsid w:val="00B970A0"/>
    <w:rsid w:val="00B97189"/>
    <w:rsid w:val="00B972E1"/>
    <w:rsid w:val="00B972F6"/>
    <w:rsid w:val="00B973EA"/>
    <w:rsid w:val="00B977E4"/>
    <w:rsid w:val="00B97A18"/>
    <w:rsid w:val="00B97B3D"/>
    <w:rsid w:val="00BA015D"/>
    <w:rsid w:val="00BA0229"/>
    <w:rsid w:val="00BA0860"/>
    <w:rsid w:val="00BA0A8E"/>
    <w:rsid w:val="00BA0ECC"/>
    <w:rsid w:val="00BA17E4"/>
    <w:rsid w:val="00BA1A10"/>
    <w:rsid w:val="00BA1B35"/>
    <w:rsid w:val="00BA1B99"/>
    <w:rsid w:val="00BA1C72"/>
    <w:rsid w:val="00BA1C8A"/>
    <w:rsid w:val="00BA2652"/>
    <w:rsid w:val="00BA2914"/>
    <w:rsid w:val="00BA2B6F"/>
    <w:rsid w:val="00BA2DD7"/>
    <w:rsid w:val="00BA3072"/>
    <w:rsid w:val="00BA30C7"/>
    <w:rsid w:val="00BA35C5"/>
    <w:rsid w:val="00BA3857"/>
    <w:rsid w:val="00BA3A00"/>
    <w:rsid w:val="00BA3CB8"/>
    <w:rsid w:val="00BA3CFD"/>
    <w:rsid w:val="00BA3D55"/>
    <w:rsid w:val="00BA409C"/>
    <w:rsid w:val="00BA4183"/>
    <w:rsid w:val="00BA423C"/>
    <w:rsid w:val="00BA449D"/>
    <w:rsid w:val="00BA45D8"/>
    <w:rsid w:val="00BA5081"/>
    <w:rsid w:val="00BA52B6"/>
    <w:rsid w:val="00BA5320"/>
    <w:rsid w:val="00BA532E"/>
    <w:rsid w:val="00BA5982"/>
    <w:rsid w:val="00BA5B32"/>
    <w:rsid w:val="00BA5B52"/>
    <w:rsid w:val="00BA5B9A"/>
    <w:rsid w:val="00BA5E53"/>
    <w:rsid w:val="00BA5ED7"/>
    <w:rsid w:val="00BA613A"/>
    <w:rsid w:val="00BA6226"/>
    <w:rsid w:val="00BA6510"/>
    <w:rsid w:val="00BA65AB"/>
    <w:rsid w:val="00BA688B"/>
    <w:rsid w:val="00BA6C06"/>
    <w:rsid w:val="00BA6DF7"/>
    <w:rsid w:val="00BA7246"/>
    <w:rsid w:val="00BA7262"/>
    <w:rsid w:val="00BA7269"/>
    <w:rsid w:val="00BA757B"/>
    <w:rsid w:val="00BA7AAD"/>
    <w:rsid w:val="00BA7AB6"/>
    <w:rsid w:val="00BA7B74"/>
    <w:rsid w:val="00BA7D3A"/>
    <w:rsid w:val="00BB0E11"/>
    <w:rsid w:val="00BB0F25"/>
    <w:rsid w:val="00BB0F4D"/>
    <w:rsid w:val="00BB1628"/>
    <w:rsid w:val="00BB1803"/>
    <w:rsid w:val="00BB1837"/>
    <w:rsid w:val="00BB1857"/>
    <w:rsid w:val="00BB18C4"/>
    <w:rsid w:val="00BB1C14"/>
    <w:rsid w:val="00BB1CBA"/>
    <w:rsid w:val="00BB25A9"/>
    <w:rsid w:val="00BB27DE"/>
    <w:rsid w:val="00BB298C"/>
    <w:rsid w:val="00BB29AF"/>
    <w:rsid w:val="00BB2ABC"/>
    <w:rsid w:val="00BB2D92"/>
    <w:rsid w:val="00BB3461"/>
    <w:rsid w:val="00BB3619"/>
    <w:rsid w:val="00BB36B1"/>
    <w:rsid w:val="00BB372A"/>
    <w:rsid w:val="00BB3895"/>
    <w:rsid w:val="00BB3990"/>
    <w:rsid w:val="00BB3F05"/>
    <w:rsid w:val="00BB4035"/>
    <w:rsid w:val="00BB434B"/>
    <w:rsid w:val="00BB4485"/>
    <w:rsid w:val="00BB4AEA"/>
    <w:rsid w:val="00BB4B7E"/>
    <w:rsid w:val="00BB4F35"/>
    <w:rsid w:val="00BB5673"/>
    <w:rsid w:val="00BB5AAA"/>
    <w:rsid w:val="00BB5B80"/>
    <w:rsid w:val="00BB5EEC"/>
    <w:rsid w:val="00BB617F"/>
    <w:rsid w:val="00BB67F4"/>
    <w:rsid w:val="00BB68FD"/>
    <w:rsid w:val="00BB6C69"/>
    <w:rsid w:val="00BB70C8"/>
    <w:rsid w:val="00BB7218"/>
    <w:rsid w:val="00BB7227"/>
    <w:rsid w:val="00BB7410"/>
    <w:rsid w:val="00BB761A"/>
    <w:rsid w:val="00BB788E"/>
    <w:rsid w:val="00BB78D1"/>
    <w:rsid w:val="00BC0455"/>
    <w:rsid w:val="00BC0974"/>
    <w:rsid w:val="00BC0AB0"/>
    <w:rsid w:val="00BC0C75"/>
    <w:rsid w:val="00BC0E32"/>
    <w:rsid w:val="00BC0E33"/>
    <w:rsid w:val="00BC0F7E"/>
    <w:rsid w:val="00BC126B"/>
    <w:rsid w:val="00BC130F"/>
    <w:rsid w:val="00BC18C9"/>
    <w:rsid w:val="00BC1918"/>
    <w:rsid w:val="00BC1A76"/>
    <w:rsid w:val="00BC1AB4"/>
    <w:rsid w:val="00BC1B77"/>
    <w:rsid w:val="00BC1FFB"/>
    <w:rsid w:val="00BC2122"/>
    <w:rsid w:val="00BC23A5"/>
    <w:rsid w:val="00BC265E"/>
    <w:rsid w:val="00BC269F"/>
    <w:rsid w:val="00BC29C7"/>
    <w:rsid w:val="00BC2BC9"/>
    <w:rsid w:val="00BC2BE0"/>
    <w:rsid w:val="00BC2D2B"/>
    <w:rsid w:val="00BC2DB1"/>
    <w:rsid w:val="00BC2DD0"/>
    <w:rsid w:val="00BC33CF"/>
    <w:rsid w:val="00BC35A6"/>
    <w:rsid w:val="00BC38CE"/>
    <w:rsid w:val="00BC3991"/>
    <w:rsid w:val="00BC3FD0"/>
    <w:rsid w:val="00BC4609"/>
    <w:rsid w:val="00BC4B45"/>
    <w:rsid w:val="00BC4B70"/>
    <w:rsid w:val="00BC555E"/>
    <w:rsid w:val="00BC575C"/>
    <w:rsid w:val="00BC5923"/>
    <w:rsid w:val="00BC5A95"/>
    <w:rsid w:val="00BC5AD6"/>
    <w:rsid w:val="00BC61C4"/>
    <w:rsid w:val="00BC65D9"/>
    <w:rsid w:val="00BC683D"/>
    <w:rsid w:val="00BC69AA"/>
    <w:rsid w:val="00BC6B48"/>
    <w:rsid w:val="00BC6C84"/>
    <w:rsid w:val="00BC6CC5"/>
    <w:rsid w:val="00BC6D68"/>
    <w:rsid w:val="00BC6DC4"/>
    <w:rsid w:val="00BC7240"/>
    <w:rsid w:val="00BC74D6"/>
    <w:rsid w:val="00BC76EA"/>
    <w:rsid w:val="00BC79A6"/>
    <w:rsid w:val="00BC79B3"/>
    <w:rsid w:val="00BC7C7C"/>
    <w:rsid w:val="00BD0322"/>
    <w:rsid w:val="00BD05D8"/>
    <w:rsid w:val="00BD06E7"/>
    <w:rsid w:val="00BD0A2B"/>
    <w:rsid w:val="00BD0C7F"/>
    <w:rsid w:val="00BD0CAD"/>
    <w:rsid w:val="00BD1838"/>
    <w:rsid w:val="00BD1BAB"/>
    <w:rsid w:val="00BD1CFD"/>
    <w:rsid w:val="00BD20C3"/>
    <w:rsid w:val="00BD216D"/>
    <w:rsid w:val="00BD2C72"/>
    <w:rsid w:val="00BD2CF3"/>
    <w:rsid w:val="00BD3003"/>
    <w:rsid w:val="00BD30D1"/>
    <w:rsid w:val="00BD33D9"/>
    <w:rsid w:val="00BD36DF"/>
    <w:rsid w:val="00BD3886"/>
    <w:rsid w:val="00BD3A20"/>
    <w:rsid w:val="00BD3C13"/>
    <w:rsid w:val="00BD3D49"/>
    <w:rsid w:val="00BD3D7D"/>
    <w:rsid w:val="00BD3E51"/>
    <w:rsid w:val="00BD3E6C"/>
    <w:rsid w:val="00BD3EC7"/>
    <w:rsid w:val="00BD3F08"/>
    <w:rsid w:val="00BD3F85"/>
    <w:rsid w:val="00BD4202"/>
    <w:rsid w:val="00BD4222"/>
    <w:rsid w:val="00BD446A"/>
    <w:rsid w:val="00BD460A"/>
    <w:rsid w:val="00BD4D9A"/>
    <w:rsid w:val="00BD4FEC"/>
    <w:rsid w:val="00BD503E"/>
    <w:rsid w:val="00BD5550"/>
    <w:rsid w:val="00BD559C"/>
    <w:rsid w:val="00BD56B8"/>
    <w:rsid w:val="00BD5802"/>
    <w:rsid w:val="00BD5E98"/>
    <w:rsid w:val="00BD618C"/>
    <w:rsid w:val="00BD64BE"/>
    <w:rsid w:val="00BD6593"/>
    <w:rsid w:val="00BD6630"/>
    <w:rsid w:val="00BD6C37"/>
    <w:rsid w:val="00BD6DFD"/>
    <w:rsid w:val="00BD6FDD"/>
    <w:rsid w:val="00BD7460"/>
    <w:rsid w:val="00BD74BF"/>
    <w:rsid w:val="00BE0156"/>
    <w:rsid w:val="00BE05B9"/>
    <w:rsid w:val="00BE0AC6"/>
    <w:rsid w:val="00BE0F8B"/>
    <w:rsid w:val="00BE0F99"/>
    <w:rsid w:val="00BE101D"/>
    <w:rsid w:val="00BE1176"/>
    <w:rsid w:val="00BE12C9"/>
    <w:rsid w:val="00BE140E"/>
    <w:rsid w:val="00BE1529"/>
    <w:rsid w:val="00BE16AB"/>
    <w:rsid w:val="00BE1CB8"/>
    <w:rsid w:val="00BE1EB7"/>
    <w:rsid w:val="00BE2334"/>
    <w:rsid w:val="00BE2550"/>
    <w:rsid w:val="00BE2748"/>
    <w:rsid w:val="00BE27F1"/>
    <w:rsid w:val="00BE2A26"/>
    <w:rsid w:val="00BE2A83"/>
    <w:rsid w:val="00BE2A90"/>
    <w:rsid w:val="00BE2C59"/>
    <w:rsid w:val="00BE3137"/>
    <w:rsid w:val="00BE3459"/>
    <w:rsid w:val="00BE3651"/>
    <w:rsid w:val="00BE37FF"/>
    <w:rsid w:val="00BE39B4"/>
    <w:rsid w:val="00BE39DE"/>
    <w:rsid w:val="00BE3AD1"/>
    <w:rsid w:val="00BE3D57"/>
    <w:rsid w:val="00BE3DBE"/>
    <w:rsid w:val="00BE3E6B"/>
    <w:rsid w:val="00BE410A"/>
    <w:rsid w:val="00BE4774"/>
    <w:rsid w:val="00BE47DD"/>
    <w:rsid w:val="00BE48E6"/>
    <w:rsid w:val="00BE4DC7"/>
    <w:rsid w:val="00BE4DFE"/>
    <w:rsid w:val="00BE5116"/>
    <w:rsid w:val="00BE534A"/>
    <w:rsid w:val="00BE5ACB"/>
    <w:rsid w:val="00BE5B67"/>
    <w:rsid w:val="00BE5DD0"/>
    <w:rsid w:val="00BE5E4E"/>
    <w:rsid w:val="00BE5FB1"/>
    <w:rsid w:val="00BE6458"/>
    <w:rsid w:val="00BE6628"/>
    <w:rsid w:val="00BE6C18"/>
    <w:rsid w:val="00BE6CE4"/>
    <w:rsid w:val="00BE74FD"/>
    <w:rsid w:val="00BE7598"/>
    <w:rsid w:val="00BE78AF"/>
    <w:rsid w:val="00BE7912"/>
    <w:rsid w:val="00BE7CF2"/>
    <w:rsid w:val="00BE7DC5"/>
    <w:rsid w:val="00BF000B"/>
    <w:rsid w:val="00BF0046"/>
    <w:rsid w:val="00BF0052"/>
    <w:rsid w:val="00BF026E"/>
    <w:rsid w:val="00BF044C"/>
    <w:rsid w:val="00BF0757"/>
    <w:rsid w:val="00BF0A16"/>
    <w:rsid w:val="00BF0BA0"/>
    <w:rsid w:val="00BF0E35"/>
    <w:rsid w:val="00BF0F33"/>
    <w:rsid w:val="00BF132A"/>
    <w:rsid w:val="00BF16CF"/>
    <w:rsid w:val="00BF198A"/>
    <w:rsid w:val="00BF19BB"/>
    <w:rsid w:val="00BF1AF8"/>
    <w:rsid w:val="00BF24D5"/>
    <w:rsid w:val="00BF2509"/>
    <w:rsid w:val="00BF2632"/>
    <w:rsid w:val="00BF27F2"/>
    <w:rsid w:val="00BF2B0D"/>
    <w:rsid w:val="00BF2C55"/>
    <w:rsid w:val="00BF3073"/>
    <w:rsid w:val="00BF322D"/>
    <w:rsid w:val="00BF325C"/>
    <w:rsid w:val="00BF32B7"/>
    <w:rsid w:val="00BF330A"/>
    <w:rsid w:val="00BF3715"/>
    <w:rsid w:val="00BF38CD"/>
    <w:rsid w:val="00BF3B82"/>
    <w:rsid w:val="00BF3E3F"/>
    <w:rsid w:val="00BF4775"/>
    <w:rsid w:val="00BF4860"/>
    <w:rsid w:val="00BF48E2"/>
    <w:rsid w:val="00BF4BF3"/>
    <w:rsid w:val="00BF4EE4"/>
    <w:rsid w:val="00BF4F5D"/>
    <w:rsid w:val="00BF5122"/>
    <w:rsid w:val="00BF5455"/>
    <w:rsid w:val="00BF5B8E"/>
    <w:rsid w:val="00BF62E6"/>
    <w:rsid w:val="00BF63B6"/>
    <w:rsid w:val="00BF653F"/>
    <w:rsid w:val="00BF65A5"/>
    <w:rsid w:val="00BF676E"/>
    <w:rsid w:val="00BF6A44"/>
    <w:rsid w:val="00BF6B2D"/>
    <w:rsid w:val="00BF6E21"/>
    <w:rsid w:val="00BF6FD1"/>
    <w:rsid w:val="00BF727C"/>
    <w:rsid w:val="00BF7598"/>
    <w:rsid w:val="00BF7886"/>
    <w:rsid w:val="00C00014"/>
    <w:rsid w:val="00C000A3"/>
    <w:rsid w:val="00C0042E"/>
    <w:rsid w:val="00C006A0"/>
    <w:rsid w:val="00C008E5"/>
    <w:rsid w:val="00C00E0A"/>
    <w:rsid w:val="00C00EDF"/>
    <w:rsid w:val="00C01169"/>
    <w:rsid w:val="00C012AF"/>
    <w:rsid w:val="00C01844"/>
    <w:rsid w:val="00C01876"/>
    <w:rsid w:val="00C018AE"/>
    <w:rsid w:val="00C01B16"/>
    <w:rsid w:val="00C024A0"/>
    <w:rsid w:val="00C0297F"/>
    <w:rsid w:val="00C029D7"/>
    <w:rsid w:val="00C02BA3"/>
    <w:rsid w:val="00C02BD0"/>
    <w:rsid w:val="00C02D1E"/>
    <w:rsid w:val="00C02DAA"/>
    <w:rsid w:val="00C030FE"/>
    <w:rsid w:val="00C03530"/>
    <w:rsid w:val="00C036B9"/>
    <w:rsid w:val="00C0370B"/>
    <w:rsid w:val="00C03F43"/>
    <w:rsid w:val="00C03F48"/>
    <w:rsid w:val="00C03FD8"/>
    <w:rsid w:val="00C04513"/>
    <w:rsid w:val="00C04557"/>
    <w:rsid w:val="00C04CDB"/>
    <w:rsid w:val="00C04DD1"/>
    <w:rsid w:val="00C0502A"/>
    <w:rsid w:val="00C05121"/>
    <w:rsid w:val="00C05248"/>
    <w:rsid w:val="00C056C9"/>
    <w:rsid w:val="00C057EB"/>
    <w:rsid w:val="00C05900"/>
    <w:rsid w:val="00C05AE7"/>
    <w:rsid w:val="00C05EFF"/>
    <w:rsid w:val="00C05FFB"/>
    <w:rsid w:val="00C06179"/>
    <w:rsid w:val="00C06186"/>
    <w:rsid w:val="00C0691E"/>
    <w:rsid w:val="00C069F1"/>
    <w:rsid w:val="00C06BCE"/>
    <w:rsid w:val="00C06DB4"/>
    <w:rsid w:val="00C06F28"/>
    <w:rsid w:val="00C06FD0"/>
    <w:rsid w:val="00C0707C"/>
    <w:rsid w:val="00C07267"/>
    <w:rsid w:val="00C0747B"/>
    <w:rsid w:val="00C076C2"/>
    <w:rsid w:val="00C07972"/>
    <w:rsid w:val="00C07E81"/>
    <w:rsid w:val="00C07ED2"/>
    <w:rsid w:val="00C099A7"/>
    <w:rsid w:val="00C10448"/>
    <w:rsid w:val="00C105C2"/>
    <w:rsid w:val="00C109CB"/>
    <w:rsid w:val="00C10C9B"/>
    <w:rsid w:val="00C10CC1"/>
    <w:rsid w:val="00C10F6E"/>
    <w:rsid w:val="00C10F78"/>
    <w:rsid w:val="00C11561"/>
    <w:rsid w:val="00C117BA"/>
    <w:rsid w:val="00C1200C"/>
    <w:rsid w:val="00C1249E"/>
    <w:rsid w:val="00C124C9"/>
    <w:rsid w:val="00C12554"/>
    <w:rsid w:val="00C1256A"/>
    <w:rsid w:val="00C127B6"/>
    <w:rsid w:val="00C12A64"/>
    <w:rsid w:val="00C12DD6"/>
    <w:rsid w:val="00C138AF"/>
    <w:rsid w:val="00C13C42"/>
    <w:rsid w:val="00C14C63"/>
    <w:rsid w:val="00C14F48"/>
    <w:rsid w:val="00C151E3"/>
    <w:rsid w:val="00C15221"/>
    <w:rsid w:val="00C152E3"/>
    <w:rsid w:val="00C154CD"/>
    <w:rsid w:val="00C15507"/>
    <w:rsid w:val="00C15671"/>
    <w:rsid w:val="00C158D3"/>
    <w:rsid w:val="00C158DA"/>
    <w:rsid w:val="00C160CD"/>
    <w:rsid w:val="00C165B2"/>
    <w:rsid w:val="00C16703"/>
    <w:rsid w:val="00C16AB2"/>
    <w:rsid w:val="00C16C05"/>
    <w:rsid w:val="00C17036"/>
    <w:rsid w:val="00C17215"/>
    <w:rsid w:val="00C173AD"/>
    <w:rsid w:val="00C1758F"/>
    <w:rsid w:val="00C176CB"/>
    <w:rsid w:val="00C17B66"/>
    <w:rsid w:val="00C17DE5"/>
    <w:rsid w:val="00C17E68"/>
    <w:rsid w:val="00C17F3E"/>
    <w:rsid w:val="00C17FB2"/>
    <w:rsid w:val="00C208D5"/>
    <w:rsid w:val="00C20B43"/>
    <w:rsid w:val="00C20CAB"/>
    <w:rsid w:val="00C20F7A"/>
    <w:rsid w:val="00C21163"/>
    <w:rsid w:val="00C2128A"/>
    <w:rsid w:val="00C214C5"/>
    <w:rsid w:val="00C214E6"/>
    <w:rsid w:val="00C2151A"/>
    <w:rsid w:val="00C219FD"/>
    <w:rsid w:val="00C21A38"/>
    <w:rsid w:val="00C21C30"/>
    <w:rsid w:val="00C21EAB"/>
    <w:rsid w:val="00C21F8F"/>
    <w:rsid w:val="00C220D3"/>
    <w:rsid w:val="00C224F6"/>
    <w:rsid w:val="00C2251E"/>
    <w:rsid w:val="00C225D6"/>
    <w:rsid w:val="00C22D7F"/>
    <w:rsid w:val="00C22EDF"/>
    <w:rsid w:val="00C23005"/>
    <w:rsid w:val="00C230B7"/>
    <w:rsid w:val="00C2346D"/>
    <w:rsid w:val="00C236F1"/>
    <w:rsid w:val="00C2374B"/>
    <w:rsid w:val="00C23C8C"/>
    <w:rsid w:val="00C23EC1"/>
    <w:rsid w:val="00C23F67"/>
    <w:rsid w:val="00C240BF"/>
    <w:rsid w:val="00C24245"/>
    <w:rsid w:val="00C2479D"/>
    <w:rsid w:val="00C247BF"/>
    <w:rsid w:val="00C24BE2"/>
    <w:rsid w:val="00C24ED1"/>
    <w:rsid w:val="00C24F1D"/>
    <w:rsid w:val="00C24F6C"/>
    <w:rsid w:val="00C25159"/>
    <w:rsid w:val="00C253E2"/>
    <w:rsid w:val="00C25D5F"/>
    <w:rsid w:val="00C26040"/>
    <w:rsid w:val="00C267C6"/>
    <w:rsid w:val="00C26CC7"/>
    <w:rsid w:val="00C27030"/>
    <w:rsid w:val="00C271E2"/>
    <w:rsid w:val="00C27518"/>
    <w:rsid w:val="00C2784F"/>
    <w:rsid w:val="00C27D1D"/>
    <w:rsid w:val="00C27F24"/>
    <w:rsid w:val="00C301B8"/>
    <w:rsid w:val="00C3023F"/>
    <w:rsid w:val="00C30438"/>
    <w:rsid w:val="00C304C5"/>
    <w:rsid w:val="00C30873"/>
    <w:rsid w:val="00C30902"/>
    <w:rsid w:val="00C30E82"/>
    <w:rsid w:val="00C3105A"/>
    <w:rsid w:val="00C31313"/>
    <w:rsid w:val="00C313F4"/>
    <w:rsid w:val="00C3143C"/>
    <w:rsid w:val="00C31810"/>
    <w:rsid w:val="00C3184B"/>
    <w:rsid w:val="00C318E5"/>
    <w:rsid w:val="00C31D95"/>
    <w:rsid w:val="00C31DE4"/>
    <w:rsid w:val="00C31FBA"/>
    <w:rsid w:val="00C323D1"/>
    <w:rsid w:val="00C32576"/>
    <w:rsid w:val="00C325F9"/>
    <w:rsid w:val="00C32AFA"/>
    <w:rsid w:val="00C32C12"/>
    <w:rsid w:val="00C32C39"/>
    <w:rsid w:val="00C32E32"/>
    <w:rsid w:val="00C33439"/>
    <w:rsid w:val="00C33DAD"/>
    <w:rsid w:val="00C348C9"/>
    <w:rsid w:val="00C349B8"/>
    <w:rsid w:val="00C34A49"/>
    <w:rsid w:val="00C34BAA"/>
    <w:rsid w:val="00C34F1C"/>
    <w:rsid w:val="00C35415"/>
    <w:rsid w:val="00C354E3"/>
    <w:rsid w:val="00C355EB"/>
    <w:rsid w:val="00C35D6A"/>
    <w:rsid w:val="00C35E06"/>
    <w:rsid w:val="00C35FB5"/>
    <w:rsid w:val="00C36132"/>
    <w:rsid w:val="00C36168"/>
    <w:rsid w:val="00C3616A"/>
    <w:rsid w:val="00C362BB"/>
    <w:rsid w:val="00C36535"/>
    <w:rsid w:val="00C3665A"/>
    <w:rsid w:val="00C367B2"/>
    <w:rsid w:val="00C36B06"/>
    <w:rsid w:val="00C36C89"/>
    <w:rsid w:val="00C36FA9"/>
    <w:rsid w:val="00C3708F"/>
    <w:rsid w:val="00C3728B"/>
    <w:rsid w:val="00C373CB"/>
    <w:rsid w:val="00C378EA"/>
    <w:rsid w:val="00C37BC1"/>
    <w:rsid w:val="00C37C88"/>
    <w:rsid w:val="00C37DE9"/>
    <w:rsid w:val="00C37FB8"/>
    <w:rsid w:val="00C401D1"/>
    <w:rsid w:val="00C40483"/>
    <w:rsid w:val="00C407AB"/>
    <w:rsid w:val="00C40AAF"/>
    <w:rsid w:val="00C40C50"/>
    <w:rsid w:val="00C40F89"/>
    <w:rsid w:val="00C41695"/>
    <w:rsid w:val="00C41B04"/>
    <w:rsid w:val="00C41D69"/>
    <w:rsid w:val="00C41F7A"/>
    <w:rsid w:val="00C42042"/>
    <w:rsid w:val="00C4265D"/>
    <w:rsid w:val="00C42674"/>
    <w:rsid w:val="00C428A6"/>
    <w:rsid w:val="00C42D3F"/>
    <w:rsid w:val="00C43908"/>
    <w:rsid w:val="00C43B4A"/>
    <w:rsid w:val="00C43C91"/>
    <w:rsid w:val="00C44069"/>
    <w:rsid w:val="00C443DF"/>
    <w:rsid w:val="00C44476"/>
    <w:rsid w:val="00C4500C"/>
    <w:rsid w:val="00C4504E"/>
    <w:rsid w:val="00C45414"/>
    <w:rsid w:val="00C4545E"/>
    <w:rsid w:val="00C4574A"/>
    <w:rsid w:val="00C458FE"/>
    <w:rsid w:val="00C45A54"/>
    <w:rsid w:val="00C45C73"/>
    <w:rsid w:val="00C4629F"/>
    <w:rsid w:val="00C463D5"/>
    <w:rsid w:val="00C4644A"/>
    <w:rsid w:val="00C464FE"/>
    <w:rsid w:val="00C465E1"/>
    <w:rsid w:val="00C467FD"/>
    <w:rsid w:val="00C46812"/>
    <w:rsid w:val="00C46AA1"/>
    <w:rsid w:val="00C472B8"/>
    <w:rsid w:val="00C472DF"/>
    <w:rsid w:val="00C4730A"/>
    <w:rsid w:val="00C4751E"/>
    <w:rsid w:val="00C4751F"/>
    <w:rsid w:val="00C47594"/>
    <w:rsid w:val="00C47831"/>
    <w:rsid w:val="00C47A2C"/>
    <w:rsid w:val="00C47AA1"/>
    <w:rsid w:val="00C47C2D"/>
    <w:rsid w:val="00C50676"/>
    <w:rsid w:val="00C50A03"/>
    <w:rsid w:val="00C5100D"/>
    <w:rsid w:val="00C51307"/>
    <w:rsid w:val="00C51415"/>
    <w:rsid w:val="00C5156D"/>
    <w:rsid w:val="00C517CA"/>
    <w:rsid w:val="00C51864"/>
    <w:rsid w:val="00C51878"/>
    <w:rsid w:val="00C51A6C"/>
    <w:rsid w:val="00C523B3"/>
    <w:rsid w:val="00C524BE"/>
    <w:rsid w:val="00C5277B"/>
    <w:rsid w:val="00C52BF3"/>
    <w:rsid w:val="00C52DED"/>
    <w:rsid w:val="00C52F8C"/>
    <w:rsid w:val="00C531B8"/>
    <w:rsid w:val="00C53708"/>
    <w:rsid w:val="00C53728"/>
    <w:rsid w:val="00C53955"/>
    <w:rsid w:val="00C53A76"/>
    <w:rsid w:val="00C53BAC"/>
    <w:rsid w:val="00C53ED9"/>
    <w:rsid w:val="00C53F6B"/>
    <w:rsid w:val="00C540EA"/>
    <w:rsid w:val="00C54667"/>
    <w:rsid w:val="00C54668"/>
    <w:rsid w:val="00C546C6"/>
    <w:rsid w:val="00C5472E"/>
    <w:rsid w:val="00C548E5"/>
    <w:rsid w:val="00C54DFB"/>
    <w:rsid w:val="00C55124"/>
    <w:rsid w:val="00C552C8"/>
    <w:rsid w:val="00C5537A"/>
    <w:rsid w:val="00C55395"/>
    <w:rsid w:val="00C55402"/>
    <w:rsid w:val="00C5552B"/>
    <w:rsid w:val="00C5579F"/>
    <w:rsid w:val="00C5599F"/>
    <w:rsid w:val="00C55A42"/>
    <w:rsid w:val="00C55BED"/>
    <w:rsid w:val="00C55D4D"/>
    <w:rsid w:val="00C56A0D"/>
    <w:rsid w:val="00C56E99"/>
    <w:rsid w:val="00C5700F"/>
    <w:rsid w:val="00C5723C"/>
    <w:rsid w:val="00C576C3"/>
    <w:rsid w:val="00C576E5"/>
    <w:rsid w:val="00C57ADB"/>
    <w:rsid w:val="00C57B31"/>
    <w:rsid w:val="00C57BC4"/>
    <w:rsid w:val="00C57C19"/>
    <w:rsid w:val="00C60337"/>
    <w:rsid w:val="00C60372"/>
    <w:rsid w:val="00C6054F"/>
    <w:rsid w:val="00C60659"/>
    <w:rsid w:val="00C6066C"/>
    <w:rsid w:val="00C606D0"/>
    <w:rsid w:val="00C606E8"/>
    <w:rsid w:val="00C607C3"/>
    <w:rsid w:val="00C60C67"/>
    <w:rsid w:val="00C612E0"/>
    <w:rsid w:val="00C61516"/>
    <w:rsid w:val="00C61646"/>
    <w:rsid w:val="00C616E3"/>
    <w:rsid w:val="00C61856"/>
    <w:rsid w:val="00C618C3"/>
    <w:rsid w:val="00C61916"/>
    <w:rsid w:val="00C619ED"/>
    <w:rsid w:val="00C61E6A"/>
    <w:rsid w:val="00C62091"/>
    <w:rsid w:val="00C62171"/>
    <w:rsid w:val="00C622F5"/>
    <w:rsid w:val="00C62699"/>
    <w:rsid w:val="00C626A2"/>
    <w:rsid w:val="00C62853"/>
    <w:rsid w:val="00C62975"/>
    <w:rsid w:val="00C629C6"/>
    <w:rsid w:val="00C62A6B"/>
    <w:rsid w:val="00C62E15"/>
    <w:rsid w:val="00C62E42"/>
    <w:rsid w:val="00C62F90"/>
    <w:rsid w:val="00C63051"/>
    <w:rsid w:val="00C630A4"/>
    <w:rsid w:val="00C632C3"/>
    <w:rsid w:val="00C636CC"/>
    <w:rsid w:val="00C6371E"/>
    <w:rsid w:val="00C6376F"/>
    <w:rsid w:val="00C6386F"/>
    <w:rsid w:val="00C63F0A"/>
    <w:rsid w:val="00C641E9"/>
    <w:rsid w:val="00C646E0"/>
    <w:rsid w:val="00C646F0"/>
    <w:rsid w:val="00C6492D"/>
    <w:rsid w:val="00C64AF1"/>
    <w:rsid w:val="00C64B75"/>
    <w:rsid w:val="00C64CA8"/>
    <w:rsid w:val="00C64E07"/>
    <w:rsid w:val="00C652DA"/>
    <w:rsid w:val="00C65572"/>
    <w:rsid w:val="00C65655"/>
    <w:rsid w:val="00C657DD"/>
    <w:rsid w:val="00C65A5E"/>
    <w:rsid w:val="00C65A69"/>
    <w:rsid w:val="00C65A6A"/>
    <w:rsid w:val="00C65D4F"/>
    <w:rsid w:val="00C66083"/>
    <w:rsid w:val="00C66225"/>
    <w:rsid w:val="00C662B0"/>
    <w:rsid w:val="00C663FE"/>
    <w:rsid w:val="00C6645A"/>
    <w:rsid w:val="00C66482"/>
    <w:rsid w:val="00C66878"/>
    <w:rsid w:val="00C66ABC"/>
    <w:rsid w:val="00C66B3A"/>
    <w:rsid w:val="00C66C0D"/>
    <w:rsid w:val="00C66F28"/>
    <w:rsid w:val="00C67001"/>
    <w:rsid w:val="00C67495"/>
    <w:rsid w:val="00C67507"/>
    <w:rsid w:val="00C70017"/>
    <w:rsid w:val="00C7026C"/>
    <w:rsid w:val="00C7031D"/>
    <w:rsid w:val="00C704C0"/>
    <w:rsid w:val="00C704C9"/>
    <w:rsid w:val="00C70720"/>
    <w:rsid w:val="00C70A1C"/>
    <w:rsid w:val="00C70BC1"/>
    <w:rsid w:val="00C70ED2"/>
    <w:rsid w:val="00C71189"/>
    <w:rsid w:val="00C71824"/>
    <w:rsid w:val="00C71889"/>
    <w:rsid w:val="00C7198A"/>
    <w:rsid w:val="00C72074"/>
    <w:rsid w:val="00C7217C"/>
    <w:rsid w:val="00C7233C"/>
    <w:rsid w:val="00C72406"/>
    <w:rsid w:val="00C7288A"/>
    <w:rsid w:val="00C72BA9"/>
    <w:rsid w:val="00C72C42"/>
    <w:rsid w:val="00C732CF"/>
    <w:rsid w:val="00C737F5"/>
    <w:rsid w:val="00C73805"/>
    <w:rsid w:val="00C738CF"/>
    <w:rsid w:val="00C73A42"/>
    <w:rsid w:val="00C73DD4"/>
    <w:rsid w:val="00C74147"/>
    <w:rsid w:val="00C74327"/>
    <w:rsid w:val="00C75517"/>
    <w:rsid w:val="00C75619"/>
    <w:rsid w:val="00C75861"/>
    <w:rsid w:val="00C75A74"/>
    <w:rsid w:val="00C75C38"/>
    <w:rsid w:val="00C75FB2"/>
    <w:rsid w:val="00C76077"/>
    <w:rsid w:val="00C76228"/>
    <w:rsid w:val="00C764E4"/>
    <w:rsid w:val="00C76AAB"/>
    <w:rsid w:val="00C76BB9"/>
    <w:rsid w:val="00C76C31"/>
    <w:rsid w:val="00C76E57"/>
    <w:rsid w:val="00C770CE"/>
    <w:rsid w:val="00C7724F"/>
    <w:rsid w:val="00C77281"/>
    <w:rsid w:val="00C777A7"/>
    <w:rsid w:val="00C777E9"/>
    <w:rsid w:val="00C77804"/>
    <w:rsid w:val="00C783CC"/>
    <w:rsid w:val="00C80A72"/>
    <w:rsid w:val="00C80AF3"/>
    <w:rsid w:val="00C8110D"/>
    <w:rsid w:val="00C81331"/>
    <w:rsid w:val="00C81975"/>
    <w:rsid w:val="00C81BF0"/>
    <w:rsid w:val="00C82540"/>
    <w:rsid w:val="00C82624"/>
    <w:rsid w:val="00C82EBF"/>
    <w:rsid w:val="00C82ED3"/>
    <w:rsid w:val="00C82FB5"/>
    <w:rsid w:val="00C83405"/>
    <w:rsid w:val="00C83613"/>
    <w:rsid w:val="00C83958"/>
    <w:rsid w:val="00C83F9A"/>
    <w:rsid w:val="00C84324"/>
    <w:rsid w:val="00C8434D"/>
    <w:rsid w:val="00C84898"/>
    <w:rsid w:val="00C848A0"/>
    <w:rsid w:val="00C84A98"/>
    <w:rsid w:val="00C84AE5"/>
    <w:rsid w:val="00C84D61"/>
    <w:rsid w:val="00C850F8"/>
    <w:rsid w:val="00C85145"/>
    <w:rsid w:val="00C85608"/>
    <w:rsid w:val="00C85B6F"/>
    <w:rsid w:val="00C86183"/>
    <w:rsid w:val="00C861EB"/>
    <w:rsid w:val="00C86245"/>
    <w:rsid w:val="00C86370"/>
    <w:rsid w:val="00C867AE"/>
    <w:rsid w:val="00C867E1"/>
    <w:rsid w:val="00C86D7B"/>
    <w:rsid w:val="00C86EEC"/>
    <w:rsid w:val="00C87318"/>
    <w:rsid w:val="00C875F0"/>
    <w:rsid w:val="00C8771A"/>
    <w:rsid w:val="00C87C1D"/>
    <w:rsid w:val="00C904A8"/>
    <w:rsid w:val="00C90603"/>
    <w:rsid w:val="00C90DA1"/>
    <w:rsid w:val="00C90F11"/>
    <w:rsid w:val="00C9131E"/>
    <w:rsid w:val="00C915A0"/>
    <w:rsid w:val="00C9185A"/>
    <w:rsid w:val="00C919DA"/>
    <w:rsid w:val="00C91A1D"/>
    <w:rsid w:val="00C91AB0"/>
    <w:rsid w:val="00C91BE3"/>
    <w:rsid w:val="00C91E07"/>
    <w:rsid w:val="00C91E8F"/>
    <w:rsid w:val="00C91F7A"/>
    <w:rsid w:val="00C9215C"/>
    <w:rsid w:val="00C92222"/>
    <w:rsid w:val="00C9268B"/>
    <w:rsid w:val="00C9268D"/>
    <w:rsid w:val="00C92957"/>
    <w:rsid w:val="00C92C0C"/>
    <w:rsid w:val="00C92CFA"/>
    <w:rsid w:val="00C92F0A"/>
    <w:rsid w:val="00C92F77"/>
    <w:rsid w:val="00C930C9"/>
    <w:rsid w:val="00C9310B"/>
    <w:rsid w:val="00C93579"/>
    <w:rsid w:val="00C937E9"/>
    <w:rsid w:val="00C93A91"/>
    <w:rsid w:val="00C93C21"/>
    <w:rsid w:val="00C93CB0"/>
    <w:rsid w:val="00C941E2"/>
    <w:rsid w:val="00C942CD"/>
    <w:rsid w:val="00C945E1"/>
    <w:rsid w:val="00C95083"/>
    <w:rsid w:val="00C9518D"/>
    <w:rsid w:val="00C953CB"/>
    <w:rsid w:val="00C954B7"/>
    <w:rsid w:val="00C95639"/>
    <w:rsid w:val="00C95761"/>
    <w:rsid w:val="00C95ED5"/>
    <w:rsid w:val="00C9653E"/>
    <w:rsid w:val="00C966AC"/>
    <w:rsid w:val="00C969DE"/>
    <w:rsid w:val="00C96B91"/>
    <w:rsid w:val="00C96FEF"/>
    <w:rsid w:val="00C976DF"/>
    <w:rsid w:val="00C97969"/>
    <w:rsid w:val="00C97AB4"/>
    <w:rsid w:val="00C97ADC"/>
    <w:rsid w:val="00C97BE8"/>
    <w:rsid w:val="00C97D4F"/>
    <w:rsid w:val="00C97E64"/>
    <w:rsid w:val="00CA0104"/>
    <w:rsid w:val="00CA0188"/>
    <w:rsid w:val="00CA03B4"/>
    <w:rsid w:val="00CA0416"/>
    <w:rsid w:val="00CA04BA"/>
    <w:rsid w:val="00CA0576"/>
    <w:rsid w:val="00CA05D1"/>
    <w:rsid w:val="00CA0719"/>
    <w:rsid w:val="00CA07B2"/>
    <w:rsid w:val="00CA09D3"/>
    <w:rsid w:val="00CA0C34"/>
    <w:rsid w:val="00CA0D7E"/>
    <w:rsid w:val="00CA0E1E"/>
    <w:rsid w:val="00CA0FA1"/>
    <w:rsid w:val="00CA114E"/>
    <w:rsid w:val="00CA19B2"/>
    <w:rsid w:val="00CA1B6B"/>
    <w:rsid w:val="00CA1C94"/>
    <w:rsid w:val="00CA23ED"/>
    <w:rsid w:val="00CA24D9"/>
    <w:rsid w:val="00CA2EE2"/>
    <w:rsid w:val="00CA326D"/>
    <w:rsid w:val="00CA3AD1"/>
    <w:rsid w:val="00CA3CDD"/>
    <w:rsid w:val="00CA3DCC"/>
    <w:rsid w:val="00CA404F"/>
    <w:rsid w:val="00CA463C"/>
    <w:rsid w:val="00CA474B"/>
    <w:rsid w:val="00CA4760"/>
    <w:rsid w:val="00CA4863"/>
    <w:rsid w:val="00CA4C2D"/>
    <w:rsid w:val="00CA4C6A"/>
    <w:rsid w:val="00CA51C3"/>
    <w:rsid w:val="00CA5B28"/>
    <w:rsid w:val="00CA5CEA"/>
    <w:rsid w:val="00CA5D19"/>
    <w:rsid w:val="00CA633D"/>
    <w:rsid w:val="00CA63D9"/>
    <w:rsid w:val="00CA6759"/>
    <w:rsid w:val="00CA76F9"/>
    <w:rsid w:val="00CA7700"/>
    <w:rsid w:val="00CA7755"/>
    <w:rsid w:val="00CA776B"/>
    <w:rsid w:val="00CA777E"/>
    <w:rsid w:val="00CA7A40"/>
    <w:rsid w:val="00CA7AA0"/>
    <w:rsid w:val="00CA7BAC"/>
    <w:rsid w:val="00CA7D9A"/>
    <w:rsid w:val="00CB00D6"/>
    <w:rsid w:val="00CB0237"/>
    <w:rsid w:val="00CB0447"/>
    <w:rsid w:val="00CB053B"/>
    <w:rsid w:val="00CB0729"/>
    <w:rsid w:val="00CB074A"/>
    <w:rsid w:val="00CB07D9"/>
    <w:rsid w:val="00CB08CA"/>
    <w:rsid w:val="00CB09B7"/>
    <w:rsid w:val="00CB0F1F"/>
    <w:rsid w:val="00CB0F7E"/>
    <w:rsid w:val="00CB102A"/>
    <w:rsid w:val="00CB1792"/>
    <w:rsid w:val="00CB184E"/>
    <w:rsid w:val="00CB1A6A"/>
    <w:rsid w:val="00CB202F"/>
    <w:rsid w:val="00CB224B"/>
    <w:rsid w:val="00CB23F7"/>
    <w:rsid w:val="00CB257A"/>
    <w:rsid w:val="00CB2643"/>
    <w:rsid w:val="00CB2775"/>
    <w:rsid w:val="00CB2EB3"/>
    <w:rsid w:val="00CB3086"/>
    <w:rsid w:val="00CB346D"/>
    <w:rsid w:val="00CB34E4"/>
    <w:rsid w:val="00CB3621"/>
    <w:rsid w:val="00CB373A"/>
    <w:rsid w:val="00CB38DE"/>
    <w:rsid w:val="00CB400B"/>
    <w:rsid w:val="00CB4184"/>
    <w:rsid w:val="00CB41DB"/>
    <w:rsid w:val="00CB421E"/>
    <w:rsid w:val="00CB469E"/>
    <w:rsid w:val="00CB486E"/>
    <w:rsid w:val="00CB494A"/>
    <w:rsid w:val="00CB4995"/>
    <w:rsid w:val="00CB4D0B"/>
    <w:rsid w:val="00CB50D9"/>
    <w:rsid w:val="00CB52FD"/>
    <w:rsid w:val="00CB5470"/>
    <w:rsid w:val="00CB56EC"/>
    <w:rsid w:val="00CB56F2"/>
    <w:rsid w:val="00CB5A25"/>
    <w:rsid w:val="00CB5B93"/>
    <w:rsid w:val="00CB5E6C"/>
    <w:rsid w:val="00CB5F55"/>
    <w:rsid w:val="00CB623C"/>
    <w:rsid w:val="00CB6733"/>
    <w:rsid w:val="00CB6737"/>
    <w:rsid w:val="00CB6A01"/>
    <w:rsid w:val="00CB6FA6"/>
    <w:rsid w:val="00CB7274"/>
    <w:rsid w:val="00CB72C9"/>
    <w:rsid w:val="00CB740D"/>
    <w:rsid w:val="00CB7483"/>
    <w:rsid w:val="00CB78B6"/>
    <w:rsid w:val="00CB7B22"/>
    <w:rsid w:val="00CB7C5C"/>
    <w:rsid w:val="00CB7DE0"/>
    <w:rsid w:val="00CC0543"/>
    <w:rsid w:val="00CC05D3"/>
    <w:rsid w:val="00CC0609"/>
    <w:rsid w:val="00CC0614"/>
    <w:rsid w:val="00CC071E"/>
    <w:rsid w:val="00CC083E"/>
    <w:rsid w:val="00CC1463"/>
    <w:rsid w:val="00CC158D"/>
    <w:rsid w:val="00CC168E"/>
    <w:rsid w:val="00CC1C59"/>
    <w:rsid w:val="00CC1D4B"/>
    <w:rsid w:val="00CC1E96"/>
    <w:rsid w:val="00CC20BF"/>
    <w:rsid w:val="00CC2255"/>
    <w:rsid w:val="00CC237C"/>
    <w:rsid w:val="00CC246F"/>
    <w:rsid w:val="00CC25A8"/>
    <w:rsid w:val="00CC263C"/>
    <w:rsid w:val="00CC2E07"/>
    <w:rsid w:val="00CC31E7"/>
    <w:rsid w:val="00CC3491"/>
    <w:rsid w:val="00CC38FB"/>
    <w:rsid w:val="00CC3A21"/>
    <w:rsid w:val="00CC3A34"/>
    <w:rsid w:val="00CC3CEC"/>
    <w:rsid w:val="00CC3DC2"/>
    <w:rsid w:val="00CC40EB"/>
    <w:rsid w:val="00CC4179"/>
    <w:rsid w:val="00CC4314"/>
    <w:rsid w:val="00CC4522"/>
    <w:rsid w:val="00CC474D"/>
    <w:rsid w:val="00CC4818"/>
    <w:rsid w:val="00CC49F5"/>
    <w:rsid w:val="00CC4B9D"/>
    <w:rsid w:val="00CC4FFC"/>
    <w:rsid w:val="00CC50F1"/>
    <w:rsid w:val="00CC5105"/>
    <w:rsid w:val="00CC5180"/>
    <w:rsid w:val="00CC51D6"/>
    <w:rsid w:val="00CC5280"/>
    <w:rsid w:val="00CC52A6"/>
    <w:rsid w:val="00CC539E"/>
    <w:rsid w:val="00CC554A"/>
    <w:rsid w:val="00CC5C70"/>
    <w:rsid w:val="00CC5DBC"/>
    <w:rsid w:val="00CC6139"/>
    <w:rsid w:val="00CC6282"/>
    <w:rsid w:val="00CC67AF"/>
    <w:rsid w:val="00CC6897"/>
    <w:rsid w:val="00CC68DC"/>
    <w:rsid w:val="00CC6A7E"/>
    <w:rsid w:val="00CC6F8F"/>
    <w:rsid w:val="00CC745A"/>
    <w:rsid w:val="00CC7832"/>
    <w:rsid w:val="00CC783C"/>
    <w:rsid w:val="00CC7E1E"/>
    <w:rsid w:val="00CC7E5C"/>
    <w:rsid w:val="00CC7FD7"/>
    <w:rsid w:val="00CD0113"/>
    <w:rsid w:val="00CD0127"/>
    <w:rsid w:val="00CD028A"/>
    <w:rsid w:val="00CD052F"/>
    <w:rsid w:val="00CD05A1"/>
    <w:rsid w:val="00CD0667"/>
    <w:rsid w:val="00CD06E4"/>
    <w:rsid w:val="00CD076C"/>
    <w:rsid w:val="00CD07A1"/>
    <w:rsid w:val="00CD087F"/>
    <w:rsid w:val="00CD0AD1"/>
    <w:rsid w:val="00CD0E95"/>
    <w:rsid w:val="00CD13A4"/>
    <w:rsid w:val="00CD18D9"/>
    <w:rsid w:val="00CD19EB"/>
    <w:rsid w:val="00CD1B28"/>
    <w:rsid w:val="00CD1B29"/>
    <w:rsid w:val="00CD1C40"/>
    <w:rsid w:val="00CD1E87"/>
    <w:rsid w:val="00CD2013"/>
    <w:rsid w:val="00CD208C"/>
    <w:rsid w:val="00CD2242"/>
    <w:rsid w:val="00CD22BE"/>
    <w:rsid w:val="00CD249B"/>
    <w:rsid w:val="00CD2523"/>
    <w:rsid w:val="00CD2912"/>
    <w:rsid w:val="00CD291D"/>
    <w:rsid w:val="00CD2C3B"/>
    <w:rsid w:val="00CD2E1F"/>
    <w:rsid w:val="00CD2EB3"/>
    <w:rsid w:val="00CD30ED"/>
    <w:rsid w:val="00CD3197"/>
    <w:rsid w:val="00CD34DD"/>
    <w:rsid w:val="00CD34FA"/>
    <w:rsid w:val="00CD3544"/>
    <w:rsid w:val="00CD3E8B"/>
    <w:rsid w:val="00CD41DD"/>
    <w:rsid w:val="00CD47F2"/>
    <w:rsid w:val="00CD4E1C"/>
    <w:rsid w:val="00CD4EBB"/>
    <w:rsid w:val="00CD5571"/>
    <w:rsid w:val="00CD5991"/>
    <w:rsid w:val="00CD5AC0"/>
    <w:rsid w:val="00CD5DA8"/>
    <w:rsid w:val="00CD5DAA"/>
    <w:rsid w:val="00CD5F0A"/>
    <w:rsid w:val="00CD5F4D"/>
    <w:rsid w:val="00CD6331"/>
    <w:rsid w:val="00CD6406"/>
    <w:rsid w:val="00CD64C9"/>
    <w:rsid w:val="00CD6540"/>
    <w:rsid w:val="00CD6703"/>
    <w:rsid w:val="00CD6A12"/>
    <w:rsid w:val="00CD6C39"/>
    <w:rsid w:val="00CD6DD4"/>
    <w:rsid w:val="00CD730B"/>
    <w:rsid w:val="00CD7314"/>
    <w:rsid w:val="00CD7479"/>
    <w:rsid w:val="00CD756A"/>
    <w:rsid w:val="00CD7AB0"/>
    <w:rsid w:val="00CD7C05"/>
    <w:rsid w:val="00CD7C10"/>
    <w:rsid w:val="00CD7D8D"/>
    <w:rsid w:val="00CD7EA8"/>
    <w:rsid w:val="00CE00CD"/>
    <w:rsid w:val="00CE014C"/>
    <w:rsid w:val="00CE0627"/>
    <w:rsid w:val="00CE091F"/>
    <w:rsid w:val="00CE09C2"/>
    <w:rsid w:val="00CE0A3E"/>
    <w:rsid w:val="00CE0BE4"/>
    <w:rsid w:val="00CE1128"/>
    <w:rsid w:val="00CE1253"/>
    <w:rsid w:val="00CE1636"/>
    <w:rsid w:val="00CE185B"/>
    <w:rsid w:val="00CE19D8"/>
    <w:rsid w:val="00CE1A6A"/>
    <w:rsid w:val="00CE1BFB"/>
    <w:rsid w:val="00CE1EF2"/>
    <w:rsid w:val="00CE1FA2"/>
    <w:rsid w:val="00CE1FBD"/>
    <w:rsid w:val="00CE2001"/>
    <w:rsid w:val="00CE20D4"/>
    <w:rsid w:val="00CE2C4C"/>
    <w:rsid w:val="00CE2FEC"/>
    <w:rsid w:val="00CE3343"/>
    <w:rsid w:val="00CE3552"/>
    <w:rsid w:val="00CE3589"/>
    <w:rsid w:val="00CE3C8A"/>
    <w:rsid w:val="00CE3D2A"/>
    <w:rsid w:val="00CE436D"/>
    <w:rsid w:val="00CE44A8"/>
    <w:rsid w:val="00CE48FA"/>
    <w:rsid w:val="00CE495C"/>
    <w:rsid w:val="00CE5216"/>
    <w:rsid w:val="00CE52E3"/>
    <w:rsid w:val="00CE5986"/>
    <w:rsid w:val="00CE5DD1"/>
    <w:rsid w:val="00CE5E30"/>
    <w:rsid w:val="00CE5E85"/>
    <w:rsid w:val="00CE5FAA"/>
    <w:rsid w:val="00CE63FA"/>
    <w:rsid w:val="00CE6EC3"/>
    <w:rsid w:val="00CE6EEE"/>
    <w:rsid w:val="00CE7572"/>
    <w:rsid w:val="00CE76EE"/>
    <w:rsid w:val="00CE7B52"/>
    <w:rsid w:val="00CE7E4D"/>
    <w:rsid w:val="00CE7E70"/>
    <w:rsid w:val="00CF0243"/>
    <w:rsid w:val="00CF02A7"/>
    <w:rsid w:val="00CF02FB"/>
    <w:rsid w:val="00CF0607"/>
    <w:rsid w:val="00CF0911"/>
    <w:rsid w:val="00CF0D39"/>
    <w:rsid w:val="00CF0E85"/>
    <w:rsid w:val="00CF0FAC"/>
    <w:rsid w:val="00CF0FFE"/>
    <w:rsid w:val="00CF101F"/>
    <w:rsid w:val="00CF132F"/>
    <w:rsid w:val="00CF1558"/>
    <w:rsid w:val="00CF1565"/>
    <w:rsid w:val="00CF162A"/>
    <w:rsid w:val="00CF177B"/>
    <w:rsid w:val="00CF192F"/>
    <w:rsid w:val="00CF194F"/>
    <w:rsid w:val="00CF1A06"/>
    <w:rsid w:val="00CF1B11"/>
    <w:rsid w:val="00CF1DF8"/>
    <w:rsid w:val="00CF1F60"/>
    <w:rsid w:val="00CF1FD6"/>
    <w:rsid w:val="00CF203C"/>
    <w:rsid w:val="00CF2145"/>
    <w:rsid w:val="00CF2348"/>
    <w:rsid w:val="00CF2501"/>
    <w:rsid w:val="00CF255C"/>
    <w:rsid w:val="00CF2631"/>
    <w:rsid w:val="00CF27A9"/>
    <w:rsid w:val="00CF27DB"/>
    <w:rsid w:val="00CF29EB"/>
    <w:rsid w:val="00CF2D06"/>
    <w:rsid w:val="00CF3014"/>
    <w:rsid w:val="00CF36BD"/>
    <w:rsid w:val="00CF3769"/>
    <w:rsid w:val="00CF3C30"/>
    <w:rsid w:val="00CF547E"/>
    <w:rsid w:val="00CF5895"/>
    <w:rsid w:val="00CF5954"/>
    <w:rsid w:val="00CF5A41"/>
    <w:rsid w:val="00CF5B65"/>
    <w:rsid w:val="00CF5BD9"/>
    <w:rsid w:val="00CF5D8A"/>
    <w:rsid w:val="00CF5D99"/>
    <w:rsid w:val="00CF5F23"/>
    <w:rsid w:val="00CF6013"/>
    <w:rsid w:val="00CF62EA"/>
    <w:rsid w:val="00CF64BB"/>
    <w:rsid w:val="00CF650A"/>
    <w:rsid w:val="00CF6BE8"/>
    <w:rsid w:val="00CF6D16"/>
    <w:rsid w:val="00CF6DBF"/>
    <w:rsid w:val="00CF6E1E"/>
    <w:rsid w:val="00CF6F7C"/>
    <w:rsid w:val="00CF6FF5"/>
    <w:rsid w:val="00CF703E"/>
    <w:rsid w:val="00CF7345"/>
    <w:rsid w:val="00CF741D"/>
    <w:rsid w:val="00CF7BFD"/>
    <w:rsid w:val="00CF7D09"/>
    <w:rsid w:val="00CF7E82"/>
    <w:rsid w:val="00D00051"/>
    <w:rsid w:val="00D00195"/>
    <w:rsid w:val="00D00243"/>
    <w:rsid w:val="00D00402"/>
    <w:rsid w:val="00D0064D"/>
    <w:rsid w:val="00D00664"/>
    <w:rsid w:val="00D0075D"/>
    <w:rsid w:val="00D007E4"/>
    <w:rsid w:val="00D008E3"/>
    <w:rsid w:val="00D00993"/>
    <w:rsid w:val="00D0099E"/>
    <w:rsid w:val="00D009AA"/>
    <w:rsid w:val="00D009BA"/>
    <w:rsid w:val="00D00B45"/>
    <w:rsid w:val="00D00C3D"/>
    <w:rsid w:val="00D00CA9"/>
    <w:rsid w:val="00D00DC1"/>
    <w:rsid w:val="00D0114A"/>
    <w:rsid w:val="00D015EF"/>
    <w:rsid w:val="00D01688"/>
    <w:rsid w:val="00D016DD"/>
    <w:rsid w:val="00D01865"/>
    <w:rsid w:val="00D01AD7"/>
    <w:rsid w:val="00D01DEF"/>
    <w:rsid w:val="00D01E2C"/>
    <w:rsid w:val="00D01E95"/>
    <w:rsid w:val="00D01F9A"/>
    <w:rsid w:val="00D02198"/>
    <w:rsid w:val="00D0238E"/>
    <w:rsid w:val="00D0239F"/>
    <w:rsid w:val="00D0325B"/>
    <w:rsid w:val="00D03C56"/>
    <w:rsid w:val="00D03E40"/>
    <w:rsid w:val="00D04064"/>
    <w:rsid w:val="00D04154"/>
    <w:rsid w:val="00D04509"/>
    <w:rsid w:val="00D04ABA"/>
    <w:rsid w:val="00D04AEC"/>
    <w:rsid w:val="00D05038"/>
    <w:rsid w:val="00D050ED"/>
    <w:rsid w:val="00D05236"/>
    <w:rsid w:val="00D05591"/>
    <w:rsid w:val="00D055E1"/>
    <w:rsid w:val="00D0579D"/>
    <w:rsid w:val="00D057AE"/>
    <w:rsid w:val="00D05F13"/>
    <w:rsid w:val="00D05F34"/>
    <w:rsid w:val="00D062BC"/>
    <w:rsid w:val="00D0659A"/>
    <w:rsid w:val="00D065A0"/>
    <w:rsid w:val="00D0712F"/>
    <w:rsid w:val="00D07276"/>
    <w:rsid w:val="00D0742A"/>
    <w:rsid w:val="00D07497"/>
    <w:rsid w:val="00D07682"/>
    <w:rsid w:val="00D077B3"/>
    <w:rsid w:val="00D07841"/>
    <w:rsid w:val="00D07984"/>
    <w:rsid w:val="00D07D37"/>
    <w:rsid w:val="00D07D5C"/>
    <w:rsid w:val="00D07F1F"/>
    <w:rsid w:val="00D10049"/>
    <w:rsid w:val="00D1010F"/>
    <w:rsid w:val="00D102D3"/>
    <w:rsid w:val="00D102E3"/>
    <w:rsid w:val="00D1065D"/>
    <w:rsid w:val="00D1082E"/>
    <w:rsid w:val="00D10D79"/>
    <w:rsid w:val="00D10E13"/>
    <w:rsid w:val="00D110A2"/>
    <w:rsid w:val="00D1136C"/>
    <w:rsid w:val="00D118DD"/>
    <w:rsid w:val="00D11A1C"/>
    <w:rsid w:val="00D11BF4"/>
    <w:rsid w:val="00D11F64"/>
    <w:rsid w:val="00D12070"/>
    <w:rsid w:val="00D1221A"/>
    <w:rsid w:val="00D1221D"/>
    <w:rsid w:val="00D123A9"/>
    <w:rsid w:val="00D123EC"/>
    <w:rsid w:val="00D12697"/>
    <w:rsid w:val="00D127AE"/>
    <w:rsid w:val="00D12B64"/>
    <w:rsid w:val="00D12B78"/>
    <w:rsid w:val="00D13416"/>
    <w:rsid w:val="00D1366E"/>
    <w:rsid w:val="00D13839"/>
    <w:rsid w:val="00D13B8E"/>
    <w:rsid w:val="00D13CA8"/>
    <w:rsid w:val="00D13D6E"/>
    <w:rsid w:val="00D13FA5"/>
    <w:rsid w:val="00D14003"/>
    <w:rsid w:val="00D14040"/>
    <w:rsid w:val="00D14131"/>
    <w:rsid w:val="00D1414C"/>
    <w:rsid w:val="00D142FA"/>
    <w:rsid w:val="00D148DD"/>
    <w:rsid w:val="00D14E4A"/>
    <w:rsid w:val="00D1520E"/>
    <w:rsid w:val="00D154B4"/>
    <w:rsid w:val="00D15578"/>
    <w:rsid w:val="00D158A2"/>
    <w:rsid w:val="00D15E75"/>
    <w:rsid w:val="00D160C6"/>
    <w:rsid w:val="00D161E6"/>
    <w:rsid w:val="00D16440"/>
    <w:rsid w:val="00D166A4"/>
    <w:rsid w:val="00D16B2F"/>
    <w:rsid w:val="00D16C40"/>
    <w:rsid w:val="00D16E07"/>
    <w:rsid w:val="00D1788B"/>
    <w:rsid w:val="00D178EB"/>
    <w:rsid w:val="00D17923"/>
    <w:rsid w:val="00D179CA"/>
    <w:rsid w:val="00D17DB7"/>
    <w:rsid w:val="00D202EB"/>
    <w:rsid w:val="00D20878"/>
    <w:rsid w:val="00D2089A"/>
    <w:rsid w:val="00D208BA"/>
    <w:rsid w:val="00D20933"/>
    <w:rsid w:val="00D209FF"/>
    <w:rsid w:val="00D20C9E"/>
    <w:rsid w:val="00D21913"/>
    <w:rsid w:val="00D2193A"/>
    <w:rsid w:val="00D2196A"/>
    <w:rsid w:val="00D21B70"/>
    <w:rsid w:val="00D21C40"/>
    <w:rsid w:val="00D21C72"/>
    <w:rsid w:val="00D21F3F"/>
    <w:rsid w:val="00D220C7"/>
    <w:rsid w:val="00D221FA"/>
    <w:rsid w:val="00D225E7"/>
    <w:rsid w:val="00D229C9"/>
    <w:rsid w:val="00D22D1B"/>
    <w:rsid w:val="00D22DEE"/>
    <w:rsid w:val="00D22E7A"/>
    <w:rsid w:val="00D22FAE"/>
    <w:rsid w:val="00D23458"/>
    <w:rsid w:val="00D234CA"/>
    <w:rsid w:val="00D23750"/>
    <w:rsid w:val="00D23769"/>
    <w:rsid w:val="00D2381F"/>
    <w:rsid w:val="00D23A25"/>
    <w:rsid w:val="00D23D17"/>
    <w:rsid w:val="00D241EF"/>
    <w:rsid w:val="00D24287"/>
    <w:rsid w:val="00D2434F"/>
    <w:rsid w:val="00D24364"/>
    <w:rsid w:val="00D244FC"/>
    <w:rsid w:val="00D24586"/>
    <w:rsid w:val="00D2475A"/>
    <w:rsid w:val="00D24874"/>
    <w:rsid w:val="00D24920"/>
    <w:rsid w:val="00D24D69"/>
    <w:rsid w:val="00D24F74"/>
    <w:rsid w:val="00D25094"/>
    <w:rsid w:val="00D250D2"/>
    <w:rsid w:val="00D250E9"/>
    <w:rsid w:val="00D250EF"/>
    <w:rsid w:val="00D25168"/>
    <w:rsid w:val="00D256E6"/>
    <w:rsid w:val="00D25773"/>
    <w:rsid w:val="00D257D5"/>
    <w:rsid w:val="00D25CBB"/>
    <w:rsid w:val="00D25CCA"/>
    <w:rsid w:val="00D26150"/>
    <w:rsid w:val="00D2641F"/>
    <w:rsid w:val="00D265C6"/>
    <w:rsid w:val="00D2682C"/>
    <w:rsid w:val="00D268BE"/>
    <w:rsid w:val="00D2691A"/>
    <w:rsid w:val="00D26C51"/>
    <w:rsid w:val="00D271AC"/>
    <w:rsid w:val="00D27609"/>
    <w:rsid w:val="00D27950"/>
    <w:rsid w:val="00D279BB"/>
    <w:rsid w:val="00D27AAA"/>
    <w:rsid w:val="00D27C35"/>
    <w:rsid w:val="00D300DA"/>
    <w:rsid w:val="00D30132"/>
    <w:rsid w:val="00D303EE"/>
    <w:rsid w:val="00D306B6"/>
    <w:rsid w:val="00D307D9"/>
    <w:rsid w:val="00D30DEE"/>
    <w:rsid w:val="00D30E78"/>
    <w:rsid w:val="00D31170"/>
    <w:rsid w:val="00D311E7"/>
    <w:rsid w:val="00D31348"/>
    <w:rsid w:val="00D314AD"/>
    <w:rsid w:val="00D31582"/>
    <w:rsid w:val="00D31BDD"/>
    <w:rsid w:val="00D32151"/>
    <w:rsid w:val="00D324FC"/>
    <w:rsid w:val="00D32558"/>
    <w:rsid w:val="00D32912"/>
    <w:rsid w:val="00D32A27"/>
    <w:rsid w:val="00D32F54"/>
    <w:rsid w:val="00D33068"/>
    <w:rsid w:val="00D3320F"/>
    <w:rsid w:val="00D3343E"/>
    <w:rsid w:val="00D334D5"/>
    <w:rsid w:val="00D33919"/>
    <w:rsid w:val="00D33AAD"/>
    <w:rsid w:val="00D33B8B"/>
    <w:rsid w:val="00D34189"/>
    <w:rsid w:val="00D343D7"/>
    <w:rsid w:val="00D34589"/>
    <w:rsid w:val="00D34757"/>
    <w:rsid w:val="00D349D7"/>
    <w:rsid w:val="00D34CAB"/>
    <w:rsid w:val="00D34FE4"/>
    <w:rsid w:val="00D35223"/>
    <w:rsid w:val="00D3540D"/>
    <w:rsid w:val="00D3552E"/>
    <w:rsid w:val="00D3553D"/>
    <w:rsid w:val="00D3576B"/>
    <w:rsid w:val="00D35B03"/>
    <w:rsid w:val="00D35C4C"/>
    <w:rsid w:val="00D35FD5"/>
    <w:rsid w:val="00D361A7"/>
    <w:rsid w:val="00D36A01"/>
    <w:rsid w:val="00D36A0C"/>
    <w:rsid w:val="00D36ADA"/>
    <w:rsid w:val="00D36E44"/>
    <w:rsid w:val="00D36F14"/>
    <w:rsid w:val="00D3736D"/>
    <w:rsid w:val="00D37550"/>
    <w:rsid w:val="00D376ED"/>
    <w:rsid w:val="00D37715"/>
    <w:rsid w:val="00D37B46"/>
    <w:rsid w:val="00D400B0"/>
    <w:rsid w:val="00D4030A"/>
    <w:rsid w:val="00D403C0"/>
    <w:rsid w:val="00D4075C"/>
    <w:rsid w:val="00D40CD6"/>
    <w:rsid w:val="00D40CE6"/>
    <w:rsid w:val="00D40E31"/>
    <w:rsid w:val="00D40E92"/>
    <w:rsid w:val="00D40F7B"/>
    <w:rsid w:val="00D412B0"/>
    <w:rsid w:val="00D417F7"/>
    <w:rsid w:val="00D41A0D"/>
    <w:rsid w:val="00D41BC7"/>
    <w:rsid w:val="00D41BE4"/>
    <w:rsid w:val="00D41C06"/>
    <w:rsid w:val="00D41C33"/>
    <w:rsid w:val="00D41D0D"/>
    <w:rsid w:val="00D41FF4"/>
    <w:rsid w:val="00D42531"/>
    <w:rsid w:val="00D42928"/>
    <w:rsid w:val="00D42AB7"/>
    <w:rsid w:val="00D42D74"/>
    <w:rsid w:val="00D42FF7"/>
    <w:rsid w:val="00D43376"/>
    <w:rsid w:val="00D43385"/>
    <w:rsid w:val="00D4340D"/>
    <w:rsid w:val="00D435F9"/>
    <w:rsid w:val="00D43693"/>
    <w:rsid w:val="00D43856"/>
    <w:rsid w:val="00D438FB"/>
    <w:rsid w:val="00D43EFA"/>
    <w:rsid w:val="00D44230"/>
    <w:rsid w:val="00D442C7"/>
    <w:rsid w:val="00D446BC"/>
    <w:rsid w:val="00D44B15"/>
    <w:rsid w:val="00D44B2B"/>
    <w:rsid w:val="00D44B5D"/>
    <w:rsid w:val="00D4517E"/>
    <w:rsid w:val="00D4543F"/>
    <w:rsid w:val="00D45502"/>
    <w:rsid w:val="00D45508"/>
    <w:rsid w:val="00D457C5"/>
    <w:rsid w:val="00D4589B"/>
    <w:rsid w:val="00D45EFB"/>
    <w:rsid w:val="00D460EB"/>
    <w:rsid w:val="00D463E2"/>
    <w:rsid w:val="00D4659C"/>
    <w:rsid w:val="00D46635"/>
    <w:rsid w:val="00D468D0"/>
    <w:rsid w:val="00D46AE2"/>
    <w:rsid w:val="00D46C8F"/>
    <w:rsid w:val="00D47073"/>
    <w:rsid w:val="00D479E4"/>
    <w:rsid w:val="00D47AEB"/>
    <w:rsid w:val="00D47CBD"/>
    <w:rsid w:val="00D502A6"/>
    <w:rsid w:val="00D502C1"/>
    <w:rsid w:val="00D502DD"/>
    <w:rsid w:val="00D503A9"/>
    <w:rsid w:val="00D503FC"/>
    <w:rsid w:val="00D50674"/>
    <w:rsid w:val="00D506D1"/>
    <w:rsid w:val="00D506F5"/>
    <w:rsid w:val="00D50B35"/>
    <w:rsid w:val="00D50CCE"/>
    <w:rsid w:val="00D50F49"/>
    <w:rsid w:val="00D50FEC"/>
    <w:rsid w:val="00D51AB2"/>
    <w:rsid w:val="00D51D3E"/>
    <w:rsid w:val="00D51D9F"/>
    <w:rsid w:val="00D51ED2"/>
    <w:rsid w:val="00D51F0A"/>
    <w:rsid w:val="00D5200B"/>
    <w:rsid w:val="00D52478"/>
    <w:rsid w:val="00D524BE"/>
    <w:rsid w:val="00D52956"/>
    <w:rsid w:val="00D52BBC"/>
    <w:rsid w:val="00D52C38"/>
    <w:rsid w:val="00D52CE1"/>
    <w:rsid w:val="00D52CE3"/>
    <w:rsid w:val="00D53235"/>
    <w:rsid w:val="00D536A4"/>
    <w:rsid w:val="00D5392B"/>
    <w:rsid w:val="00D53980"/>
    <w:rsid w:val="00D53989"/>
    <w:rsid w:val="00D5399E"/>
    <w:rsid w:val="00D539DD"/>
    <w:rsid w:val="00D53E5D"/>
    <w:rsid w:val="00D53FF4"/>
    <w:rsid w:val="00D5468E"/>
    <w:rsid w:val="00D54BF9"/>
    <w:rsid w:val="00D54E5B"/>
    <w:rsid w:val="00D5500B"/>
    <w:rsid w:val="00D55173"/>
    <w:rsid w:val="00D5547D"/>
    <w:rsid w:val="00D55572"/>
    <w:rsid w:val="00D5560D"/>
    <w:rsid w:val="00D557C6"/>
    <w:rsid w:val="00D557EE"/>
    <w:rsid w:val="00D5583B"/>
    <w:rsid w:val="00D55AA4"/>
    <w:rsid w:val="00D55AB3"/>
    <w:rsid w:val="00D5640B"/>
    <w:rsid w:val="00D56C12"/>
    <w:rsid w:val="00D57040"/>
    <w:rsid w:val="00D57446"/>
    <w:rsid w:val="00D576BC"/>
    <w:rsid w:val="00D579A6"/>
    <w:rsid w:val="00D579CC"/>
    <w:rsid w:val="00D57A73"/>
    <w:rsid w:val="00D57D22"/>
    <w:rsid w:val="00D60235"/>
    <w:rsid w:val="00D60339"/>
    <w:rsid w:val="00D6035A"/>
    <w:rsid w:val="00D6053E"/>
    <w:rsid w:val="00D60564"/>
    <w:rsid w:val="00D6083C"/>
    <w:rsid w:val="00D6088B"/>
    <w:rsid w:val="00D60C5B"/>
    <w:rsid w:val="00D60EED"/>
    <w:rsid w:val="00D60F21"/>
    <w:rsid w:val="00D615AD"/>
    <w:rsid w:val="00D617CC"/>
    <w:rsid w:val="00D61820"/>
    <w:rsid w:val="00D6183D"/>
    <w:rsid w:val="00D61A02"/>
    <w:rsid w:val="00D62208"/>
    <w:rsid w:val="00D625F2"/>
    <w:rsid w:val="00D62AAF"/>
    <w:rsid w:val="00D62B8A"/>
    <w:rsid w:val="00D634A7"/>
    <w:rsid w:val="00D634E9"/>
    <w:rsid w:val="00D636AA"/>
    <w:rsid w:val="00D63AA3"/>
    <w:rsid w:val="00D63CDA"/>
    <w:rsid w:val="00D643C5"/>
    <w:rsid w:val="00D64791"/>
    <w:rsid w:val="00D647D7"/>
    <w:rsid w:val="00D6480C"/>
    <w:rsid w:val="00D64A46"/>
    <w:rsid w:val="00D64B5A"/>
    <w:rsid w:val="00D64CE8"/>
    <w:rsid w:val="00D64F53"/>
    <w:rsid w:val="00D65064"/>
    <w:rsid w:val="00D6563A"/>
    <w:rsid w:val="00D656B9"/>
    <w:rsid w:val="00D65BA6"/>
    <w:rsid w:val="00D65E4D"/>
    <w:rsid w:val="00D66132"/>
    <w:rsid w:val="00D66287"/>
    <w:rsid w:val="00D662C9"/>
    <w:rsid w:val="00D665A3"/>
    <w:rsid w:val="00D66CDA"/>
    <w:rsid w:val="00D66CDB"/>
    <w:rsid w:val="00D66EFF"/>
    <w:rsid w:val="00D66F39"/>
    <w:rsid w:val="00D67710"/>
    <w:rsid w:val="00D677CA"/>
    <w:rsid w:val="00D67C18"/>
    <w:rsid w:val="00D70039"/>
    <w:rsid w:val="00D70318"/>
    <w:rsid w:val="00D70604"/>
    <w:rsid w:val="00D70631"/>
    <w:rsid w:val="00D708BC"/>
    <w:rsid w:val="00D709D6"/>
    <w:rsid w:val="00D70B9C"/>
    <w:rsid w:val="00D70C68"/>
    <w:rsid w:val="00D70C6E"/>
    <w:rsid w:val="00D70E1F"/>
    <w:rsid w:val="00D70EFA"/>
    <w:rsid w:val="00D711FF"/>
    <w:rsid w:val="00D714AE"/>
    <w:rsid w:val="00D7165F"/>
    <w:rsid w:val="00D717C5"/>
    <w:rsid w:val="00D71A9B"/>
    <w:rsid w:val="00D724E2"/>
    <w:rsid w:val="00D72500"/>
    <w:rsid w:val="00D72826"/>
    <w:rsid w:val="00D728E2"/>
    <w:rsid w:val="00D729DC"/>
    <w:rsid w:val="00D72B1F"/>
    <w:rsid w:val="00D72D1D"/>
    <w:rsid w:val="00D73108"/>
    <w:rsid w:val="00D731EB"/>
    <w:rsid w:val="00D7358E"/>
    <w:rsid w:val="00D7392E"/>
    <w:rsid w:val="00D740D6"/>
    <w:rsid w:val="00D740DB"/>
    <w:rsid w:val="00D7476D"/>
    <w:rsid w:val="00D74933"/>
    <w:rsid w:val="00D749DD"/>
    <w:rsid w:val="00D74A63"/>
    <w:rsid w:val="00D74AF0"/>
    <w:rsid w:val="00D74BDE"/>
    <w:rsid w:val="00D74D0C"/>
    <w:rsid w:val="00D750BA"/>
    <w:rsid w:val="00D75160"/>
    <w:rsid w:val="00D755E7"/>
    <w:rsid w:val="00D756AA"/>
    <w:rsid w:val="00D757BD"/>
    <w:rsid w:val="00D75843"/>
    <w:rsid w:val="00D75DE5"/>
    <w:rsid w:val="00D75FA2"/>
    <w:rsid w:val="00D76097"/>
    <w:rsid w:val="00D765A0"/>
    <w:rsid w:val="00D765D0"/>
    <w:rsid w:val="00D76709"/>
    <w:rsid w:val="00D767A0"/>
    <w:rsid w:val="00D7682A"/>
    <w:rsid w:val="00D76E51"/>
    <w:rsid w:val="00D7703D"/>
    <w:rsid w:val="00D776D4"/>
    <w:rsid w:val="00D77800"/>
    <w:rsid w:val="00D779F9"/>
    <w:rsid w:val="00D77BBF"/>
    <w:rsid w:val="00D8040B"/>
    <w:rsid w:val="00D80512"/>
    <w:rsid w:val="00D80567"/>
    <w:rsid w:val="00D80889"/>
    <w:rsid w:val="00D80912"/>
    <w:rsid w:val="00D809AE"/>
    <w:rsid w:val="00D80AF6"/>
    <w:rsid w:val="00D80C3D"/>
    <w:rsid w:val="00D80FB0"/>
    <w:rsid w:val="00D812B7"/>
    <w:rsid w:val="00D81550"/>
    <w:rsid w:val="00D818DD"/>
    <w:rsid w:val="00D81DF1"/>
    <w:rsid w:val="00D820EF"/>
    <w:rsid w:val="00D8231D"/>
    <w:rsid w:val="00D82569"/>
    <w:rsid w:val="00D825DD"/>
    <w:rsid w:val="00D82658"/>
    <w:rsid w:val="00D8297C"/>
    <w:rsid w:val="00D82A80"/>
    <w:rsid w:val="00D831DD"/>
    <w:rsid w:val="00D832A1"/>
    <w:rsid w:val="00D832D6"/>
    <w:rsid w:val="00D83420"/>
    <w:rsid w:val="00D83753"/>
    <w:rsid w:val="00D83BC6"/>
    <w:rsid w:val="00D83F9D"/>
    <w:rsid w:val="00D84463"/>
    <w:rsid w:val="00D8455B"/>
    <w:rsid w:val="00D845B3"/>
    <w:rsid w:val="00D849DC"/>
    <w:rsid w:val="00D84A7E"/>
    <w:rsid w:val="00D84C1F"/>
    <w:rsid w:val="00D84E7E"/>
    <w:rsid w:val="00D850FE"/>
    <w:rsid w:val="00D85500"/>
    <w:rsid w:val="00D8562E"/>
    <w:rsid w:val="00D85B61"/>
    <w:rsid w:val="00D85FDD"/>
    <w:rsid w:val="00D862D7"/>
    <w:rsid w:val="00D866CC"/>
    <w:rsid w:val="00D86929"/>
    <w:rsid w:val="00D869CB"/>
    <w:rsid w:val="00D86AF6"/>
    <w:rsid w:val="00D86CDC"/>
    <w:rsid w:val="00D86D0A"/>
    <w:rsid w:val="00D870FF"/>
    <w:rsid w:val="00D874B9"/>
    <w:rsid w:val="00D877ED"/>
    <w:rsid w:val="00D879F1"/>
    <w:rsid w:val="00D87A10"/>
    <w:rsid w:val="00D87A6E"/>
    <w:rsid w:val="00D87EAA"/>
    <w:rsid w:val="00D900EF"/>
    <w:rsid w:val="00D90555"/>
    <w:rsid w:val="00D907B3"/>
    <w:rsid w:val="00D9089A"/>
    <w:rsid w:val="00D90932"/>
    <w:rsid w:val="00D90C91"/>
    <w:rsid w:val="00D90CD2"/>
    <w:rsid w:val="00D912E6"/>
    <w:rsid w:val="00D913F5"/>
    <w:rsid w:val="00D91D74"/>
    <w:rsid w:val="00D91E52"/>
    <w:rsid w:val="00D91E68"/>
    <w:rsid w:val="00D9201D"/>
    <w:rsid w:val="00D925AB"/>
    <w:rsid w:val="00D92877"/>
    <w:rsid w:val="00D9294C"/>
    <w:rsid w:val="00D92A24"/>
    <w:rsid w:val="00D92BFF"/>
    <w:rsid w:val="00D92DE5"/>
    <w:rsid w:val="00D92F09"/>
    <w:rsid w:val="00D930B9"/>
    <w:rsid w:val="00D937F1"/>
    <w:rsid w:val="00D939D7"/>
    <w:rsid w:val="00D93FD0"/>
    <w:rsid w:val="00D940D6"/>
    <w:rsid w:val="00D941A4"/>
    <w:rsid w:val="00D944F1"/>
    <w:rsid w:val="00D9471D"/>
    <w:rsid w:val="00D94A2A"/>
    <w:rsid w:val="00D94A4A"/>
    <w:rsid w:val="00D94A8C"/>
    <w:rsid w:val="00D94BA6"/>
    <w:rsid w:val="00D94C8A"/>
    <w:rsid w:val="00D94E8F"/>
    <w:rsid w:val="00D94F9F"/>
    <w:rsid w:val="00D95051"/>
    <w:rsid w:val="00D9508E"/>
    <w:rsid w:val="00D95460"/>
    <w:rsid w:val="00D95963"/>
    <w:rsid w:val="00D95B84"/>
    <w:rsid w:val="00D95CB4"/>
    <w:rsid w:val="00D95E94"/>
    <w:rsid w:val="00D95F9E"/>
    <w:rsid w:val="00D96231"/>
    <w:rsid w:val="00D96714"/>
    <w:rsid w:val="00D969F4"/>
    <w:rsid w:val="00D96AFE"/>
    <w:rsid w:val="00D96EA9"/>
    <w:rsid w:val="00D97320"/>
    <w:rsid w:val="00D9784A"/>
    <w:rsid w:val="00D978E5"/>
    <w:rsid w:val="00D97D00"/>
    <w:rsid w:val="00D97EFE"/>
    <w:rsid w:val="00DA008F"/>
    <w:rsid w:val="00DA01BF"/>
    <w:rsid w:val="00DA08BB"/>
    <w:rsid w:val="00DA09AF"/>
    <w:rsid w:val="00DA09D2"/>
    <w:rsid w:val="00DA0B44"/>
    <w:rsid w:val="00DA1267"/>
    <w:rsid w:val="00DA14F6"/>
    <w:rsid w:val="00DA1801"/>
    <w:rsid w:val="00DA1803"/>
    <w:rsid w:val="00DA1923"/>
    <w:rsid w:val="00DA1F2D"/>
    <w:rsid w:val="00DA1F83"/>
    <w:rsid w:val="00DA2176"/>
    <w:rsid w:val="00DA2223"/>
    <w:rsid w:val="00DA22ED"/>
    <w:rsid w:val="00DA24E6"/>
    <w:rsid w:val="00DA26FA"/>
    <w:rsid w:val="00DA2720"/>
    <w:rsid w:val="00DA2838"/>
    <w:rsid w:val="00DA2885"/>
    <w:rsid w:val="00DA3167"/>
    <w:rsid w:val="00DA31B5"/>
    <w:rsid w:val="00DA3497"/>
    <w:rsid w:val="00DA3767"/>
    <w:rsid w:val="00DA385D"/>
    <w:rsid w:val="00DA39FF"/>
    <w:rsid w:val="00DA3A17"/>
    <w:rsid w:val="00DA3D62"/>
    <w:rsid w:val="00DA3DE7"/>
    <w:rsid w:val="00DA4049"/>
    <w:rsid w:val="00DA43F1"/>
    <w:rsid w:val="00DA4549"/>
    <w:rsid w:val="00DA455E"/>
    <w:rsid w:val="00DA48EF"/>
    <w:rsid w:val="00DA49CA"/>
    <w:rsid w:val="00DA49CF"/>
    <w:rsid w:val="00DA5281"/>
    <w:rsid w:val="00DA5446"/>
    <w:rsid w:val="00DA5E4B"/>
    <w:rsid w:val="00DA6189"/>
    <w:rsid w:val="00DA6A3D"/>
    <w:rsid w:val="00DA6E52"/>
    <w:rsid w:val="00DA7613"/>
    <w:rsid w:val="00DA7622"/>
    <w:rsid w:val="00DA7637"/>
    <w:rsid w:val="00DA77EB"/>
    <w:rsid w:val="00DA7BE9"/>
    <w:rsid w:val="00DA7C43"/>
    <w:rsid w:val="00DA7D70"/>
    <w:rsid w:val="00DA7E37"/>
    <w:rsid w:val="00DA7FD7"/>
    <w:rsid w:val="00DB0259"/>
    <w:rsid w:val="00DB072F"/>
    <w:rsid w:val="00DB0B99"/>
    <w:rsid w:val="00DB0CC9"/>
    <w:rsid w:val="00DB0D3F"/>
    <w:rsid w:val="00DB0DAC"/>
    <w:rsid w:val="00DB124D"/>
    <w:rsid w:val="00DB13BE"/>
    <w:rsid w:val="00DB17CA"/>
    <w:rsid w:val="00DB18D5"/>
    <w:rsid w:val="00DB18EE"/>
    <w:rsid w:val="00DB1A21"/>
    <w:rsid w:val="00DB1A4C"/>
    <w:rsid w:val="00DB1C33"/>
    <w:rsid w:val="00DB1D3E"/>
    <w:rsid w:val="00DB1EF5"/>
    <w:rsid w:val="00DB1F51"/>
    <w:rsid w:val="00DB1FE2"/>
    <w:rsid w:val="00DB2327"/>
    <w:rsid w:val="00DB24BC"/>
    <w:rsid w:val="00DB256C"/>
    <w:rsid w:val="00DB27C6"/>
    <w:rsid w:val="00DB28E3"/>
    <w:rsid w:val="00DB2ECF"/>
    <w:rsid w:val="00DB3507"/>
    <w:rsid w:val="00DB37CD"/>
    <w:rsid w:val="00DB39D1"/>
    <w:rsid w:val="00DB3F0A"/>
    <w:rsid w:val="00DB41CC"/>
    <w:rsid w:val="00DB4665"/>
    <w:rsid w:val="00DB46B9"/>
    <w:rsid w:val="00DB49E5"/>
    <w:rsid w:val="00DB4AFF"/>
    <w:rsid w:val="00DB4B12"/>
    <w:rsid w:val="00DB4B7C"/>
    <w:rsid w:val="00DB4C97"/>
    <w:rsid w:val="00DB52BA"/>
    <w:rsid w:val="00DB53FD"/>
    <w:rsid w:val="00DB54EB"/>
    <w:rsid w:val="00DB5A4C"/>
    <w:rsid w:val="00DB5AA2"/>
    <w:rsid w:val="00DB5B85"/>
    <w:rsid w:val="00DB5E56"/>
    <w:rsid w:val="00DB6066"/>
    <w:rsid w:val="00DB6115"/>
    <w:rsid w:val="00DB61F1"/>
    <w:rsid w:val="00DB63D2"/>
    <w:rsid w:val="00DB68DD"/>
    <w:rsid w:val="00DB6958"/>
    <w:rsid w:val="00DB6B9B"/>
    <w:rsid w:val="00DB6BDA"/>
    <w:rsid w:val="00DB6E0A"/>
    <w:rsid w:val="00DB6F45"/>
    <w:rsid w:val="00DB7168"/>
    <w:rsid w:val="00DB76E4"/>
    <w:rsid w:val="00DB7A6D"/>
    <w:rsid w:val="00DB7C25"/>
    <w:rsid w:val="00DB7FA0"/>
    <w:rsid w:val="00DB7FF4"/>
    <w:rsid w:val="00DC00FF"/>
    <w:rsid w:val="00DC0129"/>
    <w:rsid w:val="00DC0191"/>
    <w:rsid w:val="00DC02B3"/>
    <w:rsid w:val="00DC0646"/>
    <w:rsid w:val="00DC07AC"/>
    <w:rsid w:val="00DC07F1"/>
    <w:rsid w:val="00DC0A11"/>
    <w:rsid w:val="00DC0AA5"/>
    <w:rsid w:val="00DC0F1F"/>
    <w:rsid w:val="00DC12EB"/>
    <w:rsid w:val="00DC16EC"/>
    <w:rsid w:val="00DC1B38"/>
    <w:rsid w:val="00DC1BA2"/>
    <w:rsid w:val="00DC1BD3"/>
    <w:rsid w:val="00DC1C8D"/>
    <w:rsid w:val="00DC22CF"/>
    <w:rsid w:val="00DC2492"/>
    <w:rsid w:val="00DC252C"/>
    <w:rsid w:val="00DC25B5"/>
    <w:rsid w:val="00DC26F6"/>
    <w:rsid w:val="00DC27BC"/>
    <w:rsid w:val="00DC28CD"/>
    <w:rsid w:val="00DC2904"/>
    <w:rsid w:val="00DC2926"/>
    <w:rsid w:val="00DC2DC7"/>
    <w:rsid w:val="00DC2E42"/>
    <w:rsid w:val="00DC31C7"/>
    <w:rsid w:val="00DC3405"/>
    <w:rsid w:val="00DC35AC"/>
    <w:rsid w:val="00DC39F8"/>
    <w:rsid w:val="00DC3A72"/>
    <w:rsid w:val="00DC3C0D"/>
    <w:rsid w:val="00DC3C85"/>
    <w:rsid w:val="00DC3CEC"/>
    <w:rsid w:val="00DC3E91"/>
    <w:rsid w:val="00DC4063"/>
    <w:rsid w:val="00DC409B"/>
    <w:rsid w:val="00DC4401"/>
    <w:rsid w:val="00DC4502"/>
    <w:rsid w:val="00DC479B"/>
    <w:rsid w:val="00DC4BFC"/>
    <w:rsid w:val="00DC4C60"/>
    <w:rsid w:val="00DC511F"/>
    <w:rsid w:val="00DC551C"/>
    <w:rsid w:val="00DC58BD"/>
    <w:rsid w:val="00DC5931"/>
    <w:rsid w:val="00DC5A0D"/>
    <w:rsid w:val="00DC5C6C"/>
    <w:rsid w:val="00DC5E12"/>
    <w:rsid w:val="00DC5F93"/>
    <w:rsid w:val="00DC6203"/>
    <w:rsid w:val="00DC6387"/>
    <w:rsid w:val="00DC6685"/>
    <w:rsid w:val="00DC6868"/>
    <w:rsid w:val="00DC6B52"/>
    <w:rsid w:val="00DC6DCC"/>
    <w:rsid w:val="00DC6F0E"/>
    <w:rsid w:val="00DC7000"/>
    <w:rsid w:val="00DC742E"/>
    <w:rsid w:val="00DC78B7"/>
    <w:rsid w:val="00DC7FD6"/>
    <w:rsid w:val="00DD0135"/>
    <w:rsid w:val="00DD0249"/>
    <w:rsid w:val="00DD042F"/>
    <w:rsid w:val="00DD05DC"/>
    <w:rsid w:val="00DD061A"/>
    <w:rsid w:val="00DD0948"/>
    <w:rsid w:val="00DD0A7A"/>
    <w:rsid w:val="00DD0B37"/>
    <w:rsid w:val="00DD1017"/>
    <w:rsid w:val="00DD1042"/>
    <w:rsid w:val="00DD1105"/>
    <w:rsid w:val="00DD1213"/>
    <w:rsid w:val="00DD12B1"/>
    <w:rsid w:val="00DD14EB"/>
    <w:rsid w:val="00DD1511"/>
    <w:rsid w:val="00DD168F"/>
    <w:rsid w:val="00DD16DB"/>
    <w:rsid w:val="00DD17AC"/>
    <w:rsid w:val="00DD1B07"/>
    <w:rsid w:val="00DD1CDB"/>
    <w:rsid w:val="00DD20D2"/>
    <w:rsid w:val="00DD247B"/>
    <w:rsid w:val="00DD255F"/>
    <w:rsid w:val="00DD270C"/>
    <w:rsid w:val="00DD274B"/>
    <w:rsid w:val="00DD277A"/>
    <w:rsid w:val="00DD2A72"/>
    <w:rsid w:val="00DD2AAB"/>
    <w:rsid w:val="00DD2F61"/>
    <w:rsid w:val="00DD30B6"/>
    <w:rsid w:val="00DD3386"/>
    <w:rsid w:val="00DD3534"/>
    <w:rsid w:val="00DD38C7"/>
    <w:rsid w:val="00DD3AB4"/>
    <w:rsid w:val="00DD3AEB"/>
    <w:rsid w:val="00DD3C15"/>
    <w:rsid w:val="00DD4022"/>
    <w:rsid w:val="00DD419B"/>
    <w:rsid w:val="00DD42BA"/>
    <w:rsid w:val="00DD453D"/>
    <w:rsid w:val="00DD4556"/>
    <w:rsid w:val="00DD473F"/>
    <w:rsid w:val="00DD478F"/>
    <w:rsid w:val="00DD4901"/>
    <w:rsid w:val="00DD49C0"/>
    <w:rsid w:val="00DD49E2"/>
    <w:rsid w:val="00DD4BE6"/>
    <w:rsid w:val="00DD513E"/>
    <w:rsid w:val="00DD55DE"/>
    <w:rsid w:val="00DD577E"/>
    <w:rsid w:val="00DD5812"/>
    <w:rsid w:val="00DD58DE"/>
    <w:rsid w:val="00DD59C0"/>
    <w:rsid w:val="00DD5ABC"/>
    <w:rsid w:val="00DD60CD"/>
    <w:rsid w:val="00DD6C24"/>
    <w:rsid w:val="00DD70F4"/>
    <w:rsid w:val="00DD786C"/>
    <w:rsid w:val="00DE0556"/>
    <w:rsid w:val="00DE074F"/>
    <w:rsid w:val="00DE0B91"/>
    <w:rsid w:val="00DE0CD8"/>
    <w:rsid w:val="00DE0E06"/>
    <w:rsid w:val="00DE0EA8"/>
    <w:rsid w:val="00DE110E"/>
    <w:rsid w:val="00DE12F3"/>
    <w:rsid w:val="00DE1911"/>
    <w:rsid w:val="00DE1B4F"/>
    <w:rsid w:val="00DE1D2D"/>
    <w:rsid w:val="00DE1D7C"/>
    <w:rsid w:val="00DE2066"/>
    <w:rsid w:val="00DE28F2"/>
    <w:rsid w:val="00DE291A"/>
    <w:rsid w:val="00DE2C38"/>
    <w:rsid w:val="00DE305A"/>
    <w:rsid w:val="00DE30C2"/>
    <w:rsid w:val="00DE33E1"/>
    <w:rsid w:val="00DE352E"/>
    <w:rsid w:val="00DE354E"/>
    <w:rsid w:val="00DE35B6"/>
    <w:rsid w:val="00DE3600"/>
    <w:rsid w:val="00DE3658"/>
    <w:rsid w:val="00DE3660"/>
    <w:rsid w:val="00DE3678"/>
    <w:rsid w:val="00DE3740"/>
    <w:rsid w:val="00DE3825"/>
    <w:rsid w:val="00DE4462"/>
    <w:rsid w:val="00DE4561"/>
    <w:rsid w:val="00DE4976"/>
    <w:rsid w:val="00DE4C64"/>
    <w:rsid w:val="00DE4ED8"/>
    <w:rsid w:val="00DE5337"/>
    <w:rsid w:val="00DE534B"/>
    <w:rsid w:val="00DE5DAE"/>
    <w:rsid w:val="00DE5F9A"/>
    <w:rsid w:val="00DE6233"/>
    <w:rsid w:val="00DE6364"/>
    <w:rsid w:val="00DE63B4"/>
    <w:rsid w:val="00DE6412"/>
    <w:rsid w:val="00DE6922"/>
    <w:rsid w:val="00DE6CE1"/>
    <w:rsid w:val="00DE72D8"/>
    <w:rsid w:val="00DE72E1"/>
    <w:rsid w:val="00DE740C"/>
    <w:rsid w:val="00DE7586"/>
    <w:rsid w:val="00DE75B9"/>
    <w:rsid w:val="00DE76BC"/>
    <w:rsid w:val="00DE7729"/>
    <w:rsid w:val="00DE7F68"/>
    <w:rsid w:val="00DEF33A"/>
    <w:rsid w:val="00DF0007"/>
    <w:rsid w:val="00DF0008"/>
    <w:rsid w:val="00DF00A2"/>
    <w:rsid w:val="00DF0387"/>
    <w:rsid w:val="00DF06D1"/>
    <w:rsid w:val="00DF08F5"/>
    <w:rsid w:val="00DF0AC7"/>
    <w:rsid w:val="00DF0BC6"/>
    <w:rsid w:val="00DF0D75"/>
    <w:rsid w:val="00DF1197"/>
    <w:rsid w:val="00DF1548"/>
    <w:rsid w:val="00DF16FA"/>
    <w:rsid w:val="00DF17C5"/>
    <w:rsid w:val="00DF1B32"/>
    <w:rsid w:val="00DF1D3D"/>
    <w:rsid w:val="00DF1F3B"/>
    <w:rsid w:val="00DF2199"/>
    <w:rsid w:val="00DF24D4"/>
    <w:rsid w:val="00DF24D5"/>
    <w:rsid w:val="00DF2741"/>
    <w:rsid w:val="00DF28C3"/>
    <w:rsid w:val="00DF28CB"/>
    <w:rsid w:val="00DF2983"/>
    <w:rsid w:val="00DF2E58"/>
    <w:rsid w:val="00DF3087"/>
    <w:rsid w:val="00DF35EF"/>
    <w:rsid w:val="00DF369E"/>
    <w:rsid w:val="00DF3705"/>
    <w:rsid w:val="00DF3D7C"/>
    <w:rsid w:val="00DF3FB0"/>
    <w:rsid w:val="00DF40BD"/>
    <w:rsid w:val="00DF4758"/>
    <w:rsid w:val="00DF48F5"/>
    <w:rsid w:val="00DF4927"/>
    <w:rsid w:val="00DF4F79"/>
    <w:rsid w:val="00DF507F"/>
    <w:rsid w:val="00DF554D"/>
    <w:rsid w:val="00DF576F"/>
    <w:rsid w:val="00DF58BC"/>
    <w:rsid w:val="00DF5BE3"/>
    <w:rsid w:val="00DF5D06"/>
    <w:rsid w:val="00DF5F70"/>
    <w:rsid w:val="00DF6122"/>
    <w:rsid w:val="00DF62DB"/>
    <w:rsid w:val="00DF6667"/>
    <w:rsid w:val="00DF66B7"/>
    <w:rsid w:val="00DF68C4"/>
    <w:rsid w:val="00DF6C35"/>
    <w:rsid w:val="00DF6DD9"/>
    <w:rsid w:val="00DF7124"/>
    <w:rsid w:val="00DF7233"/>
    <w:rsid w:val="00DF7320"/>
    <w:rsid w:val="00DF7433"/>
    <w:rsid w:val="00DF7465"/>
    <w:rsid w:val="00DF7560"/>
    <w:rsid w:val="00DF7682"/>
    <w:rsid w:val="00DF78DE"/>
    <w:rsid w:val="00DF7CA7"/>
    <w:rsid w:val="00DF7D59"/>
    <w:rsid w:val="00DF7F6D"/>
    <w:rsid w:val="00DF7F9B"/>
    <w:rsid w:val="00DFFB29"/>
    <w:rsid w:val="00E003DE"/>
    <w:rsid w:val="00E005AA"/>
    <w:rsid w:val="00E0095A"/>
    <w:rsid w:val="00E00A7F"/>
    <w:rsid w:val="00E00BAB"/>
    <w:rsid w:val="00E00CA8"/>
    <w:rsid w:val="00E01174"/>
    <w:rsid w:val="00E01404"/>
    <w:rsid w:val="00E017F5"/>
    <w:rsid w:val="00E019FC"/>
    <w:rsid w:val="00E01A90"/>
    <w:rsid w:val="00E0209A"/>
    <w:rsid w:val="00E02147"/>
    <w:rsid w:val="00E02795"/>
    <w:rsid w:val="00E02815"/>
    <w:rsid w:val="00E0316F"/>
    <w:rsid w:val="00E0353D"/>
    <w:rsid w:val="00E03549"/>
    <w:rsid w:val="00E03709"/>
    <w:rsid w:val="00E0370A"/>
    <w:rsid w:val="00E03898"/>
    <w:rsid w:val="00E03AC2"/>
    <w:rsid w:val="00E04144"/>
    <w:rsid w:val="00E044A6"/>
    <w:rsid w:val="00E0470E"/>
    <w:rsid w:val="00E04B9E"/>
    <w:rsid w:val="00E04B9F"/>
    <w:rsid w:val="00E04E00"/>
    <w:rsid w:val="00E04FAA"/>
    <w:rsid w:val="00E05046"/>
    <w:rsid w:val="00E05097"/>
    <w:rsid w:val="00E05165"/>
    <w:rsid w:val="00E051C8"/>
    <w:rsid w:val="00E051EE"/>
    <w:rsid w:val="00E05317"/>
    <w:rsid w:val="00E0534C"/>
    <w:rsid w:val="00E05402"/>
    <w:rsid w:val="00E05443"/>
    <w:rsid w:val="00E05514"/>
    <w:rsid w:val="00E05751"/>
    <w:rsid w:val="00E057C1"/>
    <w:rsid w:val="00E05968"/>
    <w:rsid w:val="00E05B55"/>
    <w:rsid w:val="00E05B8F"/>
    <w:rsid w:val="00E05F66"/>
    <w:rsid w:val="00E063E2"/>
    <w:rsid w:val="00E06454"/>
    <w:rsid w:val="00E0691C"/>
    <w:rsid w:val="00E06E26"/>
    <w:rsid w:val="00E0712A"/>
    <w:rsid w:val="00E07179"/>
    <w:rsid w:val="00E07511"/>
    <w:rsid w:val="00E07955"/>
    <w:rsid w:val="00E07B62"/>
    <w:rsid w:val="00E07DD8"/>
    <w:rsid w:val="00E07E21"/>
    <w:rsid w:val="00E07E9C"/>
    <w:rsid w:val="00E07EB8"/>
    <w:rsid w:val="00E07F78"/>
    <w:rsid w:val="00E1015B"/>
    <w:rsid w:val="00E10385"/>
    <w:rsid w:val="00E103F8"/>
    <w:rsid w:val="00E114E8"/>
    <w:rsid w:val="00E11A5E"/>
    <w:rsid w:val="00E11A99"/>
    <w:rsid w:val="00E11B19"/>
    <w:rsid w:val="00E11BAF"/>
    <w:rsid w:val="00E11BE3"/>
    <w:rsid w:val="00E11E7E"/>
    <w:rsid w:val="00E12054"/>
    <w:rsid w:val="00E12088"/>
    <w:rsid w:val="00E120CF"/>
    <w:rsid w:val="00E121DE"/>
    <w:rsid w:val="00E122A5"/>
    <w:rsid w:val="00E1247E"/>
    <w:rsid w:val="00E125FB"/>
    <w:rsid w:val="00E129D0"/>
    <w:rsid w:val="00E12A19"/>
    <w:rsid w:val="00E12B44"/>
    <w:rsid w:val="00E12D6F"/>
    <w:rsid w:val="00E12FDB"/>
    <w:rsid w:val="00E13074"/>
    <w:rsid w:val="00E13076"/>
    <w:rsid w:val="00E130F9"/>
    <w:rsid w:val="00E13188"/>
    <w:rsid w:val="00E131C3"/>
    <w:rsid w:val="00E1320F"/>
    <w:rsid w:val="00E13319"/>
    <w:rsid w:val="00E133C5"/>
    <w:rsid w:val="00E13455"/>
    <w:rsid w:val="00E1360C"/>
    <w:rsid w:val="00E136BE"/>
    <w:rsid w:val="00E139C9"/>
    <w:rsid w:val="00E13D6C"/>
    <w:rsid w:val="00E13E35"/>
    <w:rsid w:val="00E13EF6"/>
    <w:rsid w:val="00E143C6"/>
    <w:rsid w:val="00E14731"/>
    <w:rsid w:val="00E14759"/>
    <w:rsid w:val="00E148D1"/>
    <w:rsid w:val="00E149FB"/>
    <w:rsid w:val="00E14A5F"/>
    <w:rsid w:val="00E14E2B"/>
    <w:rsid w:val="00E1524E"/>
    <w:rsid w:val="00E152EE"/>
    <w:rsid w:val="00E15474"/>
    <w:rsid w:val="00E15572"/>
    <w:rsid w:val="00E159CE"/>
    <w:rsid w:val="00E15A95"/>
    <w:rsid w:val="00E15B88"/>
    <w:rsid w:val="00E15E01"/>
    <w:rsid w:val="00E15FE0"/>
    <w:rsid w:val="00E163A6"/>
    <w:rsid w:val="00E16E02"/>
    <w:rsid w:val="00E16F85"/>
    <w:rsid w:val="00E16F92"/>
    <w:rsid w:val="00E171AF"/>
    <w:rsid w:val="00E172CA"/>
    <w:rsid w:val="00E1738E"/>
    <w:rsid w:val="00E174D6"/>
    <w:rsid w:val="00E17545"/>
    <w:rsid w:val="00E17A6E"/>
    <w:rsid w:val="00E20190"/>
    <w:rsid w:val="00E2034C"/>
    <w:rsid w:val="00E20392"/>
    <w:rsid w:val="00E204FE"/>
    <w:rsid w:val="00E206C3"/>
    <w:rsid w:val="00E20AA7"/>
    <w:rsid w:val="00E20B39"/>
    <w:rsid w:val="00E20DF1"/>
    <w:rsid w:val="00E20E9D"/>
    <w:rsid w:val="00E20FCC"/>
    <w:rsid w:val="00E211C5"/>
    <w:rsid w:val="00E21364"/>
    <w:rsid w:val="00E21697"/>
    <w:rsid w:val="00E21823"/>
    <w:rsid w:val="00E21842"/>
    <w:rsid w:val="00E21A01"/>
    <w:rsid w:val="00E21BC5"/>
    <w:rsid w:val="00E21E37"/>
    <w:rsid w:val="00E21E5E"/>
    <w:rsid w:val="00E22096"/>
    <w:rsid w:val="00E221B9"/>
    <w:rsid w:val="00E22335"/>
    <w:rsid w:val="00E2251F"/>
    <w:rsid w:val="00E228E5"/>
    <w:rsid w:val="00E22B6E"/>
    <w:rsid w:val="00E22C48"/>
    <w:rsid w:val="00E22C52"/>
    <w:rsid w:val="00E22D99"/>
    <w:rsid w:val="00E23159"/>
    <w:rsid w:val="00E231E7"/>
    <w:rsid w:val="00E23263"/>
    <w:rsid w:val="00E23366"/>
    <w:rsid w:val="00E236C6"/>
    <w:rsid w:val="00E23885"/>
    <w:rsid w:val="00E238B8"/>
    <w:rsid w:val="00E239C3"/>
    <w:rsid w:val="00E23ABC"/>
    <w:rsid w:val="00E23AE2"/>
    <w:rsid w:val="00E23B6E"/>
    <w:rsid w:val="00E23B9A"/>
    <w:rsid w:val="00E23E77"/>
    <w:rsid w:val="00E24102"/>
    <w:rsid w:val="00E24196"/>
    <w:rsid w:val="00E243FC"/>
    <w:rsid w:val="00E24559"/>
    <w:rsid w:val="00E24633"/>
    <w:rsid w:val="00E247A6"/>
    <w:rsid w:val="00E24BC9"/>
    <w:rsid w:val="00E24DE0"/>
    <w:rsid w:val="00E24ED2"/>
    <w:rsid w:val="00E25A72"/>
    <w:rsid w:val="00E25B4C"/>
    <w:rsid w:val="00E25CCF"/>
    <w:rsid w:val="00E25D73"/>
    <w:rsid w:val="00E25F74"/>
    <w:rsid w:val="00E25FD4"/>
    <w:rsid w:val="00E26300"/>
    <w:rsid w:val="00E263D8"/>
    <w:rsid w:val="00E269D7"/>
    <w:rsid w:val="00E26D53"/>
    <w:rsid w:val="00E26E81"/>
    <w:rsid w:val="00E2716E"/>
    <w:rsid w:val="00E27435"/>
    <w:rsid w:val="00E2767F"/>
    <w:rsid w:val="00E276DE"/>
    <w:rsid w:val="00E27A53"/>
    <w:rsid w:val="00E27C79"/>
    <w:rsid w:val="00E27D41"/>
    <w:rsid w:val="00E300BD"/>
    <w:rsid w:val="00E3083D"/>
    <w:rsid w:val="00E30897"/>
    <w:rsid w:val="00E309D2"/>
    <w:rsid w:val="00E30ACA"/>
    <w:rsid w:val="00E30E94"/>
    <w:rsid w:val="00E31064"/>
    <w:rsid w:val="00E311E3"/>
    <w:rsid w:val="00E317EA"/>
    <w:rsid w:val="00E318E0"/>
    <w:rsid w:val="00E31E9C"/>
    <w:rsid w:val="00E31EC3"/>
    <w:rsid w:val="00E32127"/>
    <w:rsid w:val="00E322B5"/>
    <w:rsid w:val="00E3250E"/>
    <w:rsid w:val="00E326B6"/>
    <w:rsid w:val="00E3296B"/>
    <w:rsid w:val="00E32985"/>
    <w:rsid w:val="00E32CE4"/>
    <w:rsid w:val="00E32EF3"/>
    <w:rsid w:val="00E32F68"/>
    <w:rsid w:val="00E33157"/>
    <w:rsid w:val="00E33491"/>
    <w:rsid w:val="00E335D5"/>
    <w:rsid w:val="00E3365E"/>
    <w:rsid w:val="00E33A4C"/>
    <w:rsid w:val="00E33A50"/>
    <w:rsid w:val="00E33BD0"/>
    <w:rsid w:val="00E33C5E"/>
    <w:rsid w:val="00E33CEC"/>
    <w:rsid w:val="00E33D5C"/>
    <w:rsid w:val="00E33DE9"/>
    <w:rsid w:val="00E33E62"/>
    <w:rsid w:val="00E33F98"/>
    <w:rsid w:val="00E34156"/>
    <w:rsid w:val="00E3507E"/>
    <w:rsid w:val="00E350FC"/>
    <w:rsid w:val="00E351A5"/>
    <w:rsid w:val="00E351F9"/>
    <w:rsid w:val="00E35384"/>
    <w:rsid w:val="00E35390"/>
    <w:rsid w:val="00E3556F"/>
    <w:rsid w:val="00E3564F"/>
    <w:rsid w:val="00E35871"/>
    <w:rsid w:val="00E35AA6"/>
    <w:rsid w:val="00E35AC5"/>
    <w:rsid w:val="00E36196"/>
    <w:rsid w:val="00E36483"/>
    <w:rsid w:val="00E364E8"/>
    <w:rsid w:val="00E36D4D"/>
    <w:rsid w:val="00E36EE5"/>
    <w:rsid w:val="00E36FD9"/>
    <w:rsid w:val="00E3769A"/>
    <w:rsid w:val="00E378C4"/>
    <w:rsid w:val="00E378EC"/>
    <w:rsid w:val="00E379F2"/>
    <w:rsid w:val="00E37B9B"/>
    <w:rsid w:val="00E37BA8"/>
    <w:rsid w:val="00E37F75"/>
    <w:rsid w:val="00E37FD7"/>
    <w:rsid w:val="00E4019B"/>
    <w:rsid w:val="00E4081E"/>
    <w:rsid w:val="00E408C1"/>
    <w:rsid w:val="00E40AEB"/>
    <w:rsid w:val="00E40F6D"/>
    <w:rsid w:val="00E410A5"/>
    <w:rsid w:val="00E413E9"/>
    <w:rsid w:val="00E41728"/>
    <w:rsid w:val="00E418F5"/>
    <w:rsid w:val="00E4198A"/>
    <w:rsid w:val="00E42218"/>
    <w:rsid w:val="00E422FC"/>
    <w:rsid w:val="00E42357"/>
    <w:rsid w:val="00E424A4"/>
    <w:rsid w:val="00E42525"/>
    <w:rsid w:val="00E4269E"/>
    <w:rsid w:val="00E426F9"/>
    <w:rsid w:val="00E427CE"/>
    <w:rsid w:val="00E429DB"/>
    <w:rsid w:val="00E42D92"/>
    <w:rsid w:val="00E42D96"/>
    <w:rsid w:val="00E431E9"/>
    <w:rsid w:val="00E43322"/>
    <w:rsid w:val="00E43453"/>
    <w:rsid w:val="00E4361F"/>
    <w:rsid w:val="00E438F9"/>
    <w:rsid w:val="00E4420B"/>
    <w:rsid w:val="00E44235"/>
    <w:rsid w:val="00E44521"/>
    <w:rsid w:val="00E445A4"/>
    <w:rsid w:val="00E44813"/>
    <w:rsid w:val="00E44907"/>
    <w:rsid w:val="00E45159"/>
    <w:rsid w:val="00E4522F"/>
    <w:rsid w:val="00E4531F"/>
    <w:rsid w:val="00E455C8"/>
    <w:rsid w:val="00E456B8"/>
    <w:rsid w:val="00E456D5"/>
    <w:rsid w:val="00E45D0B"/>
    <w:rsid w:val="00E45DD3"/>
    <w:rsid w:val="00E45E50"/>
    <w:rsid w:val="00E460D5"/>
    <w:rsid w:val="00E46116"/>
    <w:rsid w:val="00E46235"/>
    <w:rsid w:val="00E4656D"/>
    <w:rsid w:val="00E46676"/>
    <w:rsid w:val="00E46989"/>
    <w:rsid w:val="00E46CB0"/>
    <w:rsid w:val="00E46D65"/>
    <w:rsid w:val="00E4702F"/>
    <w:rsid w:val="00E47530"/>
    <w:rsid w:val="00E47550"/>
    <w:rsid w:val="00E477B9"/>
    <w:rsid w:val="00E47A00"/>
    <w:rsid w:val="00E47B48"/>
    <w:rsid w:val="00E47F05"/>
    <w:rsid w:val="00E500A1"/>
    <w:rsid w:val="00E5019D"/>
    <w:rsid w:val="00E501CA"/>
    <w:rsid w:val="00E502F0"/>
    <w:rsid w:val="00E50475"/>
    <w:rsid w:val="00E508AD"/>
    <w:rsid w:val="00E509AB"/>
    <w:rsid w:val="00E509DF"/>
    <w:rsid w:val="00E50CEC"/>
    <w:rsid w:val="00E50EF3"/>
    <w:rsid w:val="00E51B67"/>
    <w:rsid w:val="00E51E55"/>
    <w:rsid w:val="00E52544"/>
    <w:rsid w:val="00E52569"/>
    <w:rsid w:val="00E53101"/>
    <w:rsid w:val="00E53182"/>
    <w:rsid w:val="00E533B0"/>
    <w:rsid w:val="00E53404"/>
    <w:rsid w:val="00E53541"/>
    <w:rsid w:val="00E53810"/>
    <w:rsid w:val="00E539B9"/>
    <w:rsid w:val="00E53C2E"/>
    <w:rsid w:val="00E53F1E"/>
    <w:rsid w:val="00E53F43"/>
    <w:rsid w:val="00E53F79"/>
    <w:rsid w:val="00E541D6"/>
    <w:rsid w:val="00E54255"/>
    <w:rsid w:val="00E542BD"/>
    <w:rsid w:val="00E5433A"/>
    <w:rsid w:val="00E54342"/>
    <w:rsid w:val="00E545E0"/>
    <w:rsid w:val="00E5465D"/>
    <w:rsid w:val="00E5483A"/>
    <w:rsid w:val="00E54B60"/>
    <w:rsid w:val="00E54D11"/>
    <w:rsid w:val="00E550BE"/>
    <w:rsid w:val="00E55275"/>
    <w:rsid w:val="00E552C2"/>
    <w:rsid w:val="00E553FE"/>
    <w:rsid w:val="00E55679"/>
    <w:rsid w:val="00E55F2E"/>
    <w:rsid w:val="00E561B5"/>
    <w:rsid w:val="00E5640A"/>
    <w:rsid w:val="00E56599"/>
    <w:rsid w:val="00E568A7"/>
    <w:rsid w:val="00E56C87"/>
    <w:rsid w:val="00E56F06"/>
    <w:rsid w:val="00E57AE6"/>
    <w:rsid w:val="00E57B97"/>
    <w:rsid w:val="00E57CA4"/>
    <w:rsid w:val="00E57CB5"/>
    <w:rsid w:val="00E57EEF"/>
    <w:rsid w:val="00E6042D"/>
    <w:rsid w:val="00E60523"/>
    <w:rsid w:val="00E60648"/>
    <w:rsid w:val="00E608B4"/>
    <w:rsid w:val="00E608D3"/>
    <w:rsid w:val="00E60C56"/>
    <w:rsid w:val="00E60FA3"/>
    <w:rsid w:val="00E613AB"/>
    <w:rsid w:val="00E6148E"/>
    <w:rsid w:val="00E6178E"/>
    <w:rsid w:val="00E61919"/>
    <w:rsid w:val="00E61B0B"/>
    <w:rsid w:val="00E61C4A"/>
    <w:rsid w:val="00E61F89"/>
    <w:rsid w:val="00E61FA1"/>
    <w:rsid w:val="00E61FC7"/>
    <w:rsid w:val="00E61FE8"/>
    <w:rsid w:val="00E624A7"/>
    <w:rsid w:val="00E627F5"/>
    <w:rsid w:val="00E62827"/>
    <w:rsid w:val="00E628DA"/>
    <w:rsid w:val="00E62A3B"/>
    <w:rsid w:val="00E62F23"/>
    <w:rsid w:val="00E63037"/>
    <w:rsid w:val="00E630DE"/>
    <w:rsid w:val="00E635A3"/>
    <w:rsid w:val="00E6372E"/>
    <w:rsid w:val="00E637E2"/>
    <w:rsid w:val="00E63FEC"/>
    <w:rsid w:val="00E64107"/>
    <w:rsid w:val="00E6462F"/>
    <w:rsid w:val="00E64C05"/>
    <w:rsid w:val="00E64EF3"/>
    <w:rsid w:val="00E64F2A"/>
    <w:rsid w:val="00E65083"/>
    <w:rsid w:val="00E653A1"/>
    <w:rsid w:val="00E6599E"/>
    <w:rsid w:val="00E65A14"/>
    <w:rsid w:val="00E65A52"/>
    <w:rsid w:val="00E65A67"/>
    <w:rsid w:val="00E65B5E"/>
    <w:rsid w:val="00E65B73"/>
    <w:rsid w:val="00E65D02"/>
    <w:rsid w:val="00E65E44"/>
    <w:rsid w:val="00E65EE9"/>
    <w:rsid w:val="00E65F8A"/>
    <w:rsid w:val="00E65FFC"/>
    <w:rsid w:val="00E661E3"/>
    <w:rsid w:val="00E665A5"/>
    <w:rsid w:val="00E665F0"/>
    <w:rsid w:val="00E66621"/>
    <w:rsid w:val="00E666EC"/>
    <w:rsid w:val="00E66729"/>
    <w:rsid w:val="00E667C1"/>
    <w:rsid w:val="00E66824"/>
    <w:rsid w:val="00E66858"/>
    <w:rsid w:val="00E668BA"/>
    <w:rsid w:val="00E66F28"/>
    <w:rsid w:val="00E67357"/>
    <w:rsid w:val="00E674BF"/>
    <w:rsid w:val="00E67998"/>
    <w:rsid w:val="00E67BA0"/>
    <w:rsid w:val="00E67E01"/>
    <w:rsid w:val="00E67F02"/>
    <w:rsid w:val="00E70014"/>
    <w:rsid w:val="00E701EB"/>
    <w:rsid w:val="00E7034D"/>
    <w:rsid w:val="00E703D6"/>
    <w:rsid w:val="00E705A6"/>
    <w:rsid w:val="00E7065B"/>
    <w:rsid w:val="00E706C4"/>
    <w:rsid w:val="00E70797"/>
    <w:rsid w:val="00E70895"/>
    <w:rsid w:val="00E709A0"/>
    <w:rsid w:val="00E70A49"/>
    <w:rsid w:val="00E70CDE"/>
    <w:rsid w:val="00E70CEB"/>
    <w:rsid w:val="00E71027"/>
    <w:rsid w:val="00E711AB"/>
    <w:rsid w:val="00E7124E"/>
    <w:rsid w:val="00E713B3"/>
    <w:rsid w:val="00E71504"/>
    <w:rsid w:val="00E71567"/>
    <w:rsid w:val="00E716F6"/>
    <w:rsid w:val="00E71914"/>
    <w:rsid w:val="00E71A2A"/>
    <w:rsid w:val="00E71A57"/>
    <w:rsid w:val="00E71ACB"/>
    <w:rsid w:val="00E71AFB"/>
    <w:rsid w:val="00E71CB7"/>
    <w:rsid w:val="00E71DA5"/>
    <w:rsid w:val="00E7206D"/>
    <w:rsid w:val="00E720FB"/>
    <w:rsid w:val="00E72697"/>
    <w:rsid w:val="00E72926"/>
    <w:rsid w:val="00E72C50"/>
    <w:rsid w:val="00E72ECE"/>
    <w:rsid w:val="00E72F7C"/>
    <w:rsid w:val="00E7337C"/>
    <w:rsid w:val="00E73745"/>
    <w:rsid w:val="00E73865"/>
    <w:rsid w:val="00E73A7D"/>
    <w:rsid w:val="00E73BF9"/>
    <w:rsid w:val="00E74064"/>
    <w:rsid w:val="00E740BA"/>
    <w:rsid w:val="00E74148"/>
    <w:rsid w:val="00E74228"/>
    <w:rsid w:val="00E74BA6"/>
    <w:rsid w:val="00E74ED0"/>
    <w:rsid w:val="00E750C5"/>
    <w:rsid w:val="00E75156"/>
    <w:rsid w:val="00E75422"/>
    <w:rsid w:val="00E75467"/>
    <w:rsid w:val="00E75947"/>
    <w:rsid w:val="00E7596A"/>
    <w:rsid w:val="00E759B2"/>
    <w:rsid w:val="00E75B45"/>
    <w:rsid w:val="00E75FC2"/>
    <w:rsid w:val="00E76045"/>
    <w:rsid w:val="00E762C5"/>
    <w:rsid w:val="00E763A2"/>
    <w:rsid w:val="00E7641C"/>
    <w:rsid w:val="00E7642C"/>
    <w:rsid w:val="00E764AC"/>
    <w:rsid w:val="00E765E8"/>
    <w:rsid w:val="00E77057"/>
    <w:rsid w:val="00E771EC"/>
    <w:rsid w:val="00E7732E"/>
    <w:rsid w:val="00E773E4"/>
    <w:rsid w:val="00E7740C"/>
    <w:rsid w:val="00E77432"/>
    <w:rsid w:val="00E776BB"/>
    <w:rsid w:val="00E777E4"/>
    <w:rsid w:val="00E77B4C"/>
    <w:rsid w:val="00E77CAD"/>
    <w:rsid w:val="00E77FA8"/>
    <w:rsid w:val="00E80015"/>
    <w:rsid w:val="00E8026D"/>
    <w:rsid w:val="00E8030A"/>
    <w:rsid w:val="00E8033A"/>
    <w:rsid w:val="00E80500"/>
    <w:rsid w:val="00E8094F"/>
    <w:rsid w:val="00E80A2B"/>
    <w:rsid w:val="00E80C42"/>
    <w:rsid w:val="00E813C0"/>
    <w:rsid w:val="00E81459"/>
    <w:rsid w:val="00E82093"/>
    <w:rsid w:val="00E821F0"/>
    <w:rsid w:val="00E82324"/>
    <w:rsid w:val="00E82471"/>
    <w:rsid w:val="00E82540"/>
    <w:rsid w:val="00E8265B"/>
    <w:rsid w:val="00E826FB"/>
    <w:rsid w:val="00E8271A"/>
    <w:rsid w:val="00E8286F"/>
    <w:rsid w:val="00E8293D"/>
    <w:rsid w:val="00E82AE3"/>
    <w:rsid w:val="00E82FD4"/>
    <w:rsid w:val="00E8303D"/>
    <w:rsid w:val="00E8324C"/>
    <w:rsid w:val="00E835C1"/>
    <w:rsid w:val="00E83F5F"/>
    <w:rsid w:val="00E83F95"/>
    <w:rsid w:val="00E840FB"/>
    <w:rsid w:val="00E84258"/>
    <w:rsid w:val="00E84526"/>
    <w:rsid w:val="00E846A9"/>
    <w:rsid w:val="00E84719"/>
    <w:rsid w:val="00E848C4"/>
    <w:rsid w:val="00E84A60"/>
    <w:rsid w:val="00E84F79"/>
    <w:rsid w:val="00E8511A"/>
    <w:rsid w:val="00E853C8"/>
    <w:rsid w:val="00E853F5"/>
    <w:rsid w:val="00E85449"/>
    <w:rsid w:val="00E859F1"/>
    <w:rsid w:val="00E85A91"/>
    <w:rsid w:val="00E85B5F"/>
    <w:rsid w:val="00E85BE3"/>
    <w:rsid w:val="00E85C82"/>
    <w:rsid w:val="00E85F3D"/>
    <w:rsid w:val="00E8639A"/>
    <w:rsid w:val="00E86577"/>
    <w:rsid w:val="00E86799"/>
    <w:rsid w:val="00E86D66"/>
    <w:rsid w:val="00E87307"/>
    <w:rsid w:val="00E87313"/>
    <w:rsid w:val="00E87333"/>
    <w:rsid w:val="00E87362"/>
    <w:rsid w:val="00E8748C"/>
    <w:rsid w:val="00E87722"/>
    <w:rsid w:val="00E87744"/>
    <w:rsid w:val="00E87A47"/>
    <w:rsid w:val="00E87D94"/>
    <w:rsid w:val="00E87F55"/>
    <w:rsid w:val="00E87FC4"/>
    <w:rsid w:val="00E90A1C"/>
    <w:rsid w:val="00E91109"/>
    <w:rsid w:val="00E9155C"/>
    <w:rsid w:val="00E9161A"/>
    <w:rsid w:val="00E918A6"/>
    <w:rsid w:val="00E91BB1"/>
    <w:rsid w:val="00E91BB4"/>
    <w:rsid w:val="00E91C63"/>
    <w:rsid w:val="00E91CD1"/>
    <w:rsid w:val="00E91E00"/>
    <w:rsid w:val="00E922BF"/>
    <w:rsid w:val="00E9259F"/>
    <w:rsid w:val="00E926C9"/>
    <w:rsid w:val="00E92755"/>
    <w:rsid w:val="00E92762"/>
    <w:rsid w:val="00E92AEE"/>
    <w:rsid w:val="00E92CAE"/>
    <w:rsid w:val="00E93126"/>
    <w:rsid w:val="00E93279"/>
    <w:rsid w:val="00E93799"/>
    <w:rsid w:val="00E93D4E"/>
    <w:rsid w:val="00E93DD5"/>
    <w:rsid w:val="00E93FE0"/>
    <w:rsid w:val="00E946BB"/>
    <w:rsid w:val="00E9543D"/>
    <w:rsid w:val="00E95626"/>
    <w:rsid w:val="00E95723"/>
    <w:rsid w:val="00E95859"/>
    <w:rsid w:val="00E95AE1"/>
    <w:rsid w:val="00E95B16"/>
    <w:rsid w:val="00E95C9A"/>
    <w:rsid w:val="00E95CBA"/>
    <w:rsid w:val="00E95D68"/>
    <w:rsid w:val="00E95E51"/>
    <w:rsid w:val="00E95EC2"/>
    <w:rsid w:val="00E95F2C"/>
    <w:rsid w:val="00E95FB8"/>
    <w:rsid w:val="00E96035"/>
    <w:rsid w:val="00E9629C"/>
    <w:rsid w:val="00E962BC"/>
    <w:rsid w:val="00E96DD1"/>
    <w:rsid w:val="00E96E58"/>
    <w:rsid w:val="00E96E77"/>
    <w:rsid w:val="00E96F2D"/>
    <w:rsid w:val="00E97485"/>
    <w:rsid w:val="00E97584"/>
    <w:rsid w:val="00E9772C"/>
    <w:rsid w:val="00E97795"/>
    <w:rsid w:val="00E977AA"/>
    <w:rsid w:val="00E977DB"/>
    <w:rsid w:val="00E97864"/>
    <w:rsid w:val="00E97D5E"/>
    <w:rsid w:val="00E97E68"/>
    <w:rsid w:val="00EA0241"/>
    <w:rsid w:val="00EA027B"/>
    <w:rsid w:val="00EA045F"/>
    <w:rsid w:val="00EA04DA"/>
    <w:rsid w:val="00EA0667"/>
    <w:rsid w:val="00EA0B1E"/>
    <w:rsid w:val="00EA0B68"/>
    <w:rsid w:val="00EA0D59"/>
    <w:rsid w:val="00EA0E76"/>
    <w:rsid w:val="00EA135B"/>
    <w:rsid w:val="00EA1460"/>
    <w:rsid w:val="00EA16CF"/>
    <w:rsid w:val="00EA196E"/>
    <w:rsid w:val="00EA1A07"/>
    <w:rsid w:val="00EA1A27"/>
    <w:rsid w:val="00EA1B8C"/>
    <w:rsid w:val="00EA2194"/>
    <w:rsid w:val="00EA2267"/>
    <w:rsid w:val="00EA2441"/>
    <w:rsid w:val="00EA2741"/>
    <w:rsid w:val="00EA2903"/>
    <w:rsid w:val="00EA298F"/>
    <w:rsid w:val="00EA2B7A"/>
    <w:rsid w:val="00EA2F75"/>
    <w:rsid w:val="00EA3018"/>
    <w:rsid w:val="00EA3324"/>
    <w:rsid w:val="00EA33A6"/>
    <w:rsid w:val="00EA3E2B"/>
    <w:rsid w:val="00EA4240"/>
    <w:rsid w:val="00EA42F1"/>
    <w:rsid w:val="00EA4682"/>
    <w:rsid w:val="00EA4794"/>
    <w:rsid w:val="00EA487F"/>
    <w:rsid w:val="00EA49CD"/>
    <w:rsid w:val="00EA4A6D"/>
    <w:rsid w:val="00EA4AAC"/>
    <w:rsid w:val="00EA4EA4"/>
    <w:rsid w:val="00EA4EA8"/>
    <w:rsid w:val="00EA50D8"/>
    <w:rsid w:val="00EA522B"/>
    <w:rsid w:val="00EA5A22"/>
    <w:rsid w:val="00EA5A4F"/>
    <w:rsid w:val="00EA5AFA"/>
    <w:rsid w:val="00EA5B6F"/>
    <w:rsid w:val="00EA5B73"/>
    <w:rsid w:val="00EA6602"/>
    <w:rsid w:val="00EA6ECA"/>
    <w:rsid w:val="00EA6EE0"/>
    <w:rsid w:val="00EA7007"/>
    <w:rsid w:val="00EA73A2"/>
    <w:rsid w:val="00EA75DC"/>
    <w:rsid w:val="00EA7828"/>
    <w:rsid w:val="00EA7A72"/>
    <w:rsid w:val="00EA7C4C"/>
    <w:rsid w:val="00EB0340"/>
    <w:rsid w:val="00EB077B"/>
    <w:rsid w:val="00EB0B6C"/>
    <w:rsid w:val="00EB0EB9"/>
    <w:rsid w:val="00EB0EEC"/>
    <w:rsid w:val="00EB190B"/>
    <w:rsid w:val="00EB1CD5"/>
    <w:rsid w:val="00EB1CE6"/>
    <w:rsid w:val="00EB1DAC"/>
    <w:rsid w:val="00EB1E29"/>
    <w:rsid w:val="00EB2769"/>
    <w:rsid w:val="00EB2874"/>
    <w:rsid w:val="00EB28DB"/>
    <w:rsid w:val="00EB29DD"/>
    <w:rsid w:val="00EB2F87"/>
    <w:rsid w:val="00EB2FD2"/>
    <w:rsid w:val="00EB2FDD"/>
    <w:rsid w:val="00EB3011"/>
    <w:rsid w:val="00EB303B"/>
    <w:rsid w:val="00EB3664"/>
    <w:rsid w:val="00EB3DA5"/>
    <w:rsid w:val="00EB3F1C"/>
    <w:rsid w:val="00EB416E"/>
    <w:rsid w:val="00EB4A71"/>
    <w:rsid w:val="00EB4D0F"/>
    <w:rsid w:val="00EB534E"/>
    <w:rsid w:val="00EB5353"/>
    <w:rsid w:val="00EB59CA"/>
    <w:rsid w:val="00EB5AF8"/>
    <w:rsid w:val="00EB5B9D"/>
    <w:rsid w:val="00EB68EF"/>
    <w:rsid w:val="00EB6B54"/>
    <w:rsid w:val="00EB6BF9"/>
    <w:rsid w:val="00EB7333"/>
    <w:rsid w:val="00EB749E"/>
    <w:rsid w:val="00EB74A6"/>
    <w:rsid w:val="00EB76E7"/>
    <w:rsid w:val="00EB7788"/>
    <w:rsid w:val="00EB7AE0"/>
    <w:rsid w:val="00EB7EDD"/>
    <w:rsid w:val="00EB7EF5"/>
    <w:rsid w:val="00EB7F52"/>
    <w:rsid w:val="00EB7FF5"/>
    <w:rsid w:val="00EC01B0"/>
    <w:rsid w:val="00EC02E9"/>
    <w:rsid w:val="00EC0667"/>
    <w:rsid w:val="00EC0743"/>
    <w:rsid w:val="00EC094E"/>
    <w:rsid w:val="00EC0B35"/>
    <w:rsid w:val="00EC0ED6"/>
    <w:rsid w:val="00EC13C2"/>
    <w:rsid w:val="00EC16BB"/>
    <w:rsid w:val="00EC1834"/>
    <w:rsid w:val="00EC1861"/>
    <w:rsid w:val="00EC19EA"/>
    <w:rsid w:val="00EC19F4"/>
    <w:rsid w:val="00EC1A4F"/>
    <w:rsid w:val="00EC1B80"/>
    <w:rsid w:val="00EC1DEF"/>
    <w:rsid w:val="00EC269B"/>
    <w:rsid w:val="00EC26D3"/>
    <w:rsid w:val="00EC2C0C"/>
    <w:rsid w:val="00EC2CA9"/>
    <w:rsid w:val="00EC31DB"/>
    <w:rsid w:val="00EC3557"/>
    <w:rsid w:val="00EC37A8"/>
    <w:rsid w:val="00EC38B5"/>
    <w:rsid w:val="00EC39C6"/>
    <w:rsid w:val="00EC3A6B"/>
    <w:rsid w:val="00EC3D09"/>
    <w:rsid w:val="00EC3F3C"/>
    <w:rsid w:val="00EC43B0"/>
    <w:rsid w:val="00EC4B5E"/>
    <w:rsid w:val="00EC4F5E"/>
    <w:rsid w:val="00EC4F76"/>
    <w:rsid w:val="00EC4F80"/>
    <w:rsid w:val="00EC4FF8"/>
    <w:rsid w:val="00EC52EE"/>
    <w:rsid w:val="00EC58D5"/>
    <w:rsid w:val="00EC58D8"/>
    <w:rsid w:val="00EC6183"/>
    <w:rsid w:val="00EC65D4"/>
    <w:rsid w:val="00EC67F6"/>
    <w:rsid w:val="00EC682B"/>
    <w:rsid w:val="00EC6FDA"/>
    <w:rsid w:val="00EC72C7"/>
    <w:rsid w:val="00EC7372"/>
    <w:rsid w:val="00EC73F8"/>
    <w:rsid w:val="00EC7590"/>
    <w:rsid w:val="00EC75A7"/>
    <w:rsid w:val="00EC76AA"/>
    <w:rsid w:val="00EC7851"/>
    <w:rsid w:val="00EC788C"/>
    <w:rsid w:val="00EC7F71"/>
    <w:rsid w:val="00ED0155"/>
    <w:rsid w:val="00ED01A6"/>
    <w:rsid w:val="00ED04F3"/>
    <w:rsid w:val="00ED0550"/>
    <w:rsid w:val="00ED067C"/>
    <w:rsid w:val="00ED0CB4"/>
    <w:rsid w:val="00ED1353"/>
    <w:rsid w:val="00ED1686"/>
    <w:rsid w:val="00ED1CD0"/>
    <w:rsid w:val="00ED20C8"/>
    <w:rsid w:val="00ED21AB"/>
    <w:rsid w:val="00ED2824"/>
    <w:rsid w:val="00ED2C72"/>
    <w:rsid w:val="00ED3995"/>
    <w:rsid w:val="00ED3B96"/>
    <w:rsid w:val="00ED4495"/>
    <w:rsid w:val="00ED44D6"/>
    <w:rsid w:val="00ED465C"/>
    <w:rsid w:val="00ED4867"/>
    <w:rsid w:val="00ED4E07"/>
    <w:rsid w:val="00ED542F"/>
    <w:rsid w:val="00ED5905"/>
    <w:rsid w:val="00ED59D0"/>
    <w:rsid w:val="00ED5C0F"/>
    <w:rsid w:val="00ED602B"/>
    <w:rsid w:val="00ED6042"/>
    <w:rsid w:val="00ED61AC"/>
    <w:rsid w:val="00ED63A3"/>
    <w:rsid w:val="00ED6AD4"/>
    <w:rsid w:val="00ED6B96"/>
    <w:rsid w:val="00ED6D5D"/>
    <w:rsid w:val="00ED71E1"/>
    <w:rsid w:val="00ED71EE"/>
    <w:rsid w:val="00ED7309"/>
    <w:rsid w:val="00ED78C3"/>
    <w:rsid w:val="00ED7A53"/>
    <w:rsid w:val="00ED7AE2"/>
    <w:rsid w:val="00ED7B5E"/>
    <w:rsid w:val="00ED7F43"/>
    <w:rsid w:val="00EE035C"/>
    <w:rsid w:val="00EE05F4"/>
    <w:rsid w:val="00EE0926"/>
    <w:rsid w:val="00EE0932"/>
    <w:rsid w:val="00EE0A27"/>
    <w:rsid w:val="00EE0D82"/>
    <w:rsid w:val="00EE0DA7"/>
    <w:rsid w:val="00EE0ED5"/>
    <w:rsid w:val="00EE1019"/>
    <w:rsid w:val="00EE10D5"/>
    <w:rsid w:val="00EE161B"/>
    <w:rsid w:val="00EE1622"/>
    <w:rsid w:val="00EE1951"/>
    <w:rsid w:val="00EE1B3E"/>
    <w:rsid w:val="00EE1BB6"/>
    <w:rsid w:val="00EE1E5C"/>
    <w:rsid w:val="00EE204E"/>
    <w:rsid w:val="00EE21AE"/>
    <w:rsid w:val="00EE272B"/>
    <w:rsid w:val="00EE27E9"/>
    <w:rsid w:val="00EE281B"/>
    <w:rsid w:val="00EE29B5"/>
    <w:rsid w:val="00EE2AAE"/>
    <w:rsid w:val="00EE2D67"/>
    <w:rsid w:val="00EE2DB3"/>
    <w:rsid w:val="00EE3073"/>
    <w:rsid w:val="00EE3153"/>
    <w:rsid w:val="00EE3257"/>
    <w:rsid w:val="00EE3916"/>
    <w:rsid w:val="00EE3964"/>
    <w:rsid w:val="00EE3B00"/>
    <w:rsid w:val="00EE3DBE"/>
    <w:rsid w:val="00EE442F"/>
    <w:rsid w:val="00EE4465"/>
    <w:rsid w:val="00EE45B8"/>
    <w:rsid w:val="00EE4A2C"/>
    <w:rsid w:val="00EE4AA2"/>
    <w:rsid w:val="00EE4BBF"/>
    <w:rsid w:val="00EE4EC1"/>
    <w:rsid w:val="00EE5154"/>
    <w:rsid w:val="00EE56C9"/>
    <w:rsid w:val="00EE5AAD"/>
    <w:rsid w:val="00EE5ADD"/>
    <w:rsid w:val="00EE5D24"/>
    <w:rsid w:val="00EE5F0D"/>
    <w:rsid w:val="00EE623A"/>
    <w:rsid w:val="00EE664D"/>
    <w:rsid w:val="00EE67DD"/>
    <w:rsid w:val="00EE6C68"/>
    <w:rsid w:val="00EE6F30"/>
    <w:rsid w:val="00EE72E4"/>
    <w:rsid w:val="00EE7551"/>
    <w:rsid w:val="00EE7572"/>
    <w:rsid w:val="00EE75D7"/>
    <w:rsid w:val="00EE77A2"/>
    <w:rsid w:val="00EF004A"/>
    <w:rsid w:val="00EF03FF"/>
    <w:rsid w:val="00EF04B5"/>
    <w:rsid w:val="00EF0973"/>
    <w:rsid w:val="00EF0F78"/>
    <w:rsid w:val="00EF1002"/>
    <w:rsid w:val="00EF1305"/>
    <w:rsid w:val="00EF14EB"/>
    <w:rsid w:val="00EF1613"/>
    <w:rsid w:val="00EF1786"/>
    <w:rsid w:val="00EF18CA"/>
    <w:rsid w:val="00EF199A"/>
    <w:rsid w:val="00EF1CA6"/>
    <w:rsid w:val="00EF22CA"/>
    <w:rsid w:val="00EF24BE"/>
    <w:rsid w:val="00EF25F1"/>
    <w:rsid w:val="00EF273C"/>
    <w:rsid w:val="00EF2AC5"/>
    <w:rsid w:val="00EF2AFF"/>
    <w:rsid w:val="00EF2E62"/>
    <w:rsid w:val="00EF3023"/>
    <w:rsid w:val="00EF3111"/>
    <w:rsid w:val="00EF3252"/>
    <w:rsid w:val="00EF34C5"/>
    <w:rsid w:val="00EF353B"/>
    <w:rsid w:val="00EF3593"/>
    <w:rsid w:val="00EF365C"/>
    <w:rsid w:val="00EF398C"/>
    <w:rsid w:val="00EF3BA0"/>
    <w:rsid w:val="00EF3D6D"/>
    <w:rsid w:val="00EF3DFF"/>
    <w:rsid w:val="00EF42D1"/>
    <w:rsid w:val="00EF4699"/>
    <w:rsid w:val="00EF46A9"/>
    <w:rsid w:val="00EF46CC"/>
    <w:rsid w:val="00EF4C3A"/>
    <w:rsid w:val="00EF4C8D"/>
    <w:rsid w:val="00EF4DCA"/>
    <w:rsid w:val="00EF526B"/>
    <w:rsid w:val="00EF5C68"/>
    <w:rsid w:val="00EF60FE"/>
    <w:rsid w:val="00EF6281"/>
    <w:rsid w:val="00EF6321"/>
    <w:rsid w:val="00EF6489"/>
    <w:rsid w:val="00EF661D"/>
    <w:rsid w:val="00EF66FF"/>
    <w:rsid w:val="00EF695C"/>
    <w:rsid w:val="00EF6DD2"/>
    <w:rsid w:val="00EF6EF5"/>
    <w:rsid w:val="00EF7072"/>
    <w:rsid w:val="00EF734B"/>
    <w:rsid w:val="00EF7523"/>
    <w:rsid w:val="00EF7658"/>
    <w:rsid w:val="00EF76ED"/>
    <w:rsid w:val="00EF7798"/>
    <w:rsid w:val="00EF784C"/>
    <w:rsid w:val="00EF7989"/>
    <w:rsid w:val="00EF79D3"/>
    <w:rsid w:val="00EF7A3F"/>
    <w:rsid w:val="00EF7E61"/>
    <w:rsid w:val="00F009AF"/>
    <w:rsid w:val="00F00ABB"/>
    <w:rsid w:val="00F00AD5"/>
    <w:rsid w:val="00F00B17"/>
    <w:rsid w:val="00F0135A"/>
    <w:rsid w:val="00F01A65"/>
    <w:rsid w:val="00F02197"/>
    <w:rsid w:val="00F0219B"/>
    <w:rsid w:val="00F023D8"/>
    <w:rsid w:val="00F02440"/>
    <w:rsid w:val="00F02465"/>
    <w:rsid w:val="00F02500"/>
    <w:rsid w:val="00F02759"/>
    <w:rsid w:val="00F027C0"/>
    <w:rsid w:val="00F02862"/>
    <w:rsid w:val="00F02901"/>
    <w:rsid w:val="00F02FEC"/>
    <w:rsid w:val="00F037F9"/>
    <w:rsid w:val="00F03837"/>
    <w:rsid w:val="00F03934"/>
    <w:rsid w:val="00F03A8E"/>
    <w:rsid w:val="00F03A90"/>
    <w:rsid w:val="00F03B2B"/>
    <w:rsid w:val="00F03B5F"/>
    <w:rsid w:val="00F03DB0"/>
    <w:rsid w:val="00F045F1"/>
    <w:rsid w:val="00F0480B"/>
    <w:rsid w:val="00F0481A"/>
    <w:rsid w:val="00F049E6"/>
    <w:rsid w:val="00F049E8"/>
    <w:rsid w:val="00F04F72"/>
    <w:rsid w:val="00F050D8"/>
    <w:rsid w:val="00F0544C"/>
    <w:rsid w:val="00F054F5"/>
    <w:rsid w:val="00F05602"/>
    <w:rsid w:val="00F05A7F"/>
    <w:rsid w:val="00F05A8D"/>
    <w:rsid w:val="00F05C9A"/>
    <w:rsid w:val="00F05D80"/>
    <w:rsid w:val="00F06830"/>
    <w:rsid w:val="00F06A6B"/>
    <w:rsid w:val="00F06D2A"/>
    <w:rsid w:val="00F06E36"/>
    <w:rsid w:val="00F07501"/>
    <w:rsid w:val="00F07789"/>
    <w:rsid w:val="00F102C5"/>
    <w:rsid w:val="00F104E1"/>
    <w:rsid w:val="00F10541"/>
    <w:rsid w:val="00F109AA"/>
    <w:rsid w:val="00F110EE"/>
    <w:rsid w:val="00F11159"/>
    <w:rsid w:val="00F11195"/>
    <w:rsid w:val="00F11230"/>
    <w:rsid w:val="00F11A18"/>
    <w:rsid w:val="00F11C38"/>
    <w:rsid w:val="00F11F62"/>
    <w:rsid w:val="00F12941"/>
    <w:rsid w:val="00F12BFC"/>
    <w:rsid w:val="00F12E19"/>
    <w:rsid w:val="00F13051"/>
    <w:rsid w:val="00F13119"/>
    <w:rsid w:val="00F133E9"/>
    <w:rsid w:val="00F133F2"/>
    <w:rsid w:val="00F1362E"/>
    <w:rsid w:val="00F13AF6"/>
    <w:rsid w:val="00F13B38"/>
    <w:rsid w:val="00F13EA3"/>
    <w:rsid w:val="00F13ECB"/>
    <w:rsid w:val="00F13F15"/>
    <w:rsid w:val="00F142C4"/>
    <w:rsid w:val="00F142CF"/>
    <w:rsid w:val="00F145D6"/>
    <w:rsid w:val="00F14823"/>
    <w:rsid w:val="00F14A4D"/>
    <w:rsid w:val="00F14DAA"/>
    <w:rsid w:val="00F14E67"/>
    <w:rsid w:val="00F14FC2"/>
    <w:rsid w:val="00F150F8"/>
    <w:rsid w:val="00F152BC"/>
    <w:rsid w:val="00F15614"/>
    <w:rsid w:val="00F15A67"/>
    <w:rsid w:val="00F15A89"/>
    <w:rsid w:val="00F15D1D"/>
    <w:rsid w:val="00F15ED3"/>
    <w:rsid w:val="00F16074"/>
    <w:rsid w:val="00F1680A"/>
    <w:rsid w:val="00F16886"/>
    <w:rsid w:val="00F16C62"/>
    <w:rsid w:val="00F173E4"/>
    <w:rsid w:val="00F17590"/>
    <w:rsid w:val="00F17716"/>
    <w:rsid w:val="00F177F5"/>
    <w:rsid w:val="00F17953"/>
    <w:rsid w:val="00F17C03"/>
    <w:rsid w:val="00F17F15"/>
    <w:rsid w:val="00F17F43"/>
    <w:rsid w:val="00F2014C"/>
    <w:rsid w:val="00F203AB"/>
    <w:rsid w:val="00F2063F"/>
    <w:rsid w:val="00F20857"/>
    <w:rsid w:val="00F208E2"/>
    <w:rsid w:val="00F20A76"/>
    <w:rsid w:val="00F20C58"/>
    <w:rsid w:val="00F20F07"/>
    <w:rsid w:val="00F20F16"/>
    <w:rsid w:val="00F20F96"/>
    <w:rsid w:val="00F21120"/>
    <w:rsid w:val="00F213C7"/>
    <w:rsid w:val="00F213C8"/>
    <w:rsid w:val="00F21550"/>
    <w:rsid w:val="00F21D0B"/>
    <w:rsid w:val="00F21DA8"/>
    <w:rsid w:val="00F229BD"/>
    <w:rsid w:val="00F22B34"/>
    <w:rsid w:val="00F22B5D"/>
    <w:rsid w:val="00F22B63"/>
    <w:rsid w:val="00F22C32"/>
    <w:rsid w:val="00F22C8C"/>
    <w:rsid w:val="00F22D71"/>
    <w:rsid w:val="00F2357D"/>
    <w:rsid w:val="00F23605"/>
    <w:rsid w:val="00F23DB4"/>
    <w:rsid w:val="00F23DC8"/>
    <w:rsid w:val="00F23F9F"/>
    <w:rsid w:val="00F2424F"/>
    <w:rsid w:val="00F2443F"/>
    <w:rsid w:val="00F24580"/>
    <w:rsid w:val="00F24607"/>
    <w:rsid w:val="00F247D1"/>
    <w:rsid w:val="00F247D4"/>
    <w:rsid w:val="00F24A48"/>
    <w:rsid w:val="00F24A59"/>
    <w:rsid w:val="00F25012"/>
    <w:rsid w:val="00F25485"/>
    <w:rsid w:val="00F25E1A"/>
    <w:rsid w:val="00F26131"/>
    <w:rsid w:val="00F262FC"/>
    <w:rsid w:val="00F26331"/>
    <w:rsid w:val="00F2658D"/>
    <w:rsid w:val="00F26666"/>
    <w:rsid w:val="00F26E9E"/>
    <w:rsid w:val="00F26F51"/>
    <w:rsid w:val="00F26F8E"/>
    <w:rsid w:val="00F2708E"/>
    <w:rsid w:val="00F270A8"/>
    <w:rsid w:val="00F271CD"/>
    <w:rsid w:val="00F276C5"/>
    <w:rsid w:val="00F277CB"/>
    <w:rsid w:val="00F279D3"/>
    <w:rsid w:val="00F27AAF"/>
    <w:rsid w:val="00F27AC7"/>
    <w:rsid w:val="00F27B03"/>
    <w:rsid w:val="00F27F89"/>
    <w:rsid w:val="00F30122"/>
    <w:rsid w:val="00F30976"/>
    <w:rsid w:val="00F30A24"/>
    <w:rsid w:val="00F30A9C"/>
    <w:rsid w:val="00F30EF5"/>
    <w:rsid w:val="00F31569"/>
    <w:rsid w:val="00F3162D"/>
    <w:rsid w:val="00F31911"/>
    <w:rsid w:val="00F31B14"/>
    <w:rsid w:val="00F320E2"/>
    <w:rsid w:val="00F322A0"/>
    <w:rsid w:val="00F32681"/>
    <w:rsid w:val="00F3269A"/>
    <w:rsid w:val="00F3281E"/>
    <w:rsid w:val="00F3296B"/>
    <w:rsid w:val="00F32E03"/>
    <w:rsid w:val="00F32E28"/>
    <w:rsid w:val="00F32F0D"/>
    <w:rsid w:val="00F32FA0"/>
    <w:rsid w:val="00F32FBD"/>
    <w:rsid w:val="00F33122"/>
    <w:rsid w:val="00F331EE"/>
    <w:rsid w:val="00F3329B"/>
    <w:rsid w:val="00F3336A"/>
    <w:rsid w:val="00F3348C"/>
    <w:rsid w:val="00F33789"/>
    <w:rsid w:val="00F338BB"/>
    <w:rsid w:val="00F33B7B"/>
    <w:rsid w:val="00F33BD4"/>
    <w:rsid w:val="00F3437D"/>
    <w:rsid w:val="00F34561"/>
    <w:rsid w:val="00F34622"/>
    <w:rsid w:val="00F34AA8"/>
    <w:rsid w:val="00F34ADB"/>
    <w:rsid w:val="00F35160"/>
    <w:rsid w:val="00F351CA"/>
    <w:rsid w:val="00F35587"/>
    <w:rsid w:val="00F35A7F"/>
    <w:rsid w:val="00F35FE0"/>
    <w:rsid w:val="00F36149"/>
    <w:rsid w:val="00F3623A"/>
    <w:rsid w:val="00F36674"/>
    <w:rsid w:val="00F36729"/>
    <w:rsid w:val="00F3716D"/>
    <w:rsid w:val="00F37280"/>
    <w:rsid w:val="00F37762"/>
    <w:rsid w:val="00F377AF"/>
    <w:rsid w:val="00F37864"/>
    <w:rsid w:val="00F37875"/>
    <w:rsid w:val="00F3793F"/>
    <w:rsid w:val="00F37EB0"/>
    <w:rsid w:val="00F4010B"/>
    <w:rsid w:val="00F40286"/>
    <w:rsid w:val="00F4076C"/>
    <w:rsid w:val="00F4089B"/>
    <w:rsid w:val="00F40ABB"/>
    <w:rsid w:val="00F40ADA"/>
    <w:rsid w:val="00F40AED"/>
    <w:rsid w:val="00F40B8A"/>
    <w:rsid w:val="00F40F7E"/>
    <w:rsid w:val="00F4126D"/>
    <w:rsid w:val="00F412CE"/>
    <w:rsid w:val="00F41608"/>
    <w:rsid w:val="00F41658"/>
    <w:rsid w:val="00F416BA"/>
    <w:rsid w:val="00F41724"/>
    <w:rsid w:val="00F41895"/>
    <w:rsid w:val="00F418EC"/>
    <w:rsid w:val="00F41971"/>
    <w:rsid w:val="00F419A1"/>
    <w:rsid w:val="00F419BB"/>
    <w:rsid w:val="00F41A96"/>
    <w:rsid w:val="00F41C8E"/>
    <w:rsid w:val="00F42490"/>
    <w:rsid w:val="00F42C82"/>
    <w:rsid w:val="00F43066"/>
    <w:rsid w:val="00F4309B"/>
    <w:rsid w:val="00F430BF"/>
    <w:rsid w:val="00F4339C"/>
    <w:rsid w:val="00F436A4"/>
    <w:rsid w:val="00F43ABF"/>
    <w:rsid w:val="00F43C91"/>
    <w:rsid w:val="00F43E2F"/>
    <w:rsid w:val="00F43EB1"/>
    <w:rsid w:val="00F44238"/>
    <w:rsid w:val="00F44506"/>
    <w:rsid w:val="00F445B7"/>
    <w:rsid w:val="00F44ABA"/>
    <w:rsid w:val="00F45818"/>
    <w:rsid w:val="00F4587C"/>
    <w:rsid w:val="00F45B75"/>
    <w:rsid w:val="00F45C13"/>
    <w:rsid w:val="00F45EAC"/>
    <w:rsid w:val="00F4621E"/>
    <w:rsid w:val="00F46254"/>
    <w:rsid w:val="00F4657D"/>
    <w:rsid w:val="00F465AF"/>
    <w:rsid w:val="00F46677"/>
    <w:rsid w:val="00F4670F"/>
    <w:rsid w:val="00F46842"/>
    <w:rsid w:val="00F468C6"/>
    <w:rsid w:val="00F46B73"/>
    <w:rsid w:val="00F46C10"/>
    <w:rsid w:val="00F46D24"/>
    <w:rsid w:val="00F46D29"/>
    <w:rsid w:val="00F46F1D"/>
    <w:rsid w:val="00F46FCC"/>
    <w:rsid w:val="00F47291"/>
    <w:rsid w:val="00F47518"/>
    <w:rsid w:val="00F47762"/>
    <w:rsid w:val="00F47793"/>
    <w:rsid w:val="00F479B4"/>
    <w:rsid w:val="00F47A07"/>
    <w:rsid w:val="00F47B73"/>
    <w:rsid w:val="00F47DD1"/>
    <w:rsid w:val="00F47DF7"/>
    <w:rsid w:val="00F47F9F"/>
    <w:rsid w:val="00F50051"/>
    <w:rsid w:val="00F506CE"/>
    <w:rsid w:val="00F50DDB"/>
    <w:rsid w:val="00F50E6C"/>
    <w:rsid w:val="00F512B8"/>
    <w:rsid w:val="00F51513"/>
    <w:rsid w:val="00F51591"/>
    <w:rsid w:val="00F516B8"/>
    <w:rsid w:val="00F517FF"/>
    <w:rsid w:val="00F51838"/>
    <w:rsid w:val="00F51AA0"/>
    <w:rsid w:val="00F51AC4"/>
    <w:rsid w:val="00F51B82"/>
    <w:rsid w:val="00F51D19"/>
    <w:rsid w:val="00F51F71"/>
    <w:rsid w:val="00F520FD"/>
    <w:rsid w:val="00F52641"/>
    <w:rsid w:val="00F526B3"/>
    <w:rsid w:val="00F526F2"/>
    <w:rsid w:val="00F52808"/>
    <w:rsid w:val="00F5297C"/>
    <w:rsid w:val="00F52AFE"/>
    <w:rsid w:val="00F52D02"/>
    <w:rsid w:val="00F52D1C"/>
    <w:rsid w:val="00F52D5B"/>
    <w:rsid w:val="00F53502"/>
    <w:rsid w:val="00F535E0"/>
    <w:rsid w:val="00F535EC"/>
    <w:rsid w:val="00F536E1"/>
    <w:rsid w:val="00F5375B"/>
    <w:rsid w:val="00F53979"/>
    <w:rsid w:val="00F53D3A"/>
    <w:rsid w:val="00F53DC6"/>
    <w:rsid w:val="00F5413B"/>
    <w:rsid w:val="00F541BF"/>
    <w:rsid w:val="00F542DE"/>
    <w:rsid w:val="00F54301"/>
    <w:rsid w:val="00F54368"/>
    <w:rsid w:val="00F543A3"/>
    <w:rsid w:val="00F54453"/>
    <w:rsid w:val="00F5467C"/>
    <w:rsid w:val="00F54A3F"/>
    <w:rsid w:val="00F54B3B"/>
    <w:rsid w:val="00F54DDD"/>
    <w:rsid w:val="00F54E47"/>
    <w:rsid w:val="00F5510A"/>
    <w:rsid w:val="00F551C8"/>
    <w:rsid w:val="00F551F5"/>
    <w:rsid w:val="00F5538A"/>
    <w:rsid w:val="00F55630"/>
    <w:rsid w:val="00F556A9"/>
    <w:rsid w:val="00F556DF"/>
    <w:rsid w:val="00F55773"/>
    <w:rsid w:val="00F55D7B"/>
    <w:rsid w:val="00F560EB"/>
    <w:rsid w:val="00F562DA"/>
    <w:rsid w:val="00F564A3"/>
    <w:rsid w:val="00F564A4"/>
    <w:rsid w:val="00F565E6"/>
    <w:rsid w:val="00F56655"/>
    <w:rsid w:val="00F566D5"/>
    <w:rsid w:val="00F56B2A"/>
    <w:rsid w:val="00F56CFC"/>
    <w:rsid w:val="00F56E21"/>
    <w:rsid w:val="00F571FA"/>
    <w:rsid w:val="00F5741C"/>
    <w:rsid w:val="00F575D2"/>
    <w:rsid w:val="00F575E0"/>
    <w:rsid w:val="00F578FC"/>
    <w:rsid w:val="00F57AA8"/>
    <w:rsid w:val="00F57ADE"/>
    <w:rsid w:val="00F57C34"/>
    <w:rsid w:val="00F60108"/>
    <w:rsid w:val="00F60127"/>
    <w:rsid w:val="00F603BA"/>
    <w:rsid w:val="00F61505"/>
    <w:rsid w:val="00F619A9"/>
    <w:rsid w:val="00F61CC0"/>
    <w:rsid w:val="00F61DDA"/>
    <w:rsid w:val="00F62114"/>
    <w:rsid w:val="00F623A6"/>
    <w:rsid w:val="00F623D5"/>
    <w:rsid w:val="00F624BA"/>
    <w:rsid w:val="00F62577"/>
    <w:rsid w:val="00F62583"/>
    <w:rsid w:val="00F62986"/>
    <w:rsid w:val="00F62CC8"/>
    <w:rsid w:val="00F63311"/>
    <w:rsid w:val="00F63851"/>
    <w:rsid w:val="00F63A58"/>
    <w:rsid w:val="00F63E86"/>
    <w:rsid w:val="00F64115"/>
    <w:rsid w:val="00F6434A"/>
    <w:rsid w:val="00F646F5"/>
    <w:rsid w:val="00F64751"/>
    <w:rsid w:val="00F64FC6"/>
    <w:rsid w:val="00F65515"/>
    <w:rsid w:val="00F6564C"/>
    <w:rsid w:val="00F65CC6"/>
    <w:rsid w:val="00F65D6B"/>
    <w:rsid w:val="00F65FCB"/>
    <w:rsid w:val="00F66039"/>
    <w:rsid w:val="00F66117"/>
    <w:rsid w:val="00F661DC"/>
    <w:rsid w:val="00F664DE"/>
    <w:rsid w:val="00F66AFB"/>
    <w:rsid w:val="00F670CE"/>
    <w:rsid w:val="00F673B6"/>
    <w:rsid w:val="00F67603"/>
    <w:rsid w:val="00F6765F"/>
    <w:rsid w:val="00F6796C"/>
    <w:rsid w:val="00F67AA3"/>
    <w:rsid w:val="00F67BC2"/>
    <w:rsid w:val="00F67E5B"/>
    <w:rsid w:val="00F67F9C"/>
    <w:rsid w:val="00F70381"/>
    <w:rsid w:val="00F709B2"/>
    <w:rsid w:val="00F70B5F"/>
    <w:rsid w:val="00F7118F"/>
    <w:rsid w:val="00F712A5"/>
    <w:rsid w:val="00F715FB"/>
    <w:rsid w:val="00F7161A"/>
    <w:rsid w:val="00F717EA"/>
    <w:rsid w:val="00F71882"/>
    <w:rsid w:val="00F71943"/>
    <w:rsid w:val="00F719C9"/>
    <w:rsid w:val="00F71BB1"/>
    <w:rsid w:val="00F71C38"/>
    <w:rsid w:val="00F71D32"/>
    <w:rsid w:val="00F71E64"/>
    <w:rsid w:val="00F71E7E"/>
    <w:rsid w:val="00F71F2D"/>
    <w:rsid w:val="00F71FC2"/>
    <w:rsid w:val="00F726C0"/>
    <w:rsid w:val="00F72B89"/>
    <w:rsid w:val="00F72C22"/>
    <w:rsid w:val="00F72DC8"/>
    <w:rsid w:val="00F72F1D"/>
    <w:rsid w:val="00F73277"/>
    <w:rsid w:val="00F73330"/>
    <w:rsid w:val="00F7381F"/>
    <w:rsid w:val="00F742FE"/>
    <w:rsid w:val="00F74427"/>
    <w:rsid w:val="00F7480D"/>
    <w:rsid w:val="00F74B21"/>
    <w:rsid w:val="00F74BC8"/>
    <w:rsid w:val="00F7520F"/>
    <w:rsid w:val="00F756D4"/>
    <w:rsid w:val="00F75F2B"/>
    <w:rsid w:val="00F76562"/>
    <w:rsid w:val="00F765D2"/>
    <w:rsid w:val="00F76BDA"/>
    <w:rsid w:val="00F76D01"/>
    <w:rsid w:val="00F770BE"/>
    <w:rsid w:val="00F773E1"/>
    <w:rsid w:val="00F776DF"/>
    <w:rsid w:val="00F77EAA"/>
    <w:rsid w:val="00F806AC"/>
    <w:rsid w:val="00F807CA"/>
    <w:rsid w:val="00F808E9"/>
    <w:rsid w:val="00F80D68"/>
    <w:rsid w:val="00F80D79"/>
    <w:rsid w:val="00F8102E"/>
    <w:rsid w:val="00F81434"/>
    <w:rsid w:val="00F81457"/>
    <w:rsid w:val="00F81509"/>
    <w:rsid w:val="00F815A4"/>
    <w:rsid w:val="00F81671"/>
    <w:rsid w:val="00F81765"/>
    <w:rsid w:val="00F81814"/>
    <w:rsid w:val="00F81A9C"/>
    <w:rsid w:val="00F81B84"/>
    <w:rsid w:val="00F81CB7"/>
    <w:rsid w:val="00F81CDE"/>
    <w:rsid w:val="00F81DCD"/>
    <w:rsid w:val="00F81E23"/>
    <w:rsid w:val="00F81F8D"/>
    <w:rsid w:val="00F81FC0"/>
    <w:rsid w:val="00F82192"/>
    <w:rsid w:val="00F821B5"/>
    <w:rsid w:val="00F821B7"/>
    <w:rsid w:val="00F822A0"/>
    <w:rsid w:val="00F825BB"/>
    <w:rsid w:val="00F82643"/>
    <w:rsid w:val="00F8269D"/>
    <w:rsid w:val="00F826E7"/>
    <w:rsid w:val="00F82BA1"/>
    <w:rsid w:val="00F82F32"/>
    <w:rsid w:val="00F82F93"/>
    <w:rsid w:val="00F834DC"/>
    <w:rsid w:val="00F835CA"/>
    <w:rsid w:val="00F83BAB"/>
    <w:rsid w:val="00F840B5"/>
    <w:rsid w:val="00F8419D"/>
    <w:rsid w:val="00F84D8D"/>
    <w:rsid w:val="00F84E62"/>
    <w:rsid w:val="00F84EA8"/>
    <w:rsid w:val="00F84EF1"/>
    <w:rsid w:val="00F851EB"/>
    <w:rsid w:val="00F8553A"/>
    <w:rsid w:val="00F858E4"/>
    <w:rsid w:val="00F859E6"/>
    <w:rsid w:val="00F85D02"/>
    <w:rsid w:val="00F861B8"/>
    <w:rsid w:val="00F8625C"/>
    <w:rsid w:val="00F864F0"/>
    <w:rsid w:val="00F86B80"/>
    <w:rsid w:val="00F86EDE"/>
    <w:rsid w:val="00F86F57"/>
    <w:rsid w:val="00F86F7B"/>
    <w:rsid w:val="00F875D2"/>
    <w:rsid w:val="00F8769A"/>
    <w:rsid w:val="00F8769C"/>
    <w:rsid w:val="00F876CC"/>
    <w:rsid w:val="00F876E5"/>
    <w:rsid w:val="00F87AA6"/>
    <w:rsid w:val="00F87F8A"/>
    <w:rsid w:val="00F90229"/>
    <w:rsid w:val="00F90345"/>
    <w:rsid w:val="00F9051C"/>
    <w:rsid w:val="00F90788"/>
    <w:rsid w:val="00F909DD"/>
    <w:rsid w:val="00F90C44"/>
    <w:rsid w:val="00F90C5C"/>
    <w:rsid w:val="00F90D7F"/>
    <w:rsid w:val="00F90DA1"/>
    <w:rsid w:val="00F91322"/>
    <w:rsid w:val="00F91A11"/>
    <w:rsid w:val="00F91A18"/>
    <w:rsid w:val="00F91F66"/>
    <w:rsid w:val="00F92955"/>
    <w:rsid w:val="00F92987"/>
    <w:rsid w:val="00F92996"/>
    <w:rsid w:val="00F92BE5"/>
    <w:rsid w:val="00F92E01"/>
    <w:rsid w:val="00F93288"/>
    <w:rsid w:val="00F93304"/>
    <w:rsid w:val="00F934D3"/>
    <w:rsid w:val="00F93733"/>
    <w:rsid w:val="00F937B7"/>
    <w:rsid w:val="00F939CB"/>
    <w:rsid w:val="00F93F83"/>
    <w:rsid w:val="00F94194"/>
    <w:rsid w:val="00F94395"/>
    <w:rsid w:val="00F945E0"/>
    <w:rsid w:val="00F94837"/>
    <w:rsid w:val="00F9484E"/>
    <w:rsid w:val="00F94BDC"/>
    <w:rsid w:val="00F94F9A"/>
    <w:rsid w:val="00F954AB"/>
    <w:rsid w:val="00F95666"/>
    <w:rsid w:val="00F95689"/>
    <w:rsid w:val="00F956F3"/>
    <w:rsid w:val="00F95A4D"/>
    <w:rsid w:val="00F95C96"/>
    <w:rsid w:val="00F95D78"/>
    <w:rsid w:val="00F96289"/>
    <w:rsid w:val="00F9651A"/>
    <w:rsid w:val="00F96752"/>
    <w:rsid w:val="00F968F9"/>
    <w:rsid w:val="00F96AD5"/>
    <w:rsid w:val="00F96C3F"/>
    <w:rsid w:val="00F96E2C"/>
    <w:rsid w:val="00F97088"/>
    <w:rsid w:val="00F976C0"/>
    <w:rsid w:val="00F97836"/>
    <w:rsid w:val="00FA04D6"/>
    <w:rsid w:val="00FA04EF"/>
    <w:rsid w:val="00FA0795"/>
    <w:rsid w:val="00FA08C2"/>
    <w:rsid w:val="00FA0986"/>
    <w:rsid w:val="00FA0DA2"/>
    <w:rsid w:val="00FA0E2B"/>
    <w:rsid w:val="00FA104D"/>
    <w:rsid w:val="00FA113C"/>
    <w:rsid w:val="00FA120B"/>
    <w:rsid w:val="00FA162C"/>
    <w:rsid w:val="00FA17F0"/>
    <w:rsid w:val="00FA1933"/>
    <w:rsid w:val="00FA1B8D"/>
    <w:rsid w:val="00FA2708"/>
    <w:rsid w:val="00FA2727"/>
    <w:rsid w:val="00FA2771"/>
    <w:rsid w:val="00FA2A3D"/>
    <w:rsid w:val="00FA2B96"/>
    <w:rsid w:val="00FA2E23"/>
    <w:rsid w:val="00FA31E3"/>
    <w:rsid w:val="00FA35E8"/>
    <w:rsid w:val="00FA3972"/>
    <w:rsid w:val="00FA3A0A"/>
    <w:rsid w:val="00FA4329"/>
    <w:rsid w:val="00FA4448"/>
    <w:rsid w:val="00FA47DA"/>
    <w:rsid w:val="00FA4906"/>
    <w:rsid w:val="00FA4C39"/>
    <w:rsid w:val="00FA4F7A"/>
    <w:rsid w:val="00FA5078"/>
    <w:rsid w:val="00FA5244"/>
    <w:rsid w:val="00FA55DB"/>
    <w:rsid w:val="00FA583B"/>
    <w:rsid w:val="00FA624C"/>
    <w:rsid w:val="00FA6446"/>
    <w:rsid w:val="00FA6547"/>
    <w:rsid w:val="00FA657E"/>
    <w:rsid w:val="00FA67D1"/>
    <w:rsid w:val="00FA68D3"/>
    <w:rsid w:val="00FA6D4F"/>
    <w:rsid w:val="00FA6E35"/>
    <w:rsid w:val="00FA7474"/>
    <w:rsid w:val="00FA74C2"/>
    <w:rsid w:val="00FA78A6"/>
    <w:rsid w:val="00FA7C15"/>
    <w:rsid w:val="00FA7E3D"/>
    <w:rsid w:val="00FA7E56"/>
    <w:rsid w:val="00FA7EDE"/>
    <w:rsid w:val="00FB0085"/>
    <w:rsid w:val="00FB0447"/>
    <w:rsid w:val="00FB052C"/>
    <w:rsid w:val="00FB06D8"/>
    <w:rsid w:val="00FB07E8"/>
    <w:rsid w:val="00FB0C9E"/>
    <w:rsid w:val="00FB0F08"/>
    <w:rsid w:val="00FB0F10"/>
    <w:rsid w:val="00FB140B"/>
    <w:rsid w:val="00FB1859"/>
    <w:rsid w:val="00FB1935"/>
    <w:rsid w:val="00FB1A41"/>
    <w:rsid w:val="00FB1AE4"/>
    <w:rsid w:val="00FB1C06"/>
    <w:rsid w:val="00FB1C1E"/>
    <w:rsid w:val="00FB1D13"/>
    <w:rsid w:val="00FB22EF"/>
    <w:rsid w:val="00FB242F"/>
    <w:rsid w:val="00FB2508"/>
    <w:rsid w:val="00FB27B9"/>
    <w:rsid w:val="00FB27C1"/>
    <w:rsid w:val="00FB2BAD"/>
    <w:rsid w:val="00FB3151"/>
    <w:rsid w:val="00FB3ED3"/>
    <w:rsid w:val="00FB4279"/>
    <w:rsid w:val="00FB42AB"/>
    <w:rsid w:val="00FB45B7"/>
    <w:rsid w:val="00FB4942"/>
    <w:rsid w:val="00FB4967"/>
    <w:rsid w:val="00FB49AF"/>
    <w:rsid w:val="00FB4D53"/>
    <w:rsid w:val="00FB5182"/>
    <w:rsid w:val="00FB53E3"/>
    <w:rsid w:val="00FB566D"/>
    <w:rsid w:val="00FB5B40"/>
    <w:rsid w:val="00FB5D16"/>
    <w:rsid w:val="00FB5E9C"/>
    <w:rsid w:val="00FB5F51"/>
    <w:rsid w:val="00FB60DF"/>
    <w:rsid w:val="00FB6449"/>
    <w:rsid w:val="00FB6504"/>
    <w:rsid w:val="00FB6773"/>
    <w:rsid w:val="00FB69CF"/>
    <w:rsid w:val="00FB6B07"/>
    <w:rsid w:val="00FB6BA1"/>
    <w:rsid w:val="00FB6C90"/>
    <w:rsid w:val="00FB6CB2"/>
    <w:rsid w:val="00FB6D4D"/>
    <w:rsid w:val="00FB7222"/>
    <w:rsid w:val="00FB7396"/>
    <w:rsid w:val="00FB76B8"/>
    <w:rsid w:val="00FB77C5"/>
    <w:rsid w:val="00FB7934"/>
    <w:rsid w:val="00FB7B97"/>
    <w:rsid w:val="00FB7EF3"/>
    <w:rsid w:val="00FB7F6F"/>
    <w:rsid w:val="00FC0004"/>
    <w:rsid w:val="00FC0013"/>
    <w:rsid w:val="00FC00FE"/>
    <w:rsid w:val="00FC0193"/>
    <w:rsid w:val="00FC0D0E"/>
    <w:rsid w:val="00FC0DD5"/>
    <w:rsid w:val="00FC0E23"/>
    <w:rsid w:val="00FC13FD"/>
    <w:rsid w:val="00FC143F"/>
    <w:rsid w:val="00FC162E"/>
    <w:rsid w:val="00FC1D70"/>
    <w:rsid w:val="00FC1E5C"/>
    <w:rsid w:val="00FC1E9F"/>
    <w:rsid w:val="00FC1EE3"/>
    <w:rsid w:val="00FC20E6"/>
    <w:rsid w:val="00FC242A"/>
    <w:rsid w:val="00FC2434"/>
    <w:rsid w:val="00FC2537"/>
    <w:rsid w:val="00FC2867"/>
    <w:rsid w:val="00FC2886"/>
    <w:rsid w:val="00FC29ED"/>
    <w:rsid w:val="00FC32CE"/>
    <w:rsid w:val="00FC32D5"/>
    <w:rsid w:val="00FC33E2"/>
    <w:rsid w:val="00FC3413"/>
    <w:rsid w:val="00FC34E1"/>
    <w:rsid w:val="00FC36E1"/>
    <w:rsid w:val="00FC3E5D"/>
    <w:rsid w:val="00FC4058"/>
    <w:rsid w:val="00FC4181"/>
    <w:rsid w:val="00FC42E9"/>
    <w:rsid w:val="00FC4528"/>
    <w:rsid w:val="00FC48FE"/>
    <w:rsid w:val="00FC4D41"/>
    <w:rsid w:val="00FC4D6A"/>
    <w:rsid w:val="00FC4FC9"/>
    <w:rsid w:val="00FC52FB"/>
    <w:rsid w:val="00FC592E"/>
    <w:rsid w:val="00FC5937"/>
    <w:rsid w:val="00FC5FD2"/>
    <w:rsid w:val="00FC608D"/>
    <w:rsid w:val="00FC60A5"/>
    <w:rsid w:val="00FC617F"/>
    <w:rsid w:val="00FC6372"/>
    <w:rsid w:val="00FC63C2"/>
    <w:rsid w:val="00FC64B0"/>
    <w:rsid w:val="00FC64F6"/>
    <w:rsid w:val="00FC656F"/>
    <w:rsid w:val="00FC672F"/>
    <w:rsid w:val="00FC6C6D"/>
    <w:rsid w:val="00FC6C8E"/>
    <w:rsid w:val="00FC6CCF"/>
    <w:rsid w:val="00FC720C"/>
    <w:rsid w:val="00FC73EB"/>
    <w:rsid w:val="00FD01AF"/>
    <w:rsid w:val="00FD0BB7"/>
    <w:rsid w:val="00FD0CD2"/>
    <w:rsid w:val="00FD0E43"/>
    <w:rsid w:val="00FD0F39"/>
    <w:rsid w:val="00FD1555"/>
    <w:rsid w:val="00FD15B5"/>
    <w:rsid w:val="00FD15D6"/>
    <w:rsid w:val="00FD1856"/>
    <w:rsid w:val="00FD1BD1"/>
    <w:rsid w:val="00FD1EA3"/>
    <w:rsid w:val="00FD1FBF"/>
    <w:rsid w:val="00FD2054"/>
    <w:rsid w:val="00FD20D6"/>
    <w:rsid w:val="00FD20F4"/>
    <w:rsid w:val="00FD21B0"/>
    <w:rsid w:val="00FD2236"/>
    <w:rsid w:val="00FD22F7"/>
    <w:rsid w:val="00FD24E4"/>
    <w:rsid w:val="00FD2504"/>
    <w:rsid w:val="00FD2617"/>
    <w:rsid w:val="00FD275C"/>
    <w:rsid w:val="00FD2778"/>
    <w:rsid w:val="00FD2B0D"/>
    <w:rsid w:val="00FD2ED7"/>
    <w:rsid w:val="00FD3303"/>
    <w:rsid w:val="00FD34F9"/>
    <w:rsid w:val="00FD35E7"/>
    <w:rsid w:val="00FD3605"/>
    <w:rsid w:val="00FD38DE"/>
    <w:rsid w:val="00FD39E2"/>
    <w:rsid w:val="00FD3B83"/>
    <w:rsid w:val="00FD3D49"/>
    <w:rsid w:val="00FD3ECC"/>
    <w:rsid w:val="00FD4063"/>
    <w:rsid w:val="00FD4291"/>
    <w:rsid w:val="00FD4954"/>
    <w:rsid w:val="00FD4C56"/>
    <w:rsid w:val="00FD4E68"/>
    <w:rsid w:val="00FD4EB0"/>
    <w:rsid w:val="00FD4F58"/>
    <w:rsid w:val="00FD4FAA"/>
    <w:rsid w:val="00FD5054"/>
    <w:rsid w:val="00FD5093"/>
    <w:rsid w:val="00FD55BE"/>
    <w:rsid w:val="00FD5709"/>
    <w:rsid w:val="00FD5732"/>
    <w:rsid w:val="00FD591D"/>
    <w:rsid w:val="00FD5E6B"/>
    <w:rsid w:val="00FD5FB0"/>
    <w:rsid w:val="00FD604E"/>
    <w:rsid w:val="00FD60B3"/>
    <w:rsid w:val="00FD61DA"/>
    <w:rsid w:val="00FD6381"/>
    <w:rsid w:val="00FD6503"/>
    <w:rsid w:val="00FD6584"/>
    <w:rsid w:val="00FD65A8"/>
    <w:rsid w:val="00FD6833"/>
    <w:rsid w:val="00FD6CE6"/>
    <w:rsid w:val="00FD6EEB"/>
    <w:rsid w:val="00FD6F5F"/>
    <w:rsid w:val="00FD6F78"/>
    <w:rsid w:val="00FD7445"/>
    <w:rsid w:val="00FD7AF4"/>
    <w:rsid w:val="00FD7B19"/>
    <w:rsid w:val="00FD7FD1"/>
    <w:rsid w:val="00FE00A5"/>
    <w:rsid w:val="00FE00B6"/>
    <w:rsid w:val="00FE00BC"/>
    <w:rsid w:val="00FE03D6"/>
    <w:rsid w:val="00FE04B8"/>
    <w:rsid w:val="00FE0523"/>
    <w:rsid w:val="00FE1077"/>
    <w:rsid w:val="00FE1136"/>
    <w:rsid w:val="00FE12BF"/>
    <w:rsid w:val="00FE1773"/>
    <w:rsid w:val="00FE1813"/>
    <w:rsid w:val="00FE1AEA"/>
    <w:rsid w:val="00FE1F1C"/>
    <w:rsid w:val="00FE21BD"/>
    <w:rsid w:val="00FE2839"/>
    <w:rsid w:val="00FE2AD3"/>
    <w:rsid w:val="00FE2BDA"/>
    <w:rsid w:val="00FE30D2"/>
    <w:rsid w:val="00FE313D"/>
    <w:rsid w:val="00FE315A"/>
    <w:rsid w:val="00FE32E0"/>
    <w:rsid w:val="00FE35A4"/>
    <w:rsid w:val="00FE39B7"/>
    <w:rsid w:val="00FE3A18"/>
    <w:rsid w:val="00FE3E10"/>
    <w:rsid w:val="00FE4123"/>
    <w:rsid w:val="00FE413C"/>
    <w:rsid w:val="00FE4734"/>
    <w:rsid w:val="00FE486D"/>
    <w:rsid w:val="00FE4A75"/>
    <w:rsid w:val="00FE4DE0"/>
    <w:rsid w:val="00FE4DF5"/>
    <w:rsid w:val="00FE4E3A"/>
    <w:rsid w:val="00FE5281"/>
    <w:rsid w:val="00FE52E1"/>
    <w:rsid w:val="00FE549E"/>
    <w:rsid w:val="00FE5668"/>
    <w:rsid w:val="00FE5A05"/>
    <w:rsid w:val="00FE5B78"/>
    <w:rsid w:val="00FE5D14"/>
    <w:rsid w:val="00FE5F4A"/>
    <w:rsid w:val="00FE6003"/>
    <w:rsid w:val="00FE6183"/>
    <w:rsid w:val="00FE619E"/>
    <w:rsid w:val="00FE6462"/>
    <w:rsid w:val="00FE6A92"/>
    <w:rsid w:val="00FE6B9A"/>
    <w:rsid w:val="00FE6FB2"/>
    <w:rsid w:val="00FE7026"/>
    <w:rsid w:val="00FE738E"/>
    <w:rsid w:val="00FE7614"/>
    <w:rsid w:val="00FE76B0"/>
    <w:rsid w:val="00FE7B92"/>
    <w:rsid w:val="00FF0004"/>
    <w:rsid w:val="00FF0264"/>
    <w:rsid w:val="00FF037E"/>
    <w:rsid w:val="00FF04A0"/>
    <w:rsid w:val="00FF082C"/>
    <w:rsid w:val="00FF0A08"/>
    <w:rsid w:val="00FF0BD3"/>
    <w:rsid w:val="00FF0FD8"/>
    <w:rsid w:val="00FF100D"/>
    <w:rsid w:val="00FF1015"/>
    <w:rsid w:val="00FF1171"/>
    <w:rsid w:val="00FF1278"/>
    <w:rsid w:val="00FF1807"/>
    <w:rsid w:val="00FF184D"/>
    <w:rsid w:val="00FF1E31"/>
    <w:rsid w:val="00FF1E82"/>
    <w:rsid w:val="00FF1ECE"/>
    <w:rsid w:val="00FF1F20"/>
    <w:rsid w:val="00FF20A2"/>
    <w:rsid w:val="00FF20BC"/>
    <w:rsid w:val="00FF2247"/>
    <w:rsid w:val="00FF2284"/>
    <w:rsid w:val="00FF231A"/>
    <w:rsid w:val="00FF24A7"/>
    <w:rsid w:val="00FF26E3"/>
    <w:rsid w:val="00FF28C7"/>
    <w:rsid w:val="00FF2953"/>
    <w:rsid w:val="00FF30F1"/>
    <w:rsid w:val="00FF3130"/>
    <w:rsid w:val="00FF313B"/>
    <w:rsid w:val="00FF3150"/>
    <w:rsid w:val="00FF31F7"/>
    <w:rsid w:val="00FF359D"/>
    <w:rsid w:val="00FF3C3C"/>
    <w:rsid w:val="00FF3DF5"/>
    <w:rsid w:val="00FF3F26"/>
    <w:rsid w:val="00FF3F55"/>
    <w:rsid w:val="00FF4044"/>
    <w:rsid w:val="00FF43F0"/>
    <w:rsid w:val="00FF4B3F"/>
    <w:rsid w:val="00FF4D84"/>
    <w:rsid w:val="00FF524E"/>
    <w:rsid w:val="00FF52B6"/>
    <w:rsid w:val="00FF562A"/>
    <w:rsid w:val="00FF57D9"/>
    <w:rsid w:val="00FF585E"/>
    <w:rsid w:val="00FF5975"/>
    <w:rsid w:val="00FF5B6B"/>
    <w:rsid w:val="00FF5C2A"/>
    <w:rsid w:val="00FF5E4C"/>
    <w:rsid w:val="00FF5EEB"/>
    <w:rsid w:val="00FF6037"/>
    <w:rsid w:val="00FF6664"/>
    <w:rsid w:val="00FF6832"/>
    <w:rsid w:val="00FF6A9D"/>
    <w:rsid w:val="00FF6BB9"/>
    <w:rsid w:val="00FF6DE6"/>
    <w:rsid w:val="00FF6F78"/>
    <w:rsid w:val="00FF6FBA"/>
    <w:rsid w:val="00FF7211"/>
    <w:rsid w:val="010DE97C"/>
    <w:rsid w:val="014ED1C5"/>
    <w:rsid w:val="017FD800"/>
    <w:rsid w:val="01862D76"/>
    <w:rsid w:val="01E82993"/>
    <w:rsid w:val="02283204"/>
    <w:rsid w:val="023296B2"/>
    <w:rsid w:val="02F291EC"/>
    <w:rsid w:val="02FE64A4"/>
    <w:rsid w:val="031E9440"/>
    <w:rsid w:val="03478C95"/>
    <w:rsid w:val="0355CB00"/>
    <w:rsid w:val="03728EC7"/>
    <w:rsid w:val="03A4D891"/>
    <w:rsid w:val="03DF1C27"/>
    <w:rsid w:val="03F09BCE"/>
    <w:rsid w:val="03F1AE43"/>
    <w:rsid w:val="043104BA"/>
    <w:rsid w:val="0436758B"/>
    <w:rsid w:val="04398912"/>
    <w:rsid w:val="04518270"/>
    <w:rsid w:val="046EE29C"/>
    <w:rsid w:val="04C50973"/>
    <w:rsid w:val="04C7C3B2"/>
    <w:rsid w:val="04D14C7F"/>
    <w:rsid w:val="04D76D05"/>
    <w:rsid w:val="0513355E"/>
    <w:rsid w:val="051A68FF"/>
    <w:rsid w:val="053AEDAF"/>
    <w:rsid w:val="056BDDCE"/>
    <w:rsid w:val="056CA236"/>
    <w:rsid w:val="0582A40E"/>
    <w:rsid w:val="05BBA5BE"/>
    <w:rsid w:val="05BC319B"/>
    <w:rsid w:val="05D89F95"/>
    <w:rsid w:val="06293C4F"/>
    <w:rsid w:val="066E0D2F"/>
    <w:rsid w:val="0677237D"/>
    <w:rsid w:val="0692CCD8"/>
    <w:rsid w:val="0698DCE4"/>
    <w:rsid w:val="06AC053D"/>
    <w:rsid w:val="06B06A4C"/>
    <w:rsid w:val="06B340E2"/>
    <w:rsid w:val="06EA5CF7"/>
    <w:rsid w:val="0710DC68"/>
    <w:rsid w:val="07151C25"/>
    <w:rsid w:val="079489FC"/>
    <w:rsid w:val="07D19D7F"/>
    <w:rsid w:val="07F8C84F"/>
    <w:rsid w:val="08519614"/>
    <w:rsid w:val="085DC1B9"/>
    <w:rsid w:val="08604CF6"/>
    <w:rsid w:val="08BB0C10"/>
    <w:rsid w:val="08DD8DC7"/>
    <w:rsid w:val="08F5C025"/>
    <w:rsid w:val="0906D924"/>
    <w:rsid w:val="093B3AEF"/>
    <w:rsid w:val="094C24E2"/>
    <w:rsid w:val="09669781"/>
    <w:rsid w:val="09A429A6"/>
    <w:rsid w:val="09B40F79"/>
    <w:rsid w:val="09C49D04"/>
    <w:rsid w:val="09C905FE"/>
    <w:rsid w:val="0A10E2CC"/>
    <w:rsid w:val="0A12197F"/>
    <w:rsid w:val="0A2582DB"/>
    <w:rsid w:val="0A65B84C"/>
    <w:rsid w:val="0A6BDF54"/>
    <w:rsid w:val="0A9FFA03"/>
    <w:rsid w:val="0AE56837"/>
    <w:rsid w:val="0B1ED2F6"/>
    <w:rsid w:val="0C1107EA"/>
    <w:rsid w:val="0C1E1F8A"/>
    <w:rsid w:val="0C460BF6"/>
    <w:rsid w:val="0C499A2E"/>
    <w:rsid w:val="0C4D779A"/>
    <w:rsid w:val="0C5B1DB5"/>
    <w:rsid w:val="0CD1285D"/>
    <w:rsid w:val="0CE8DAD3"/>
    <w:rsid w:val="0CF54020"/>
    <w:rsid w:val="0D1FC81B"/>
    <w:rsid w:val="0D3D5477"/>
    <w:rsid w:val="0D3DC077"/>
    <w:rsid w:val="0D62ACC7"/>
    <w:rsid w:val="0DC4D0D8"/>
    <w:rsid w:val="0E0C6E4E"/>
    <w:rsid w:val="0E1D6CA1"/>
    <w:rsid w:val="0E25D9F0"/>
    <w:rsid w:val="0E412BF8"/>
    <w:rsid w:val="0E581EED"/>
    <w:rsid w:val="0E6EC08C"/>
    <w:rsid w:val="0ED47D59"/>
    <w:rsid w:val="0EF7F49C"/>
    <w:rsid w:val="0F397478"/>
    <w:rsid w:val="0F3E32E9"/>
    <w:rsid w:val="0F487065"/>
    <w:rsid w:val="0F5C565B"/>
    <w:rsid w:val="0F65E83F"/>
    <w:rsid w:val="0FAFEC65"/>
    <w:rsid w:val="0FC7FE04"/>
    <w:rsid w:val="0FDB6658"/>
    <w:rsid w:val="0FEAD668"/>
    <w:rsid w:val="10398BD8"/>
    <w:rsid w:val="103B58A3"/>
    <w:rsid w:val="10575379"/>
    <w:rsid w:val="10703B59"/>
    <w:rsid w:val="109E611A"/>
    <w:rsid w:val="10C1AA27"/>
    <w:rsid w:val="10EBEA96"/>
    <w:rsid w:val="10FFB628"/>
    <w:rsid w:val="11124BBE"/>
    <w:rsid w:val="1114A857"/>
    <w:rsid w:val="113FBA46"/>
    <w:rsid w:val="1174935F"/>
    <w:rsid w:val="118CB66C"/>
    <w:rsid w:val="11BB0237"/>
    <w:rsid w:val="11CF0D91"/>
    <w:rsid w:val="11CFAE50"/>
    <w:rsid w:val="11ED2939"/>
    <w:rsid w:val="121A8805"/>
    <w:rsid w:val="12294062"/>
    <w:rsid w:val="126E9F8D"/>
    <w:rsid w:val="128F215C"/>
    <w:rsid w:val="129BFB1B"/>
    <w:rsid w:val="12C5CAFA"/>
    <w:rsid w:val="12C60CA5"/>
    <w:rsid w:val="12E5E621"/>
    <w:rsid w:val="12E7C332"/>
    <w:rsid w:val="1300D52E"/>
    <w:rsid w:val="133E25B3"/>
    <w:rsid w:val="1366EF89"/>
    <w:rsid w:val="1368C536"/>
    <w:rsid w:val="138C23A6"/>
    <w:rsid w:val="13A08967"/>
    <w:rsid w:val="13C0A65F"/>
    <w:rsid w:val="13EAAA9A"/>
    <w:rsid w:val="141DB520"/>
    <w:rsid w:val="1427D6E8"/>
    <w:rsid w:val="14668C3D"/>
    <w:rsid w:val="14EC4AA0"/>
    <w:rsid w:val="1522D014"/>
    <w:rsid w:val="15851EDE"/>
    <w:rsid w:val="15A10267"/>
    <w:rsid w:val="15C7377C"/>
    <w:rsid w:val="16189E78"/>
    <w:rsid w:val="1628E07F"/>
    <w:rsid w:val="16361F81"/>
    <w:rsid w:val="164D8926"/>
    <w:rsid w:val="16547673"/>
    <w:rsid w:val="167A9E12"/>
    <w:rsid w:val="167B1083"/>
    <w:rsid w:val="16B72578"/>
    <w:rsid w:val="16F3CF6D"/>
    <w:rsid w:val="17202808"/>
    <w:rsid w:val="1729A680"/>
    <w:rsid w:val="17426EE1"/>
    <w:rsid w:val="17A55205"/>
    <w:rsid w:val="17BC857D"/>
    <w:rsid w:val="17C5D276"/>
    <w:rsid w:val="17F47D8A"/>
    <w:rsid w:val="17FB06A3"/>
    <w:rsid w:val="182AA972"/>
    <w:rsid w:val="185B4B45"/>
    <w:rsid w:val="1860BEE5"/>
    <w:rsid w:val="18652CEB"/>
    <w:rsid w:val="1867DFB8"/>
    <w:rsid w:val="18722140"/>
    <w:rsid w:val="189E104A"/>
    <w:rsid w:val="18B5836C"/>
    <w:rsid w:val="18BAD9DB"/>
    <w:rsid w:val="18F22E9F"/>
    <w:rsid w:val="18F5F031"/>
    <w:rsid w:val="191D2928"/>
    <w:rsid w:val="19226BF4"/>
    <w:rsid w:val="19282A16"/>
    <w:rsid w:val="19657794"/>
    <w:rsid w:val="196E979C"/>
    <w:rsid w:val="1972C037"/>
    <w:rsid w:val="19D67EE6"/>
    <w:rsid w:val="19D8BAD6"/>
    <w:rsid w:val="1A02A661"/>
    <w:rsid w:val="1A4FF7DA"/>
    <w:rsid w:val="1A754AD1"/>
    <w:rsid w:val="1AF099DA"/>
    <w:rsid w:val="1B57621C"/>
    <w:rsid w:val="1B6ADE87"/>
    <w:rsid w:val="1B8237C7"/>
    <w:rsid w:val="1B8E320E"/>
    <w:rsid w:val="1BE4747B"/>
    <w:rsid w:val="1BFECE02"/>
    <w:rsid w:val="1C41D0F1"/>
    <w:rsid w:val="1C49C0C8"/>
    <w:rsid w:val="1C5AB9A1"/>
    <w:rsid w:val="1C605E6C"/>
    <w:rsid w:val="1C873994"/>
    <w:rsid w:val="1CB085C5"/>
    <w:rsid w:val="1CF972BC"/>
    <w:rsid w:val="1D109FE0"/>
    <w:rsid w:val="1D3F5AFF"/>
    <w:rsid w:val="1D423858"/>
    <w:rsid w:val="1D432392"/>
    <w:rsid w:val="1D4D55A0"/>
    <w:rsid w:val="1D4FE895"/>
    <w:rsid w:val="1D58A046"/>
    <w:rsid w:val="1D65A070"/>
    <w:rsid w:val="1DA97C02"/>
    <w:rsid w:val="1DE90A0E"/>
    <w:rsid w:val="1DEB2BE6"/>
    <w:rsid w:val="1E0678B4"/>
    <w:rsid w:val="1E331C3C"/>
    <w:rsid w:val="1E63D8D9"/>
    <w:rsid w:val="1E6689DC"/>
    <w:rsid w:val="1E7DDAF4"/>
    <w:rsid w:val="1E898A7E"/>
    <w:rsid w:val="1E93D181"/>
    <w:rsid w:val="1EC0FF7A"/>
    <w:rsid w:val="1ED67CCB"/>
    <w:rsid w:val="1EDF65FA"/>
    <w:rsid w:val="1EE1326A"/>
    <w:rsid w:val="1F186FDE"/>
    <w:rsid w:val="1F3E460E"/>
    <w:rsid w:val="1F51C880"/>
    <w:rsid w:val="1F6686E7"/>
    <w:rsid w:val="1F7F2BD1"/>
    <w:rsid w:val="1F9700CE"/>
    <w:rsid w:val="1FD20F73"/>
    <w:rsid w:val="1FFCB86C"/>
    <w:rsid w:val="203246DA"/>
    <w:rsid w:val="203619E8"/>
    <w:rsid w:val="2055C411"/>
    <w:rsid w:val="20834F14"/>
    <w:rsid w:val="20D5D208"/>
    <w:rsid w:val="20D94B5B"/>
    <w:rsid w:val="20F19CF2"/>
    <w:rsid w:val="216501CA"/>
    <w:rsid w:val="216E76B6"/>
    <w:rsid w:val="2198350A"/>
    <w:rsid w:val="21A10ADA"/>
    <w:rsid w:val="21B7BCF6"/>
    <w:rsid w:val="21D13210"/>
    <w:rsid w:val="21E9094D"/>
    <w:rsid w:val="21F4BE96"/>
    <w:rsid w:val="21F6E1CF"/>
    <w:rsid w:val="2233BDEB"/>
    <w:rsid w:val="224E1B67"/>
    <w:rsid w:val="225D501C"/>
    <w:rsid w:val="22A62FCF"/>
    <w:rsid w:val="22B32EF3"/>
    <w:rsid w:val="22B727C2"/>
    <w:rsid w:val="22F858F0"/>
    <w:rsid w:val="2302E089"/>
    <w:rsid w:val="233A58B9"/>
    <w:rsid w:val="234C31CC"/>
    <w:rsid w:val="23567839"/>
    <w:rsid w:val="235D3437"/>
    <w:rsid w:val="2371C596"/>
    <w:rsid w:val="2382DF27"/>
    <w:rsid w:val="238DC718"/>
    <w:rsid w:val="23A5552B"/>
    <w:rsid w:val="23B36143"/>
    <w:rsid w:val="23CC2468"/>
    <w:rsid w:val="23F04C22"/>
    <w:rsid w:val="243CC638"/>
    <w:rsid w:val="2446342B"/>
    <w:rsid w:val="2456E1C3"/>
    <w:rsid w:val="246388A2"/>
    <w:rsid w:val="246EB77E"/>
    <w:rsid w:val="24F51795"/>
    <w:rsid w:val="25171974"/>
    <w:rsid w:val="25299419"/>
    <w:rsid w:val="253151D9"/>
    <w:rsid w:val="2537F5E5"/>
    <w:rsid w:val="2587EA20"/>
    <w:rsid w:val="25F392E7"/>
    <w:rsid w:val="261FA68B"/>
    <w:rsid w:val="26330959"/>
    <w:rsid w:val="2641E097"/>
    <w:rsid w:val="26616C2D"/>
    <w:rsid w:val="269C9107"/>
    <w:rsid w:val="26AAE152"/>
    <w:rsid w:val="26CAC357"/>
    <w:rsid w:val="26FFADDD"/>
    <w:rsid w:val="274687E5"/>
    <w:rsid w:val="2749659F"/>
    <w:rsid w:val="279EA1E9"/>
    <w:rsid w:val="27E00C38"/>
    <w:rsid w:val="2829A94A"/>
    <w:rsid w:val="2831B2D1"/>
    <w:rsid w:val="287A72CB"/>
    <w:rsid w:val="28DBBC91"/>
    <w:rsid w:val="28FA0537"/>
    <w:rsid w:val="2906262C"/>
    <w:rsid w:val="2935C2E3"/>
    <w:rsid w:val="29559FAF"/>
    <w:rsid w:val="299B79C7"/>
    <w:rsid w:val="29AEA036"/>
    <w:rsid w:val="29C7F1C9"/>
    <w:rsid w:val="29E3BBC7"/>
    <w:rsid w:val="29ECB64F"/>
    <w:rsid w:val="29ECDF03"/>
    <w:rsid w:val="2A6DD961"/>
    <w:rsid w:val="2AC7D222"/>
    <w:rsid w:val="2AEB2AA0"/>
    <w:rsid w:val="2B3ED0B1"/>
    <w:rsid w:val="2B472A07"/>
    <w:rsid w:val="2B5D75FD"/>
    <w:rsid w:val="2B6EFDCA"/>
    <w:rsid w:val="2B725F3D"/>
    <w:rsid w:val="2B74E858"/>
    <w:rsid w:val="2B7F2751"/>
    <w:rsid w:val="2B94DB16"/>
    <w:rsid w:val="2BA9CC1E"/>
    <w:rsid w:val="2BBF0C7A"/>
    <w:rsid w:val="2C20EB1F"/>
    <w:rsid w:val="2C7C4A4E"/>
    <w:rsid w:val="2C992B26"/>
    <w:rsid w:val="2CCB8912"/>
    <w:rsid w:val="2CE6318D"/>
    <w:rsid w:val="2CEE5C5B"/>
    <w:rsid w:val="2D0F40B7"/>
    <w:rsid w:val="2D0F4DF7"/>
    <w:rsid w:val="2D0FCE8D"/>
    <w:rsid w:val="2D166E35"/>
    <w:rsid w:val="2D587CCA"/>
    <w:rsid w:val="2D9F66A4"/>
    <w:rsid w:val="2DEA98F5"/>
    <w:rsid w:val="2E0D084D"/>
    <w:rsid w:val="2E42244D"/>
    <w:rsid w:val="2E53373B"/>
    <w:rsid w:val="2E56A09D"/>
    <w:rsid w:val="2E9DFC24"/>
    <w:rsid w:val="2EADBFE4"/>
    <w:rsid w:val="2ECEECFA"/>
    <w:rsid w:val="2ED8BBA2"/>
    <w:rsid w:val="2EDC1A41"/>
    <w:rsid w:val="2F23C543"/>
    <w:rsid w:val="2F515E42"/>
    <w:rsid w:val="2F62D400"/>
    <w:rsid w:val="2F63F738"/>
    <w:rsid w:val="302A09D3"/>
    <w:rsid w:val="304CCD44"/>
    <w:rsid w:val="308409C4"/>
    <w:rsid w:val="30AD5BEC"/>
    <w:rsid w:val="30BA208B"/>
    <w:rsid w:val="30C383B7"/>
    <w:rsid w:val="31054516"/>
    <w:rsid w:val="310F7C07"/>
    <w:rsid w:val="311624FF"/>
    <w:rsid w:val="314A2CAF"/>
    <w:rsid w:val="314C4D7C"/>
    <w:rsid w:val="31751B23"/>
    <w:rsid w:val="3191BCC8"/>
    <w:rsid w:val="31CF3DFE"/>
    <w:rsid w:val="32108E0A"/>
    <w:rsid w:val="324E139D"/>
    <w:rsid w:val="3258143D"/>
    <w:rsid w:val="32BD9C4B"/>
    <w:rsid w:val="330B446F"/>
    <w:rsid w:val="3332A6DD"/>
    <w:rsid w:val="3346238F"/>
    <w:rsid w:val="3359B6F1"/>
    <w:rsid w:val="336BFC0E"/>
    <w:rsid w:val="338306A7"/>
    <w:rsid w:val="339191F1"/>
    <w:rsid w:val="33DEFB0F"/>
    <w:rsid w:val="33E9C0FD"/>
    <w:rsid w:val="3435DD16"/>
    <w:rsid w:val="34AC3E27"/>
    <w:rsid w:val="34F03EF4"/>
    <w:rsid w:val="3523C72B"/>
    <w:rsid w:val="354C6A7E"/>
    <w:rsid w:val="35675DFA"/>
    <w:rsid w:val="356EE60F"/>
    <w:rsid w:val="357D91A7"/>
    <w:rsid w:val="35A1F1FF"/>
    <w:rsid w:val="35C6DF24"/>
    <w:rsid w:val="35E30ECA"/>
    <w:rsid w:val="360B53CB"/>
    <w:rsid w:val="361FF5F4"/>
    <w:rsid w:val="3621D086"/>
    <w:rsid w:val="3669E499"/>
    <w:rsid w:val="366AB8B8"/>
    <w:rsid w:val="3710E34B"/>
    <w:rsid w:val="373A8A03"/>
    <w:rsid w:val="374A76D7"/>
    <w:rsid w:val="374E592E"/>
    <w:rsid w:val="374F4C87"/>
    <w:rsid w:val="37501AB3"/>
    <w:rsid w:val="37CE72E9"/>
    <w:rsid w:val="37D2E9B5"/>
    <w:rsid w:val="37E74C4D"/>
    <w:rsid w:val="37ECEE48"/>
    <w:rsid w:val="38483779"/>
    <w:rsid w:val="38496360"/>
    <w:rsid w:val="38599D27"/>
    <w:rsid w:val="38607320"/>
    <w:rsid w:val="38C6B600"/>
    <w:rsid w:val="38E18702"/>
    <w:rsid w:val="3909708F"/>
    <w:rsid w:val="390AD198"/>
    <w:rsid w:val="3911C650"/>
    <w:rsid w:val="391F713E"/>
    <w:rsid w:val="392F34F6"/>
    <w:rsid w:val="393FD6C5"/>
    <w:rsid w:val="3946E6AB"/>
    <w:rsid w:val="398554DE"/>
    <w:rsid w:val="39DEA5DA"/>
    <w:rsid w:val="39EE84A0"/>
    <w:rsid w:val="3A3A0155"/>
    <w:rsid w:val="3A8943EF"/>
    <w:rsid w:val="3AB7AB47"/>
    <w:rsid w:val="3AB8ACD5"/>
    <w:rsid w:val="3AE71828"/>
    <w:rsid w:val="3AE97F8A"/>
    <w:rsid w:val="3B4A1B7C"/>
    <w:rsid w:val="3B597694"/>
    <w:rsid w:val="3B60D840"/>
    <w:rsid w:val="3B63D5DA"/>
    <w:rsid w:val="3B6EBA7C"/>
    <w:rsid w:val="3B8B4D94"/>
    <w:rsid w:val="3B8B984E"/>
    <w:rsid w:val="3B966565"/>
    <w:rsid w:val="3B9BD337"/>
    <w:rsid w:val="3BA302F4"/>
    <w:rsid w:val="3BBD59D9"/>
    <w:rsid w:val="3BC57EAB"/>
    <w:rsid w:val="3BD0C1D7"/>
    <w:rsid w:val="3BFAAC0D"/>
    <w:rsid w:val="3C0F5BC0"/>
    <w:rsid w:val="3C45931B"/>
    <w:rsid w:val="3C62B209"/>
    <w:rsid w:val="3C65235B"/>
    <w:rsid w:val="3C711346"/>
    <w:rsid w:val="3CB2CAAD"/>
    <w:rsid w:val="3CBE7B70"/>
    <w:rsid w:val="3CE1EFE9"/>
    <w:rsid w:val="3D55F5A4"/>
    <w:rsid w:val="3D8A998A"/>
    <w:rsid w:val="3D9478F2"/>
    <w:rsid w:val="3D94C616"/>
    <w:rsid w:val="3DB34F13"/>
    <w:rsid w:val="3E163608"/>
    <w:rsid w:val="3E56783C"/>
    <w:rsid w:val="3E62557B"/>
    <w:rsid w:val="3E6CD471"/>
    <w:rsid w:val="3E7AFA15"/>
    <w:rsid w:val="3E863FBA"/>
    <w:rsid w:val="3E8847B6"/>
    <w:rsid w:val="3EA0FB13"/>
    <w:rsid w:val="3ED89A6F"/>
    <w:rsid w:val="3EDF0DFF"/>
    <w:rsid w:val="3EEDF335"/>
    <w:rsid w:val="3EF7E667"/>
    <w:rsid w:val="3F05FB9A"/>
    <w:rsid w:val="3F29B315"/>
    <w:rsid w:val="3F3896BF"/>
    <w:rsid w:val="3F6EE895"/>
    <w:rsid w:val="3F80281E"/>
    <w:rsid w:val="3FC54512"/>
    <w:rsid w:val="4033B814"/>
    <w:rsid w:val="407A3B75"/>
    <w:rsid w:val="4085B65F"/>
    <w:rsid w:val="40EAA193"/>
    <w:rsid w:val="40F6892B"/>
    <w:rsid w:val="41631636"/>
    <w:rsid w:val="419F0DB0"/>
    <w:rsid w:val="41BBD7A7"/>
    <w:rsid w:val="41BE18CF"/>
    <w:rsid w:val="42020632"/>
    <w:rsid w:val="420375D3"/>
    <w:rsid w:val="4203C524"/>
    <w:rsid w:val="421E4E52"/>
    <w:rsid w:val="425175F2"/>
    <w:rsid w:val="428B7D91"/>
    <w:rsid w:val="42B001FD"/>
    <w:rsid w:val="42BD0F43"/>
    <w:rsid w:val="42C87118"/>
    <w:rsid w:val="4302AC74"/>
    <w:rsid w:val="430CE2CD"/>
    <w:rsid w:val="4332FFF7"/>
    <w:rsid w:val="43449F82"/>
    <w:rsid w:val="435B41A5"/>
    <w:rsid w:val="436CA998"/>
    <w:rsid w:val="437356A2"/>
    <w:rsid w:val="43BF1C17"/>
    <w:rsid w:val="43C64098"/>
    <w:rsid w:val="43DE2A8F"/>
    <w:rsid w:val="4415F243"/>
    <w:rsid w:val="4419F6AD"/>
    <w:rsid w:val="4457A6C0"/>
    <w:rsid w:val="4493C046"/>
    <w:rsid w:val="44FB98ED"/>
    <w:rsid w:val="452F5F07"/>
    <w:rsid w:val="454DC130"/>
    <w:rsid w:val="458DB53E"/>
    <w:rsid w:val="4616F4AF"/>
    <w:rsid w:val="4641598A"/>
    <w:rsid w:val="466B116B"/>
    <w:rsid w:val="4674DFBD"/>
    <w:rsid w:val="468E531B"/>
    <w:rsid w:val="46E23642"/>
    <w:rsid w:val="46EA3465"/>
    <w:rsid w:val="4706F4F4"/>
    <w:rsid w:val="4711F69B"/>
    <w:rsid w:val="473CFDF5"/>
    <w:rsid w:val="4745B53F"/>
    <w:rsid w:val="474CE8F0"/>
    <w:rsid w:val="47711B1E"/>
    <w:rsid w:val="479FB261"/>
    <w:rsid w:val="47A41002"/>
    <w:rsid w:val="47CC749B"/>
    <w:rsid w:val="47E2532D"/>
    <w:rsid w:val="4810891C"/>
    <w:rsid w:val="484F8386"/>
    <w:rsid w:val="48522CCA"/>
    <w:rsid w:val="48BDB1D7"/>
    <w:rsid w:val="48C7005E"/>
    <w:rsid w:val="48DF63F2"/>
    <w:rsid w:val="493E619A"/>
    <w:rsid w:val="496A61A0"/>
    <w:rsid w:val="4998DCCC"/>
    <w:rsid w:val="49BE1215"/>
    <w:rsid w:val="49F96EB1"/>
    <w:rsid w:val="4A04292D"/>
    <w:rsid w:val="4A0CBD38"/>
    <w:rsid w:val="4A847153"/>
    <w:rsid w:val="4A97DB01"/>
    <w:rsid w:val="4ABBAC26"/>
    <w:rsid w:val="4B32EF29"/>
    <w:rsid w:val="4C01A75E"/>
    <w:rsid w:val="4C067455"/>
    <w:rsid w:val="4C224D41"/>
    <w:rsid w:val="4C31882D"/>
    <w:rsid w:val="4C62C3A2"/>
    <w:rsid w:val="4C6394BF"/>
    <w:rsid w:val="4C776FAB"/>
    <w:rsid w:val="4C81E31E"/>
    <w:rsid w:val="4C98363D"/>
    <w:rsid w:val="4CA2506A"/>
    <w:rsid w:val="4CC1C320"/>
    <w:rsid w:val="4CC41161"/>
    <w:rsid w:val="4CD55E53"/>
    <w:rsid w:val="4D030259"/>
    <w:rsid w:val="4D13EC06"/>
    <w:rsid w:val="4D208320"/>
    <w:rsid w:val="4D8302DD"/>
    <w:rsid w:val="4D9A0DEC"/>
    <w:rsid w:val="4DB9766C"/>
    <w:rsid w:val="4DBEE50B"/>
    <w:rsid w:val="4DCB78F0"/>
    <w:rsid w:val="4DD4E3B1"/>
    <w:rsid w:val="4DEA4438"/>
    <w:rsid w:val="4E3E33AB"/>
    <w:rsid w:val="4E5A7668"/>
    <w:rsid w:val="4E6E210E"/>
    <w:rsid w:val="4E853C53"/>
    <w:rsid w:val="4E8FA80C"/>
    <w:rsid w:val="4EA5C15D"/>
    <w:rsid w:val="4EBA0DE6"/>
    <w:rsid w:val="4ED10494"/>
    <w:rsid w:val="4EEE1B16"/>
    <w:rsid w:val="4F023D3E"/>
    <w:rsid w:val="4F1BD86C"/>
    <w:rsid w:val="4F29F718"/>
    <w:rsid w:val="4F411C2D"/>
    <w:rsid w:val="4FA65DCB"/>
    <w:rsid w:val="4FF3DF60"/>
    <w:rsid w:val="504339DD"/>
    <w:rsid w:val="504AC983"/>
    <w:rsid w:val="511077E6"/>
    <w:rsid w:val="5117A82B"/>
    <w:rsid w:val="514D6233"/>
    <w:rsid w:val="51574E9F"/>
    <w:rsid w:val="516DB003"/>
    <w:rsid w:val="51788003"/>
    <w:rsid w:val="51A9FFB9"/>
    <w:rsid w:val="51B3CEF0"/>
    <w:rsid w:val="51B47A35"/>
    <w:rsid w:val="51FF9452"/>
    <w:rsid w:val="5216E9F7"/>
    <w:rsid w:val="5255ABF7"/>
    <w:rsid w:val="525CACC8"/>
    <w:rsid w:val="52739EA1"/>
    <w:rsid w:val="529EF842"/>
    <w:rsid w:val="52A1845A"/>
    <w:rsid w:val="52B1E2B7"/>
    <w:rsid w:val="52C263F7"/>
    <w:rsid w:val="52F0480F"/>
    <w:rsid w:val="536B2D79"/>
    <w:rsid w:val="537A8420"/>
    <w:rsid w:val="5399986D"/>
    <w:rsid w:val="53B08F18"/>
    <w:rsid w:val="53B7DF35"/>
    <w:rsid w:val="53F82624"/>
    <w:rsid w:val="541065DD"/>
    <w:rsid w:val="541923AE"/>
    <w:rsid w:val="54327BC8"/>
    <w:rsid w:val="543E81AF"/>
    <w:rsid w:val="548D99A4"/>
    <w:rsid w:val="5494EB37"/>
    <w:rsid w:val="54CF92E1"/>
    <w:rsid w:val="54D4C523"/>
    <w:rsid w:val="54DD6316"/>
    <w:rsid w:val="55332BCB"/>
    <w:rsid w:val="55433136"/>
    <w:rsid w:val="5545F0FA"/>
    <w:rsid w:val="558CE75B"/>
    <w:rsid w:val="55A4E78D"/>
    <w:rsid w:val="55C54EA2"/>
    <w:rsid w:val="55C6482B"/>
    <w:rsid w:val="55E6B602"/>
    <w:rsid w:val="5628B33B"/>
    <w:rsid w:val="5658A0D7"/>
    <w:rsid w:val="565CDC7A"/>
    <w:rsid w:val="5668D71E"/>
    <w:rsid w:val="568A0227"/>
    <w:rsid w:val="56CCC86C"/>
    <w:rsid w:val="56E519CE"/>
    <w:rsid w:val="575B0E83"/>
    <w:rsid w:val="57A3B020"/>
    <w:rsid w:val="57CED851"/>
    <w:rsid w:val="57E19D1A"/>
    <w:rsid w:val="58077712"/>
    <w:rsid w:val="583D22E8"/>
    <w:rsid w:val="589FB3B0"/>
    <w:rsid w:val="58B14BB0"/>
    <w:rsid w:val="58D4DD23"/>
    <w:rsid w:val="58E2C001"/>
    <w:rsid w:val="5905C8D7"/>
    <w:rsid w:val="5906310A"/>
    <w:rsid w:val="590F0F44"/>
    <w:rsid w:val="59245F08"/>
    <w:rsid w:val="596566DC"/>
    <w:rsid w:val="59770D75"/>
    <w:rsid w:val="59B67D97"/>
    <w:rsid w:val="59E24BE5"/>
    <w:rsid w:val="59F23357"/>
    <w:rsid w:val="5A17067D"/>
    <w:rsid w:val="5A4F9EA5"/>
    <w:rsid w:val="5A7717EF"/>
    <w:rsid w:val="5AE7D07E"/>
    <w:rsid w:val="5AEEDB55"/>
    <w:rsid w:val="5B27325D"/>
    <w:rsid w:val="5B35AEC1"/>
    <w:rsid w:val="5B403843"/>
    <w:rsid w:val="5B843167"/>
    <w:rsid w:val="5B85A90A"/>
    <w:rsid w:val="5B8FD295"/>
    <w:rsid w:val="5BD3460C"/>
    <w:rsid w:val="5BE3FE0B"/>
    <w:rsid w:val="5BFF699B"/>
    <w:rsid w:val="5C51533C"/>
    <w:rsid w:val="5CB6D73E"/>
    <w:rsid w:val="5CC37C12"/>
    <w:rsid w:val="5CCE83CC"/>
    <w:rsid w:val="5CEF5B3B"/>
    <w:rsid w:val="5D32CC40"/>
    <w:rsid w:val="5D830966"/>
    <w:rsid w:val="5DB0949F"/>
    <w:rsid w:val="5DF0A42A"/>
    <w:rsid w:val="5E00DEFB"/>
    <w:rsid w:val="5E3EE754"/>
    <w:rsid w:val="5E9EBAFF"/>
    <w:rsid w:val="5EA0375A"/>
    <w:rsid w:val="5EA085D7"/>
    <w:rsid w:val="5EB698FD"/>
    <w:rsid w:val="5EF3F24A"/>
    <w:rsid w:val="5F07DA0B"/>
    <w:rsid w:val="5F2B983D"/>
    <w:rsid w:val="5F410704"/>
    <w:rsid w:val="5F64FCEE"/>
    <w:rsid w:val="5F8D84C4"/>
    <w:rsid w:val="5F9071C9"/>
    <w:rsid w:val="5F9AF2E6"/>
    <w:rsid w:val="5F9FC781"/>
    <w:rsid w:val="5FB4EB8B"/>
    <w:rsid w:val="5FC04E70"/>
    <w:rsid w:val="5FD4D863"/>
    <w:rsid w:val="5FE1A39E"/>
    <w:rsid w:val="5FFEDF45"/>
    <w:rsid w:val="601AE0A1"/>
    <w:rsid w:val="602AF8C3"/>
    <w:rsid w:val="602BD55A"/>
    <w:rsid w:val="6036BCEC"/>
    <w:rsid w:val="607D782B"/>
    <w:rsid w:val="609536F0"/>
    <w:rsid w:val="609F2580"/>
    <w:rsid w:val="60AA9D73"/>
    <w:rsid w:val="60DBCC91"/>
    <w:rsid w:val="60F1E4EE"/>
    <w:rsid w:val="60F98956"/>
    <w:rsid w:val="60F9F5C1"/>
    <w:rsid w:val="610B6EEE"/>
    <w:rsid w:val="6154688F"/>
    <w:rsid w:val="6166F52E"/>
    <w:rsid w:val="6168C9F6"/>
    <w:rsid w:val="6185EDFD"/>
    <w:rsid w:val="61A2B2F2"/>
    <w:rsid w:val="61B0C825"/>
    <w:rsid w:val="61B76856"/>
    <w:rsid w:val="61C361E5"/>
    <w:rsid w:val="61D1FE8B"/>
    <w:rsid w:val="61E69B13"/>
    <w:rsid w:val="61E80122"/>
    <w:rsid w:val="621FA7EC"/>
    <w:rsid w:val="6222C006"/>
    <w:rsid w:val="624D8DA3"/>
    <w:rsid w:val="62C38B50"/>
    <w:rsid w:val="631787BF"/>
    <w:rsid w:val="634C9E98"/>
    <w:rsid w:val="6350DB94"/>
    <w:rsid w:val="6354313D"/>
    <w:rsid w:val="6370BD25"/>
    <w:rsid w:val="637ACD0E"/>
    <w:rsid w:val="637E0FFA"/>
    <w:rsid w:val="63803593"/>
    <w:rsid w:val="63AF6B03"/>
    <w:rsid w:val="63D24D8B"/>
    <w:rsid w:val="63E1DAA3"/>
    <w:rsid w:val="642F744E"/>
    <w:rsid w:val="6437F34E"/>
    <w:rsid w:val="647431C4"/>
    <w:rsid w:val="6482B3DC"/>
    <w:rsid w:val="648D21A8"/>
    <w:rsid w:val="649FF681"/>
    <w:rsid w:val="64C027A9"/>
    <w:rsid w:val="6504B008"/>
    <w:rsid w:val="650FCF6B"/>
    <w:rsid w:val="6565278D"/>
    <w:rsid w:val="65CE7648"/>
    <w:rsid w:val="65DFA4B0"/>
    <w:rsid w:val="65ECA6E4"/>
    <w:rsid w:val="65FAFF54"/>
    <w:rsid w:val="65FCD7F1"/>
    <w:rsid w:val="66178228"/>
    <w:rsid w:val="6692507F"/>
    <w:rsid w:val="66932E8D"/>
    <w:rsid w:val="66E5D10B"/>
    <w:rsid w:val="66EE751D"/>
    <w:rsid w:val="66F21C53"/>
    <w:rsid w:val="6730ECD2"/>
    <w:rsid w:val="6732C9CD"/>
    <w:rsid w:val="673A472F"/>
    <w:rsid w:val="67746B04"/>
    <w:rsid w:val="678CEC8B"/>
    <w:rsid w:val="67AFB132"/>
    <w:rsid w:val="67CBF730"/>
    <w:rsid w:val="68316E04"/>
    <w:rsid w:val="683BAAFA"/>
    <w:rsid w:val="6844F56C"/>
    <w:rsid w:val="684E7468"/>
    <w:rsid w:val="68710E32"/>
    <w:rsid w:val="689105F8"/>
    <w:rsid w:val="68BE4522"/>
    <w:rsid w:val="69123290"/>
    <w:rsid w:val="69286EC3"/>
    <w:rsid w:val="692B72EF"/>
    <w:rsid w:val="694954D0"/>
    <w:rsid w:val="694B3959"/>
    <w:rsid w:val="69587704"/>
    <w:rsid w:val="6964EFCE"/>
    <w:rsid w:val="696A4BB8"/>
    <w:rsid w:val="696F42B5"/>
    <w:rsid w:val="69748F8A"/>
    <w:rsid w:val="6997AB8E"/>
    <w:rsid w:val="69AE60DC"/>
    <w:rsid w:val="69C31DFC"/>
    <w:rsid w:val="69C5AB93"/>
    <w:rsid w:val="69CECC05"/>
    <w:rsid w:val="69E80384"/>
    <w:rsid w:val="6A17DC76"/>
    <w:rsid w:val="6A45515C"/>
    <w:rsid w:val="6A51B088"/>
    <w:rsid w:val="6AF7E4DD"/>
    <w:rsid w:val="6AFEB8D7"/>
    <w:rsid w:val="6B048F08"/>
    <w:rsid w:val="6B0C027E"/>
    <w:rsid w:val="6B0C26AB"/>
    <w:rsid w:val="6B5338F7"/>
    <w:rsid w:val="6B56FF53"/>
    <w:rsid w:val="6B5FA894"/>
    <w:rsid w:val="6B74B779"/>
    <w:rsid w:val="6BAAE623"/>
    <w:rsid w:val="6C12245C"/>
    <w:rsid w:val="6C53C4B7"/>
    <w:rsid w:val="6C77168D"/>
    <w:rsid w:val="6C7A555D"/>
    <w:rsid w:val="6C843BFC"/>
    <w:rsid w:val="6CBAB7E3"/>
    <w:rsid w:val="6CC5FEA1"/>
    <w:rsid w:val="6CE98CF8"/>
    <w:rsid w:val="6CED5F49"/>
    <w:rsid w:val="6D072B90"/>
    <w:rsid w:val="6D0D3D70"/>
    <w:rsid w:val="6D15D56C"/>
    <w:rsid w:val="6D2087D4"/>
    <w:rsid w:val="6D28373A"/>
    <w:rsid w:val="6D4D285F"/>
    <w:rsid w:val="6D6E2444"/>
    <w:rsid w:val="6D7E1DB9"/>
    <w:rsid w:val="6DB5239D"/>
    <w:rsid w:val="6DF7C49A"/>
    <w:rsid w:val="6E0BEEE9"/>
    <w:rsid w:val="6E441FB8"/>
    <w:rsid w:val="6E575B63"/>
    <w:rsid w:val="6E5AE129"/>
    <w:rsid w:val="6E6DD792"/>
    <w:rsid w:val="6E782DCD"/>
    <w:rsid w:val="6E89164C"/>
    <w:rsid w:val="6E8B1926"/>
    <w:rsid w:val="6E9E270E"/>
    <w:rsid w:val="6EA6603C"/>
    <w:rsid w:val="6EAE1CC0"/>
    <w:rsid w:val="6EBBEF77"/>
    <w:rsid w:val="6EC576C0"/>
    <w:rsid w:val="6ECEF946"/>
    <w:rsid w:val="6ED40895"/>
    <w:rsid w:val="6F0DD85E"/>
    <w:rsid w:val="6F3DD661"/>
    <w:rsid w:val="6F4E59AC"/>
    <w:rsid w:val="6F59AAC2"/>
    <w:rsid w:val="6F75FE93"/>
    <w:rsid w:val="6FAC3DC8"/>
    <w:rsid w:val="6FEB5DAA"/>
    <w:rsid w:val="6FEE5776"/>
    <w:rsid w:val="705ECA03"/>
    <w:rsid w:val="70A80FC6"/>
    <w:rsid w:val="70AA10B6"/>
    <w:rsid w:val="70D10E48"/>
    <w:rsid w:val="712073B7"/>
    <w:rsid w:val="7121BC4E"/>
    <w:rsid w:val="7133B58C"/>
    <w:rsid w:val="71468DB7"/>
    <w:rsid w:val="716DF9A4"/>
    <w:rsid w:val="71D33CDC"/>
    <w:rsid w:val="71D4D30C"/>
    <w:rsid w:val="71F23ADC"/>
    <w:rsid w:val="71F37090"/>
    <w:rsid w:val="71FCA841"/>
    <w:rsid w:val="71FCDCCA"/>
    <w:rsid w:val="72170FDF"/>
    <w:rsid w:val="72184FC9"/>
    <w:rsid w:val="72205C26"/>
    <w:rsid w:val="7230383C"/>
    <w:rsid w:val="7263A417"/>
    <w:rsid w:val="7274C3BC"/>
    <w:rsid w:val="7288A6C9"/>
    <w:rsid w:val="729C1DEC"/>
    <w:rsid w:val="72A250D3"/>
    <w:rsid w:val="72C69AB8"/>
    <w:rsid w:val="72E40194"/>
    <w:rsid w:val="72EAFBFB"/>
    <w:rsid w:val="72EE8E21"/>
    <w:rsid w:val="72FAEB49"/>
    <w:rsid w:val="7315840D"/>
    <w:rsid w:val="7372FBAF"/>
    <w:rsid w:val="7390159F"/>
    <w:rsid w:val="73A384B9"/>
    <w:rsid w:val="73C7B048"/>
    <w:rsid w:val="73D1F284"/>
    <w:rsid w:val="73DFC23E"/>
    <w:rsid w:val="74518146"/>
    <w:rsid w:val="7452D821"/>
    <w:rsid w:val="7477FDB5"/>
    <w:rsid w:val="74AE382E"/>
    <w:rsid w:val="74CD88D0"/>
    <w:rsid w:val="74DD2AB6"/>
    <w:rsid w:val="74F047A6"/>
    <w:rsid w:val="74F9D711"/>
    <w:rsid w:val="751722EC"/>
    <w:rsid w:val="7543132E"/>
    <w:rsid w:val="756584C5"/>
    <w:rsid w:val="75CB186E"/>
    <w:rsid w:val="75D0951B"/>
    <w:rsid w:val="75F5A8BE"/>
    <w:rsid w:val="7607D798"/>
    <w:rsid w:val="7628AE6C"/>
    <w:rsid w:val="76588217"/>
    <w:rsid w:val="7677EBC1"/>
    <w:rsid w:val="767F9CD8"/>
    <w:rsid w:val="76BEDAEF"/>
    <w:rsid w:val="76FC56C6"/>
    <w:rsid w:val="7741573B"/>
    <w:rsid w:val="775A2E9D"/>
    <w:rsid w:val="777FFFD7"/>
    <w:rsid w:val="77966880"/>
    <w:rsid w:val="77B287A5"/>
    <w:rsid w:val="77C0E13A"/>
    <w:rsid w:val="77F30D26"/>
    <w:rsid w:val="78258083"/>
    <w:rsid w:val="783002CF"/>
    <w:rsid w:val="783ACD47"/>
    <w:rsid w:val="783E1936"/>
    <w:rsid w:val="78919241"/>
    <w:rsid w:val="78EBCA18"/>
    <w:rsid w:val="791349EA"/>
    <w:rsid w:val="792A3966"/>
    <w:rsid w:val="7930BD77"/>
    <w:rsid w:val="796ED115"/>
    <w:rsid w:val="798C66D5"/>
    <w:rsid w:val="7996F9B1"/>
    <w:rsid w:val="7997F761"/>
    <w:rsid w:val="79C9DCFA"/>
    <w:rsid w:val="79DBDB28"/>
    <w:rsid w:val="7A127522"/>
    <w:rsid w:val="7A17F57C"/>
    <w:rsid w:val="7A760C7D"/>
    <w:rsid w:val="7ABE9242"/>
    <w:rsid w:val="7AC240C6"/>
    <w:rsid w:val="7ADC4FDB"/>
    <w:rsid w:val="7B2B8395"/>
    <w:rsid w:val="7B438BFB"/>
    <w:rsid w:val="7B467563"/>
    <w:rsid w:val="7B4DB661"/>
    <w:rsid w:val="7B53F819"/>
    <w:rsid w:val="7B661243"/>
    <w:rsid w:val="7B7366DF"/>
    <w:rsid w:val="7BB0617E"/>
    <w:rsid w:val="7BB44825"/>
    <w:rsid w:val="7BC1C520"/>
    <w:rsid w:val="7BF128AA"/>
    <w:rsid w:val="7BF1DD59"/>
    <w:rsid w:val="7C04150A"/>
    <w:rsid w:val="7C11E1B5"/>
    <w:rsid w:val="7C31F3EA"/>
    <w:rsid w:val="7C59DB4E"/>
    <w:rsid w:val="7CBB4C1F"/>
    <w:rsid w:val="7CBC9265"/>
    <w:rsid w:val="7CE64FEE"/>
    <w:rsid w:val="7D01976C"/>
    <w:rsid w:val="7D132C4F"/>
    <w:rsid w:val="7D2EB726"/>
    <w:rsid w:val="7D30448D"/>
    <w:rsid w:val="7D33B26F"/>
    <w:rsid w:val="7D370DDE"/>
    <w:rsid w:val="7D69692D"/>
    <w:rsid w:val="7D6AB942"/>
    <w:rsid w:val="7DD0A991"/>
    <w:rsid w:val="7DE29B4F"/>
    <w:rsid w:val="7DF47F2B"/>
    <w:rsid w:val="7E03B66F"/>
    <w:rsid w:val="7E5B07A7"/>
    <w:rsid w:val="7E63F7C3"/>
    <w:rsid w:val="7E746528"/>
    <w:rsid w:val="7E826DBB"/>
    <w:rsid w:val="7EEAD0F3"/>
    <w:rsid w:val="7F259644"/>
    <w:rsid w:val="7F324E7E"/>
    <w:rsid w:val="7F3D15E3"/>
    <w:rsid w:val="7F6230A1"/>
    <w:rsid w:val="7F68D9B7"/>
    <w:rsid w:val="7F71409C"/>
    <w:rsid w:val="7F8E1CEF"/>
    <w:rsid w:val="7F939B4D"/>
    <w:rsid w:val="7FA8F6EF"/>
    <w:rsid w:val="7FF101B1"/>
    <w:rsid w:val="7FF7C3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233143"/>
  <w15:docId w15:val="{13A0B117-BFA2-466B-91B2-829747FE1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40"/>
      <w:jc w:val="both"/>
    </w:pPr>
    <w:rPr>
      <w:rFonts w:ascii="Courier New" w:hAnsi="Courier New"/>
      <w:sz w:val="24"/>
      <w:lang w:val="en-GB" w:eastAsia="en-GB"/>
    </w:rPr>
  </w:style>
  <w:style w:type="paragraph" w:styleId="Heading1">
    <w:name w:val="heading 1"/>
    <w:aliases w:val="Heading 1 Char Char Char Char Char Char Char Char Char Char Char Char Char Char"/>
    <w:basedOn w:val="Normal"/>
    <w:next w:val="Text1"/>
    <w:link w:val="Heading1Char1"/>
    <w:qFormat/>
    <w:pPr>
      <w:keepNext/>
      <w:numPr>
        <w:numId w:val="6"/>
      </w:numPr>
      <w:spacing w:before="240"/>
      <w:outlineLvl w:val="0"/>
    </w:pPr>
    <w:rPr>
      <w:b/>
      <w:smallCaps/>
    </w:rPr>
  </w:style>
  <w:style w:type="paragraph" w:styleId="Heading2">
    <w:name w:val="heading 2"/>
    <w:basedOn w:val="Normal"/>
    <w:next w:val="Text2"/>
    <w:qFormat/>
    <w:pPr>
      <w:keepNext/>
      <w:numPr>
        <w:ilvl w:val="1"/>
        <w:numId w:val="6"/>
      </w:numPr>
      <w:outlineLvl w:val="1"/>
    </w:pPr>
    <w:rPr>
      <w:b/>
    </w:rPr>
  </w:style>
  <w:style w:type="paragraph" w:styleId="Heading3">
    <w:name w:val="heading 3"/>
    <w:basedOn w:val="Normal"/>
    <w:next w:val="Text3"/>
    <w:link w:val="Heading3Char"/>
    <w:qFormat/>
    <w:pPr>
      <w:keepNext/>
      <w:numPr>
        <w:ilvl w:val="2"/>
        <w:numId w:val="6"/>
      </w:numPr>
      <w:outlineLvl w:val="2"/>
    </w:pPr>
    <w:rPr>
      <w:i/>
    </w:rPr>
  </w:style>
  <w:style w:type="paragraph" w:styleId="Heading4">
    <w:name w:val="heading 4"/>
    <w:basedOn w:val="Normal"/>
    <w:next w:val="Text4"/>
    <w:qFormat/>
    <w:pPr>
      <w:keepNext/>
      <w:numPr>
        <w:ilvl w:val="3"/>
        <w:numId w:val="6"/>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link w:val="ZnakZnak"/>
    <w:uiPriority w:val="99"/>
    <w:semiHidden/>
    <w:unhideWhenUsed/>
  </w:style>
  <w:style w:type="paragraph" w:customStyle="1" w:styleId="Text1">
    <w:name w:val="Text 1"/>
    <w:basedOn w:val="Normal"/>
    <w:link w:val="Text1Char"/>
    <w:pPr>
      <w:ind w:left="482"/>
    </w:pPr>
  </w:style>
  <w:style w:type="paragraph" w:customStyle="1" w:styleId="Text2">
    <w:name w:val="Text 2"/>
    <w:basedOn w:val="Normal"/>
    <w:link w:val="Text2Char1"/>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Enclosures"/>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42"/>
      </w:tabs>
      <w:spacing w:before="480" w:after="0"/>
      <w:ind w:left="1792" w:hanging="1792"/>
      <w:jc w:val="left"/>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styleId="EndnoteText">
    <w:name w:val="endnote text"/>
    <w:basedOn w:val="Normal"/>
    <w:link w:val="EndnoteTextChar"/>
    <w:uiPriority w:val="99"/>
    <w:semiHidden/>
    <w:rPr>
      <w:sz w:val="20"/>
    </w:rPr>
  </w:style>
  <w:style w:type="paragraph" w:styleId="EnvelopeAddress">
    <w:name w:val="envelope address"/>
    <w:basedOn w:val="Normal"/>
    <w:pPr>
      <w:framePr w:w="7920" w:h="1980" w:hRule="exact" w:hSpace="180" w:wrap="auto" w:hAnchor="page" w:xAlign="center" w:yAlign="bottom"/>
      <w:spacing w:after="0"/>
    </w:pPr>
    <w:rPr>
      <w:rFonts w:ascii="Times New Roman" w:hAnsi="Times New Roman"/>
    </w:rPr>
  </w:style>
  <w:style w:type="paragraph" w:styleId="EnvelopeReturn">
    <w:name w:val="envelope return"/>
    <w:basedOn w:val="Normal"/>
    <w:pPr>
      <w:spacing w:after="0"/>
    </w:pPr>
    <w:rPr>
      <w:rFonts w:ascii="Times New Roman" w:hAnsi="Times New Roman"/>
      <w:sz w:val="20"/>
    </w:rPr>
  </w:style>
  <w:style w:type="paragraph" w:styleId="Footer">
    <w:name w:val="footer"/>
    <w:basedOn w:val="Normal"/>
    <w:link w:val="FooterChar"/>
    <w:pPr>
      <w:spacing w:after="0"/>
      <w:ind w:right="-567"/>
      <w:jc w:val="left"/>
    </w:pPr>
    <w:rPr>
      <w:rFonts w:ascii="Arial" w:hAnsi="Arial"/>
      <w:sz w:val="16"/>
    </w:rPr>
  </w:style>
  <w:style w:type="paragraph" w:styleId="FootnoteText">
    <w:name w:val="footnote text"/>
    <w:aliases w:val="Footnote Text Char,Footnote Text Char1 Char,Footnote Text Char Char Char,Fußnotentext Char Char1 Char Char,Fußnotentext Char1 Char1 Char Char Char,Fußnotentext Char Char Char Char Char Char Char1,Footnote Text Char1,Footnote Text Char Char"/>
    <w:basedOn w:val="Normal"/>
    <w:link w:val="FootnoteTextChar2"/>
    <w:uiPriority w:val="99"/>
    <w:qFormat/>
    <w:pPr>
      <w:ind w:left="357" w:hanging="357"/>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link w:val="ListChar"/>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link w:val="ListBulletChar1"/>
    <w:pPr>
      <w:numPr>
        <w:numId w:val="7"/>
      </w:numPr>
    </w:pPr>
  </w:style>
  <w:style w:type="paragraph" w:styleId="ListBullet2">
    <w:name w:val="List Bullet 2"/>
    <w:basedOn w:val="Text2"/>
    <w:uiPriority w:val="99"/>
    <w:pPr>
      <w:numPr>
        <w:numId w:val="9"/>
      </w:numPr>
      <w:tabs>
        <w:tab w:val="clear" w:pos="2160"/>
      </w:tabs>
    </w:pPr>
  </w:style>
  <w:style w:type="paragraph" w:styleId="ListBullet3">
    <w:name w:val="List Bullet 3"/>
    <w:basedOn w:val="Text3"/>
    <w:pPr>
      <w:numPr>
        <w:numId w:val="10"/>
      </w:numPr>
      <w:tabs>
        <w:tab w:val="clear" w:pos="2302"/>
      </w:tabs>
    </w:pPr>
  </w:style>
  <w:style w:type="paragraph" w:styleId="ListBullet4">
    <w:name w:val="List Bullet 4"/>
    <w:basedOn w:val="Text4"/>
    <w:pPr>
      <w:numPr>
        <w:numId w:val="11"/>
      </w:numPr>
    </w:pPr>
  </w:style>
  <w:style w:type="paragraph" w:styleId="ListBullet5">
    <w:name w:val="List Bullet 5"/>
    <w:basedOn w:val="Normal"/>
    <w:autoRedefine/>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0A64E1"/>
    <w:pPr>
      <w:numPr>
        <w:numId w:val="16"/>
      </w:numPr>
    </w:pPr>
    <w:rPr>
      <w:rFonts w:ascii="Times New Roman" w:hAnsi="Times New Roman"/>
    </w:rPr>
  </w:style>
  <w:style w:type="paragraph" w:styleId="ListNumber2">
    <w:name w:val="List Number 2"/>
    <w:basedOn w:val="Text2"/>
    <w:pPr>
      <w:numPr>
        <w:numId w:val="18"/>
      </w:numPr>
      <w:tabs>
        <w:tab w:val="clear" w:pos="2160"/>
      </w:tabs>
    </w:pPr>
  </w:style>
  <w:style w:type="paragraph" w:styleId="ListNumber3">
    <w:name w:val="List Number 3"/>
    <w:basedOn w:val="Text3"/>
    <w:pPr>
      <w:numPr>
        <w:numId w:val="19"/>
      </w:numPr>
      <w:tabs>
        <w:tab w:val="clear" w:pos="2302"/>
      </w:tabs>
    </w:pPr>
  </w:style>
  <w:style w:type="paragraph" w:styleId="ListNumber4">
    <w:name w:val="List Number 4"/>
    <w:basedOn w:val="Text4"/>
    <w:pPr>
      <w:numPr>
        <w:numId w:val="20"/>
      </w:numPr>
    </w:pPr>
  </w:style>
  <w:style w:type="paragraph" w:styleId="ListNumber5">
    <w:name w:val="List Number 5"/>
    <w:basedOn w:val="Normal"/>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link w:val="NumPar1Char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link w:val="PlainTextChar"/>
    <w:uiPriority w:val="99"/>
    <w:rPr>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paragraph" w:customStyle="1" w:styleId="ListBullet1">
    <w:name w:val="List Bullet 1"/>
    <w:basedOn w:val="Text1"/>
    <w:pPr>
      <w:numPr>
        <w:numId w:val="8"/>
      </w:numPr>
    </w:pPr>
  </w:style>
  <w:style w:type="paragraph" w:customStyle="1" w:styleId="ListDash">
    <w:name w:val="List Dash"/>
    <w:basedOn w:val="Normal"/>
    <w:link w:val="ListDashChar"/>
    <w:pPr>
      <w:numPr>
        <w:numId w:val="23"/>
      </w:numPr>
    </w:pPr>
  </w:style>
  <w:style w:type="paragraph" w:customStyle="1" w:styleId="ListDash1">
    <w:name w:val="List Dash 1"/>
    <w:basedOn w:val="Text1"/>
    <w:pPr>
      <w:numPr>
        <w:numId w:val="12"/>
      </w:numPr>
    </w:pPr>
  </w:style>
  <w:style w:type="paragraph" w:customStyle="1" w:styleId="ListDash2">
    <w:name w:val="List Dash 2"/>
    <w:basedOn w:val="Text2"/>
    <w:pPr>
      <w:numPr>
        <w:numId w:val="13"/>
      </w:numPr>
      <w:tabs>
        <w:tab w:val="clear" w:pos="2160"/>
      </w:tabs>
    </w:pPr>
  </w:style>
  <w:style w:type="paragraph" w:customStyle="1" w:styleId="ListDash3">
    <w:name w:val="List Dash 3"/>
    <w:basedOn w:val="Text3"/>
    <w:pPr>
      <w:numPr>
        <w:numId w:val="14"/>
      </w:numPr>
      <w:tabs>
        <w:tab w:val="clear" w:pos="2302"/>
      </w:tabs>
    </w:pPr>
  </w:style>
  <w:style w:type="paragraph" w:customStyle="1" w:styleId="ListDash4">
    <w:name w:val="List Dash 4"/>
    <w:basedOn w:val="Text4"/>
    <w:pPr>
      <w:numPr>
        <w:numId w:val="15"/>
      </w:numPr>
    </w:pPr>
  </w:style>
  <w:style w:type="paragraph" w:customStyle="1" w:styleId="ListNumberLevel2">
    <w:name w:val="List Number (Level 2)"/>
    <w:basedOn w:val="Normal"/>
    <w:pPr>
      <w:numPr>
        <w:ilvl w:val="1"/>
        <w:numId w:val="16"/>
      </w:numPr>
    </w:pPr>
  </w:style>
  <w:style w:type="paragraph" w:customStyle="1" w:styleId="ListNumberLevel3">
    <w:name w:val="List Number (Level 3)"/>
    <w:basedOn w:val="Normal"/>
    <w:pPr>
      <w:numPr>
        <w:ilvl w:val="2"/>
        <w:numId w:val="16"/>
      </w:numPr>
    </w:pPr>
  </w:style>
  <w:style w:type="paragraph" w:customStyle="1" w:styleId="ListNumberLevel4">
    <w:name w:val="List Number (Level 4)"/>
    <w:basedOn w:val="Normal"/>
    <w:pPr>
      <w:numPr>
        <w:ilvl w:val="3"/>
        <w:numId w:val="16"/>
      </w:numPr>
    </w:pPr>
  </w:style>
  <w:style w:type="paragraph" w:customStyle="1" w:styleId="ListNumber1">
    <w:name w:val="List Number 1"/>
    <w:basedOn w:val="Text1"/>
    <w:pPr>
      <w:numPr>
        <w:numId w:val="17"/>
      </w:numPr>
    </w:pPr>
  </w:style>
  <w:style w:type="paragraph" w:customStyle="1" w:styleId="ListNumber1Level2">
    <w:name w:val="List Number 1 (Level 2)"/>
    <w:basedOn w:val="Text1"/>
    <w:pPr>
      <w:numPr>
        <w:ilvl w:val="1"/>
        <w:numId w:val="17"/>
      </w:numPr>
    </w:pPr>
  </w:style>
  <w:style w:type="paragraph" w:customStyle="1" w:styleId="ListNumber1Level3">
    <w:name w:val="List Number 1 (Level 3)"/>
    <w:basedOn w:val="Text1"/>
    <w:pPr>
      <w:numPr>
        <w:ilvl w:val="2"/>
        <w:numId w:val="17"/>
      </w:numPr>
    </w:pPr>
  </w:style>
  <w:style w:type="paragraph" w:customStyle="1" w:styleId="ListNumber1Level4">
    <w:name w:val="List Number 1 (Level 4)"/>
    <w:basedOn w:val="Text1"/>
    <w:pPr>
      <w:numPr>
        <w:ilvl w:val="3"/>
        <w:numId w:val="17"/>
      </w:numPr>
    </w:pPr>
  </w:style>
  <w:style w:type="paragraph" w:customStyle="1" w:styleId="ListNumber2Level2">
    <w:name w:val="List Number 2 (Level 2)"/>
    <w:basedOn w:val="Text2"/>
    <w:pPr>
      <w:numPr>
        <w:ilvl w:val="1"/>
        <w:numId w:val="18"/>
      </w:numPr>
      <w:tabs>
        <w:tab w:val="clear" w:pos="2160"/>
      </w:tabs>
    </w:pPr>
  </w:style>
  <w:style w:type="paragraph" w:customStyle="1" w:styleId="ListNumber2Level3">
    <w:name w:val="List Number 2 (Level 3)"/>
    <w:basedOn w:val="Text2"/>
    <w:pPr>
      <w:numPr>
        <w:ilvl w:val="2"/>
        <w:numId w:val="18"/>
      </w:numPr>
      <w:tabs>
        <w:tab w:val="clear" w:pos="2160"/>
      </w:tabs>
    </w:pPr>
  </w:style>
  <w:style w:type="paragraph" w:customStyle="1" w:styleId="ListNumber2Level4">
    <w:name w:val="List Number 2 (Level 4)"/>
    <w:basedOn w:val="Text2"/>
    <w:pPr>
      <w:numPr>
        <w:ilvl w:val="3"/>
        <w:numId w:val="18"/>
      </w:numPr>
      <w:tabs>
        <w:tab w:val="clear" w:pos="2160"/>
      </w:tabs>
    </w:pPr>
  </w:style>
  <w:style w:type="paragraph" w:customStyle="1" w:styleId="ListNumber3Level2">
    <w:name w:val="List Number 3 (Level 2)"/>
    <w:basedOn w:val="Text3"/>
    <w:pPr>
      <w:numPr>
        <w:ilvl w:val="1"/>
        <w:numId w:val="19"/>
      </w:numPr>
      <w:tabs>
        <w:tab w:val="clear" w:pos="2302"/>
      </w:tabs>
    </w:pPr>
  </w:style>
  <w:style w:type="paragraph" w:customStyle="1" w:styleId="ListNumber3Level3">
    <w:name w:val="List Number 3 (Level 3)"/>
    <w:basedOn w:val="Text3"/>
    <w:pPr>
      <w:numPr>
        <w:ilvl w:val="2"/>
        <w:numId w:val="19"/>
      </w:numPr>
      <w:tabs>
        <w:tab w:val="clear" w:pos="2302"/>
      </w:tabs>
    </w:pPr>
  </w:style>
  <w:style w:type="paragraph" w:customStyle="1" w:styleId="ListNumber3Level4">
    <w:name w:val="List Number 3 (Level 4)"/>
    <w:basedOn w:val="Text3"/>
    <w:pPr>
      <w:numPr>
        <w:ilvl w:val="3"/>
        <w:numId w:val="19"/>
      </w:numPr>
      <w:tabs>
        <w:tab w:val="clear" w:pos="2302"/>
      </w:tabs>
    </w:pPr>
  </w:style>
  <w:style w:type="paragraph" w:customStyle="1" w:styleId="ListNumber4Level2">
    <w:name w:val="List Number 4 (Level 2)"/>
    <w:basedOn w:val="Text4"/>
    <w:pPr>
      <w:numPr>
        <w:ilvl w:val="1"/>
        <w:numId w:val="20"/>
      </w:numPr>
    </w:pPr>
  </w:style>
  <w:style w:type="paragraph" w:customStyle="1" w:styleId="ListNumber4Level3">
    <w:name w:val="List Number 4 (Level 3)"/>
    <w:basedOn w:val="Text4"/>
    <w:pPr>
      <w:numPr>
        <w:ilvl w:val="2"/>
        <w:numId w:val="20"/>
      </w:numPr>
    </w:pPr>
  </w:style>
  <w:style w:type="paragraph" w:customStyle="1" w:styleId="ListNumber4Level4">
    <w:name w:val="List Number 4 (Level 4)"/>
    <w:basedOn w:val="Text4"/>
    <w:pPr>
      <w:numPr>
        <w:ilvl w:val="3"/>
        <w:numId w:val="20"/>
      </w:numPr>
    </w:pPr>
  </w:style>
  <w:style w:type="paragraph" w:styleId="TOCHeading">
    <w:name w:val="TOC Heading"/>
    <w:basedOn w:val="Normal"/>
    <w:next w:val="Normal"/>
    <w:qFormat/>
    <w:pPr>
      <w:keepNext/>
      <w:spacing w:before="240"/>
      <w:jc w:val="center"/>
    </w:pPr>
    <w:rPr>
      <w:b/>
    </w:rPr>
  </w:style>
  <w:style w:type="paragraph" w:customStyle="1" w:styleId="ATHeading1">
    <w:name w:val="AT Heading 1"/>
    <w:basedOn w:val="Normal"/>
    <w:next w:val="Normal"/>
    <w:pPr>
      <w:keepNext/>
      <w:keepLines/>
      <w:numPr>
        <w:numId w:val="21"/>
      </w:numPr>
      <w:spacing w:after="140"/>
      <w:jc w:val="left"/>
      <w:outlineLvl w:val="0"/>
    </w:pPr>
    <w:rPr>
      <w:rFonts w:ascii="Times New Roman" w:hAnsi="Times New Roman"/>
      <w:b/>
      <w:noProof/>
      <w:sz w:val="28"/>
    </w:rPr>
  </w:style>
  <w:style w:type="paragraph" w:customStyle="1" w:styleId="ZCom">
    <w:name w:val="Z_Com"/>
    <w:basedOn w:val="Normal"/>
    <w:next w:val="ZDGName"/>
    <w:uiPriority w:val="99"/>
    <w:pPr>
      <w:spacing w:after="0"/>
      <w:ind w:right="85"/>
    </w:pPr>
    <w:rPr>
      <w:rFonts w:ascii="Arial" w:hAnsi="Arial"/>
    </w:rPr>
  </w:style>
  <w:style w:type="paragraph" w:customStyle="1" w:styleId="ZDGName">
    <w:name w:val="Z_DGName"/>
    <w:basedOn w:val="Normal"/>
    <w:pPr>
      <w:spacing w:after="0"/>
      <w:ind w:right="85"/>
    </w:pPr>
    <w:rPr>
      <w:rFonts w:ascii="Arial" w:hAnsi="Arial"/>
      <w:sz w:val="16"/>
    </w:rPr>
  </w:style>
  <w:style w:type="paragraph" w:customStyle="1" w:styleId="H4">
    <w:name w:val="H4"/>
    <w:basedOn w:val="Normal"/>
    <w:next w:val="Normal"/>
    <w:pPr>
      <w:keepNext/>
      <w:widowControl w:val="0"/>
      <w:spacing w:before="100" w:after="100"/>
      <w:jc w:val="left"/>
      <w:outlineLvl w:val="4"/>
    </w:pPr>
    <w:rPr>
      <w:rFonts w:ascii="Times New Roman" w:hAnsi="Times New Roman"/>
      <w:b/>
      <w:snapToGrid w:val="0"/>
      <w:lang w:val="en-US" w:eastAsia="en-US"/>
    </w:rPr>
  </w:style>
  <w:style w:type="character" w:customStyle="1" w:styleId="HideTWBExt">
    <w:name w:val="HideTWBExt"/>
    <w:rPr>
      <w:noProof/>
      <w:vanish/>
      <w:color w:val="808080"/>
    </w:rPr>
  </w:style>
  <w:style w:type="paragraph" w:customStyle="1" w:styleId="Action">
    <w:name w:val="Action"/>
    <w:basedOn w:val="Normal"/>
    <w:pPr>
      <w:widowControl w:val="0"/>
      <w:tabs>
        <w:tab w:val="left" w:pos="357"/>
      </w:tabs>
      <w:ind w:left="357" w:hanging="357"/>
      <w:jc w:val="left"/>
    </w:pPr>
    <w:rPr>
      <w:rFonts w:ascii="Times New Roman" w:hAnsi="Times New Roman"/>
    </w:rPr>
  </w:style>
  <w:style w:type="paragraph" w:customStyle="1" w:styleId="ATHeading3">
    <w:name w:val="AT Heading 3"/>
    <w:basedOn w:val="Normal"/>
    <w:next w:val="Normal"/>
    <w:pPr>
      <w:keepNext/>
      <w:keepLines/>
      <w:spacing w:before="120" w:after="120"/>
      <w:jc w:val="left"/>
      <w:outlineLvl w:val="2"/>
    </w:pPr>
    <w:rPr>
      <w:rFonts w:ascii="Times New Roman" w:hAnsi="Times New Roman"/>
      <w:b/>
      <w:noProof/>
    </w:rPr>
  </w:style>
  <w:style w:type="character" w:customStyle="1" w:styleId="DefaultMargins">
    <w:name w:val="DefaultMargins"/>
    <w:rPr>
      <w:rFonts w:ascii="Courier New" w:hAnsi="Courier New"/>
      <w:noProof w:val="0"/>
      <w:sz w:val="20"/>
      <w:lang w:val="en-US"/>
    </w:rPr>
  </w:style>
  <w:style w:type="paragraph" w:customStyle="1" w:styleId="Initial">
    <w:name w:val="Initial"/>
    <w:link w:val="InitialChar"/>
    <w:pPr>
      <w:tabs>
        <w:tab w:val="left" w:pos="-720"/>
      </w:tabs>
      <w:suppressAutoHyphens/>
      <w:jc w:val="both"/>
    </w:pPr>
    <w:rPr>
      <w:spacing w:val="-3"/>
      <w:sz w:val="24"/>
      <w:lang w:eastAsia="en-GB"/>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Pr>
      <w:vertAlign w:val="superscript"/>
    </w:rPr>
  </w:style>
  <w:style w:type="paragraph" w:customStyle="1" w:styleId="H3">
    <w:name w:val="H3"/>
    <w:basedOn w:val="Normal"/>
    <w:next w:val="Normal"/>
    <w:pPr>
      <w:keepNext/>
      <w:spacing w:before="100" w:after="100"/>
      <w:jc w:val="left"/>
      <w:outlineLvl w:val="3"/>
    </w:pPr>
    <w:rPr>
      <w:rFonts w:ascii="Times New Roman" w:hAnsi="Times New Roman"/>
      <w:b/>
      <w:snapToGrid w:val="0"/>
      <w:sz w:val="28"/>
      <w:lang w:val="fr-BE" w:eastAsia="en-US"/>
    </w:rPr>
  </w:style>
  <w:style w:type="paragraph" w:customStyle="1" w:styleId="Rfrencesproposition">
    <w:name w:val="Références proposition"/>
    <w:basedOn w:val="Titreobjet"/>
    <w:next w:val="Normal"/>
    <w:pPr>
      <w:spacing w:after="480"/>
    </w:pPr>
  </w:style>
  <w:style w:type="paragraph" w:customStyle="1" w:styleId="Titreobjet">
    <w:name w:val="Titre objet"/>
    <w:basedOn w:val="Normal"/>
    <w:next w:val="Normal"/>
    <w:pPr>
      <w:widowControl w:val="0"/>
      <w:spacing w:after="0"/>
      <w:ind w:left="1418"/>
      <w:jc w:val="left"/>
    </w:pPr>
    <w:rPr>
      <w:rFonts w:ascii="Times New Roman" w:hAnsi="Times New Roman"/>
      <w:snapToGrid w:val="0"/>
      <w:lang w:eastAsia="en-US"/>
    </w:rPr>
  </w:style>
  <w:style w:type="character" w:styleId="Hyperlink">
    <w:name w:val="Hyperlink"/>
    <w:aliases w:val="Char1"/>
    <w:rPr>
      <w:color w:val="0000FF"/>
      <w:u w:val="single"/>
    </w:rPr>
  </w:style>
  <w:style w:type="character" w:styleId="Emphasis">
    <w:name w:val="Emphasis"/>
    <w:uiPriority w:val="20"/>
    <w:qFormat/>
    <w:rPr>
      <w:i/>
    </w:rPr>
  </w:style>
  <w:style w:type="character" w:customStyle="1" w:styleId="Added">
    <w:name w:val="Added"/>
    <w:rPr>
      <w:b/>
      <w:i/>
    </w:rPr>
  </w:style>
  <w:style w:type="paragraph" w:customStyle="1" w:styleId="Normal12">
    <w:name w:val="Normal 12"/>
    <w:basedOn w:val="Normal"/>
    <w:link w:val="Normal12Char"/>
    <w:rsid w:val="0027701F"/>
    <w:pPr>
      <w:tabs>
        <w:tab w:val="left" w:pos="-720"/>
      </w:tabs>
    </w:pPr>
    <w:rPr>
      <w:rFonts w:ascii="Times New Roman" w:hAnsi="Times New Roman"/>
      <w:noProof/>
    </w:rPr>
  </w:style>
  <w:style w:type="paragraph" w:customStyle="1" w:styleId="5Normal">
    <w:name w:val="5 Normal"/>
    <w:link w:val="5NormalChar"/>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en-GB" w:eastAsia="en-GB"/>
    </w:rPr>
  </w:style>
  <w:style w:type="paragraph" w:customStyle="1" w:styleId="Dput">
    <w:name w:val="Député"/>
    <w:basedOn w:val="Titreobjet"/>
    <w:pPr>
      <w:spacing w:after="240"/>
    </w:pPr>
    <w:rPr>
      <w:lang w:val="fr-FR"/>
    </w:rPr>
  </w:style>
  <w:style w:type="paragraph" w:customStyle="1" w:styleId="Commissionparlementaire">
    <w:name w:val="Commission parlementaire"/>
    <w:basedOn w:val="Titreobjet"/>
    <w:next w:val="Normal"/>
    <w:pPr>
      <w:spacing w:after="480"/>
    </w:pPr>
    <w:rPr>
      <w:lang w:val="fr-FR"/>
    </w:rPr>
  </w:style>
  <w:style w:type="character" w:styleId="FollowedHyperlink">
    <w:name w:val="FollowedHyperlink"/>
    <w:rPr>
      <w:color w:val="800080"/>
      <w:u w:val="single"/>
    </w:rPr>
  </w:style>
  <w:style w:type="paragraph" w:customStyle="1" w:styleId="DefinitionList">
    <w:name w:val="Definition List"/>
    <w:basedOn w:val="Normal"/>
    <w:next w:val="Normal"/>
    <w:pPr>
      <w:spacing w:after="0"/>
      <w:ind w:left="360"/>
      <w:jc w:val="left"/>
    </w:pPr>
    <w:rPr>
      <w:rFonts w:ascii="Times New Roman" w:hAnsi="Times New Roman"/>
      <w:snapToGrid w:val="0"/>
      <w:lang w:val="fr-BE" w:eastAsia="en-US"/>
    </w:rPr>
  </w:style>
  <w:style w:type="paragraph" w:customStyle="1" w:styleId="Visa">
    <w:name w:val="Visa"/>
    <w:basedOn w:val="Normal"/>
    <w:pPr>
      <w:widowControl w:val="0"/>
      <w:tabs>
        <w:tab w:val="left" w:pos="357"/>
      </w:tabs>
      <w:ind w:left="357" w:hanging="357"/>
      <w:jc w:val="left"/>
    </w:pPr>
    <w:rPr>
      <w:rFonts w:ascii="Times New Roman" w:hAnsi="Times New Roman"/>
      <w:snapToGrid w:val="0"/>
    </w:rPr>
  </w:style>
  <w:style w:type="paragraph" w:customStyle="1" w:styleId="PagereglementairetextePR">
    <w:name w:val="Page reglementaire texte PR"/>
    <w:basedOn w:val="Normal"/>
    <w:pPr>
      <w:widowControl w:val="0"/>
      <w:jc w:val="left"/>
    </w:pPr>
    <w:rPr>
      <w:rFonts w:ascii="Times New Roman" w:hAnsi="Times New Roman"/>
      <w:snapToGrid w:val="0"/>
      <w:lang w:eastAsia="en-US"/>
    </w:rPr>
  </w:style>
  <w:style w:type="paragraph" w:customStyle="1" w:styleId="H2">
    <w:name w:val="H2"/>
    <w:basedOn w:val="Normal"/>
    <w:next w:val="Normal"/>
    <w:pPr>
      <w:keepNext/>
      <w:spacing w:before="100" w:after="100"/>
      <w:jc w:val="left"/>
      <w:outlineLvl w:val="2"/>
    </w:pPr>
    <w:rPr>
      <w:rFonts w:ascii="Times New Roman" w:hAnsi="Times New Roman"/>
      <w:b/>
      <w:snapToGrid w:val="0"/>
      <w:sz w:val="36"/>
      <w:lang w:val="fr-BE" w:eastAsia="en-US"/>
    </w:rPr>
  </w:style>
  <w:style w:type="paragraph" w:customStyle="1" w:styleId="Rfrenceinstitutionelle">
    <w:name w:val="Référence institutionelle"/>
    <w:basedOn w:val="Normal"/>
    <w:next w:val="Normal"/>
    <w:pPr>
      <w:ind w:left="5103"/>
      <w:jc w:val="left"/>
    </w:pPr>
    <w:rPr>
      <w:rFonts w:ascii="Times New Roman" w:hAnsi="Times New Roman"/>
    </w:rPr>
  </w:style>
  <w:style w:type="character" w:styleId="CommentReference">
    <w:name w:val="annotation reference"/>
    <w:rPr>
      <w:sz w:val="16"/>
    </w:rPr>
  </w:style>
  <w:style w:type="paragraph" w:customStyle="1" w:styleId="Tiret1">
    <w:name w:val="Tiret 1"/>
    <w:basedOn w:val="Normal"/>
    <w:pPr>
      <w:spacing w:before="120" w:after="120"/>
      <w:ind w:left="1418" w:hanging="567"/>
    </w:pPr>
    <w:rPr>
      <w:rFonts w:ascii="Times New Roman" w:hAnsi="Times New Roman"/>
    </w:rPr>
  </w:style>
  <w:style w:type="character" w:styleId="Strong">
    <w:name w:val="Strong"/>
    <w:uiPriority w:val="22"/>
    <w:qFormat/>
    <w:rPr>
      <w:b/>
    </w:rPr>
  </w:style>
  <w:style w:type="character" w:customStyle="1" w:styleId="Deleted">
    <w:name w:val="Deleted"/>
    <w:rPr>
      <w:b/>
      <w:i/>
    </w:rPr>
  </w:style>
  <w:style w:type="character" w:customStyle="1" w:styleId="HideTWBInt">
    <w:name w:val="HideTWBInt"/>
    <w:rsid w:val="00671028"/>
    <w:rPr>
      <w:vanish/>
      <w:color w:val="808080"/>
    </w:rPr>
  </w:style>
  <w:style w:type="paragraph" w:styleId="NormalWeb">
    <w:name w:val="Normal (Web)"/>
    <w:aliases w:val=" webb,webb"/>
    <w:basedOn w:val="Normal"/>
    <w:link w:val="NormalWebChar1"/>
    <w:uiPriority w:val="99"/>
    <w:rsid w:val="00863DF7"/>
    <w:pPr>
      <w:spacing w:before="100" w:beforeAutospacing="1" w:after="100" w:afterAutospacing="1"/>
      <w:jc w:val="left"/>
    </w:pPr>
    <w:rPr>
      <w:rFonts w:ascii="Times New Roman" w:hAnsi="Times New Roman"/>
      <w:szCs w:val="24"/>
    </w:rPr>
  </w:style>
  <w:style w:type="character" w:customStyle="1" w:styleId="ListDashChar">
    <w:name w:val="List Dash Char"/>
    <w:link w:val="ListDash"/>
    <w:rsid w:val="0008216A"/>
    <w:rPr>
      <w:rFonts w:ascii="Courier New" w:hAnsi="Courier New"/>
      <w:sz w:val="24"/>
    </w:rPr>
  </w:style>
  <w:style w:type="character" w:customStyle="1" w:styleId="exergue">
    <w:name w:val="exergue"/>
    <w:basedOn w:val="DefaultParagraphFont"/>
    <w:rsid w:val="005E526A"/>
  </w:style>
  <w:style w:type="paragraph" w:customStyle="1" w:styleId="textmain">
    <w:name w:val="textmain"/>
    <w:basedOn w:val="Normal"/>
    <w:rsid w:val="005E2CA4"/>
    <w:pPr>
      <w:spacing w:before="100" w:beforeAutospacing="1" w:after="100" w:afterAutospacing="1"/>
      <w:jc w:val="left"/>
    </w:pPr>
    <w:rPr>
      <w:rFonts w:ascii="Times New Roman" w:hAnsi="Times New Roman"/>
      <w:szCs w:val="24"/>
      <w:lang w:eastAsia="ko-KR"/>
    </w:rPr>
  </w:style>
  <w:style w:type="paragraph" w:customStyle="1" w:styleId="Normal12Tab">
    <w:name w:val="Normal12Tab"/>
    <w:basedOn w:val="Normal"/>
    <w:rsid w:val="00AA6DD4"/>
    <w:pPr>
      <w:widowControl w:val="0"/>
      <w:tabs>
        <w:tab w:val="left" w:pos="357"/>
      </w:tabs>
      <w:jc w:val="left"/>
    </w:pPr>
    <w:rPr>
      <w:rFonts w:ascii="Times New Roman" w:hAnsi="Times New Roman"/>
      <w:lang w:eastAsia="en-US"/>
    </w:rPr>
  </w:style>
  <w:style w:type="paragraph" w:customStyle="1" w:styleId="PageHeading">
    <w:name w:val="PageHeading"/>
    <w:basedOn w:val="Normal"/>
    <w:rsid w:val="00A52A26"/>
    <w:pPr>
      <w:keepNext/>
      <w:widowControl w:val="0"/>
      <w:spacing w:before="240"/>
      <w:jc w:val="center"/>
    </w:pPr>
    <w:rPr>
      <w:rFonts w:ascii="Arial" w:hAnsi="Arial"/>
      <w:b/>
    </w:rPr>
  </w:style>
  <w:style w:type="paragraph" w:customStyle="1" w:styleId="Normal12Bold">
    <w:name w:val="Normal12Bold"/>
    <w:basedOn w:val="Normal"/>
    <w:rsid w:val="00A52A26"/>
    <w:pPr>
      <w:widowControl w:val="0"/>
      <w:jc w:val="left"/>
    </w:pPr>
    <w:rPr>
      <w:rFonts w:ascii="Times New Roman" w:hAnsi="Times New Roman"/>
      <w:b/>
    </w:rPr>
  </w:style>
  <w:style w:type="paragraph" w:customStyle="1" w:styleId="Normal1">
    <w:name w:val="Normal1"/>
    <w:link w:val="NORMALChar"/>
    <w:rsid w:val="00A52A26"/>
  </w:style>
  <w:style w:type="character" w:customStyle="1" w:styleId="titretable">
    <w:name w:val="titretable"/>
    <w:basedOn w:val="DefaultParagraphFont"/>
    <w:rsid w:val="00776DA5"/>
  </w:style>
  <w:style w:type="paragraph" w:customStyle="1" w:styleId="Normal12Hanging">
    <w:name w:val="Normal12Hanging"/>
    <w:basedOn w:val="Normal"/>
    <w:link w:val="Normal12HangingChar"/>
    <w:rsid w:val="00776DA5"/>
    <w:pPr>
      <w:widowControl w:val="0"/>
      <w:ind w:left="357" w:hanging="357"/>
      <w:jc w:val="left"/>
    </w:pPr>
    <w:rPr>
      <w:rFonts w:ascii="Times New Roman" w:hAnsi="Times New Roman"/>
    </w:rPr>
  </w:style>
  <w:style w:type="paragraph" w:customStyle="1" w:styleId="Normal120">
    <w:name w:val="Normal12"/>
    <w:basedOn w:val="Normal"/>
    <w:link w:val="Normal12Char0"/>
    <w:rsid w:val="0087007B"/>
    <w:pPr>
      <w:widowControl w:val="0"/>
      <w:jc w:val="left"/>
    </w:pPr>
    <w:rPr>
      <w:rFonts w:ascii="Times New Roman" w:hAnsi="Times New Roman"/>
      <w:szCs w:val="24"/>
    </w:rPr>
  </w:style>
  <w:style w:type="table" w:styleId="TableGrid">
    <w:name w:val="Table Grid"/>
    <w:basedOn w:val="TableNormal"/>
    <w:rsid w:val="0087007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B39D1"/>
  </w:style>
  <w:style w:type="paragraph" w:customStyle="1" w:styleId="Typedudocument">
    <w:name w:val="Type du document"/>
    <w:basedOn w:val="Normal"/>
    <w:next w:val="Normal"/>
    <w:rsid w:val="00ED3B96"/>
    <w:pPr>
      <w:spacing w:before="360" w:after="0"/>
      <w:jc w:val="center"/>
    </w:pPr>
    <w:rPr>
      <w:rFonts w:ascii="Times New Roman" w:hAnsi="Times New Roman"/>
      <w:b/>
      <w:snapToGrid w:val="0"/>
      <w:lang w:eastAsia="en-US"/>
    </w:rPr>
  </w:style>
  <w:style w:type="character" w:customStyle="1" w:styleId="Normal12Char">
    <w:name w:val="Normal 12 Char"/>
    <w:link w:val="Normal12"/>
    <w:rsid w:val="0027701F"/>
    <w:rPr>
      <w:noProof/>
      <w:sz w:val="24"/>
      <w:lang w:val="en-GB" w:eastAsia="en-GB" w:bidi="ar-SA"/>
    </w:rPr>
  </w:style>
  <w:style w:type="character" w:customStyle="1" w:styleId="msoins0">
    <w:name w:val="msoins"/>
    <w:rsid w:val="005513E0"/>
    <w:rPr>
      <w:color w:val="008080"/>
      <w:u w:val="single"/>
    </w:rPr>
  </w:style>
  <w:style w:type="paragraph" w:customStyle="1" w:styleId="NumPar1Char">
    <w:name w:val="NumPar 1 Char"/>
    <w:basedOn w:val="Normal"/>
    <w:next w:val="Normal"/>
    <w:link w:val="NumPar1CharChar"/>
    <w:rsid w:val="003F62ED"/>
    <w:pPr>
      <w:numPr>
        <w:numId w:val="22"/>
      </w:numPr>
      <w:tabs>
        <w:tab w:val="num" w:pos="1134"/>
      </w:tabs>
      <w:spacing w:before="120" w:after="120"/>
      <w:ind w:left="1134"/>
    </w:pPr>
    <w:rPr>
      <w:szCs w:val="24"/>
    </w:rPr>
  </w:style>
  <w:style w:type="character" w:customStyle="1" w:styleId="NumPar1CharChar">
    <w:name w:val="NumPar 1 Char Char"/>
    <w:link w:val="NumPar1Char"/>
    <w:rsid w:val="003F62ED"/>
    <w:rPr>
      <w:rFonts w:ascii="Courier New" w:hAnsi="Courier New"/>
      <w:sz w:val="24"/>
      <w:szCs w:val="24"/>
    </w:rPr>
  </w:style>
  <w:style w:type="paragraph" w:customStyle="1" w:styleId="Contact">
    <w:name w:val="Contact"/>
    <w:basedOn w:val="Normal"/>
    <w:next w:val="Enclosures"/>
    <w:rsid w:val="00FA6446"/>
    <w:pPr>
      <w:spacing w:before="480" w:after="0"/>
      <w:ind w:left="567" w:hanging="567"/>
      <w:jc w:val="left"/>
    </w:pPr>
    <w:rPr>
      <w:rFonts w:ascii="Times New Roman" w:hAnsi="Times New Roman"/>
      <w:lang w:eastAsia="en-US"/>
    </w:rPr>
  </w:style>
  <w:style w:type="paragraph" w:customStyle="1" w:styleId="NormalBold">
    <w:name w:val="NormalBold"/>
    <w:basedOn w:val="Normal"/>
    <w:link w:val="NormalBoldChar"/>
    <w:rsid w:val="00960559"/>
    <w:pPr>
      <w:widowControl w:val="0"/>
      <w:spacing w:after="0"/>
      <w:jc w:val="left"/>
    </w:pPr>
    <w:rPr>
      <w:rFonts w:ascii="Times New Roman" w:hAnsi="Times New Roman"/>
      <w:b/>
    </w:rPr>
  </w:style>
  <w:style w:type="character" w:customStyle="1" w:styleId="NormalBoldChar">
    <w:name w:val="NormalBold Char"/>
    <w:link w:val="NormalBold"/>
    <w:rsid w:val="001D670F"/>
    <w:rPr>
      <w:b/>
      <w:sz w:val="24"/>
      <w:lang w:val="en-GB" w:eastAsia="en-GB" w:bidi="ar-SA"/>
    </w:rPr>
  </w:style>
  <w:style w:type="character" w:customStyle="1" w:styleId="subtitletable">
    <w:name w:val="subtitletable"/>
    <w:basedOn w:val="DefaultParagraphFont"/>
    <w:rsid w:val="00A66005"/>
  </w:style>
  <w:style w:type="character" w:customStyle="1" w:styleId="midtitletable">
    <w:name w:val="midtitletable"/>
    <w:basedOn w:val="DefaultParagraphFont"/>
    <w:rsid w:val="00031CA2"/>
  </w:style>
  <w:style w:type="paragraph" w:styleId="BalloonText">
    <w:name w:val="Balloon Text"/>
    <w:basedOn w:val="Normal"/>
    <w:semiHidden/>
    <w:rsid w:val="004D3FDF"/>
    <w:rPr>
      <w:rFonts w:ascii="Tahoma" w:hAnsi="Tahoma" w:cs="Tahoma"/>
      <w:sz w:val="16"/>
      <w:szCs w:val="16"/>
    </w:rPr>
  </w:style>
  <w:style w:type="character" w:customStyle="1" w:styleId="NORMALChar">
    <w:name w:val="NORMAL Char"/>
    <w:link w:val="Normal1"/>
    <w:rsid w:val="001F57FF"/>
    <w:rPr>
      <w:lang w:val="en-US" w:eastAsia="en-US" w:bidi="ar-SA"/>
    </w:rPr>
  </w:style>
  <w:style w:type="paragraph" w:customStyle="1" w:styleId="Olang">
    <w:name w:val="Olang"/>
    <w:basedOn w:val="Normal"/>
    <w:rsid w:val="00CD3544"/>
    <w:pPr>
      <w:widowControl w:val="0"/>
      <w:spacing w:before="240"/>
      <w:jc w:val="right"/>
    </w:pPr>
    <w:rPr>
      <w:rFonts w:ascii="Times New Roman" w:hAnsi="Times New Roman"/>
    </w:rPr>
  </w:style>
  <w:style w:type="character" w:customStyle="1" w:styleId="NormalWebChar1">
    <w:name w:val="Normal (Web) Char1"/>
    <w:aliases w:val=" webb Char,webb Char1"/>
    <w:link w:val="NormalWeb"/>
    <w:rsid w:val="00CD3544"/>
    <w:rPr>
      <w:sz w:val="24"/>
      <w:szCs w:val="24"/>
      <w:lang w:val="en-GB" w:eastAsia="en-GB" w:bidi="ar-SA"/>
    </w:rPr>
  </w:style>
  <w:style w:type="character" w:customStyle="1" w:styleId="italic">
    <w:name w:val="italic"/>
    <w:basedOn w:val="DefaultParagraphFont"/>
    <w:rsid w:val="006334FA"/>
  </w:style>
  <w:style w:type="character" w:customStyle="1" w:styleId="italic1">
    <w:name w:val="italic1"/>
    <w:rsid w:val="006334FA"/>
    <w:rPr>
      <w:i/>
      <w:iCs/>
    </w:rPr>
  </w:style>
  <w:style w:type="paragraph" w:customStyle="1" w:styleId="text">
    <w:name w:val="text"/>
    <w:basedOn w:val="Normal"/>
    <w:rsid w:val="006334FA"/>
    <w:pPr>
      <w:spacing w:before="100" w:beforeAutospacing="1" w:after="100" w:afterAutospacing="1"/>
      <w:jc w:val="left"/>
    </w:pPr>
    <w:rPr>
      <w:rFonts w:ascii="Arial" w:hAnsi="Arial" w:cs="Arial"/>
      <w:color w:val="000080"/>
      <w:szCs w:val="24"/>
    </w:rPr>
  </w:style>
  <w:style w:type="paragraph" w:customStyle="1" w:styleId="ManualNumPar1">
    <w:name w:val="Manual NumPar 1"/>
    <w:basedOn w:val="Normal"/>
    <w:next w:val="Normal"/>
    <w:rsid w:val="00C629C6"/>
    <w:pPr>
      <w:spacing w:before="120" w:after="120"/>
      <w:ind w:left="850" w:hanging="850"/>
    </w:pPr>
    <w:rPr>
      <w:rFonts w:ascii="Times New Roman" w:hAnsi="Times New Roman"/>
    </w:rPr>
  </w:style>
  <w:style w:type="character" w:customStyle="1" w:styleId="contents">
    <w:name w:val="contents"/>
    <w:basedOn w:val="DefaultParagraphFont"/>
    <w:rsid w:val="004F3B17"/>
  </w:style>
  <w:style w:type="paragraph" w:customStyle="1" w:styleId="CharChar2CharCharCharCharCharCharCharCharCharChar">
    <w:name w:val="Char Char2 Char Char Char Char Char Char Char Char Char Char"/>
    <w:basedOn w:val="Normal"/>
    <w:rsid w:val="00887CAB"/>
    <w:pPr>
      <w:spacing w:after="160" w:line="240" w:lineRule="exact"/>
      <w:jc w:val="left"/>
    </w:pPr>
    <w:rPr>
      <w:rFonts w:ascii="Tahoma" w:hAnsi="Tahoma"/>
      <w:sz w:val="20"/>
      <w:lang w:val="en-US" w:eastAsia="en-US"/>
    </w:rPr>
  </w:style>
  <w:style w:type="character" w:customStyle="1" w:styleId="defaultmargins0">
    <w:name w:val="defaultmargins"/>
    <w:rsid w:val="00ED1686"/>
    <w:rPr>
      <w:rFonts w:ascii="Courier New" w:hAnsi="Courier New" w:cs="Courier New" w:hint="default"/>
    </w:rPr>
  </w:style>
  <w:style w:type="paragraph" w:customStyle="1" w:styleId="Cover12">
    <w:name w:val="Cover12"/>
    <w:basedOn w:val="Normal"/>
    <w:rsid w:val="00B72965"/>
    <w:pPr>
      <w:widowControl w:val="0"/>
      <w:ind w:left="1418"/>
      <w:jc w:val="left"/>
    </w:pPr>
    <w:rPr>
      <w:rFonts w:ascii="Times New Roman" w:hAnsi="Times New Roman"/>
    </w:rPr>
  </w:style>
  <w:style w:type="paragraph" w:customStyle="1" w:styleId="CharChar1">
    <w:name w:val="Char Char1"/>
    <w:basedOn w:val="Normal"/>
    <w:rsid w:val="009E2FF2"/>
    <w:pPr>
      <w:spacing w:after="160" w:line="240" w:lineRule="exact"/>
      <w:jc w:val="left"/>
    </w:pPr>
    <w:rPr>
      <w:rFonts w:ascii="Tahoma" w:hAnsi="Tahoma"/>
      <w:sz w:val="20"/>
      <w:lang w:val="en-US" w:eastAsia="en-US"/>
    </w:rPr>
  </w:style>
  <w:style w:type="paragraph" w:customStyle="1" w:styleId="normal12hanging0">
    <w:name w:val="normal12hanging"/>
    <w:basedOn w:val="Normal"/>
    <w:rsid w:val="00E709A0"/>
    <w:pPr>
      <w:ind w:left="357" w:hanging="357"/>
      <w:jc w:val="left"/>
    </w:pPr>
    <w:rPr>
      <w:rFonts w:ascii="Times New Roman" w:hAnsi="Times New Roman"/>
      <w:szCs w:val="24"/>
      <w:lang w:val="en-US" w:eastAsia="en-US"/>
    </w:rPr>
  </w:style>
  <w:style w:type="paragraph" w:customStyle="1" w:styleId="CharCharChar">
    <w:name w:val="Char Char Char"/>
    <w:basedOn w:val="Normal"/>
    <w:next w:val="Normal"/>
    <w:rsid w:val="00E709A0"/>
    <w:pPr>
      <w:spacing w:after="160" w:line="240" w:lineRule="exact"/>
      <w:jc w:val="left"/>
    </w:pPr>
    <w:rPr>
      <w:rFonts w:ascii="Tahoma" w:hAnsi="Tahoma"/>
      <w:lang w:val="en-US" w:eastAsia="en-US"/>
    </w:rPr>
  </w:style>
  <w:style w:type="paragraph" w:customStyle="1" w:styleId="CharCharChar0">
    <w:name w:val="Char Char Char0"/>
    <w:basedOn w:val="Normal"/>
    <w:uiPriority w:val="99"/>
    <w:rsid w:val="0092510C"/>
    <w:pPr>
      <w:spacing w:after="160" w:line="240" w:lineRule="exact"/>
      <w:jc w:val="left"/>
    </w:pPr>
    <w:rPr>
      <w:rFonts w:ascii="Tahoma" w:hAnsi="Tahoma"/>
      <w:sz w:val="20"/>
      <w:lang w:val="en-US" w:eastAsia="en-US"/>
    </w:rPr>
  </w:style>
  <w:style w:type="character" w:customStyle="1" w:styleId="Normal12Char0">
    <w:name w:val="Normal12 Char"/>
    <w:link w:val="Normal120"/>
    <w:rsid w:val="008D0782"/>
    <w:rPr>
      <w:sz w:val="24"/>
      <w:szCs w:val="24"/>
      <w:lang w:val="en-GB" w:eastAsia="en-GB" w:bidi="ar-SA"/>
    </w:rPr>
  </w:style>
  <w:style w:type="paragraph" w:customStyle="1" w:styleId="CoverNormalRC">
    <w:name w:val="CoverNormalRC"/>
    <w:basedOn w:val="Normal"/>
    <w:rsid w:val="00502387"/>
    <w:pPr>
      <w:widowControl w:val="0"/>
      <w:tabs>
        <w:tab w:val="left" w:pos="1701"/>
      </w:tabs>
      <w:spacing w:after="0"/>
      <w:ind w:left="1418"/>
      <w:jc w:val="left"/>
    </w:pPr>
    <w:rPr>
      <w:rFonts w:ascii="Times New Roman" w:hAnsi="Times New Roman"/>
    </w:rPr>
  </w:style>
  <w:style w:type="paragraph" w:customStyle="1" w:styleId="CharCarCarChar">
    <w:name w:val="Char Car Car Char"/>
    <w:basedOn w:val="Normal"/>
    <w:next w:val="Normal"/>
    <w:rsid w:val="0028727C"/>
    <w:pPr>
      <w:spacing w:after="160" w:line="240" w:lineRule="exact"/>
      <w:jc w:val="left"/>
    </w:pPr>
    <w:rPr>
      <w:rFonts w:ascii="Tahoma" w:hAnsi="Tahoma" w:cs="Tahoma"/>
      <w:szCs w:val="24"/>
      <w:lang w:val="en-US" w:eastAsia="en-US"/>
    </w:rPr>
  </w:style>
  <w:style w:type="paragraph" w:customStyle="1" w:styleId="Char1">
    <w:name w:val="Char1"/>
    <w:basedOn w:val="Normal"/>
    <w:rsid w:val="00F47B73"/>
    <w:pPr>
      <w:spacing w:after="160" w:line="240" w:lineRule="exact"/>
      <w:jc w:val="left"/>
    </w:pPr>
    <w:rPr>
      <w:rFonts w:ascii="Tahoma" w:hAnsi="Tahoma"/>
      <w:sz w:val="20"/>
      <w:lang w:val="en-US" w:eastAsia="en-US"/>
    </w:rPr>
  </w:style>
  <w:style w:type="paragraph" w:customStyle="1" w:styleId="Char">
    <w:name w:val="Char"/>
    <w:basedOn w:val="Normal"/>
    <w:rsid w:val="00124A7A"/>
    <w:pPr>
      <w:spacing w:after="160" w:line="240" w:lineRule="exact"/>
      <w:jc w:val="left"/>
    </w:pPr>
    <w:rPr>
      <w:rFonts w:ascii="Tahoma" w:hAnsi="Tahoma"/>
      <w:sz w:val="20"/>
      <w:lang w:val="en-US" w:eastAsia="en-US"/>
    </w:rPr>
  </w:style>
  <w:style w:type="character" w:customStyle="1" w:styleId="bold">
    <w:name w:val="bold"/>
    <w:basedOn w:val="DefaultParagraphFont"/>
    <w:rsid w:val="005B5CB2"/>
  </w:style>
  <w:style w:type="paragraph" w:customStyle="1" w:styleId="CoverNormal">
    <w:name w:val="CoverNormal"/>
    <w:basedOn w:val="Normal"/>
    <w:rsid w:val="00EA16CF"/>
    <w:pPr>
      <w:widowControl w:val="0"/>
      <w:spacing w:after="0"/>
      <w:ind w:left="1418"/>
      <w:jc w:val="left"/>
    </w:pPr>
    <w:rPr>
      <w:rFonts w:ascii="Times New Roman" w:hAnsi="Times New Roman"/>
    </w:rPr>
  </w:style>
  <w:style w:type="paragraph" w:styleId="CommentSubject">
    <w:name w:val="annotation subject"/>
    <w:aliases w:val=" Char Char Char Char Char"/>
    <w:basedOn w:val="CommentText"/>
    <w:next w:val="CommentText"/>
    <w:semiHidden/>
    <w:rsid w:val="00EA16CF"/>
    <w:pPr>
      <w:spacing w:before="120" w:after="120"/>
    </w:pPr>
    <w:rPr>
      <w:rFonts w:ascii="Times New Roman" w:hAnsi="Times New Roman"/>
      <w:b/>
      <w:bCs/>
      <w:snapToGrid w:val="0"/>
      <w:lang w:val="fr-FR"/>
    </w:rPr>
  </w:style>
  <w:style w:type="character" w:customStyle="1" w:styleId="ListBulletChar1">
    <w:name w:val="List Bullet Char1"/>
    <w:link w:val="ListBullet"/>
    <w:rsid w:val="00EA16CF"/>
    <w:rPr>
      <w:rFonts w:ascii="Courier New" w:hAnsi="Courier New"/>
      <w:sz w:val="24"/>
    </w:rPr>
  </w:style>
  <w:style w:type="character" w:customStyle="1" w:styleId="contents1">
    <w:name w:val="contents1"/>
    <w:rsid w:val="00EA16CF"/>
    <w:rPr>
      <w:rFonts w:ascii="Arial" w:hAnsi="Arial" w:cs="Arial" w:hint="default"/>
      <w:b w:val="0"/>
      <w:bCs w:val="0"/>
      <w:color w:val="666666"/>
      <w:sz w:val="18"/>
      <w:szCs w:val="18"/>
    </w:rPr>
  </w:style>
  <w:style w:type="paragraph" w:customStyle="1" w:styleId="CharChar1Char">
    <w:name w:val="Char Char1 Char"/>
    <w:basedOn w:val="Normal"/>
    <w:rsid w:val="00476BB5"/>
    <w:pPr>
      <w:spacing w:after="160" w:line="240" w:lineRule="exact"/>
      <w:jc w:val="left"/>
    </w:pPr>
    <w:rPr>
      <w:rFonts w:ascii="Tahoma" w:hAnsi="Tahoma"/>
      <w:sz w:val="20"/>
      <w:lang w:val="en-US" w:eastAsia="en-US"/>
    </w:rPr>
  </w:style>
  <w:style w:type="character" w:customStyle="1" w:styleId="FootnoteTextChar2">
    <w:name w:val="Footnote Text Char2"/>
    <w:aliases w:val="Footnote Text Char Char1,Footnote Text Char1 Char Char,Footnote Text Char Char Char Char,Fußnotentext Char Char1 Char Char Char,Fußnotentext Char1 Char1 Char Char Char Char,Fußnotentext Char Char Char Char Char Char Char1 Char"/>
    <w:link w:val="FootnoteText"/>
    <w:rsid w:val="00103DE9"/>
    <w:rPr>
      <w:rFonts w:ascii="Courier New" w:hAnsi="Courier New"/>
      <w:lang w:val="en-GB" w:eastAsia="en-GB" w:bidi="ar-SA"/>
    </w:rPr>
  </w:style>
  <w:style w:type="paragraph" w:customStyle="1" w:styleId="CharChar2CharCharCharCharCharCharChar">
    <w:name w:val="Char Char2 Char Char Char Char Char Char Char"/>
    <w:basedOn w:val="Normal"/>
    <w:rsid w:val="00FE32E0"/>
    <w:pPr>
      <w:spacing w:after="160" w:line="240" w:lineRule="exact"/>
      <w:jc w:val="left"/>
    </w:pPr>
    <w:rPr>
      <w:rFonts w:ascii="Tahoma" w:hAnsi="Tahoma"/>
      <w:sz w:val="20"/>
      <w:lang w:val="en-US" w:eastAsia="en-US"/>
    </w:rPr>
  </w:style>
  <w:style w:type="character" w:customStyle="1" w:styleId="Text1Char">
    <w:name w:val="Text 1 Char"/>
    <w:link w:val="Text1"/>
    <w:rsid w:val="001B76B5"/>
    <w:rPr>
      <w:rFonts w:ascii="Courier New" w:hAnsi="Courier New"/>
      <w:sz w:val="24"/>
      <w:lang w:val="en-GB" w:eastAsia="en-GB" w:bidi="ar-SA"/>
    </w:rPr>
  </w:style>
  <w:style w:type="character" w:customStyle="1" w:styleId="bold1">
    <w:name w:val="bold1"/>
    <w:rsid w:val="00236008"/>
    <w:rPr>
      <w:b/>
      <w:bCs/>
    </w:rPr>
  </w:style>
  <w:style w:type="character" w:customStyle="1" w:styleId="ListChar">
    <w:name w:val="List Char"/>
    <w:link w:val="List"/>
    <w:rsid w:val="009E216E"/>
    <w:rPr>
      <w:rFonts w:ascii="Courier New" w:hAnsi="Courier New"/>
      <w:sz w:val="24"/>
      <w:lang w:val="en-GB" w:eastAsia="en-GB" w:bidi="ar-SA"/>
    </w:rPr>
  </w:style>
  <w:style w:type="character" w:customStyle="1" w:styleId="sup1">
    <w:name w:val="sup1"/>
    <w:rsid w:val="009E216E"/>
    <w:rPr>
      <w:sz w:val="19"/>
      <w:szCs w:val="19"/>
      <w:vertAlign w:val="superscript"/>
    </w:rPr>
  </w:style>
  <w:style w:type="character" w:customStyle="1" w:styleId="Heading1Char1">
    <w:name w:val="Heading 1 Char1"/>
    <w:aliases w:val="Heading 1 Char Char Char Char Char Char Char Char Char Char Char Char Char Char Char"/>
    <w:link w:val="Heading1"/>
    <w:rsid w:val="009E216E"/>
    <w:rPr>
      <w:rFonts w:ascii="Courier New" w:hAnsi="Courier New"/>
      <w:b/>
      <w:smallCaps/>
      <w:sz w:val="24"/>
    </w:rPr>
  </w:style>
  <w:style w:type="paragraph" w:customStyle="1" w:styleId="Statut">
    <w:name w:val="Statut"/>
    <w:basedOn w:val="Normal"/>
    <w:next w:val="Normal"/>
    <w:rsid w:val="00FE35A4"/>
    <w:pPr>
      <w:spacing w:before="360" w:after="0"/>
      <w:jc w:val="center"/>
    </w:pPr>
    <w:rPr>
      <w:rFonts w:ascii="Times New Roman" w:hAnsi="Times New Roman"/>
      <w:lang w:eastAsia="en-US"/>
    </w:rPr>
  </w:style>
  <w:style w:type="paragraph" w:customStyle="1" w:styleId="CharCharCharCharCharCharCharCharChar">
    <w:name w:val="Char Char Char Char Char Char Char Char Char"/>
    <w:aliases w:val=" Char Char Char Char Char Char Char Char Char Char Char Char"/>
    <w:basedOn w:val="Normal"/>
    <w:next w:val="Normal"/>
    <w:rsid w:val="00FE35A4"/>
    <w:pPr>
      <w:spacing w:after="160" w:line="240" w:lineRule="exact"/>
      <w:jc w:val="left"/>
    </w:pPr>
    <w:rPr>
      <w:rFonts w:ascii="Tahoma" w:hAnsi="Tahoma"/>
      <w:lang w:val="en-US" w:eastAsia="en-US"/>
    </w:rPr>
  </w:style>
  <w:style w:type="character" w:customStyle="1" w:styleId="Marker">
    <w:name w:val="Marker"/>
    <w:rsid w:val="00FE35A4"/>
    <w:rPr>
      <w:color w:val="0000FF"/>
      <w:lang w:val="en-GB"/>
    </w:rPr>
  </w:style>
  <w:style w:type="paragraph" w:customStyle="1" w:styleId="CarChar">
    <w:name w:val="Car Char"/>
    <w:basedOn w:val="Normal"/>
    <w:rsid w:val="00573DC5"/>
    <w:pPr>
      <w:spacing w:after="160" w:line="240" w:lineRule="exact"/>
      <w:jc w:val="left"/>
    </w:pPr>
    <w:rPr>
      <w:rFonts w:ascii="Tahoma" w:hAnsi="Tahoma"/>
      <w:sz w:val="20"/>
      <w:lang w:val="en-US" w:eastAsia="en-US"/>
    </w:rPr>
  </w:style>
  <w:style w:type="paragraph" w:customStyle="1" w:styleId="Car">
    <w:name w:val="Car"/>
    <w:basedOn w:val="Normal"/>
    <w:rsid w:val="00F02465"/>
    <w:pPr>
      <w:spacing w:after="160" w:line="240" w:lineRule="exact"/>
      <w:jc w:val="left"/>
    </w:pPr>
    <w:rPr>
      <w:rFonts w:ascii="Arial" w:hAnsi="Arial" w:cs="Arial"/>
      <w:sz w:val="28"/>
      <w:szCs w:val="28"/>
      <w:lang w:val="en-US" w:eastAsia="en-US"/>
    </w:rPr>
  </w:style>
  <w:style w:type="character" w:customStyle="1" w:styleId="ringrefselectedheader">
    <w:name w:val="ring_ref_selected_header"/>
    <w:basedOn w:val="DefaultParagraphFont"/>
    <w:rsid w:val="006D74E0"/>
  </w:style>
  <w:style w:type="character" w:customStyle="1" w:styleId="Normal12HangingChar">
    <w:name w:val="Normal12Hanging Char"/>
    <w:link w:val="Normal12Hanging"/>
    <w:rsid w:val="00990461"/>
    <w:rPr>
      <w:sz w:val="24"/>
      <w:lang w:val="en-GB" w:eastAsia="en-GB" w:bidi="ar-SA"/>
    </w:rPr>
  </w:style>
  <w:style w:type="character" w:customStyle="1" w:styleId="fnChar">
    <w:name w:val="fn Char"/>
    <w:aliases w:val="Footnote Char,Voetnoottekst Char Char,Voetnoottekst Char1 Char,Voetnoottekst Char2 Char Char Char,Voetnoottekst Char Char1 Char Char Char,Podrozdział Char,Podrozdzia3 Char,Footnote text Char,Schriftart: 9 pt Char,Schriftart: 10 pt Char,Char Char"/>
    <w:rsid w:val="00990461"/>
    <w:rPr>
      <w:lang w:val="fr-FR" w:eastAsia="fr-FR" w:bidi="ar-SA"/>
    </w:rPr>
  </w:style>
  <w:style w:type="paragraph" w:customStyle="1" w:styleId="Default">
    <w:name w:val="Default"/>
    <w:rsid w:val="00990461"/>
    <w:pPr>
      <w:autoSpaceDE w:val="0"/>
      <w:autoSpaceDN w:val="0"/>
      <w:adjustRightInd w:val="0"/>
    </w:pPr>
    <w:rPr>
      <w:color w:val="000000"/>
      <w:sz w:val="24"/>
      <w:szCs w:val="24"/>
      <w:lang w:val="fr-FR" w:eastAsia="fr-FR"/>
    </w:rPr>
  </w:style>
  <w:style w:type="paragraph" w:customStyle="1" w:styleId="Hanging12">
    <w:name w:val="Hanging12"/>
    <w:basedOn w:val="Normal"/>
    <w:link w:val="Hanging12Char"/>
    <w:rsid w:val="00253F7D"/>
    <w:pPr>
      <w:widowControl w:val="0"/>
      <w:tabs>
        <w:tab w:val="left" w:pos="357"/>
      </w:tabs>
      <w:ind w:left="357" w:hanging="357"/>
      <w:jc w:val="left"/>
    </w:pPr>
    <w:rPr>
      <w:rFonts w:ascii="Times New Roman" w:hAnsi="Times New Roman"/>
    </w:rPr>
  </w:style>
  <w:style w:type="paragraph" w:customStyle="1" w:styleId="ringsteptitle">
    <w:name w:val="ring_step_title"/>
    <w:basedOn w:val="Normal"/>
    <w:rsid w:val="00FF43F0"/>
    <w:pPr>
      <w:spacing w:after="0"/>
      <w:jc w:val="left"/>
    </w:pPr>
    <w:rPr>
      <w:rFonts w:ascii="Arial" w:hAnsi="Arial" w:cs="Arial"/>
      <w:b/>
      <w:bCs/>
      <w:color w:val="666666"/>
      <w:sz w:val="17"/>
      <w:szCs w:val="17"/>
    </w:rPr>
  </w:style>
  <w:style w:type="character" w:customStyle="1" w:styleId="Normal12HangingCarattere">
    <w:name w:val="Normal12Hanging Carattere"/>
    <w:rsid w:val="00577812"/>
    <w:rPr>
      <w:sz w:val="24"/>
      <w:lang w:val="en-GB" w:eastAsia="en-GB" w:bidi="ar-SA"/>
    </w:rPr>
  </w:style>
  <w:style w:type="character" w:customStyle="1" w:styleId="underline">
    <w:name w:val="underline"/>
    <w:basedOn w:val="DefaultParagraphFont"/>
    <w:rsid w:val="00DA48EF"/>
  </w:style>
  <w:style w:type="character" w:customStyle="1" w:styleId="ctteelong1">
    <w:name w:val="cttee_long1"/>
    <w:rsid w:val="00DA48EF"/>
    <w:rPr>
      <w:b/>
      <w:bCs/>
      <w:color w:val="000000"/>
      <w:sz w:val="25"/>
      <w:szCs w:val="25"/>
    </w:rPr>
  </w:style>
  <w:style w:type="paragraph" w:customStyle="1" w:styleId="CharChar2CharCharCharChar">
    <w:name w:val="Char Char2 Char Char Char Char"/>
    <w:basedOn w:val="Normal"/>
    <w:rsid w:val="00D35B03"/>
    <w:pPr>
      <w:spacing w:after="160" w:line="240" w:lineRule="exact"/>
      <w:jc w:val="left"/>
    </w:pPr>
    <w:rPr>
      <w:rFonts w:ascii="Tahoma" w:hAnsi="Tahoma"/>
      <w:sz w:val="20"/>
      <w:lang w:val="en-US" w:eastAsia="en-US"/>
    </w:rPr>
  </w:style>
  <w:style w:type="paragraph" w:customStyle="1" w:styleId="CharChar7CharCharCharCharCharCharChar">
    <w:name w:val="Char Char7 Char Char Char Char Char Char Char"/>
    <w:basedOn w:val="Normal"/>
    <w:rsid w:val="00CD730B"/>
    <w:pPr>
      <w:spacing w:after="160" w:line="240" w:lineRule="exact"/>
      <w:jc w:val="left"/>
    </w:pPr>
    <w:rPr>
      <w:rFonts w:ascii="Tahoma" w:hAnsi="Tahoma"/>
      <w:sz w:val="20"/>
      <w:lang w:val="en-US" w:eastAsia="en-US"/>
    </w:rPr>
  </w:style>
  <w:style w:type="paragraph" w:customStyle="1" w:styleId="Znak">
    <w:name w:val="Znak"/>
    <w:basedOn w:val="Normal"/>
    <w:rsid w:val="00A76EE9"/>
    <w:pPr>
      <w:spacing w:after="160" w:line="240" w:lineRule="exact"/>
      <w:jc w:val="left"/>
    </w:pPr>
    <w:rPr>
      <w:rFonts w:ascii="Tahoma" w:hAnsi="Tahoma"/>
      <w:sz w:val="20"/>
      <w:lang w:val="en-US" w:eastAsia="en-US"/>
    </w:rPr>
  </w:style>
  <w:style w:type="character" w:customStyle="1" w:styleId="Forte1">
    <w:name w:val="Forte1"/>
    <w:rsid w:val="00386FED"/>
    <w:rPr>
      <w:b/>
      <w:bCs/>
      <w:color w:val="000066"/>
      <w:sz w:val="20"/>
      <w:szCs w:val="20"/>
    </w:rPr>
  </w:style>
  <w:style w:type="character" w:customStyle="1" w:styleId="Hiperligao6">
    <w:name w:val="Hiperligação6"/>
    <w:rsid w:val="00386FED"/>
    <w:rPr>
      <w:color w:val="000066"/>
      <w:sz w:val="20"/>
      <w:szCs w:val="20"/>
      <w:u w:val="single"/>
    </w:rPr>
  </w:style>
  <w:style w:type="character" w:customStyle="1" w:styleId="Text1Car">
    <w:name w:val="Text 1 Car"/>
    <w:rsid w:val="00BD1BAB"/>
    <w:rPr>
      <w:smallCaps/>
      <w:sz w:val="24"/>
      <w:szCs w:val="24"/>
      <w:lang w:val="en-GB" w:eastAsia="en-GB" w:bidi="ar-SA"/>
    </w:rPr>
  </w:style>
  <w:style w:type="character" w:customStyle="1" w:styleId="bodytext1">
    <w:name w:val="bodytext1"/>
    <w:rsid w:val="00B35BF4"/>
    <w:rPr>
      <w:rFonts w:ascii="Verdana" w:hAnsi="Verdana" w:hint="default"/>
      <w:b w:val="0"/>
      <w:bCs w:val="0"/>
      <w:i w:val="0"/>
      <w:iCs w:val="0"/>
      <w:sz w:val="17"/>
      <w:szCs w:val="17"/>
    </w:rPr>
  </w:style>
  <w:style w:type="paragraph" w:customStyle="1" w:styleId="listdash10">
    <w:name w:val="listdash1"/>
    <w:basedOn w:val="Normal"/>
    <w:rsid w:val="00FD3ECC"/>
    <w:pPr>
      <w:tabs>
        <w:tab w:val="num" w:pos="283"/>
      </w:tabs>
      <w:ind w:left="765" w:hanging="283"/>
    </w:pPr>
    <w:rPr>
      <w:rFonts w:ascii="Times New Roman" w:hAnsi="Times New Roman"/>
      <w:szCs w:val="24"/>
    </w:rPr>
  </w:style>
  <w:style w:type="character" w:customStyle="1" w:styleId="FooterChar">
    <w:name w:val="Footer Char"/>
    <w:link w:val="Footer"/>
    <w:rsid w:val="00634CB5"/>
    <w:rPr>
      <w:rFonts w:ascii="Arial" w:hAnsi="Arial"/>
      <w:sz w:val="16"/>
      <w:lang w:val="en-GB" w:eastAsia="en-GB" w:bidi="ar-SA"/>
    </w:rPr>
  </w:style>
  <w:style w:type="paragraph" w:customStyle="1" w:styleId="Cover60">
    <w:name w:val="Cover60"/>
    <w:basedOn w:val="Normal"/>
    <w:rsid w:val="009A6382"/>
    <w:pPr>
      <w:widowControl w:val="0"/>
      <w:spacing w:after="1200"/>
      <w:ind w:left="1418"/>
      <w:jc w:val="left"/>
    </w:pPr>
    <w:rPr>
      <w:rFonts w:ascii="Times New Roman" w:hAnsi="Times New Roman"/>
    </w:rPr>
  </w:style>
  <w:style w:type="paragraph" w:customStyle="1" w:styleId="copy">
    <w:name w:val="copy"/>
    <w:basedOn w:val="Normal"/>
    <w:rsid w:val="009A6382"/>
    <w:pPr>
      <w:spacing w:before="100" w:beforeAutospacing="1" w:after="100" w:afterAutospacing="1" w:line="178" w:lineRule="atLeast"/>
      <w:jc w:val="left"/>
    </w:pPr>
    <w:rPr>
      <w:rFonts w:ascii="Verdana" w:hAnsi="Verdana"/>
      <w:color w:val="000000"/>
      <w:sz w:val="14"/>
      <w:szCs w:val="14"/>
      <w:lang w:val="en-US" w:eastAsia="en-US"/>
    </w:rPr>
  </w:style>
  <w:style w:type="character" w:customStyle="1" w:styleId="ListBulletChar">
    <w:name w:val="List Bullet Char"/>
    <w:rsid w:val="00B36749"/>
    <w:rPr>
      <w:sz w:val="24"/>
      <w:lang w:val="en-GB" w:eastAsia="en-US" w:bidi="ar-SA"/>
    </w:rPr>
  </w:style>
  <w:style w:type="character" w:customStyle="1" w:styleId="Normal12HangingZnak">
    <w:name w:val="Normal12Hanging Znak"/>
    <w:rsid w:val="006474F2"/>
    <w:rPr>
      <w:sz w:val="24"/>
      <w:lang w:val="en-GB" w:eastAsia="en-GB" w:bidi="ar-SA"/>
    </w:rPr>
  </w:style>
  <w:style w:type="character" w:customStyle="1" w:styleId="Text2Char1">
    <w:name w:val="Text 2 Char1"/>
    <w:link w:val="Text2"/>
    <w:rsid w:val="006474F2"/>
    <w:rPr>
      <w:rFonts w:ascii="Courier New" w:hAnsi="Courier New"/>
      <w:sz w:val="24"/>
      <w:lang w:val="en-GB" w:eastAsia="en-GB" w:bidi="ar-SA"/>
    </w:rPr>
  </w:style>
  <w:style w:type="paragraph" w:customStyle="1" w:styleId="Cover24">
    <w:name w:val="Cover24"/>
    <w:basedOn w:val="Normal"/>
    <w:rsid w:val="00CF7345"/>
    <w:pPr>
      <w:widowControl w:val="0"/>
      <w:spacing w:after="480"/>
      <w:ind w:left="1418"/>
      <w:jc w:val="left"/>
    </w:pPr>
    <w:rPr>
      <w:rFonts w:ascii="Times New Roman" w:hAnsi="Times New Roman"/>
      <w:lang w:val="fr-FR"/>
    </w:rPr>
  </w:style>
  <w:style w:type="character" w:customStyle="1" w:styleId="verdanaelflight">
    <w:name w:val="verdanaelflight"/>
    <w:basedOn w:val="DefaultParagraphFont"/>
    <w:rsid w:val="0059734D"/>
  </w:style>
  <w:style w:type="character" w:customStyle="1" w:styleId="titlemep">
    <w:name w:val="titlemep"/>
    <w:basedOn w:val="DefaultParagraphFont"/>
    <w:rsid w:val="000975A5"/>
  </w:style>
  <w:style w:type="character" w:customStyle="1" w:styleId="titlemep2">
    <w:name w:val="titlemep2"/>
    <w:basedOn w:val="DefaultParagraphFont"/>
    <w:rsid w:val="000975A5"/>
  </w:style>
  <w:style w:type="paragraph" w:customStyle="1" w:styleId="Normal6">
    <w:name w:val="Normal6"/>
    <w:basedOn w:val="Normal"/>
    <w:link w:val="Normal6Char"/>
    <w:rsid w:val="00A62579"/>
    <w:pPr>
      <w:widowControl w:val="0"/>
      <w:spacing w:after="120"/>
      <w:jc w:val="left"/>
    </w:pPr>
    <w:rPr>
      <w:rFonts w:ascii="Times New Roman" w:hAnsi="Times New Roman"/>
      <w:noProof/>
    </w:rPr>
  </w:style>
  <w:style w:type="character" w:customStyle="1" w:styleId="Normal6Char">
    <w:name w:val="Normal6 Char"/>
    <w:link w:val="Normal6"/>
    <w:rsid w:val="00A62579"/>
    <w:rPr>
      <w:noProof/>
      <w:sz w:val="24"/>
      <w:lang w:val="en-GB" w:eastAsia="en-GB" w:bidi="ar-SA"/>
    </w:rPr>
  </w:style>
  <w:style w:type="character" w:customStyle="1" w:styleId="ListBulletCharCharChar">
    <w:name w:val="List Bullet Char Char Char"/>
    <w:rsid w:val="00536069"/>
    <w:rPr>
      <w:sz w:val="24"/>
      <w:lang w:val="fr-FR" w:eastAsia="en-US" w:bidi="ar-SA"/>
    </w:rPr>
  </w:style>
  <w:style w:type="paragraph" w:customStyle="1" w:styleId="texte-compact">
    <w:name w:val="texte-compact"/>
    <w:basedOn w:val="Normal"/>
    <w:rsid w:val="00F47793"/>
    <w:pPr>
      <w:spacing w:before="30"/>
      <w:jc w:val="left"/>
    </w:pPr>
    <w:rPr>
      <w:rFonts w:ascii="Times New Roman" w:hAnsi="Times New Roman"/>
      <w:szCs w:val="24"/>
    </w:rPr>
  </w:style>
  <w:style w:type="character" w:customStyle="1" w:styleId="NumPar1Char1">
    <w:name w:val="NumPar 1 Char1"/>
    <w:link w:val="NumPar1"/>
    <w:rsid w:val="00822F9D"/>
    <w:rPr>
      <w:rFonts w:ascii="Courier New" w:hAnsi="Courier New"/>
      <w:sz w:val="24"/>
    </w:rPr>
  </w:style>
  <w:style w:type="paragraph" w:customStyle="1" w:styleId="initial0">
    <w:name w:val="initial"/>
    <w:basedOn w:val="Normal"/>
    <w:rsid w:val="00E01174"/>
    <w:pPr>
      <w:spacing w:after="0"/>
    </w:pPr>
    <w:rPr>
      <w:rFonts w:ascii="Times New Roman" w:hAnsi="Times New Roman"/>
      <w:spacing w:val="-3"/>
      <w:szCs w:val="24"/>
    </w:rPr>
  </w:style>
  <w:style w:type="character" w:customStyle="1" w:styleId="Heading1Char">
    <w:name w:val="Heading 1 Char"/>
    <w:rsid w:val="000A1BDC"/>
    <w:rPr>
      <w:bCs/>
      <w:smallCaps/>
      <w:sz w:val="24"/>
      <w:lang w:val="fr-FR" w:eastAsia="ko-KR" w:bidi="ar-SA"/>
    </w:rPr>
  </w:style>
  <w:style w:type="paragraph" w:customStyle="1" w:styleId="Prliminairetype">
    <w:name w:val="Préliminaire type"/>
    <w:basedOn w:val="Normal"/>
    <w:next w:val="Normal"/>
    <w:rsid w:val="00495658"/>
    <w:pPr>
      <w:spacing w:before="360" w:after="0"/>
      <w:jc w:val="center"/>
    </w:pPr>
    <w:rPr>
      <w:rFonts w:ascii="Times New Roman" w:hAnsi="Times New Roman"/>
      <w:b/>
      <w:szCs w:val="24"/>
      <w:lang w:eastAsia="de-DE"/>
    </w:rPr>
  </w:style>
  <w:style w:type="character" w:customStyle="1" w:styleId="introtext">
    <w:name w:val="introtext"/>
    <w:basedOn w:val="DefaultParagraphFont"/>
    <w:rsid w:val="00FF30F1"/>
  </w:style>
  <w:style w:type="paragraph" w:styleId="ListParagraph">
    <w:name w:val="List Paragraph"/>
    <w:basedOn w:val="Normal"/>
    <w:uiPriority w:val="34"/>
    <w:qFormat/>
    <w:rsid w:val="001C680C"/>
    <w:pPr>
      <w:spacing w:after="200" w:line="276" w:lineRule="auto"/>
      <w:ind w:left="720"/>
      <w:contextualSpacing/>
      <w:jc w:val="left"/>
    </w:pPr>
    <w:rPr>
      <w:rFonts w:ascii="Calibri" w:eastAsia="Calibri" w:hAnsi="Calibri"/>
      <w:sz w:val="22"/>
      <w:szCs w:val="22"/>
      <w:lang w:val="en-US" w:eastAsia="en-US"/>
    </w:rPr>
  </w:style>
  <w:style w:type="paragraph" w:customStyle="1" w:styleId="ZDate">
    <w:name w:val="ZDate"/>
    <w:basedOn w:val="Normal"/>
    <w:rsid w:val="00A03CB8"/>
    <w:pPr>
      <w:widowControl w:val="0"/>
      <w:spacing w:after="1200"/>
      <w:jc w:val="left"/>
    </w:pPr>
    <w:rPr>
      <w:rFonts w:ascii="Times New Roman" w:hAnsi="Times New Roman"/>
    </w:rPr>
  </w:style>
  <w:style w:type="character" w:customStyle="1" w:styleId="Heading3Char">
    <w:name w:val="Heading 3 Char"/>
    <w:link w:val="Heading3"/>
    <w:rsid w:val="0067029D"/>
    <w:rPr>
      <w:rFonts w:ascii="Courier New" w:hAnsi="Courier New"/>
      <w:i/>
      <w:sz w:val="24"/>
    </w:rPr>
  </w:style>
  <w:style w:type="character" w:customStyle="1" w:styleId="5NormalChar">
    <w:name w:val="5 Normal Char"/>
    <w:link w:val="5Normal"/>
    <w:rsid w:val="00AB63A6"/>
    <w:rPr>
      <w:rFonts w:ascii="Arial" w:hAnsi="Arial"/>
      <w:spacing w:val="-2"/>
      <w:sz w:val="22"/>
      <w:lang w:val="en-GB" w:eastAsia="en-GB" w:bidi="ar-SA"/>
    </w:rPr>
  </w:style>
  <w:style w:type="paragraph" w:customStyle="1" w:styleId="Prliminairetitre">
    <w:name w:val="Préliminaire titre"/>
    <w:basedOn w:val="Normal"/>
    <w:next w:val="Normal"/>
    <w:rsid w:val="00E85A91"/>
    <w:pPr>
      <w:spacing w:before="360" w:after="360"/>
      <w:jc w:val="center"/>
    </w:pPr>
    <w:rPr>
      <w:rFonts w:ascii="Times New Roman" w:hAnsi="Times New Roman"/>
      <w:b/>
      <w:szCs w:val="24"/>
      <w:lang w:eastAsia="de-DE"/>
    </w:rPr>
  </w:style>
  <w:style w:type="character" w:customStyle="1" w:styleId="docsubtitlelevel1bis">
    <w:name w:val="doc_subtitle_level1_bis"/>
    <w:basedOn w:val="DefaultParagraphFont"/>
    <w:rsid w:val="00871A9E"/>
  </w:style>
  <w:style w:type="paragraph" w:customStyle="1" w:styleId="a3520normalp5">
    <w:name w:val="a__35__20_normal_p5"/>
    <w:basedOn w:val="Normal"/>
    <w:rsid w:val="00BB7227"/>
    <w:pPr>
      <w:spacing w:after="120"/>
    </w:pPr>
    <w:rPr>
      <w:rFonts w:ascii="Times New Roman" w:hAnsi="Times New Roman"/>
      <w:szCs w:val="24"/>
      <w:lang w:val="en-US" w:eastAsia="en-US"/>
    </w:rPr>
  </w:style>
  <w:style w:type="paragraph" w:customStyle="1" w:styleId="Considrant">
    <w:name w:val="Considérant"/>
    <w:basedOn w:val="Normal"/>
    <w:rsid w:val="009D3B39"/>
    <w:pPr>
      <w:numPr>
        <w:numId w:val="24"/>
      </w:numPr>
      <w:spacing w:before="120" w:after="120"/>
    </w:pPr>
    <w:rPr>
      <w:rFonts w:ascii="Times New Roman" w:hAnsi="Times New Roman"/>
      <w:lang w:eastAsia="zh-CN"/>
    </w:rPr>
  </w:style>
  <w:style w:type="table" w:styleId="TableGrid1">
    <w:name w:val="Table Grid 1"/>
    <w:basedOn w:val="TableNormal"/>
    <w:rsid w:val="009D1A0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THeading2">
    <w:name w:val="AT Heading 2"/>
    <w:basedOn w:val="Normal"/>
    <w:next w:val="Normal"/>
    <w:link w:val="ATHeading2Char"/>
    <w:rsid w:val="004649AB"/>
    <w:pPr>
      <w:spacing w:before="120" w:after="120"/>
      <w:jc w:val="left"/>
      <w:outlineLvl w:val="1"/>
    </w:pPr>
    <w:rPr>
      <w:rFonts w:ascii="Times New Roman" w:hAnsi="Times New Roman"/>
      <w:b/>
      <w:noProof/>
      <w:sz w:val="28"/>
    </w:rPr>
  </w:style>
  <w:style w:type="character" w:customStyle="1" w:styleId="ATHeading2Char">
    <w:name w:val="AT Heading 2 Char"/>
    <w:link w:val="ATHeading2"/>
    <w:rsid w:val="004649AB"/>
    <w:rPr>
      <w:b/>
      <w:noProof/>
      <w:sz w:val="28"/>
      <w:lang w:val="en-GB" w:eastAsia="en-GB" w:bidi="ar-SA"/>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rsid w:val="004649AB"/>
    <w:pPr>
      <w:spacing w:after="160" w:line="240" w:lineRule="exact"/>
      <w:jc w:val="left"/>
    </w:pPr>
    <w:rPr>
      <w:rFonts w:ascii="Times New Roman" w:hAnsi="Times New Roman"/>
      <w:sz w:val="20"/>
      <w:vertAlign w:val="superscript"/>
    </w:rPr>
  </w:style>
  <w:style w:type="character" w:customStyle="1" w:styleId="singlespaceChar">
    <w:name w:val="single space Char"/>
    <w:aliases w:val="footnote text Char1,Fußnote Char,FOOTNOTES Char, Char Char Char Char,Note de bas de page2 Char,Footnotes Char Char,footnote text Char Char,Footnotes Char1,Char Char Char Char"/>
    <w:locked/>
    <w:rsid w:val="004649AB"/>
    <w:rPr>
      <w:lang w:val="fr-FR" w:eastAsia="en-US" w:bidi="ar-SA"/>
    </w:rPr>
  </w:style>
  <w:style w:type="paragraph" w:customStyle="1" w:styleId="Listenabsatz">
    <w:name w:val="Listenabsatz"/>
    <w:basedOn w:val="Normal"/>
    <w:qFormat/>
    <w:rsid w:val="00316C69"/>
    <w:pPr>
      <w:spacing w:after="200" w:line="276" w:lineRule="auto"/>
      <w:ind w:left="720"/>
      <w:contextualSpacing/>
      <w:jc w:val="left"/>
    </w:pPr>
    <w:rPr>
      <w:rFonts w:ascii="Calibri" w:eastAsia="Calibri" w:hAnsi="Calibri"/>
      <w:sz w:val="22"/>
      <w:szCs w:val="22"/>
      <w:lang w:val="de-DE" w:eastAsia="en-US"/>
    </w:rPr>
  </w:style>
  <w:style w:type="paragraph" w:customStyle="1" w:styleId="Point0">
    <w:name w:val="Point 0"/>
    <w:basedOn w:val="Normal"/>
    <w:rsid w:val="001912E2"/>
    <w:pPr>
      <w:spacing w:before="120" w:after="120"/>
      <w:ind w:left="850" w:hanging="850"/>
    </w:pPr>
    <w:rPr>
      <w:rFonts w:ascii="Times New Roman" w:hAnsi="Times New Roman"/>
      <w:szCs w:val="24"/>
      <w:lang w:eastAsia="de-DE"/>
    </w:rPr>
  </w:style>
  <w:style w:type="character" w:customStyle="1" w:styleId="5NormalCar">
    <w:name w:val="5 Normal Car"/>
    <w:rsid w:val="005951D7"/>
    <w:rPr>
      <w:rFonts w:ascii="Arial" w:hAnsi="Arial"/>
      <w:spacing w:val="-2"/>
      <w:sz w:val="22"/>
      <w:lang w:val="en-GB" w:eastAsia="en-GB" w:bidi="ar-SA"/>
    </w:rPr>
  </w:style>
  <w:style w:type="paragraph" w:customStyle="1" w:styleId="Briefingspeakdef">
    <w:name w:val="Briefing speak/def"/>
    <w:basedOn w:val="Normal"/>
    <w:rsid w:val="005951D7"/>
    <w:pPr>
      <w:numPr>
        <w:numId w:val="25"/>
      </w:numPr>
      <w:tabs>
        <w:tab w:val="clear" w:pos="765"/>
        <w:tab w:val="num" w:pos="284"/>
      </w:tabs>
      <w:ind w:left="284" w:hanging="284"/>
    </w:pPr>
    <w:rPr>
      <w:rFonts w:ascii="Tahoma" w:hAnsi="Tahoma" w:cs="Tahoma"/>
      <w:sz w:val="40"/>
      <w:szCs w:val="22"/>
      <w:lang w:eastAsia="en-US"/>
    </w:rPr>
  </w:style>
  <w:style w:type="character" w:customStyle="1" w:styleId="NormalWebChar">
    <w:name w:val="Normal (Web) Char"/>
    <w:aliases w:val="webb Char"/>
    <w:rsid w:val="00AB650D"/>
    <w:rPr>
      <w:sz w:val="24"/>
      <w:szCs w:val="24"/>
      <w:lang w:val="en-GB" w:eastAsia="en-GB" w:bidi="ar-SA"/>
    </w:rPr>
  </w:style>
  <w:style w:type="paragraph" w:customStyle="1" w:styleId="Briefinglist1">
    <w:name w:val="Briefing list 1"/>
    <w:basedOn w:val="Normal"/>
    <w:rsid w:val="007E4EE6"/>
    <w:pPr>
      <w:spacing w:after="0"/>
      <w:jc w:val="left"/>
    </w:pPr>
    <w:rPr>
      <w:rFonts w:ascii="Times New Roman" w:hAnsi="Times New Roman"/>
      <w:szCs w:val="24"/>
    </w:rPr>
  </w:style>
  <w:style w:type="paragraph" w:customStyle="1" w:styleId="Briefingtext">
    <w:name w:val="Briefing text"/>
    <w:basedOn w:val="Normal"/>
    <w:link w:val="BriefingtextChar"/>
    <w:rsid w:val="00217E48"/>
    <w:rPr>
      <w:rFonts w:ascii="Arial" w:hAnsi="Arial" w:cs="Arial"/>
      <w:sz w:val="22"/>
      <w:szCs w:val="24"/>
      <w:lang w:eastAsia="en-US"/>
    </w:rPr>
  </w:style>
  <w:style w:type="character" w:customStyle="1" w:styleId="BriefingtextChar">
    <w:name w:val="Briefing text Char"/>
    <w:link w:val="Briefingtext"/>
    <w:rsid w:val="00217E48"/>
    <w:rPr>
      <w:rFonts w:ascii="Arial" w:hAnsi="Arial" w:cs="Arial"/>
      <w:sz w:val="22"/>
      <w:szCs w:val="24"/>
      <w:lang w:val="en-GB" w:eastAsia="en-US" w:bidi="ar-SA"/>
    </w:rPr>
  </w:style>
  <w:style w:type="numbering" w:styleId="111111">
    <w:name w:val="Outline List 2"/>
    <w:basedOn w:val="NoList"/>
    <w:rsid w:val="00BC35A6"/>
    <w:pPr>
      <w:numPr>
        <w:numId w:val="26"/>
      </w:numPr>
    </w:pPr>
  </w:style>
  <w:style w:type="character" w:customStyle="1" w:styleId="at11">
    <w:name w:val="a__t11"/>
    <w:rsid w:val="008B3A18"/>
    <w:rPr>
      <w:b/>
      <w:bCs/>
    </w:rPr>
  </w:style>
  <w:style w:type="paragraph" w:customStyle="1" w:styleId="a3520normal">
    <w:name w:val="a___35__20_normal"/>
    <w:basedOn w:val="Normal"/>
    <w:rsid w:val="0069026C"/>
    <w:pPr>
      <w:spacing w:before="30"/>
      <w:jc w:val="left"/>
    </w:pPr>
    <w:rPr>
      <w:rFonts w:ascii="Times New Roman" w:hAnsi="Times New Roman"/>
      <w:sz w:val="20"/>
    </w:rPr>
  </w:style>
  <w:style w:type="character" w:customStyle="1" w:styleId="at1">
    <w:name w:val="a__t1"/>
    <w:basedOn w:val="DefaultParagraphFont"/>
    <w:rsid w:val="00AE7C82"/>
  </w:style>
  <w:style w:type="character" w:customStyle="1" w:styleId="at51">
    <w:name w:val="a__t51"/>
    <w:rsid w:val="00AE7C82"/>
    <w:rPr>
      <w:i/>
      <w:iCs/>
    </w:rPr>
  </w:style>
  <w:style w:type="character" w:customStyle="1" w:styleId="at61">
    <w:name w:val="a__t61"/>
    <w:rsid w:val="00AE7C82"/>
    <w:rPr>
      <w:u w:val="single"/>
    </w:rPr>
  </w:style>
  <w:style w:type="character" w:customStyle="1" w:styleId="at111">
    <w:name w:val="a__t111"/>
    <w:rsid w:val="00AE7C82"/>
    <w:rPr>
      <w:color w:val="000000"/>
    </w:rPr>
  </w:style>
  <w:style w:type="paragraph" w:customStyle="1" w:styleId="Rapporteur">
    <w:name w:val="Rapporteur"/>
    <w:basedOn w:val="Normal"/>
    <w:rsid w:val="00E72F7C"/>
    <w:pPr>
      <w:tabs>
        <w:tab w:val="num" w:pos="540"/>
        <w:tab w:val="left" w:pos="2160"/>
      </w:tabs>
      <w:spacing w:after="120"/>
      <w:ind w:left="540"/>
    </w:pPr>
    <w:rPr>
      <w:rFonts w:ascii="Times New Roman" w:hAnsi="Times New Roman"/>
      <w:szCs w:val="24"/>
      <w:u w:val="single"/>
      <w:lang w:val="fr-FR" w:eastAsia="en-US"/>
    </w:rPr>
  </w:style>
  <w:style w:type="paragraph" w:customStyle="1" w:styleId="5normal0">
    <w:name w:val="5normal"/>
    <w:basedOn w:val="Normal"/>
    <w:rsid w:val="00C124C9"/>
    <w:pPr>
      <w:spacing w:before="100" w:beforeAutospacing="1" w:after="100" w:afterAutospacing="1"/>
      <w:jc w:val="left"/>
    </w:pPr>
    <w:rPr>
      <w:rFonts w:ascii="Arial" w:hAnsi="Arial" w:cs="Arial"/>
      <w:sz w:val="20"/>
    </w:rPr>
  </w:style>
  <w:style w:type="character" w:customStyle="1" w:styleId="hps">
    <w:name w:val="hps"/>
    <w:basedOn w:val="DefaultParagraphFont"/>
    <w:rsid w:val="002C30C5"/>
  </w:style>
  <w:style w:type="character" w:customStyle="1" w:styleId="FootnoteTextCharCharCharCharChar1">
    <w:name w:val="Footnote Text Char Char Char Char Char1"/>
    <w:aliases w:val="Footnote Text Char Char Char1,Footnote Text Char Char Char Char Char Char,Footnote Text Char Char Char Char Char Char Char Char Char,Footnote Text Char Char Char Char1,Schriftart: 9 pt Char1"/>
    <w:semiHidden/>
    <w:locked/>
    <w:rsid w:val="00EA0D59"/>
    <w:rPr>
      <w:lang w:val="es-ES_tradnl" w:eastAsia="en-GB" w:bidi="ar-SA"/>
    </w:rPr>
  </w:style>
  <w:style w:type="character" w:customStyle="1" w:styleId="InitialChar">
    <w:name w:val="Initial Char"/>
    <w:link w:val="Initial"/>
    <w:rsid w:val="00FD22F7"/>
    <w:rPr>
      <w:spacing w:val="-3"/>
      <w:sz w:val="24"/>
      <w:lang w:val="en-US" w:eastAsia="en-GB" w:bidi="ar-SA"/>
    </w:rPr>
  </w:style>
  <w:style w:type="paragraph" w:customStyle="1" w:styleId="Briefingspdef">
    <w:name w:val="Briefing sp/def"/>
    <w:basedOn w:val="Normal"/>
    <w:rsid w:val="00FD22F7"/>
    <w:pPr>
      <w:keepLines/>
      <w:numPr>
        <w:numId w:val="27"/>
      </w:numPr>
      <w:spacing w:after="480"/>
    </w:pPr>
    <w:rPr>
      <w:rFonts w:ascii="Arial" w:hAnsi="Arial" w:cs="Arial"/>
      <w:sz w:val="48"/>
      <w:szCs w:val="48"/>
    </w:rPr>
  </w:style>
  <w:style w:type="character" w:customStyle="1" w:styleId="titlemep1">
    <w:name w:val="titlemep1"/>
    <w:rsid w:val="00DC0AA5"/>
    <w:rPr>
      <w:rFonts w:ascii="Verdana" w:hAnsi="Verdana" w:hint="default"/>
      <w:b/>
      <w:bCs/>
      <w:color w:val="48452D"/>
      <w:sz w:val="16"/>
      <w:szCs w:val="16"/>
    </w:rPr>
  </w:style>
  <w:style w:type="character" w:customStyle="1" w:styleId="referencenotice">
    <w:name w:val="reference_notice"/>
    <w:basedOn w:val="DefaultParagraphFont"/>
    <w:rsid w:val="007D628A"/>
  </w:style>
  <w:style w:type="character" w:customStyle="1" w:styleId="ephidden1">
    <w:name w:val="ep_hidden1"/>
    <w:rsid w:val="00ED4495"/>
    <w:rPr>
      <w:vanish w:val="0"/>
      <w:webHidden w:val="0"/>
      <w:color w:val="000000"/>
      <w:shd w:val="clear" w:color="auto" w:fill="FFFFFF"/>
      <w:specVanish w:val="0"/>
    </w:rPr>
  </w:style>
  <w:style w:type="character" w:customStyle="1" w:styleId="playersrapportertext1">
    <w:name w:val="players_rapporter_text1"/>
    <w:basedOn w:val="DefaultParagraphFont"/>
    <w:rsid w:val="00151572"/>
  </w:style>
  <w:style w:type="character" w:customStyle="1" w:styleId="apple-converted-space">
    <w:name w:val="apple-converted-space"/>
    <w:basedOn w:val="DefaultParagraphFont"/>
    <w:rsid w:val="00151572"/>
  </w:style>
  <w:style w:type="character" w:customStyle="1" w:styleId="ringrefselectedheader1">
    <w:name w:val="ring_ref_selected_header1"/>
    <w:rsid w:val="00A12CB4"/>
    <w:rPr>
      <w:rFonts w:ascii="Arial" w:hAnsi="Arial" w:cs="Arial" w:hint="default"/>
      <w:b w:val="0"/>
      <w:bCs w:val="0"/>
      <w:strike w:val="0"/>
      <w:dstrike w:val="0"/>
      <w:color w:val="666666"/>
      <w:sz w:val="22"/>
      <w:szCs w:val="22"/>
      <w:u w:val="none"/>
      <w:effect w:val="none"/>
      <w:bdr w:val="single" w:sz="4" w:space="0" w:color="0077BE" w:frame="1"/>
      <w:shd w:val="clear" w:color="auto" w:fill="FFFFFF"/>
    </w:rPr>
  </w:style>
  <w:style w:type="paragraph" w:customStyle="1" w:styleId="briefingspdef0">
    <w:name w:val="briefingspdef"/>
    <w:basedOn w:val="Normal"/>
    <w:rsid w:val="00A12CB4"/>
    <w:pPr>
      <w:spacing w:before="100" w:beforeAutospacing="1" w:after="100" w:afterAutospacing="1"/>
      <w:jc w:val="left"/>
    </w:pPr>
    <w:rPr>
      <w:rFonts w:ascii="Times New Roman" w:hAnsi="Times New Roman"/>
      <w:szCs w:val="24"/>
    </w:rPr>
  </w:style>
  <w:style w:type="character" w:customStyle="1" w:styleId="contentssmallbis1">
    <w:name w:val="contents_small_bis1"/>
    <w:rsid w:val="00801E69"/>
    <w:rPr>
      <w:rFonts w:ascii="Arial" w:hAnsi="Arial" w:cs="Arial" w:hint="default"/>
      <w:b w:val="0"/>
      <w:bCs w:val="0"/>
      <w:color w:val="999999"/>
      <w:sz w:val="24"/>
      <w:szCs w:val="24"/>
    </w:rPr>
  </w:style>
  <w:style w:type="character" w:customStyle="1" w:styleId="auteur">
    <w:name w:val="auteur"/>
    <w:basedOn w:val="DefaultParagraphFont"/>
    <w:rsid w:val="00801E69"/>
  </w:style>
  <w:style w:type="character" w:customStyle="1" w:styleId="reference2">
    <w:name w:val="reference2"/>
    <w:rsid w:val="00402C69"/>
    <w:rPr>
      <w:b/>
      <w:bCs/>
    </w:rPr>
  </w:style>
  <w:style w:type="paragraph" w:customStyle="1" w:styleId="CoverBold">
    <w:name w:val="CoverBold"/>
    <w:basedOn w:val="Normal"/>
    <w:rsid w:val="00023C78"/>
    <w:pPr>
      <w:widowControl w:val="0"/>
      <w:spacing w:after="0"/>
      <w:ind w:left="1418"/>
      <w:jc w:val="left"/>
    </w:pPr>
    <w:rPr>
      <w:rFonts w:ascii="Times New Roman" w:hAnsi="Times New Roman"/>
      <w:b/>
    </w:rPr>
  </w:style>
  <w:style w:type="paragraph" w:customStyle="1" w:styleId="s16">
    <w:name w:val="s16"/>
    <w:basedOn w:val="Normal"/>
    <w:rsid w:val="0093481E"/>
    <w:pPr>
      <w:spacing w:before="100" w:beforeAutospacing="1" w:after="100" w:afterAutospacing="1"/>
      <w:jc w:val="left"/>
    </w:pPr>
    <w:rPr>
      <w:rFonts w:ascii="Times New Roman" w:hAnsi="Times New Roman"/>
      <w:szCs w:val="24"/>
    </w:rPr>
  </w:style>
  <w:style w:type="character" w:customStyle="1" w:styleId="bumpedfont15">
    <w:name w:val="bumpedfont15"/>
    <w:basedOn w:val="DefaultParagraphFont"/>
    <w:rsid w:val="0093481E"/>
  </w:style>
  <w:style w:type="paragraph" w:styleId="NoSpacing">
    <w:name w:val="No Spacing"/>
    <w:link w:val="NoSpacingChar"/>
    <w:uiPriority w:val="1"/>
    <w:qFormat/>
    <w:rsid w:val="005855E7"/>
    <w:rPr>
      <w:rFonts w:ascii="Arial" w:hAnsi="Arial"/>
      <w:sz w:val="22"/>
      <w:szCs w:val="22"/>
      <w:lang w:val="en-GB"/>
    </w:rPr>
  </w:style>
  <w:style w:type="character" w:styleId="HTMLCite">
    <w:name w:val="HTML Cite"/>
    <w:rsid w:val="0050397D"/>
    <w:rPr>
      <w:i w:val="0"/>
      <w:iCs w:val="0"/>
      <w:color w:val="0E774A"/>
    </w:rPr>
  </w:style>
  <w:style w:type="character" w:customStyle="1" w:styleId="Hanging12Char">
    <w:name w:val="Hanging12 Char"/>
    <w:link w:val="Hanging12"/>
    <w:locked/>
    <w:rsid w:val="00E61FC7"/>
    <w:rPr>
      <w:sz w:val="24"/>
      <w:lang w:val="en-GB" w:eastAsia="en-GB" w:bidi="ar-SA"/>
    </w:rPr>
  </w:style>
  <w:style w:type="paragraph" w:customStyle="1" w:styleId="ZnakZnak">
    <w:name w:val="Znak Znak"/>
    <w:basedOn w:val="Normal"/>
    <w:link w:val="NoList"/>
    <w:rsid w:val="00E61FC7"/>
    <w:pPr>
      <w:spacing w:after="0" w:line="360" w:lineRule="auto"/>
    </w:pPr>
    <w:rPr>
      <w:rFonts w:ascii="Verdana" w:hAnsi="Verdana"/>
      <w:sz w:val="20"/>
      <w:lang w:val="pl-PL" w:eastAsia="pl-PL"/>
    </w:rPr>
  </w:style>
  <w:style w:type="character" w:customStyle="1" w:styleId="st">
    <w:name w:val="st"/>
    <w:rsid w:val="00EC3A6B"/>
  </w:style>
  <w:style w:type="character" w:customStyle="1" w:styleId="CommentTextChar">
    <w:name w:val="Comment Text Char"/>
    <w:link w:val="CommentText"/>
    <w:rsid w:val="007726A9"/>
    <w:rPr>
      <w:rFonts w:ascii="Courier New" w:hAnsi="Courier New"/>
      <w:lang w:val="en-GB" w:eastAsia="en-GB" w:bidi="ar-SA"/>
    </w:rPr>
  </w:style>
  <w:style w:type="character" w:customStyle="1" w:styleId="highlightedsearchterm">
    <w:name w:val="highlightedsearchterm"/>
    <w:rsid w:val="007726A9"/>
  </w:style>
  <w:style w:type="character" w:customStyle="1" w:styleId="iceouttxtcommissiondossiercontenttablecol3-title">
    <w:name w:val="iceouttxt commissiondossiercontenttablecol3-title"/>
    <w:rsid w:val="007726A9"/>
    <w:rPr>
      <w:sz w:val="24"/>
      <w:szCs w:val="24"/>
      <w:bdr w:val="none" w:sz="0" w:space="0" w:color="auto" w:frame="1"/>
      <w:vertAlign w:val="baseline"/>
    </w:rPr>
  </w:style>
  <w:style w:type="character" w:customStyle="1" w:styleId="FootnoteTextCharCarChar">
    <w:name w:val="Footnote Text Char Car Char"/>
    <w:aliases w:val="Fußnotentextf Char,Note de bas de page 1 Char,footnote Char,Voetnoottekst Char Char Char Char Char,Voetnoottekst1 Char,Sprotna opomba - besedilo Znak Znak Znak Char,Sprotna opomba - besedilo Znak Znak Char"/>
    <w:rsid w:val="00721020"/>
    <w:rPr>
      <w:lang w:val="en-GB" w:eastAsia="en-GB" w:bidi="ar-SA"/>
    </w:rPr>
  </w:style>
  <w:style w:type="paragraph" w:customStyle="1" w:styleId="intropara">
    <w:name w:val="intropara"/>
    <w:basedOn w:val="Normal"/>
    <w:rsid w:val="009B7E72"/>
    <w:pPr>
      <w:spacing w:before="100" w:beforeAutospacing="1" w:after="100" w:afterAutospacing="1"/>
      <w:ind w:right="612"/>
      <w:jc w:val="left"/>
    </w:pPr>
    <w:rPr>
      <w:rFonts w:ascii="Times New Roman" w:hAnsi="Times New Roman"/>
      <w:b/>
      <w:bCs/>
      <w:szCs w:val="24"/>
    </w:rPr>
  </w:style>
  <w:style w:type="paragraph" w:customStyle="1" w:styleId="ZnakZnak0">
    <w:name w:val="Znak Znak0"/>
    <w:basedOn w:val="Normal"/>
    <w:rsid w:val="002D2D7A"/>
    <w:pPr>
      <w:spacing w:after="0" w:line="360" w:lineRule="auto"/>
    </w:pPr>
    <w:rPr>
      <w:rFonts w:ascii="Verdana" w:hAnsi="Verdana"/>
      <w:sz w:val="20"/>
      <w:lang w:val="pl-PL" w:eastAsia="pl-PL"/>
    </w:rPr>
  </w:style>
  <w:style w:type="character" w:customStyle="1" w:styleId="NoSpacingChar">
    <w:name w:val="No Spacing Char"/>
    <w:link w:val="NoSpacing"/>
    <w:uiPriority w:val="1"/>
    <w:locked/>
    <w:rsid w:val="00513CF8"/>
    <w:rPr>
      <w:rFonts w:ascii="Arial" w:hAnsi="Arial"/>
      <w:sz w:val="22"/>
      <w:szCs w:val="22"/>
      <w:lang w:eastAsia="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rsid w:val="00CF192F"/>
    <w:pPr>
      <w:spacing w:after="160" w:line="240" w:lineRule="exact"/>
    </w:pPr>
    <w:rPr>
      <w:rFonts w:ascii="Times New Roman" w:hAnsi="Times New Roman"/>
      <w:sz w:val="20"/>
      <w:vertAlign w:val="superscript"/>
    </w:rPr>
  </w:style>
  <w:style w:type="character" w:customStyle="1" w:styleId="at7">
    <w:name w:val="a__t7"/>
    <w:rsid w:val="00B76067"/>
  </w:style>
  <w:style w:type="paragraph" w:customStyle="1" w:styleId="BVIfnrCarCar">
    <w:name w:val="BVI fnr Car Car"/>
    <w:aliases w:val="BVI fnr Car,BVI fnr Car Car Car Car,BVI fnr Char Char Char Char Char Char Char"/>
    <w:basedOn w:val="Normal"/>
    <w:uiPriority w:val="99"/>
    <w:rsid w:val="003C6D10"/>
    <w:pPr>
      <w:spacing w:before="120" w:after="160" w:line="240" w:lineRule="exact"/>
      <w:jc w:val="left"/>
    </w:pPr>
    <w:rPr>
      <w:rFonts w:ascii="Calibri" w:eastAsia="Calibri" w:hAnsi="Calibri"/>
      <w:sz w:val="22"/>
      <w:szCs w:val="22"/>
      <w:vertAlign w:val="superscript"/>
      <w:lang w:eastAsia="en-US"/>
    </w:rPr>
  </w:style>
  <w:style w:type="paragraph" w:customStyle="1" w:styleId="En-ttedetabledesmatires">
    <w:name w:val="En-tête de table des matières"/>
    <w:basedOn w:val="Normal"/>
    <w:next w:val="Normal"/>
    <w:qFormat/>
    <w:rsid w:val="007C5D8A"/>
    <w:pPr>
      <w:keepNext/>
      <w:spacing w:before="240"/>
      <w:jc w:val="center"/>
    </w:pPr>
    <w:rPr>
      <w:b/>
    </w:rPr>
  </w:style>
  <w:style w:type="paragraph" w:customStyle="1" w:styleId="ColorfulList-Accent11">
    <w:name w:val="Colorful List - Accent 11"/>
    <w:basedOn w:val="Normal"/>
    <w:qFormat/>
    <w:rsid w:val="007C5D8A"/>
    <w:pPr>
      <w:spacing w:after="200" w:line="276" w:lineRule="auto"/>
      <w:ind w:left="720"/>
      <w:contextualSpacing/>
      <w:jc w:val="left"/>
    </w:pPr>
    <w:rPr>
      <w:rFonts w:ascii="Calibri" w:eastAsia="Calibri" w:hAnsi="Calibri"/>
      <w:sz w:val="22"/>
      <w:szCs w:val="22"/>
      <w:lang w:val="en-US" w:eastAsia="en-US"/>
    </w:rPr>
  </w:style>
  <w:style w:type="paragraph" w:customStyle="1" w:styleId="MediumGrid21">
    <w:name w:val="Medium Grid 21"/>
    <w:link w:val="MediumGrid2Char"/>
    <w:uiPriority w:val="1"/>
    <w:qFormat/>
    <w:rsid w:val="007C5D8A"/>
    <w:rPr>
      <w:rFonts w:ascii="Arial" w:hAnsi="Arial"/>
      <w:sz w:val="22"/>
      <w:szCs w:val="22"/>
      <w:lang w:val="en-GB"/>
    </w:rPr>
  </w:style>
  <w:style w:type="character" w:customStyle="1" w:styleId="MediumGrid2Char">
    <w:name w:val="Medium Grid 2 Char"/>
    <w:link w:val="MediumGrid21"/>
    <w:uiPriority w:val="1"/>
    <w:locked/>
    <w:rsid w:val="007C5D8A"/>
    <w:rPr>
      <w:rFonts w:ascii="Arial" w:hAnsi="Arial"/>
      <w:sz w:val="22"/>
      <w:szCs w:val="22"/>
      <w:lang w:eastAsia="en-US"/>
    </w:rPr>
  </w:style>
  <w:style w:type="character" w:customStyle="1" w:styleId="subcontenttext2">
    <w:name w:val="subcontenttext2"/>
    <w:rsid w:val="007C5D8A"/>
    <w:rPr>
      <w:color w:val="000000"/>
    </w:rPr>
  </w:style>
  <w:style w:type="paragraph" w:customStyle="1" w:styleId="astandard">
    <w:name w:val="a__standard"/>
    <w:basedOn w:val="Normal"/>
    <w:rsid w:val="007C5D8A"/>
    <w:pPr>
      <w:spacing w:after="120"/>
      <w:ind w:right="57"/>
    </w:pPr>
    <w:rPr>
      <w:rFonts w:ascii="Times New Roman" w:hAnsi="Times New Roman"/>
      <w:szCs w:val="24"/>
    </w:rPr>
  </w:style>
  <w:style w:type="paragraph" w:customStyle="1" w:styleId="astandard3520normal">
    <w:name w:val="a_standard__35__20_normal"/>
    <w:basedOn w:val="Normal"/>
    <w:rsid w:val="007C5D8A"/>
    <w:pPr>
      <w:spacing w:after="120"/>
      <w:ind w:right="57"/>
    </w:pPr>
    <w:rPr>
      <w:rFonts w:ascii="Times New Roman" w:hAnsi="Times New Roman"/>
      <w:szCs w:val="24"/>
    </w:rPr>
  </w:style>
  <w:style w:type="paragraph" w:customStyle="1" w:styleId="astandardp1">
    <w:name w:val="a_standard_p1"/>
    <w:basedOn w:val="Normal"/>
    <w:rsid w:val="007C5D8A"/>
    <w:pPr>
      <w:spacing w:after="120"/>
      <w:ind w:right="57"/>
    </w:pPr>
    <w:rPr>
      <w:rFonts w:ascii="Times New Roman" w:hAnsi="Times New Roman"/>
      <w:szCs w:val="24"/>
    </w:rPr>
  </w:style>
  <w:style w:type="paragraph" w:customStyle="1" w:styleId="a3520normalp10">
    <w:name w:val="a__35__20_normal_p10"/>
    <w:basedOn w:val="Normal"/>
    <w:rsid w:val="007C5D8A"/>
    <w:pPr>
      <w:spacing w:after="120"/>
      <w:ind w:right="57"/>
    </w:pPr>
    <w:rPr>
      <w:rFonts w:ascii="Times New Roman" w:hAnsi="Times New Roman"/>
      <w:szCs w:val="24"/>
    </w:rPr>
  </w:style>
  <w:style w:type="paragraph" w:customStyle="1" w:styleId="asous-titre201p11">
    <w:name w:val="a_sous-titre_20_1_p11"/>
    <w:basedOn w:val="Normal"/>
    <w:rsid w:val="007C5D8A"/>
    <w:pPr>
      <w:spacing w:after="120"/>
      <w:ind w:right="57"/>
    </w:pPr>
    <w:rPr>
      <w:rFonts w:ascii="Times New Roman" w:hAnsi="Times New Roman"/>
      <w:b/>
      <w:bCs/>
      <w:szCs w:val="24"/>
    </w:rPr>
  </w:style>
  <w:style w:type="character" w:customStyle="1" w:styleId="at3">
    <w:name w:val="a__t3"/>
    <w:rsid w:val="007C5D8A"/>
  </w:style>
  <w:style w:type="character" w:customStyle="1" w:styleId="at5">
    <w:name w:val="a__t5"/>
    <w:rsid w:val="007C5D8A"/>
  </w:style>
  <w:style w:type="paragraph" w:customStyle="1" w:styleId="CM1">
    <w:name w:val="CM1"/>
    <w:basedOn w:val="Default"/>
    <w:next w:val="Default"/>
    <w:uiPriority w:val="99"/>
    <w:rsid w:val="007C5D8A"/>
    <w:rPr>
      <w:rFonts w:ascii="EUAlbertina" w:hAnsi="EUAlbertina"/>
      <w:color w:val="auto"/>
      <w:lang w:val="en-GB" w:eastAsia="en-GB"/>
    </w:rPr>
  </w:style>
  <w:style w:type="paragraph" w:customStyle="1" w:styleId="CM3">
    <w:name w:val="CM3"/>
    <w:basedOn w:val="Default"/>
    <w:next w:val="Default"/>
    <w:uiPriority w:val="99"/>
    <w:rsid w:val="007C5D8A"/>
    <w:rPr>
      <w:rFonts w:ascii="EUAlbertina" w:hAnsi="EUAlbertina"/>
      <w:color w:val="auto"/>
      <w:lang w:val="en-GB" w:eastAsia="en-GB"/>
    </w:rPr>
  </w:style>
  <w:style w:type="paragraph" w:customStyle="1" w:styleId="CM4">
    <w:name w:val="CM4"/>
    <w:basedOn w:val="Default"/>
    <w:next w:val="Default"/>
    <w:uiPriority w:val="99"/>
    <w:rsid w:val="007C5D8A"/>
    <w:rPr>
      <w:rFonts w:ascii="EUAlbertina" w:hAnsi="EUAlbertina"/>
      <w:color w:val="auto"/>
      <w:lang w:val="en-GB" w:eastAsia="en-GB"/>
    </w:rPr>
  </w:style>
  <w:style w:type="character" w:customStyle="1" w:styleId="st1">
    <w:name w:val="st1"/>
    <w:rsid w:val="007C5D8A"/>
  </w:style>
  <w:style w:type="character" w:customStyle="1" w:styleId="CharacterStyle1">
    <w:name w:val="Character Style 1"/>
    <w:uiPriority w:val="99"/>
    <w:rsid w:val="007C5D8A"/>
    <w:rPr>
      <w:rFonts w:ascii="Arial" w:hAnsi="Arial" w:cs="Arial" w:hint="default"/>
      <w:sz w:val="6"/>
    </w:rPr>
  </w:style>
  <w:style w:type="character" w:customStyle="1" w:styleId="subcontenttextbold2">
    <w:name w:val="subcontenttextbold2"/>
    <w:rsid w:val="007C5D8A"/>
    <w:rPr>
      <w:b/>
      <w:bCs/>
      <w:color w:val="000000"/>
    </w:rPr>
  </w:style>
  <w:style w:type="paragraph" w:styleId="Revision">
    <w:name w:val="Revision"/>
    <w:hidden/>
    <w:uiPriority w:val="99"/>
    <w:semiHidden/>
    <w:rsid w:val="007C5D8A"/>
    <w:rPr>
      <w:rFonts w:ascii="Courier New" w:hAnsi="Courier New"/>
      <w:sz w:val="24"/>
      <w:lang w:val="en-GB" w:eastAsia="en-GB"/>
    </w:rPr>
  </w:style>
  <w:style w:type="paragraph" w:customStyle="1" w:styleId="normal2">
    <w:name w:val="normal2"/>
    <w:basedOn w:val="Normal"/>
    <w:rsid w:val="007C5D8A"/>
    <w:pPr>
      <w:spacing w:before="195" w:after="0"/>
    </w:pPr>
    <w:rPr>
      <w:rFonts w:ascii="Times New Roman" w:hAnsi="Times New Roman"/>
      <w:szCs w:val="24"/>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l"/>
    <w:rsid w:val="00E95D68"/>
    <w:pPr>
      <w:spacing w:before="240" w:after="160" w:line="240" w:lineRule="exact"/>
      <w:jc w:val="left"/>
    </w:pPr>
    <w:rPr>
      <w:rFonts w:ascii="Times New Roman" w:hAnsi="Times New Roman"/>
      <w:sz w:val="20"/>
      <w:vertAlign w:val="superscript"/>
    </w:rPr>
  </w:style>
  <w:style w:type="character" w:customStyle="1" w:styleId="PlainTextChar">
    <w:name w:val="Plain Text Char"/>
    <w:link w:val="PlainText"/>
    <w:uiPriority w:val="99"/>
    <w:rsid w:val="00866EEF"/>
    <w:rPr>
      <w:rFonts w:ascii="Courier New" w:hAnsi="Courier New"/>
    </w:rPr>
  </w:style>
  <w:style w:type="character" w:customStyle="1" w:styleId="A5">
    <w:name w:val="A5"/>
    <w:uiPriority w:val="99"/>
    <w:rsid w:val="007F48ED"/>
    <w:rPr>
      <w:rFonts w:cs="EC Square Sans Cond Pro"/>
      <w:color w:val="000000"/>
      <w:sz w:val="22"/>
      <w:szCs w:val="22"/>
    </w:rPr>
  </w:style>
  <w:style w:type="paragraph" w:customStyle="1" w:styleId="Appelnotedebasdep">
    <w:name w:val="Appel note de bas de p"/>
    <w:aliases w:val="Nota,Ref, Char1,(NECG) Footnote Reference,fr,Style 6,Signature Ch"/>
    <w:basedOn w:val="Normal"/>
    <w:next w:val="Normal"/>
    <w:uiPriority w:val="99"/>
    <w:rsid w:val="008C79B9"/>
    <w:pPr>
      <w:spacing w:after="160" w:line="240" w:lineRule="exact"/>
      <w:jc w:val="left"/>
    </w:pPr>
    <w:rPr>
      <w:rFonts w:ascii="Times New Roman" w:hAnsi="Times New Roman"/>
      <w:sz w:val="20"/>
      <w:vertAlign w:val="superscript"/>
    </w:rPr>
  </w:style>
  <w:style w:type="character" w:customStyle="1" w:styleId="Corpsdutexte5">
    <w:name w:val="Corps du texte (5)_"/>
    <w:link w:val="Corpsdutexte50"/>
    <w:rsid w:val="00096700"/>
    <w:rPr>
      <w:sz w:val="22"/>
      <w:szCs w:val="22"/>
      <w:shd w:val="clear" w:color="auto" w:fill="FFFFFF"/>
    </w:rPr>
  </w:style>
  <w:style w:type="paragraph" w:customStyle="1" w:styleId="Corpsdutexte50">
    <w:name w:val="Corps du texte (5)"/>
    <w:basedOn w:val="Normal"/>
    <w:link w:val="Corpsdutexte5"/>
    <w:rsid w:val="00096700"/>
    <w:pPr>
      <w:widowControl w:val="0"/>
      <w:shd w:val="clear" w:color="auto" w:fill="FFFFFF"/>
      <w:spacing w:before="300" w:after="60" w:line="0" w:lineRule="atLeast"/>
      <w:ind w:hanging="360"/>
      <w:jc w:val="left"/>
    </w:pPr>
    <w:rPr>
      <w:rFonts w:ascii="Times New Roman" w:hAnsi="Times New Roman"/>
      <w:sz w:val="22"/>
      <w:szCs w:val="22"/>
    </w:rPr>
  </w:style>
  <w:style w:type="paragraph" w:customStyle="1" w:styleId="-FNCharCharChar">
    <w:name w:val="Знак сноски-FN Char Char Char"/>
    <w:aliases w:val="сноска Char Char Char,Footnote Reference 2 Char Char Char Char Char,16 Point Char Char Char Char Char,Superscript 6 Point Char Char Char Char Char,BVI fnr Char Char Char Char Char"/>
    <w:basedOn w:val="Normal"/>
    <w:uiPriority w:val="99"/>
    <w:rsid w:val="00D8297C"/>
    <w:pPr>
      <w:spacing w:after="160" w:line="240" w:lineRule="exact"/>
      <w:jc w:val="left"/>
    </w:pPr>
    <w:rPr>
      <w:rFonts w:ascii="Times New Roman" w:hAnsi="Times New Roman"/>
      <w:sz w:val="20"/>
      <w:vertAlign w:val="superscript"/>
    </w:rPr>
  </w:style>
  <w:style w:type="character" w:styleId="EndnoteReference">
    <w:name w:val="endnote reference"/>
    <w:rsid w:val="000B70BC"/>
    <w:rPr>
      <w:vertAlign w:val="superscript"/>
    </w:rPr>
  </w:style>
  <w:style w:type="character" w:customStyle="1" w:styleId="Bodytext29pt">
    <w:name w:val="Body text (2) + 9 pt"/>
    <w:rsid w:val="000B70BC"/>
    <w:rPr>
      <w:rFonts w:ascii="Arial" w:eastAsia="Arial" w:hAnsi="Arial" w:cs="Arial" w:hint="default"/>
      <w:b w:val="0"/>
      <w:bCs w:val="0"/>
      <w:i w:val="0"/>
      <w:iCs w:val="0"/>
      <w:smallCaps w:val="0"/>
      <w:strike w:val="0"/>
      <w:dstrike w:val="0"/>
      <w:color w:val="000000"/>
      <w:spacing w:val="0"/>
      <w:w w:val="100"/>
      <w:position w:val="0"/>
      <w:sz w:val="18"/>
      <w:szCs w:val="18"/>
      <w:u w:val="none"/>
      <w:effect w:val="none"/>
      <w:lang w:val="en-US" w:eastAsia="en-US" w:bidi="en-US"/>
    </w:rPr>
  </w:style>
  <w:style w:type="character" w:customStyle="1" w:styleId="EndnoteTextChar">
    <w:name w:val="Endnote Text Char"/>
    <w:link w:val="EndnoteText"/>
    <w:uiPriority w:val="99"/>
    <w:semiHidden/>
    <w:rsid w:val="000B70BC"/>
    <w:rPr>
      <w:rFonts w:ascii="Courier New" w:hAnsi="Courier New"/>
    </w:rPr>
  </w:style>
  <w:style w:type="paragraph" w:customStyle="1" w:styleId="briefingtext0">
    <w:name w:val="briefingtext"/>
    <w:basedOn w:val="Normal"/>
    <w:rsid w:val="00441AFE"/>
    <w:rPr>
      <w:rFonts w:ascii="Arial" w:eastAsia="Calibri" w:hAnsi="Arial" w:cs="Arial"/>
      <w:sz w:val="22"/>
      <w:szCs w:val="22"/>
    </w:rPr>
  </w:style>
  <w:style w:type="character" w:customStyle="1" w:styleId="tgc">
    <w:name w:val="_tgc"/>
    <w:rsid w:val="003B7B24"/>
  </w:style>
  <w:style w:type="character" w:customStyle="1" w:styleId="reference">
    <w:name w:val="reference"/>
    <w:rsid w:val="00E46D65"/>
  </w:style>
  <w:style w:type="character" w:customStyle="1" w:styleId="playerscommitteetext">
    <w:name w:val="players_committee_text"/>
    <w:rsid w:val="00CF0D39"/>
  </w:style>
  <w:style w:type="character" w:customStyle="1" w:styleId="ScenesetterText">
    <w:name w:val="Scene setter Text"/>
    <w:uiPriority w:val="12"/>
    <w:qFormat/>
    <w:rsid w:val="00F34622"/>
    <w:rPr>
      <w:rFonts w:ascii="Times New Roman Bold" w:hAnsi="Times New Roman Bold"/>
      <w:b/>
      <w:bCs/>
      <w:i w:val="0"/>
      <w:color w:val="auto"/>
      <w:sz w:val="24"/>
    </w:rPr>
  </w:style>
  <w:style w:type="paragraph" w:customStyle="1" w:styleId="Body">
    <w:name w:val="Body"/>
    <w:rsid w:val="0008040A"/>
    <w:pPr>
      <w:pBdr>
        <w:top w:val="none" w:sz="96" w:space="31" w:color="FFFFFF" w:frame="1"/>
        <w:left w:val="none" w:sz="96" w:space="31" w:color="FFFFFF" w:frame="1"/>
        <w:bottom w:val="none" w:sz="96" w:space="31" w:color="FFFFFF" w:frame="1"/>
        <w:right w:val="none" w:sz="96" w:space="31" w:color="FFFFFF" w:frame="1"/>
      </w:pBdr>
      <w:spacing w:after="240"/>
      <w:jc w:val="both"/>
    </w:pPr>
    <w:rPr>
      <w:color w:val="000000"/>
      <w:sz w:val="24"/>
      <w:szCs w:val="24"/>
      <w:u w:color="000000"/>
      <w:lang w:val="en-GB" w:eastAsia="en-GB"/>
    </w:rPr>
  </w:style>
  <w:style w:type="paragraph" w:customStyle="1" w:styleId="BodyA">
    <w:name w:val="Body A"/>
    <w:rsid w:val="000A7C9B"/>
    <w:pPr>
      <w:pBdr>
        <w:top w:val="nil"/>
        <w:left w:val="nil"/>
        <w:bottom w:val="nil"/>
        <w:right w:val="nil"/>
        <w:between w:val="nil"/>
        <w:bar w:val="nil"/>
      </w:pBdr>
      <w:spacing w:after="240"/>
      <w:jc w:val="both"/>
    </w:pPr>
    <w:rPr>
      <w:color w:val="000000"/>
      <w:sz w:val="24"/>
      <w:szCs w:val="24"/>
      <w:u w:color="000000"/>
      <w:bdr w:val="nil"/>
      <w:lang w:eastAsia="en-GB"/>
    </w:rPr>
  </w:style>
  <w:style w:type="paragraph" w:customStyle="1" w:styleId="Dateoftheletter">
    <w:name w:val="Date of the letter"/>
    <w:basedOn w:val="Normal"/>
    <w:link w:val="DateoftheletterChar"/>
    <w:uiPriority w:val="1"/>
    <w:rsid w:val="4D8302DD"/>
    <w:pPr>
      <w:spacing w:after="160" w:line="259" w:lineRule="auto"/>
      <w:ind w:left="5954"/>
      <w:jc w:val="left"/>
    </w:pPr>
    <w:rPr>
      <w:rFonts w:ascii="Times New Roman" w:eastAsia="Aptos" w:hAnsi="Times New Roman"/>
      <w:i/>
      <w:iCs/>
      <w:noProof/>
      <w:lang w:val="en-IE"/>
    </w:rPr>
  </w:style>
  <w:style w:type="character" w:customStyle="1" w:styleId="DateoftheletterChar">
    <w:name w:val="Date of the letter Char"/>
    <w:link w:val="Dateoftheletter"/>
    <w:uiPriority w:val="1"/>
    <w:rsid w:val="4D8302DD"/>
    <w:rPr>
      <w:rFonts w:ascii="Times New Roman" w:eastAsia="Aptos" w:hAnsi="Times New Roman" w:cs="Times New Roman"/>
      <w:i/>
      <w:iCs/>
      <w:noProof/>
      <w:sz w:val="24"/>
      <w:szCs w:val="24"/>
      <w:lang w:val="en-IE"/>
    </w:rPr>
  </w:style>
  <w:style w:type="character" w:styleId="UnresolvedMention">
    <w:name w:val="Unresolved Mention"/>
    <w:uiPriority w:val="99"/>
    <w:semiHidden/>
    <w:unhideWhenUsed/>
    <w:rsid w:val="00756E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647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uroparl.europa.eu/oeil/popups/ficheprocedure.do?lang=en&amp;reference=2016/2891(RS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uvm.dk/-/media/filer/uvm/aktuelt/pdf25/september/250912-herning-declaration-eu2025---final-version-supported-on-12-september-2025.pdf" TargetMode="External"/><Relationship Id="rId1" Type="http://schemas.openxmlformats.org/officeDocument/2006/relationships/hyperlink" Target="https://eur-lex.europa.eu/legal-content/EN/TXT/?uri=oj:JOC_2018_153_R_000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TE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2F05394DCE044693DCAA726179B598" ma:contentTypeVersion="13" ma:contentTypeDescription="Create a new document." ma:contentTypeScope="" ma:versionID="1d7af2e95e2bd7ef6044953b7be493a8">
  <xsd:schema xmlns:xsd="http://www.w3.org/2001/XMLSchema" xmlns:xs="http://www.w3.org/2001/XMLSchema" xmlns:p="http://schemas.microsoft.com/office/2006/metadata/properties" xmlns:ns3="ccf8ecc5-ce9f-4cc1-bb60-062c62b05209" xmlns:ns4="71fe9c91-5602-4bdb-b72c-69451971f681" targetNamespace="http://schemas.microsoft.com/office/2006/metadata/properties" ma:root="true" ma:fieldsID="990eef8c28e6ee4563f53c259e03c168" ns3:_="" ns4:_="">
    <xsd:import namespace="ccf8ecc5-ce9f-4cc1-bb60-062c62b05209"/>
    <xsd:import namespace="71fe9c91-5602-4bdb-b72c-69451971f6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ObjectDetectorVersions" minOccurs="0"/>
                <xsd:element ref="ns4:_activity" minOccurs="0"/>
                <xsd:element ref="ns4:MediaServiceSearchProperties" minOccurs="0"/>
                <xsd:element ref="ns4:MediaServiceSystem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f8ecc5-ce9f-4cc1-bb60-062c62b052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fe9c91-5602-4bdb-b72c-69451971f6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71fe9c91-5602-4bdb-b72c-69451971f681"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DE0414-EC80-4D8B-8920-506F4592B3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f8ecc5-ce9f-4cc1-bb60-062c62b05209"/>
    <ds:schemaRef ds:uri="71fe9c91-5602-4bdb-b72c-69451971f6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524E2F-53A1-428E-A0C9-C070322F376B}">
  <ds:schemaRefs>
    <ds:schemaRef ds:uri="http://schemas.microsoft.com/office/2006/metadata/properties"/>
    <ds:schemaRef ds:uri="http://schemas.microsoft.com/office/infopath/2007/PartnerControls"/>
    <ds:schemaRef ds:uri="71fe9c91-5602-4bdb-b72c-69451971f681"/>
  </ds:schemaRefs>
</ds:datastoreItem>
</file>

<file path=customXml/itemProps3.xml><?xml version="1.0" encoding="utf-8"?>
<ds:datastoreItem xmlns:ds="http://schemas.openxmlformats.org/officeDocument/2006/customXml" ds:itemID="{8700459C-FDC6-4A45-B856-F1FCD291A0BE}">
  <ds:schemaRefs>
    <ds:schemaRef ds:uri="http://schemas.openxmlformats.org/officeDocument/2006/bibliography"/>
  </ds:schemaRefs>
</ds:datastoreItem>
</file>

<file path=customXml/itemProps4.xml><?xml version="1.0" encoding="utf-8"?>
<ds:datastoreItem xmlns:ds="http://schemas.openxmlformats.org/officeDocument/2006/customXml" ds:itemID="{5154A498-43A8-4475-86B8-2F7CF5F8AA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TEL.DOTM</Template>
  <TotalTime>2</TotalTime>
  <Pages>8</Pages>
  <Words>3942</Words>
  <Characters>23027</Characters>
  <Application>Microsoft Office Word</Application>
  <DocSecurity>0</DocSecurity>
  <PresentationFormat>Microsoft Word 8.0b</PresentationFormat>
  <Lines>319</Lines>
  <Paragraphs>48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26921</CharactersWithSpaces>
  <SharedDoc>false</SharedDoc>
  <HLinks>
    <vt:vector size="18" baseType="variant">
      <vt:variant>
        <vt:i4>4587526</vt:i4>
      </vt:variant>
      <vt:variant>
        <vt:i4>0</vt:i4>
      </vt:variant>
      <vt:variant>
        <vt:i4>0</vt:i4>
      </vt:variant>
      <vt:variant>
        <vt:i4>5</vt:i4>
      </vt:variant>
      <vt:variant>
        <vt:lpwstr>http://www.europarl.europa.eu/oeil/popups/ficheprocedure.do?lang=en&amp;reference=2016/2891(RSP)</vt:lpwstr>
      </vt:variant>
      <vt:variant>
        <vt:lpwstr/>
      </vt:variant>
      <vt:variant>
        <vt:i4>1966149</vt:i4>
      </vt:variant>
      <vt:variant>
        <vt:i4>3</vt:i4>
      </vt:variant>
      <vt:variant>
        <vt:i4>0</vt:i4>
      </vt:variant>
      <vt:variant>
        <vt:i4>5</vt:i4>
      </vt:variant>
      <vt:variant>
        <vt:lpwstr>https://www.uvm.dk/-/media/filer/uvm/aktuelt/pdf25/september/250912-herning-declaration-eu2025---final-version-supported-on-12-september-2025.pdf</vt:lpwstr>
      </vt:variant>
      <vt:variant>
        <vt:lpwstr/>
      </vt:variant>
      <vt:variant>
        <vt:i4>5570584</vt:i4>
      </vt:variant>
      <vt:variant>
        <vt:i4>0</vt:i4>
      </vt:variant>
      <vt:variant>
        <vt:i4>0</vt:i4>
      </vt:variant>
      <vt:variant>
        <vt:i4>5</vt:i4>
      </vt:variant>
      <vt:variant>
        <vt:lpwstr>https://eur-lex.europa.eu/legal-content/EN/TXT/?uri=oj:JOC_2018_153_R_0001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WERKER</dc:creator>
  <cp:keywords>EL4</cp:keywords>
  <cp:lastModifiedBy>DODEKOVA Gabriela (SG)</cp:lastModifiedBy>
  <cp:revision>3</cp:revision>
  <cp:lastPrinted>2017-11-24T02:27:00Z</cp:lastPrinted>
  <dcterms:created xsi:type="dcterms:W3CDTF">2025-12-12T16:26:00Z</dcterms:created>
  <dcterms:modified xsi:type="dcterms:W3CDTF">2025-12-12T16:27:00Z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4.1.3.4</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 [20010706]</vt:lpwstr>
  </property>
  <property fmtid="{D5CDD505-2E9C-101B-9397-08002B2CF9AE}" pid="6" name="Last edited using">
    <vt:lpwstr>EL 4.6 Build 50000</vt:lpwstr>
  </property>
  <property fmtid="{D5CDD505-2E9C-101B-9397-08002B2CF9AE}" pid="7" name="EL_Author">
    <vt:lpwstr>M. WERKER</vt:lpwstr>
  </property>
  <property fmtid="{D5CDD505-2E9C-101B-9397-08002B2CF9AE}" pid="8" name="Type">
    <vt:lpwstr>Eurolook Telex</vt:lpwstr>
  </property>
  <property fmtid="{D5CDD505-2E9C-101B-9397-08002B2CF9AE}" pid="9" name="Language">
    <vt:lpwstr>FR</vt:lpwstr>
  </property>
  <property fmtid="{D5CDD505-2E9C-101B-9397-08002B2CF9AE}" pid="10" name="EL_Language">
    <vt:lpwstr>FR</vt:lpwstr>
  </property>
  <property fmtid="{D5CDD505-2E9C-101B-9397-08002B2CF9AE}" pid="11" name="Formatting">
    <vt:lpwstr>4.1</vt:lpwstr>
  </property>
  <property fmtid="{D5CDD505-2E9C-101B-9397-08002B2CF9AE}" pid="12" name="ELDocType">
    <vt:lpwstr>tel.dot</vt:lpwstr>
  </property>
  <property fmtid="{D5CDD505-2E9C-101B-9397-08002B2CF9AE}" pid="13" name="MSIP_Label_6bd9ddd1-4d20-43f6-abfa-fc3c07406f94_Enabled">
    <vt:lpwstr>true</vt:lpwstr>
  </property>
  <property fmtid="{D5CDD505-2E9C-101B-9397-08002B2CF9AE}" pid="14" name="MSIP_Label_6bd9ddd1-4d20-43f6-abfa-fc3c07406f94_SetDate">
    <vt:lpwstr>2023-03-06T16:57:17Z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fed4ca29-9366-4f08-a0f8-47b4b7a2a3a2</vt:lpwstr>
  </property>
  <property fmtid="{D5CDD505-2E9C-101B-9397-08002B2CF9AE}" pid="19" name="MSIP_Label_6bd9ddd1-4d20-43f6-abfa-fc3c07406f94_ContentBits">
    <vt:lpwstr>0</vt:lpwstr>
  </property>
  <property fmtid="{D5CDD505-2E9C-101B-9397-08002B2CF9AE}" pid="20" name="MediaServiceImageTags">
    <vt:lpwstr/>
  </property>
  <property fmtid="{D5CDD505-2E9C-101B-9397-08002B2CF9AE}" pid="21" name="APP0">
    <vt:lpwstr>28</vt:lpwstr>
  </property>
  <property fmtid="{D5CDD505-2E9C-101B-9397-08002B2CF9AE}" pid="22" name="ContentTypeId">
    <vt:lpwstr>0x0101005C2F05394DCE044693DCAA726179B598</vt:lpwstr>
  </property>
</Properties>
</file>