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7408" w14:textId="29A2C642" w:rsidR="00963420" w:rsidRPr="00C33439" w:rsidRDefault="00963420" w:rsidP="0084310E">
      <w:pPr>
        <w:spacing w:after="720"/>
        <w:jc w:val="center"/>
        <w:rPr>
          <w:rFonts w:ascii="Times New Roman" w:hAnsi="Times New Roman"/>
          <w:b/>
          <w:bCs/>
          <w:szCs w:val="24"/>
        </w:rPr>
      </w:pPr>
      <w:r w:rsidRPr="00C33439">
        <w:rPr>
          <w:rFonts w:ascii="Times New Roman" w:hAnsi="Times New Roman"/>
          <w:b/>
          <w:szCs w:val="24"/>
        </w:rPr>
        <w:t xml:space="preserve">Follow-up to the European Parliament non-legislative resolution </w:t>
      </w:r>
      <w:r w:rsidRPr="00C33439">
        <w:rPr>
          <w:rFonts w:ascii="Times New Roman" w:hAnsi="Times New Roman"/>
          <w:b/>
          <w:bCs/>
          <w:szCs w:val="24"/>
        </w:rPr>
        <w:t>on</w:t>
      </w:r>
      <w:r w:rsidR="00C14AB9" w:rsidRPr="00C14AB9">
        <w:rPr>
          <w:rFonts w:ascii="Times New Roman" w:hAnsi="Times New Roman"/>
          <w:b/>
          <w:bCs/>
          <w:szCs w:val="24"/>
        </w:rPr>
        <w:t xml:space="preserve"> the 2023 and 2024 Commission reports on Ukraine</w:t>
      </w:r>
    </w:p>
    <w:p w14:paraId="0A214EA5" w14:textId="42E63686" w:rsidR="00963420" w:rsidRPr="00FF3C31" w:rsidRDefault="00963420" w:rsidP="0084310E">
      <w:pPr>
        <w:numPr>
          <w:ilvl w:val="0"/>
          <w:numId w:val="34"/>
        </w:numPr>
        <w:ind w:left="567" w:hanging="567"/>
        <w:rPr>
          <w:rFonts w:ascii="Times New Roman" w:hAnsi="Times New Roman"/>
          <w:iCs/>
          <w:szCs w:val="24"/>
          <w:lang w:val="fr-BE"/>
        </w:rPr>
      </w:pPr>
      <w:proofErr w:type="gramStart"/>
      <w:r w:rsidRPr="0084310E">
        <w:rPr>
          <w:rFonts w:ascii="Times New Roman" w:hAnsi="Times New Roman"/>
          <w:b/>
          <w:szCs w:val="24"/>
          <w:lang w:val="fr-BE"/>
        </w:rPr>
        <w:t>Rapporteur:</w:t>
      </w:r>
      <w:proofErr w:type="gramEnd"/>
      <w:r w:rsidRPr="0084310E">
        <w:rPr>
          <w:rFonts w:ascii="Times New Roman" w:hAnsi="Times New Roman"/>
          <w:szCs w:val="24"/>
          <w:lang w:val="fr-BE"/>
        </w:rPr>
        <w:t xml:space="preserve"> </w:t>
      </w:r>
      <w:r w:rsidR="00F81A0E" w:rsidRPr="00FF3C31">
        <w:rPr>
          <w:rFonts w:ascii="Times New Roman" w:hAnsi="Times New Roman"/>
          <w:iCs/>
          <w:szCs w:val="24"/>
          <w:lang w:val="fr-BE"/>
        </w:rPr>
        <w:t>Michael GAHLER (</w:t>
      </w:r>
      <w:r w:rsidRPr="00FF3C31">
        <w:rPr>
          <w:rFonts w:ascii="Times New Roman" w:hAnsi="Times New Roman"/>
          <w:iCs/>
          <w:szCs w:val="24"/>
          <w:lang w:val="fr-BE"/>
        </w:rPr>
        <w:t>EPP</w:t>
      </w:r>
      <w:r w:rsidR="00F12E19" w:rsidRPr="00FF3C31">
        <w:rPr>
          <w:rFonts w:ascii="Times New Roman" w:hAnsi="Times New Roman"/>
          <w:iCs/>
          <w:szCs w:val="24"/>
          <w:lang w:val="fr-BE"/>
        </w:rPr>
        <w:t xml:space="preserve"> </w:t>
      </w:r>
      <w:r w:rsidRPr="00FF3C31">
        <w:rPr>
          <w:rFonts w:ascii="Times New Roman" w:hAnsi="Times New Roman"/>
          <w:b/>
          <w:iCs/>
          <w:szCs w:val="24"/>
          <w:lang w:val="fr-BE"/>
        </w:rPr>
        <w:t>/</w:t>
      </w:r>
      <w:r w:rsidR="00F12E19" w:rsidRPr="00FF3C31">
        <w:rPr>
          <w:rFonts w:ascii="Times New Roman" w:hAnsi="Times New Roman"/>
          <w:bCs/>
          <w:iCs/>
          <w:szCs w:val="24"/>
          <w:lang w:val="fr-BE"/>
        </w:rPr>
        <w:t xml:space="preserve"> </w:t>
      </w:r>
      <w:r w:rsidR="00F81A0E" w:rsidRPr="00FF3C31">
        <w:rPr>
          <w:rFonts w:ascii="Times New Roman" w:hAnsi="Times New Roman"/>
          <w:iCs/>
          <w:szCs w:val="24"/>
          <w:lang w:val="fr-BE"/>
        </w:rPr>
        <w:t>DE</w:t>
      </w:r>
      <w:r w:rsidRPr="00FF3C31">
        <w:rPr>
          <w:rFonts w:ascii="Times New Roman" w:hAnsi="Times New Roman"/>
          <w:iCs/>
          <w:szCs w:val="24"/>
          <w:lang w:val="fr-BE"/>
        </w:rPr>
        <w:t>)</w:t>
      </w:r>
    </w:p>
    <w:p w14:paraId="3AD2CD9C" w14:textId="2FA38A5F" w:rsidR="00963420" w:rsidRPr="00D23F92" w:rsidRDefault="00063DCE" w:rsidP="0084310E">
      <w:pPr>
        <w:pStyle w:val="Default"/>
        <w:numPr>
          <w:ilvl w:val="0"/>
          <w:numId w:val="34"/>
        </w:numPr>
        <w:spacing w:after="240"/>
        <w:ind w:left="567" w:hanging="567"/>
        <w:jc w:val="both"/>
        <w:rPr>
          <w:color w:val="auto"/>
          <w:lang w:val="en-US"/>
        </w:rPr>
      </w:pPr>
      <w:r>
        <w:rPr>
          <w:b/>
          <w:color w:val="auto"/>
          <w:lang w:val="en-GB"/>
        </w:rPr>
        <w:t>R</w:t>
      </w:r>
      <w:r w:rsidR="00963420" w:rsidRPr="001F0B89">
        <w:rPr>
          <w:b/>
          <w:color w:val="auto"/>
          <w:lang w:val="en-GB"/>
        </w:rPr>
        <w:t xml:space="preserve">eference number: </w:t>
      </w:r>
      <w:r w:rsidR="00F913BD" w:rsidRPr="00FF3C31">
        <w:rPr>
          <w:color w:val="1E1E1F"/>
          <w:shd w:val="clear" w:color="auto" w:fill="FFFFFF"/>
          <w:lang w:val="en-IE"/>
        </w:rPr>
        <w:t>2025/2026(INI)</w:t>
      </w:r>
      <w:r w:rsidR="00D23F92">
        <w:rPr>
          <w:color w:val="1E1E1F"/>
          <w:shd w:val="clear" w:color="auto" w:fill="FFFFFF"/>
          <w:lang w:val="en-IE"/>
        </w:rPr>
        <w:t xml:space="preserve"> </w:t>
      </w:r>
      <w:r w:rsidRPr="00FF3C31">
        <w:rPr>
          <w:rFonts w:eastAsia="Calibri"/>
          <w:lang w:val="en-GB" w:eastAsia="en-US"/>
        </w:rPr>
        <w:t>/</w:t>
      </w:r>
      <w:r w:rsidR="001F0B89" w:rsidRPr="00FF3C31">
        <w:rPr>
          <w:color w:val="auto"/>
          <w:lang w:val="en-GB"/>
        </w:rPr>
        <w:t xml:space="preserve"> </w:t>
      </w:r>
      <w:r w:rsidR="00F81A0E" w:rsidRPr="00FF3C31">
        <w:rPr>
          <w:color w:val="auto"/>
          <w:lang w:val="en-GB"/>
        </w:rPr>
        <w:t>A10-0154/2025</w:t>
      </w:r>
      <w:r w:rsidR="005D21E9">
        <w:rPr>
          <w:color w:val="auto"/>
          <w:lang w:val="en-GB"/>
        </w:rPr>
        <w:t xml:space="preserve"> </w:t>
      </w:r>
      <w:r w:rsidR="00963420" w:rsidRPr="00FF3C31">
        <w:rPr>
          <w:color w:val="auto"/>
          <w:lang w:val="en-US"/>
        </w:rPr>
        <w:t xml:space="preserve">/ </w:t>
      </w:r>
      <w:r w:rsidR="00F81A0E" w:rsidRPr="00FF3C31">
        <w:rPr>
          <w:color w:val="auto"/>
          <w:lang w:val="en-US"/>
        </w:rPr>
        <w:t>P10_</w:t>
      </w:r>
      <w:proofErr w:type="gramStart"/>
      <w:r w:rsidR="00F81A0E" w:rsidRPr="00FF3C31">
        <w:rPr>
          <w:color w:val="auto"/>
          <w:lang w:val="en-US"/>
        </w:rPr>
        <w:t>TA(</w:t>
      </w:r>
      <w:proofErr w:type="gramEnd"/>
      <w:r w:rsidR="00F81A0E" w:rsidRPr="00FF3C31">
        <w:rPr>
          <w:color w:val="auto"/>
          <w:lang w:val="en-US"/>
        </w:rPr>
        <w:t>2025)0175</w:t>
      </w:r>
    </w:p>
    <w:p w14:paraId="44269FF4" w14:textId="14C6986F" w:rsidR="001F0B89" w:rsidRPr="005D21E9" w:rsidRDefault="00963420" w:rsidP="0084310E">
      <w:pPr>
        <w:numPr>
          <w:ilvl w:val="0"/>
          <w:numId w:val="34"/>
        </w:numPr>
        <w:ind w:left="567" w:hanging="567"/>
        <w:rPr>
          <w:rFonts w:ascii="Times New Roman" w:hAnsi="Times New Roman"/>
          <w:iCs/>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5D21E9">
        <w:rPr>
          <w:rFonts w:ascii="Times New Roman" w:hAnsi="Times New Roman"/>
          <w:iCs/>
          <w:szCs w:val="24"/>
        </w:rPr>
        <w:t>9 September 2025</w:t>
      </w:r>
    </w:p>
    <w:p w14:paraId="50DAE9A9" w14:textId="77777777" w:rsidR="007F3CBD" w:rsidRDefault="00963420" w:rsidP="007F3CBD">
      <w:pPr>
        <w:numPr>
          <w:ilvl w:val="0"/>
          <w:numId w:val="34"/>
        </w:numPr>
        <w:ind w:left="567" w:hanging="567"/>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r w:rsidR="00EA2741" w:rsidRPr="0014367F">
        <w:rPr>
          <w:rFonts w:ascii="Times New Roman" w:hAnsi="Times New Roman"/>
          <w:szCs w:val="24"/>
        </w:rPr>
        <w:t xml:space="preserve">Committee </w:t>
      </w:r>
      <w:r w:rsidR="00F81A0E">
        <w:rPr>
          <w:rFonts w:ascii="Times New Roman" w:hAnsi="Times New Roman"/>
          <w:szCs w:val="24"/>
        </w:rPr>
        <w:t>on Foreign Affairs (AFET)</w:t>
      </w:r>
    </w:p>
    <w:p w14:paraId="15DDFE92" w14:textId="77777777" w:rsidR="007F3CBD" w:rsidRPr="007F3CBD" w:rsidRDefault="00963420" w:rsidP="007F3CBD">
      <w:pPr>
        <w:numPr>
          <w:ilvl w:val="0"/>
          <w:numId w:val="34"/>
        </w:numPr>
        <w:ind w:left="567" w:hanging="567"/>
        <w:rPr>
          <w:rFonts w:ascii="Times New Roman" w:hAnsi="Times New Roman"/>
          <w:i/>
          <w:szCs w:val="24"/>
        </w:rPr>
      </w:pPr>
      <w:r w:rsidRPr="007F3CBD">
        <w:rPr>
          <w:rFonts w:ascii="Times New Roman" w:hAnsi="Times New Roman"/>
          <w:b/>
          <w:szCs w:val="24"/>
        </w:rPr>
        <w:t>Brief analysis/</w:t>
      </w:r>
      <w:r w:rsidR="00AB3960" w:rsidRPr="007F3CBD">
        <w:rPr>
          <w:rFonts w:ascii="Times New Roman" w:hAnsi="Times New Roman"/>
          <w:b/>
          <w:szCs w:val="24"/>
        </w:rPr>
        <w:t xml:space="preserve"> </w:t>
      </w:r>
      <w:r w:rsidRPr="007F3CBD">
        <w:rPr>
          <w:rFonts w:ascii="Times New Roman" w:hAnsi="Times New Roman"/>
          <w:b/>
          <w:szCs w:val="24"/>
        </w:rPr>
        <w:t>assessment of the resolution and requests made in it:</w:t>
      </w:r>
      <w:r w:rsidR="00146971" w:rsidRPr="007F3CBD">
        <w:rPr>
          <w:rFonts w:ascii="Times New Roman" w:hAnsi="Times New Roman"/>
          <w:b/>
          <w:szCs w:val="24"/>
        </w:rPr>
        <w:t xml:space="preserve"> </w:t>
      </w:r>
    </w:p>
    <w:p w14:paraId="2DE771D5" w14:textId="2AAF0E5F" w:rsidR="00B97483" w:rsidRPr="007F3CBD" w:rsidRDefault="00B97483" w:rsidP="007F3CBD">
      <w:pPr>
        <w:rPr>
          <w:rFonts w:ascii="Times New Roman" w:hAnsi="Times New Roman"/>
          <w:i/>
          <w:szCs w:val="24"/>
        </w:rPr>
      </w:pPr>
      <w:r w:rsidRPr="007F3CBD">
        <w:rPr>
          <w:rFonts w:ascii="Times New Roman" w:eastAsia="Aptos" w:hAnsi="Times New Roman"/>
          <w:kern w:val="2"/>
          <w:szCs w:val="24"/>
          <w:lang w:val="en-IE" w:eastAsia="en-US"/>
        </w:rPr>
        <w:t>The resolution strongly condemns Russia's ongoing war of aggression against Ukraine</w:t>
      </w:r>
      <w:r w:rsidR="007A6B05">
        <w:rPr>
          <w:rFonts w:ascii="Times New Roman" w:eastAsia="Aptos" w:hAnsi="Times New Roman"/>
          <w:kern w:val="2"/>
          <w:szCs w:val="24"/>
          <w:lang w:val="en-IE" w:eastAsia="en-US"/>
        </w:rPr>
        <w:t xml:space="preserve"> and support </w:t>
      </w:r>
      <w:r w:rsidR="00E13F13">
        <w:rPr>
          <w:rFonts w:ascii="Times New Roman" w:eastAsia="Aptos" w:hAnsi="Times New Roman"/>
          <w:kern w:val="2"/>
          <w:szCs w:val="24"/>
          <w:lang w:val="en-IE" w:eastAsia="en-US"/>
        </w:rPr>
        <w:t xml:space="preserve">to </w:t>
      </w:r>
      <w:r w:rsidR="007A6B05">
        <w:rPr>
          <w:rFonts w:ascii="Times New Roman" w:eastAsia="Aptos" w:hAnsi="Times New Roman"/>
          <w:kern w:val="2"/>
          <w:szCs w:val="24"/>
          <w:lang w:val="en-IE" w:eastAsia="en-US"/>
        </w:rPr>
        <w:t>Ukraine’s</w:t>
      </w:r>
      <w:r w:rsidR="00E13F13">
        <w:rPr>
          <w:rFonts w:ascii="Times New Roman" w:eastAsia="Aptos" w:hAnsi="Times New Roman"/>
          <w:kern w:val="2"/>
          <w:szCs w:val="24"/>
          <w:lang w:val="en-IE" w:eastAsia="en-US"/>
        </w:rPr>
        <w:t xml:space="preserve"> right to</w:t>
      </w:r>
      <w:r w:rsidR="007A6B05">
        <w:rPr>
          <w:rFonts w:ascii="Times New Roman" w:eastAsia="Aptos" w:hAnsi="Times New Roman"/>
          <w:kern w:val="2"/>
          <w:szCs w:val="24"/>
          <w:lang w:val="en-IE" w:eastAsia="en-US"/>
        </w:rPr>
        <w:t xml:space="preserve"> sovereignty, independence and territorial integrity within its international recognized borders</w:t>
      </w:r>
      <w:r w:rsidRPr="007F3CBD">
        <w:rPr>
          <w:rFonts w:ascii="Times New Roman" w:eastAsia="Aptos" w:hAnsi="Times New Roman"/>
          <w:kern w:val="2"/>
          <w:szCs w:val="24"/>
          <w:lang w:val="en-IE" w:eastAsia="en-US"/>
        </w:rPr>
        <w:t xml:space="preserve">. The Parliament expresses its solidarity with the Ukrainian people and welcomes Ukraine's progress in meeting the requirements for EU membership, despite the challenges posed by the war. The Parliament calls for increased support for Ukraine, including military, financial, and humanitarian, and urges the EU to accelerate the delivery of assistance. </w:t>
      </w:r>
    </w:p>
    <w:p w14:paraId="4DE21AD0" w14:textId="170BD9AC" w:rsidR="00B97483" w:rsidRDefault="00B97483" w:rsidP="00B97483">
      <w:pPr>
        <w:spacing w:after="160"/>
        <w:rPr>
          <w:rFonts w:ascii="Times New Roman" w:eastAsia="Aptos" w:hAnsi="Times New Roman"/>
          <w:kern w:val="2"/>
          <w:szCs w:val="24"/>
          <w:lang w:val="en-IE" w:eastAsia="en-US"/>
        </w:rPr>
      </w:pPr>
      <w:r w:rsidRPr="00B97483">
        <w:rPr>
          <w:rFonts w:ascii="Times New Roman" w:eastAsia="Aptos" w:hAnsi="Times New Roman"/>
          <w:kern w:val="2"/>
          <w:szCs w:val="24"/>
          <w:lang w:val="en-IE" w:eastAsia="en-US"/>
        </w:rPr>
        <w:t>The Parliament supports Ukraine's EU accession process, recogni</w:t>
      </w:r>
      <w:r w:rsidR="00AF71D2">
        <w:rPr>
          <w:rFonts w:ascii="Times New Roman" w:eastAsia="Aptos" w:hAnsi="Times New Roman"/>
          <w:kern w:val="2"/>
          <w:szCs w:val="24"/>
          <w:lang w:val="en-IE" w:eastAsia="en-US"/>
        </w:rPr>
        <w:t>s</w:t>
      </w:r>
      <w:r w:rsidRPr="00B97483">
        <w:rPr>
          <w:rFonts w:ascii="Times New Roman" w:eastAsia="Aptos" w:hAnsi="Times New Roman"/>
          <w:kern w:val="2"/>
          <w:szCs w:val="24"/>
          <w:lang w:val="en-IE" w:eastAsia="en-US"/>
        </w:rPr>
        <w:t>ing that it is a key driver of democratic development, stability, and security for the country. The Parliament welcomes Ukraine's progress in implementing reforms, including in the areas of democracy, the rule of law, and the fight against corruption. The Parliament calls on Ukraine to continue making progress in these areas and to address remaining challenges</w:t>
      </w:r>
      <w:r>
        <w:rPr>
          <w:rFonts w:ascii="Times New Roman" w:eastAsia="Aptos" w:hAnsi="Times New Roman"/>
          <w:kern w:val="2"/>
          <w:szCs w:val="24"/>
          <w:lang w:val="en-IE" w:eastAsia="en-US"/>
        </w:rPr>
        <w:t xml:space="preserve">. </w:t>
      </w:r>
      <w:r w:rsidR="007F3CBD" w:rsidRPr="00B97483">
        <w:rPr>
          <w:rFonts w:ascii="Times New Roman" w:eastAsia="Aptos" w:hAnsi="Times New Roman"/>
          <w:kern w:val="2"/>
          <w:szCs w:val="24"/>
          <w:lang w:val="en-IE" w:eastAsia="en-US"/>
        </w:rPr>
        <w:t>The Parliament calls for the EU to provide continued support to Ukraine, including through technical assistance, financial aid, and political backing, to help the country achieve its goal of EU membership.</w:t>
      </w:r>
    </w:p>
    <w:p w14:paraId="7AB24043" w14:textId="3B3A35D5" w:rsidR="00963420" w:rsidRPr="007F3CBD" w:rsidRDefault="007F3CBD" w:rsidP="007F3CBD">
      <w:pPr>
        <w:spacing w:after="160"/>
        <w:rPr>
          <w:rFonts w:ascii="Times New Roman" w:eastAsia="Aptos" w:hAnsi="Times New Roman"/>
          <w:kern w:val="2"/>
          <w:szCs w:val="24"/>
          <w:lang w:val="en-IE" w:eastAsia="en-US"/>
        </w:rPr>
      </w:pPr>
      <w:r>
        <w:rPr>
          <w:rFonts w:ascii="Times New Roman" w:eastAsia="Aptos" w:hAnsi="Times New Roman"/>
          <w:kern w:val="2"/>
          <w:szCs w:val="24"/>
          <w:lang w:val="en-IE" w:eastAsia="en-US"/>
        </w:rPr>
        <w:t>The resolution highlights the essential role played by the Ukraine Facility in support of Ukraine’s macro-financial stability and reform agenda and calls for continued and enhanced financial support for the country in 2026 and 2027.</w:t>
      </w:r>
    </w:p>
    <w:p w14:paraId="0132C5D2" w14:textId="77777777" w:rsidR="007F3CBD" w:rsidRDefault="00963420" w:rsidP="0084310E">
      <w:pPr>
        <w:widowControl w:val="0"/>
        <w:numPr>
          <w:ilvl w:val="0"/>
          <w:numId w:val="34"/>
        </w:numPr>
        <w:ind w:left="567" w:hanging="567"/>
        <w:rPr>
          <w:rFonts w:ascii="Times New Roman" w:hAnsi="Times New Roman"/>
          <w:b/>
          <w:szCs w:val="24"/>
        </w:rPr>
      </w:pPr>
      <w:r w:rsidRPr="00C33439">
        <w:rPr>
          <w:rFonts w:ascii="Times New Roman" w:hAnsi="Times New Roman"/>
          <w:b/>
          <w:szCs w:val="24"/>
        </w:rPr>
        <w:t>Response to requests and overview of action taken, or intended to be taken, by the Commission:</w:t>
      </w:r>
      <w:r w:rsidR="00146971">
        <w:rPr>
          <w:rFonts w:ascii="Times New Roman" w:hAnsi="Times New Roman"/>
          <w:b/>
          <w:szCs w:val="24"/>
        </w:rPr>
        <w:t xml:space="preserve"> </w:t>
      </w:r>
    </w:p>
    <w:p w14:paraId="320772C5" w14:textId="296DD6EB" w:rsidR="00180315" w:rsidRDefault="00ED7F01" w:rsidP="00ED7F01">
      <w:pPr>
        <w:spacing w:after="120"/>
        <w:rPr>
          <w:rFonts w:ascii="Times New Roman" w:hAnsi="Times New Roman"/>
          <w:szCs w:val="24"/>
        </w:rPr>
      </w:pPr>
      <w:r>
        <w:rPr>
          <w:rFonts w:ascii="Times New Roman" w:hAnsi="Times New Roman"/>
          <w:b/>
          <w:bCs/>
          <w:iCs/>
          <w:szCs w:val="24"/>
        </w:rPr>
        <w:t xml:space="preserve">On paragraph </w:t>
      </w:r>
      <w:r w:rsidR="00F93818">
        <w:rPr>
          <w:rFonts w:ascii="Times New Roman" w:hAnsi="Times New Roman"/>
          <w:b/>
          <w:bCs/>
          <w:iCs/>
          <w:szCs w:val="24"/>
        </w:rPr>
        <w:t xml:space="preserve">4 </w:t>
      </w:r>
      <w:r>
        <w:rPr>
          <w:rFonts w:ascii="Times New Roman" w:hAnsi="Times New Roman"/>
          <w:b/>
          <w:bCs/>
          <w:iCs/>
          <w:szCs w:val="24"/>
        </w:rPr>
        <w:t xml:space="preserve">concerning the international support, </w:t>
      </w:r>
      <w:r w:rsidRPr="00D837F1">
        <w:rPr>
          <w:rFonts w:ascii="Times New Roman" w:hAnsi="Times New Roman"/>
          <w:szCs w:val="24"/>
        </w:rPr>
        <w:t>the EU continues to actively work with international partners to ensure Ukraine receives the material support it needs and to hold Russia accountable for its actions. Since the start of Russia’s war of aggression, the EU has been fulfilling its commitment to support Ukraine for as long as it takes by providing continuous support to Ukraine and its people on all fronts. As of early</w:t>
      </w:r>
      <w:r>
        <w:rPr>
          <w:rFonts w:ascii="Times New Roman" w:hAnsi="Times New Roman"/>
          <w:szCs w:val="24"/>
        </w:rPr>
        <w:t xml:space="preserve"> November 2025</w:t>
      </w:r>
      <w:r w:rsidRPr="00D837F1">
        <w:rPr>
          <w:rFonts w:ascii="Times New Roman" w:hAnsi="Times New Roman"/>
          <w:szCs w:val="24"/>
        </w:rPr>
        <w:t xml:space="preserve">, </w:t>
      </w:r>
      <w:r w:rsidR="00180315">
        <w:rPr>
          <w:rFonts w:ascii="Times New Roman" w:hAnsi="Times New Roman"/>
          <w:szCs w:val="24"/>
        </w:rPr>
        <w:t>t</w:t>
      </w:r>
      <w:r w:rsidR="00180315" w:rsidRPr="00180315">
        <w:rPr>
          <w:rFonts w:ascii="Times New Roman" w:hAnsi="Times New Roman"/>
          <w:szCs w:val="24"/>
          <w:lang w:val="en-US"/>
        </w:rPr>
        <w:t xml:space="preserve">he overall EU assistance to Ukraine and its people amounts to </w:t>
      </w:r>
      <w:r w:rsidR="00180315" w:rsidRPr="00E5701B">
        <w:rPr>
          <w:rFonts w:ascii="Times New Roman" w:hAnsi="Times New Roman"/>
          <w:b/>
          <w:bCs/>
          <w:szCs w:val="24"/>
          <w:lang w:val="en-US"/>
        </w:rPr>
        <w:t xml:space="preserve">EUR </w:t>
      </w:r>
      <w:r w:rsidR="007A6B05" w:rsidRPr="00E5701B">
        <w:rPr>
          <w:rFonts w:ascii="Times New Roman" w:hAnsi="Times New Roman"/>
          <w:b/>
          <w:bCs/>
          <w:szCs w:val="24"/>
          <w:lang w:val="en-US"/>
        </w:rPr>
        <w:t>1</w:t>
      </w:r>
      <w:r w:rsidR="007A6B05">
        <w:rPr>
          <w:rFonts w:ascii="Times New Roman" w:hAnsi="Times New Roman"/>
          <w:b/>
          <w:bCs/>
          <w:szCs w:val="24"/>
          <w:lang w:val="en-US"/>
        </w:rPr>
        <w:t>8</w:t>
      </w:r>
      <w:r w:rsidR="007E6202">
        <w:rPr>
          <w:rFonts w:ascii="Times New Roman" w:hAnsi="Times New Roman"/>
          <w:b/>
          <w:bCs/>
          <w:szCs w:val="24"/>
          <w:lang w:val="en-US"/>
        </w:rPr>
        <w:t>7</w:t>
      </w:r>
      <w:r w:rsidR="00180315" w:rsidRPr="00E5701B">
        <w:rPr>
          <w:rFonts w:ascii="Times New Roman" w:hAnsi="Times New Roman"/>
          <w:b/>
          <w:bCs/>
          <w:szCs w:val="24"/>
          <w:lang w:val="en-US"/>
        </w:rPr>
        <w:t>.</w:t>
      </w:r>
      <w:r w:rsidR="007E6202">
        <w:rPr>
          <w:rFonts w:ascii="Times New Roman" w:hAnsi="Times New Roman"/>
          <w:b/>
          <w:bCs/>
          <w:szCs w:val="24"/>
          <w:lang w:val="en-US"/>
        </w:rPr>
        <w:t>3</w:t>
      </w:r>
      <w:r w:rsidR="00180315" w:rsidRPr="00E5701B">
        <w:rPr>
          <w:rFonts w:ascii="Times New Roman" w:hAnsi="Times New Roman"/>
          <w:b/>
          <w:bCs/>
          <w:szCs w:val="24"/>
          <w:lang w:val="en-US"/>
        </w:rPr>
        <w:t xml:space="preserve"> billion</w:t>
      </w:r>
      <w:r w:rsidR="00180315" w:rsidRPr="00180315">
        <w:rPr>
          <w:rFonts w:ascii="Times New Roman" w:hAnsi="Times New Roman"/>
          <w:szCs w:val="24"/>
          <w:lang w:val="en-US"/>
        </w:rPr>
        <w:t xml:space="preserve"> in financial, military, humanitarian and refugee assistance, of which </w:t>
      </w:r>
      <w:r w:rsidR="009E41F8">
        <w:rPr>
          <w:rFonts w:ascii="Times New Roman" w:hAnsi="Times New Roman"/>
          <w:szCs w:val="24"/>
          <w:lang w:val="en-US"/>
        </w:rPr>
        <w:t>59</w:t>
      </w:r>
      <w:r w:rsidR="00180315" w:rsidRPr="00180315">
        <w:rPr>
          <w:rFonts w:ascii="Times New Roman" w:hAnsi="Times New Roman"/>
          <w:szCs w:val="24"/>
          <w:lang w:val="en-US"/>
        </w:rPr>
        <w:t xml:space="preserve">% have been provided as grants or in-kind support, and </w:t>
      </w:r>
      <w:r w:rsidR="009E41F8">
        <w:rPr>
          <w:rFonts w:ascii="Times New Roman" w:hAnsi="Times New Roman"/>
          <w:szCs w:val="24"/>
          <w:lang w:val="en-US"/>
        </w:rPr>
        <w:t>41</w:t>
      </w:r>
      <w:r w:rsidR="00180315" w:rsidRPr="00180315">
        <w:rPr>
          <w:rFonts w:ascii="Times New Roman" w:hAnsi="Times New Roman"/>
          <w:szCs w:val="24"/>
          <w:lang w:val="en-US"/>
        </w:rPr>
        <w:t>% in the form of highly concessional loans.</w:t>
      </w:r>
    </w:p>
    <w:p w14:paraId="273D63F5" w14:textId="28273356" w:rsidR="00ED7F01" w:rsidRDefault="00ED7F01" w:rsidP="00ED7F01">
      <w:pPr>
        <w:spacing w:after="120"/>
        <w:rPr>
          <w:rFonts w:ascii="Times New Roman" w:hAnsi="Times New Roman"/>
          <w:szCs w:val="24"/>
        </w:rPr>
      </w:pPr>
      <w:r w:rsidRPr="00D837F1">
        <w:rPr>
          <w:rFonts w:ascii="Times New Roman" w:hAnsi="Times New Roman"/>
          <w:szCs w:val="24"/>
        </w:rPr>
        <w:t>Furthermore,</w:t>
      </w:r>
      <w:r>
        <w:rPr>
          <w:rFonts w:ascii="Times New Roman" w:hAnsi="Times New Roman"/>
          <w:szCs w:val="24"/>
        </w:rPr>
        <w:t xml:space="preserve"> through</w:t>
      </w:r>
      <w:r w:rsidRPr="00D837F1">
        <w:rPr>
          <w:rFonts w:ascii="Times New Roman" w:hAnsi="Times New Roman"/>
          <w:szCs w:val="24"/>
        </w:rPr>
        <w:t xml:space="preserve"> the </w:t>
      </w:r>
      <w:r w:rsidRPr="00E5701B">
        <w:rPr>
          <w:rFonts w:ascii="Times New Roman" w:hAnsi="Times New Roman"/>
          <w:b/>
          <w:bCs/>
          <w:szCs w:val="24"/>
        </w:rPr>
        <w:t>Ukraine Donor Platform</w:t>
      </w:r>
      <w:r w:rsidRPr="00D837F1">
        <w:rPr>
          <w:rFonts w:ascii="Times New Roman" w:hAnsi="Times New Roman"/>
          <w:szCs w:val="24"/>
        </w:rPr>
        <w:t xml:space="preserve"> initiated </w:t>
      </w:r>
      <w:r w:rsidR="00180315">
        <w:rPr>
          <w:rFonts w:ascii="Times New Roman" w:hAnsi="Times New Roman"/>
          <w:szCs w:val="24"/>
        </w:rPr>
        <w:t>in</w:t>
      </w:r>
      <w:r w:rsidRPr="00D837F1">
        <w:rPr>
          <w:rFonts w:ascii="Times New Roman" w:hAnsi="Times New Roman"/>
          <w:szCs w:val="24"/>
        </w:rPr>
        <w:t xml:space="preserve"> January 2023</w:t>
      </w:r>
      <w:r>
        <w:rPr>
          <w:rFonts w:ascii="Times New Roman" w:hAnsi="Times New Roman"/>
          <w:szCs w:val="24"/>
        </w:rPr>
        <w:t>,</w:t>
      </w:r>
      <w:r w:rsidRPr="00D837F1">
        <w:rPr>
          <w:rFonts w:ascii="Times New Roman" w:hAnsi="Times New Roman"/>
          <w:szCs w:val="24"/>
        </w:rPr>
        <w:t xml:space="preserve"> the EU continues to work with donors at global level </w:t>
      </w:r>
      <w:r>
        <w:rPr>
          <w:rFonts w:ascii="Times New Roman" w:hAnsi="Times New Roman"/>
          <w:szCs w:val="24"/>
        </w:rPr>
        <w:t>on</w:t>
      </w:r>
      <w:r w:rsidRPr="00D837F1">
        <w:rPr>
          <w:rFonts w:ascii="Times New Roman" w:hAnsi="Times New Roman"/>
          <w:szCs w:val="24"/>
        </w:rPr>
        <w:t xml:space="preserve"> the coordination and coherence of support to Ukraine. On the diplomatic front, the EU will pursue its efforts to build the broadest international support for a comprehensive, just and lasting peace based on the principles of the UN Charter and international law, in line with the key principles and objectives of Ukraine’s Peace Formula.</w:t>
      </w:r>
    </w:p>
    <w:p w14:paraId="74E66C8E" w14:textId="75DAB26F" w:rsidR="00CF3ADD" w:rsidRPr="00A36056" w:rsidRDefault="00CF3ADD" w:rsidP="00CF3ADD">
      <w:pPr>
        <w:spacing w:after="120"/>
        <w:rPr>
          <w:rFonts w:ascii="Times New Roman" w:hAnsi="Times New Roman"/>
          <w:b/>
          <w:bCs/>
          <w:szCs w:val="24"/>
        </w:rPr>
      </w:pPr>
      <w:bookmarkStart w:id="0" w:name="_Hlk214444479"/>
      <w:r w:rsidRPr="009C5385">
        <w:rPr>
          <w:rFonts w:ascii="Times New Roman" w:hAnsi="Times New Roman"/>
          <w:b/>
          <w:bCs/>
          <w:szCs w:val="24"/>
        </w:rPr>
        <w:t xml:space="preserve">On paragraph </w:t>
      </w:r>
      <w:r w:rsidR="0089748A">
        <w:rPr>
          <w:rFonts w:ascii="Times New Roman" w:hAnsi="Times New Roman"/>
          <w:b/>
          <w:bCs/>
          <w:szCs w:val="24"/>
        </w:rPr>
        <w:t>13</w:t>
      </w:r>
      <w:r w:rsidR="0089748A" w:rsidRPr="009C5385">
        <w:rPr>
          <w:rFonts w:ascii="Times New Roman" w:hAnsi="Times New Roman"/>
          <w:b/>
          <w:bCs/>
          <w:szCs w:val="24"/>
        </w:rPr>
        <w:t xml:space="preserve"> </w:t>
      </w:r>
      <w:r w:rsidRPr="009C5385">
        <w:rPr>
          <w:rFonts w:ascii="Times New Roman" w:hAnsi="Times New Roman"/>
          <w:b/>
          <w:bCs/>
          <w:szCs w:val="24"/>
        </w:rPr>
        <w:t>on accountability</w:t>
      </w:r>
      <w:r w:rsidRPr="009C5385">
        <w:rPr>
          <w:rFonts w:ascii="Times New Roman" w:hAnsi="Times New Roman"/>
          <w:szCs w:val="24"/>
        </w:rPr>
        <w:t xml:space="preserve">, ensuring full accountability for war crimes and the other crimes committed in connection with Russia’s war of aggression against Ukraine, </w:t>
      </w:r>
      <w:r w:rsidRPr="009C5385">
        <w:rPr>
          <w:rFonts w:ascii="Times New Roman" w:hAnsi="Times New Roman"/>
          <w:szCs w:val="24"/>
        </w:rPr>
        <w:lastRenderedPageBreak/>
        <w:t xml:space="preserve">including through prosecutions where appropriate, is a key priority for the EU. </w:t>
      </w:r>
      <w:r w:rsidR="00A36056" w:rsidRPr="009C5385">
        <w:rPr>
          <w:rFonts w:ascii="Times New Roman" w:hAnsi="Times New Roman"/>
          <w:szCs w:val="24"/>
        </w:rPr>
        <w:t xml:space="preserve">The EU hosts and finances the </w:t>
      </w:r>
      <w:r w:rsidR="00A36056" w:rsidRPr="009C5385">
        <w:rPr>
          <w:rFonts w:ascii="Times New Roman" w:hAnsi="Times New Roman"/>
          <w:b/>
          <w:bCs/>
          <w:szCs w:val="24"/>
        </w:rPr>
        <w:t>International Centre for the Prosecution of the Crime of Aggression</w:t>
      </w:r>
      <w:r w:rsidR="00A36056" w:rsidRPr="009C5385">
        <w:rPr>
          <w:rFonts w:ascii="Times New Roman" w:hAnsi="Times New Roman"/>
          <w:szCs w:val="24"/>
        </w:rPr>
        <w:t xml:space="preserve"> (ICPA) at Eurojust</w:t>
      </w:r>
      <w:r w:rsidR="00A36056" w:rsidRPr="009C5385">
        <w:rPr>
          <w:rFonts w:ascii="Times New Roman" w:hAnsi="Times New Roman"/>
          <w:b/>
          <w:bCs/>
          <w:szCs w:val="24"/>
        </w:rPr>
        <w:t xml:space="preserve">; </w:t>
      </w:r>
      <w:r w:rsidR="00A36056" w:rsidRPr="009C5385">
        <w:rPr>
          <w:rFonts w:ascii="Times New Roman" w:hAnsi="Times New Roman"/>
          <w:szCs w:val="24"/>
        </w:rPr>
        <w:t xml:space="preserve">contributes to the </w:t>
      </w:r>
      <w:r w:rsidR="00A36056" w:rsidRPr="009C5385">
        <w:rPr>
          <w:rFonts w:ascii="Times New Roman" w:hAnsi="Times New Roman"/>
          <w:b/>
          <w:bCs/>
          <w:szCs w:val="24"/>
        </w:rPr>
        <w:t>Register of Damage for Ukraine</w:t>
      </w:r>
      <w:r w:rsidR="00A36056" w:rsidRPr="009C5385">
        <w:rPr>
          <w:rFonts w:ascii="Times New Roman" w:hAnsi="Times New Roman"/>
          <w:szCs w:val="24"/>
        </w:rPr>
        <w:t xml:space="preserve">; and supports the </w:t>
      </w:r>
      <w:r w:rsidR="009C5385" w:rsidRPr="004136AC">
        <w:rPr>
          <w:rFonts w:ascii="Times New Roman" w:hAnsi="Times New Roman"/>
          <w:szCs w:val="24"/>
        </w:rPr>
        <w:t xml:space="preserve">establishment of </w:t>
      </w:r>
      <w:r w:rsidR="00A36056" w:rsidRPr="009C5385">
        <w:rPr>
          <w:rFonts w:ascii="Times New Roman" w:hAnsi="Times New Roman"/>
          <w:szCs w:val="24"/>
        </w:rPr>
        <w:t>the S</w:t>
      </w:r>
      <w:r w:rsidR="00A36056" w:rsidRPr="009C5385">
        <w:rPr>
          <w:rFonts w:ascii="Times New Roman" w:hAnsi="Times New Roman"/>
          <w:b/>
          <w:bCs/>
          <w:szCs w:val="24"/>
        </w:rPr>
        <w:t>pecial Tribunal for the Crime of Aggression</w:t>
      </w:r>
      <w:r w:rsidR="009C5385" w:rsidRPr="004136AC">
        <w:rPr>
          <w:rFonts w:ascii="Times New Roman" w:hAnsi="Times New Roman"/>
          <w:szCs w:val="24"/>
        </w:rPr>
        <w:t xml:space="preserve"> including through support of an advanced team</w:t>
      </w:r>
      <w:r w:rsidR="00A36056" w:rsidRPr="009C5385">
        <w:rPr>
          <w:rFonts w:ascii="Times New Roman" w:hAnsi="Times New Roman"/>
          <w:szCs w:val="24"/>
        </w:rPr>
        <w:t>. The EU participates in the formal negotiations to set up an</w:t>
      </w:r>
      <w:r w:rsidR="00A36056" w:rsidRPr="009C5385">
        <w:rPr>
          <w:rFonts w:ascii="Times New Roman" w:hAnsi="Times New Roman"/>
          <w:b/>
          <w:bCs/>
          <w:szCs w:val="24"/>
        </w:rPr>
        <w:t xml:space="preserve"> International Claims Commission for Ukraine </w:t>
      </w:r>
      <w:r w:rsidR="00A36056" w:rsidRPr="009C5385">
        <w:rPr>
          <w:rFonts w:ascii="Times New Roman" w:hAnsi="Times New Roman"/>
          <w:szCs w:val="24"/>
        </w:rPr>
        <w:t>and is co-chair of the</w:t>
      </w:r>
      <w:r w:rsidR="00A36056" w:rsidRPr="009C5385">
        <w:rPr>
          <w:rFonts w:ascii="Times New Roman" w:hAnsi="Times New Roman"/>
          <w:b/>
          <w:bCs/>
          <w:szCs w:val="24"/>
        </w:rPr>
        <w:t xml:space="preserve"> Dialogue Group on Accountability. Furthermore, </w:t>
      </w:r>
      <w:r w:rsidR="00A36056" w:rsidRPr="009C5385">
        <w:rPr>
          <w:rFonts w:ascii="Times New Roman" w:hAnsi="Times New Roman"/>
          <w:szCs w:val="24"/>
        </w:rPr>
        <w:t>t</w:t>
      </w:r>
      <w:r w:rsidRPr="009C5385">
        <w:rPr>
          <w:rFonts w:ascii="Times New Roman" w:hAnsi="Times New Roman"/>
          <w:szCs w:val="24"/>
        </w:rPr>
        <w:t xml:space="preserve">he EU supports the Ukrainian Prosecutor General’s Office </w:t>
      </w:r>
      <w:r w:rsidR="009C5385" w:rsidRPr="004136AC">
        <w:rPr>
          <w:rFonts w:ascii="Times New Roman" w:hAnsi="Times New Roman"/>
          <w:szCs w:val="24"/>
        </w:rPr>
        <w:t xml:space="preserve">and other relevant Ukrainian authorities </w:t>
      </w:r>
      <w:r w:rsidRPr="009C5385">
        <w:rPr>
          <w:rFonts w:ascii="Times New Roman" w:hAnsi="Times New Roman"/>
          <w:szCs w:val="24"/>
        </w:rPr>
        <w:t>to strengthen its capacities to investigate and prosecute international crimes, pr</w:t>
      </w:r>
      <w:r w:rsidR="00A36056" w:rsidRPr="009C5385">
        <w:rPr>
          <w:rFonts w:ascii="Times New Roman" w:hAnsi="Times New Roman"/>
          <w:szCs w:val="24"/>
        </w:rPr>
        <w:t>imarily</w:t>
      </w:r>
      <w:r w:rsidRPr="009C5385">
        <w:rPr>
          <w:rFonts w:ascii="Times New Roman" w:hAnsi="Times New Roman"/>
          <w:szCs w:val="24"/>
        </w:rPr>
        <w:t xml:space="preserve"> through the EUAM Mission and EU work in the Atrocity Crimes Advisory Group. Besides, the EU </w:t>
      </w:r>
      <w:proofErr w:type="spellStart"/>
      <w:r w:rsidRPr="009C5385">
        <w:rPr>
          <w:rFonts w:ascii="Times New Roman" w:hAnsi="Times New Roman"/>
          <w:szCs w:val="24"/>
        </w:rPr>
        <w:t>Pravo</w:t>
      </w:r>
      <w:proofErr w:type="spellEnd"/>
      <w:r w:rsidRPr="009C5385">
        <w:rPr>
          <w:rFonts w:ascii="Times New Roman" w:hAnsi="Times New Roman"/>
          <w:szCs w:val="24"/>
        </w:rPr>
        <w:t xml:space="preserve"> Justice Project provides technical assistance to Ukraine on accountability efforts. Additional support is provided to Ukrainian and international civil society actors for documenting war crimes, among others.</w:t>
      </w:r>
    </w:p>
    <w:bookmarkEnd w:id="0"/>
    <w:p w14:paraId="457A990A" w14:textId="13BF77D2" w:rsidR="00B400BA" w:rsidRPr="00D837F1" w:rsidRDefault="00B400BA" w:rsidP="00ED7F01">
      <w:pPr>
        <w:spacing w:after="120"/>
        <w:rPr>
          <w:rFonts w:ascii="Times New Roman" w:hAnsi="Times New Roman"/>
          <w:szCs w:val="24"/>
        </w:rPr>
      </w:pPr>
      <w:r w:rsidRPr="00492DE6">
        <w:rPr>
          <w:rFonts w:ascii="Times New Roman" w:hAnsi="Times New Roman"/>
          <w:b/>
          <w:bCs/>
          <w:szCs w:val="24"/>
        </w:rPr>
        <w:t xml:space="preserve">On paragraph </w:t>
      </w:r>
      <w:r w:rsidR="007A4122">
        <w:rPr>
          <w:rFonts w:ascii="Times New Roman" w:hAnsi="Times New Roman"/>
          <w:b/>
          <w:bCs/>
          <w:szCs w:val="24"/>
        </w:rPr>
        <w:t>15</w:t>
      </w:r>
      <w:r w:rsidR="007A4122" w:rsidRPr="00492DE6">
        <w:rPr>
          <w:rFonts w:ascii="Times New Roman" w:hAnsi="Times New Roman"/>
          <w:b/>
          <w:bCs/>
          <w:szCs w:val="24"/>
        </w:rPr>
        <w:t xml:space="preserve"> </w:t>
      </w:r>
      <w:r w:rsidRPr="00492DE6">
        <w:rPr>
          <w:rFonts w:ascii="Times New Roman" w:hAnsi="Times New Roman"/>
          <w:b/>
          <w:bCs/>
          <w:szCs w:val="24"/>
        </w:rPr>
        <w:t>concerning sanctions</w:t>
      </w:r>
      <w:r w:rsidR="00892BA4">
        <w:rPr>
          <w:rFonts w:ascii="Times New Roman" w:hAnsi="Times New Roman"/>
          <w:szCs w:val="24"/>
        </w:rPr>
        <w:t>, t</w:t>
      </w:r>
      <w:r w:rsidRPr="00B400BA">
        <w:rPr>
          <w:rFonts w:ascii="Times New Roman" w:hAnsi="Times New Roman"/>
          <w:bCs/>
          <w:szCs w:val="24"/>
        </w:rPr>
        <w:t xml:space="preserve">he EU adopted the </w:t>
      </w:r>
      <w:r w:rsidRPr="00E5701B">
        <w:rPr>
          <w:rFonts w:ascii="Times New Roman" w:hAnsi="Times New Roman"/>
          <w:b/>
          <w:szCs w:val="24"/>
        </w:rPr>
        <w:t>19</w:t>
      </w:r>
      <w:r w:rsidRPr="00E5701B">
        <w:rPr>
          <w:rFonts w:ascii="Times New Roman" w:hAnsi="Times New Roman"/>
          <w:b/>
          <w:szCs w:val="24"/>
          <w:vertAlign w:val="superscript"/>
        </w:rPr>
        <w:t>th</w:t>
      </w:r>
      <w:r w:rsidRPr="00E5701B">
        <w:rPr>
          <w:rFonts w:ascii="Times New Roman" w:hAnsi="Times New Roman"/>
          <w:b/>
          <w:szCs w:val="24"/>
        </w:rPr>
        <w:t xml:space="preserve"> sanctions package</w:t>
      </w:r>
      <w:r w:rsidRPr="00B400BA">
        <w:rPr>
          <w:rFonts w:ascii="Times New Roman" w:hAnsi="Times New Roman"/>
          <w:bCs/>
          <w:szCs w:val="24"/>
        </w:rPr>
        <w:t xml:space="preserve"> </w:t>
      </w:r>
      <w:r w:rsidRPr="00E5701B">
        <w:rPr>
          <w:rFonts w:ascii="Times New Roman" w:hAnsi="Times New Roman"/>
          <w:b/>
          <w:szCs w:val="24"/>
        </w:rPr>
        <w:t>against Russia</w:t>
      </w:r>
      <w:r w:rsidRPr="00B400BA">
        <w:rPr>
          <w:rFonts w:ascii="Times New Roman" w:hAnsi="Times New Roman"/>
          <w:bCs/>
          <w:szCs w:val="24"/>
        </w:rPr>
        <w:t>, which target</w:t>
      </w:r>
      <w:r w:rsidR="00AF71D2">
        <w:rPr>
          <w:rFonts w:ascii="Times New Roman" w:hAnsi="Times New Roman"/>
          <w:bCs/>
          <w:szCs w:val="24"/>
        </w:rPr>
        <w:t>s</w:t>
      </w:r>
      <w:r w:rsidRPr="00B400BA">
        <w:rPr>
          <w:rFonts w:ascii="Times New Roman" w:hAnsi="Times New Roman"/>
          <w:bCs/>
          <w:szCs w:val="24"/>
        </w:rPr>
        <w:t xml:space="preserve"> key sectors fuelling Russia’s illegal invasion of Ukraine, including energy, finance, and the military industrial complex. Work has already begun on the 20</w:t>
      </w:r>
      <w:r w:rsidRPr="00B400BA">
        <w:rPr>
          <w:rFonts w:ascii="Times New Roman" w:hAnsi="Times New Roman"/>
          <w:bCs/>
          <w:szCs w:val="24"/>
          <w:vertAlign w:val="superscript"/>
        </w:rPr>
        <w:t>th</w:t>
      </w:r>
      <w:r w:rsidRPr="00B400BA">
        <w:rPr>
          <w:rFonts w:ascii="Times New Roman" w:hAnsi="Times New Roman"/>
          <w:bCs/>
          <w:szCs w:val="24"/>
        </w:rPr>
        <w:t xml:space="preserve"> sanctions package. </w:t>
      </w:r>
      <w:r w:rsidR="00892BA4">
        <w:rPr>
          <w:rFonts w:ascii="Times New Roman" w:hAnsi="Times New Roman"/>
          <w:bCs/>
          <w:szCs w:val="24"/>
        </w:rPr>
        <w:t>The EU also aims for further</w:t>
      </w:r>
      <w:r w:rsidRPr="00B400BA">
        <w:rPr>
          <w:rFonts w:ascii="Times New Roman" w:hAnsi="Times New Roman"/>
          <w:bCs/>
          <w:szCs w:val="24"/>
        </w:rPr>
        <w:t xml:space="preserve"> measures against those responsible for the </w:t>
      </w:r>
      <w:r w:rsidR="007F43DC" w:rsidRPr="007F43DC">
        <w:rPr>
          <w:rFonts w:ascii="Times New Roman" w:hAnsi="Times New Roman"/>
          <w:bCs/>
          <w:szCs w:val="24"/>
        </w:rPr>
        <w:t xml:space="preserve">deportation and forcible transfer of </w:t>
      </w:r>
      <w:r w:rsidRPr="00492DE6">
        <w:rPr>
          <w:rFonts w:ascii="Times New Roman" w:hAnsi="Times New Roman"/>
          <w:bCs/>
          <w:szCs w:val="24"/>
        </w:rPr>
        <w:t>Ukrainian children.</w:t>
      </w:r>
      <w:r w:rsidRPr="00B400BA">
        <w:rPr>
          <w:rFonts w:ascii="Times New Roman" w:hAnsi="Times New Roman"/>
          <w:bCs/>
          <w:szCs w:val="24"/>
        </w:rPr>
        <w:t xml:space="preserve">  </w:t>
      </w:r>
    </w:p>
    <w:p w14:paraId="55A3A557" w14:textId="33646412" w:rsidR="0045704A" w:rsidRDefault="00385312" w:rsidP="007F3CBD">
      <w:pPr>
        <w:widowControl w:val="0"/>
        <w:rPr>
          <w:rFonts w:ascii="Times New Roman" w:hAnsi="Times New Roman"/>
          <w:b/>
          <w:bCs/>
          <w:spacing w:val="-6"/>
          <w:szCs w:val="24"/>
          <w:lang w:val="en-IE" w:eastAsia="de-AT"/>
        </w:rPr>
      </w:pPr>
      <w:r w:rsidRPr="00B40106">
        <w:rPr>
          <w:rFonts w:ascii="Times New Roman" w:hAnsi="Times New Roman"/>
          <w:b/>
          <w:bCs/>
          <w:iCs/>
          <w:szCs w:val="24"/>
        </w:rPr>
        <w:t xml:space="preserve">On paragraph </w:t>
      </w:r>
      <w:r w:rsidR="00353DF7">
        <w:rPr>
          <w:rFonts w:ascii="Times New Roman" w:hAnsi="Times New Roman"/>
          <w:b/>
          <w:bCs/>
          <w:iCs/>
          <w:szCs w:val="24"/>
        </w:rPr>
        <w:t>26</w:t>
      </w:r>
      <w:r w:rsidR="00353DF7" w:rsidRPr="00B40106">
        <w:rPr>
          <w:rFonts w:ascii="Times New Roman" w:hAnsi="Times New Roman"/>
          <w:b/>
          <w:bCs/>
          <w:iCs/>
          <w:szCs w:val="24"/>
        </w:rPr>
        <w:t xml:space="preserve"> </w:t>
      </w:r>
      <w:r w:rsidRPr="00B40106">
        <w:rPr>
          <w:rFonts w:ascii="Times New Roman" w:hAnsi="Times New Roman"/>
          <w:b/>
          <w:bCs/>
          <w:iCs/>
          <w:szCs w:val="24"/>
        </w:rPr>
        <w:t xml:space="preserve">on </w:t>
      </w:r>
      <w:r w:rsidR="006F70B6">
        <w:rPr>
          <w:rFonts w:ascii="Times New Roman" w:hAnsi="Times New Roman"/>
          <w:b/>
          <w:bCs/>
          <w:iCs/>
          <w:szCs w:val="24"/>
        </w:rPr>
        <w:t>monitoring the reform progress</w:t>
      </w:r>
      <w:r>
        <w:rPr>
          <w:rFonts w:ascii="Times New Roman" w:hAnsi="Times New Roman"/>
          <w:iCs/>
          <w:szCs w:val="24"/>
        </w:rPr>
        <w:t xml:space="preserve">, the Commission recalls </w:t>
      </w:r>
      <w:r w:rsidR="0045704A">
        <w:rPr>
          <w:rFonts w:ascii="Times New Roman" w:hAnsi="Times New Roman"/>
          <w:iCs/>
          <w:szCs w:val="24"/>
        </w:rPr>
        <w:t>that a</w:t>
      </w:r>
      <w:r w:rsidR="0045704A" w:rsidRPr="0045704A">
        <w:rPr>
          <w:rFonts w:ascii="Times New Roman" w:hAnsi="Times New Roman"/>
          <w:iCs/>
          <w:szCs w:val="24"/>
        </w:rPr>
        <w:t xml:space="preserve">mid the challenges caused by Russia’s war of aggression, Ukraine has demonstrated its strong commitment to its EU path, moving forward on key reforms, while further and steady progress is needed in the fight against corruption. </w:t>
      </w:r>
      <w:r w:rsidR="0045704A">
        <w:rPr>
          <w:rFonts w:ascii="Times New Roman" w:hAnsi="Times New Roman"/>
          <w:iCs/>
          <w:szCs w:val="24"/>
        </w:rPr>
        <w:t xml:space="preserve">The Commission recalls </w:t>
      </w:r>
      <w:r>
        <w:rPr>
          <w:rFonts w:ascii="Times New Roman" w:hAnsi="Times New Roman"/>
          <w:iCs/>
          <w:szCs w:val="24"/>
        </w:rPr>
        <w:t xml:space="preserve">its assessment </w:t>
      </w:r>
      <w:r w:rsidR="008F0B89">
        <w:rPr>
          <w:rFonts w:ascii="Times New Roman" w:hAnsi="Times New Roman"/>
          <w:iCs/>
          <w:szCs w:val="24"/>
        </w:rPr>
        <w:t>th</w:t>
      </w:r>
      <w:r w:rsidR="0045704A">
        <w:rPr>
          <w:rFonts w:ascii="Times New Roman" w:hAnsi="Times New Roman"/>
          <w:iCs/>
          <w:szCs w:val="24"/>
        </w:rPr>
        <w:t>at</w:t>
      </w:r>
      <w:r w:rsidR="008F0B89">
        <w:rPr>
          <w:rFonts w:ascii="Times New Roman" w:hAnsi="Times New Roman"/>
          <w:iCs/>
          <w:szCs w:val="24"/>
        </w:rPr>
        <w:t xml:space="preserve"> Ukraine has </w:t>
      </w:r>
      <w:r w:rsidR="008F0B89" w:rsidRPr="008F0B89">
        <w:rPr>
          <w:rFonts w:ascii="Times New Roman" w:hAnsi="Times New Roman"/>
          <w:spacing w:val="-6"/>
          <w:szCs w:val="24"/>
          <w:lang w:val="en-IE" w:eastAsia="de-AT"/>
        </w:rPr>
        <w:t>met the conditions required to open cluster one (fundamentals)</w:t>
      </w:r>
      <w:r w:rsidR="008F0B89">
        <w:rPr>
          <w:rFonts w:ascii="Times New Roman" w:hAnsi="Times New Roman"/>
          <w:spacing w:val="-6"/>
          <w:szCs w:val="24"/>
          <w:lang w:val="en-IE" w:eastAsia="de-AT"/>
        </w:rPr>
        <w:t xml:space="preserve"> as well as </w:t>
      </w:r>
      <w:r w:rsidR="008F0B89" w:rsidRPr="008F0B89">
        <w:rPr>
          <w:rFonts w:ascii="Times New Roman" w:hAnsi="Times New Roman"/>
          <w:spacing w:val="-6"/>
          <w:szCs w:val="24"/>
          <w:lang w:val="en-IE" w:eastAsia="de-AT"/>
        </w:rPr>
        <w:t>six (external relations), and two (internal market).</w:t>
      </w:r>
      <w:r w:rsidR="008F0B89">
        <w:rPr>
          <w:rFonts w:ascii="Times New Roman" w:hAnsi="Times New Roman"/>
          <w:spacing w:val="-6"/>
          <w:szCs w:val="24"/>
          <w:lang w:val="en-IE" w:eastAsia="de-AT"/>
        </w:rPr>
        <w:t xml:space="preserve"> T</w:t>
      </w:r>
      <w:r w:rsidR="008F0B89" w:rsidRPr="008F0B89">
        <w:rPr>
          <w:rFonts w:ascii="Times New Roman" w:hAnsi="Times New Roman"/>
          <w:spacing w:val="-6"/>
          <w:szCs w:val="24"/>
          <w:lang w:val="en-IE" w:eastAsia="de-AT"/>
        </w:rPr>
        <w:t>he Commission expects Ukraine to meet the conditions to open the remaining clusters</w:t>
      </w:r>
      <w:r w:rsidR="00B40106">
        <w:rPr>
          <w:rFonts w:ascii="Times New Roman" w:hAnsi="Times New Roman"/>
          <w:spacing w:val="-6"/>
          <w:szCs w:val="24"/>
          <w:lang w:val="en-IE" w:eastAsia="de-AT"/>
        </w:rPr>
        <w:t>: three (competitiveness and inclusive growth), four (green agenda and sustainable connectivity) and five (resources, agriculture and cohesion)</w:t>
      </w:r>
      <w:r w:rsidR="008F0B89" w:rsidRPr="008F0B89">
        <w:rPr>
          <w:rFonts w:ascii="Times New Roman" w:hAnsi="Times New Roman"/>
          <w:spacing w:val="-6"/>
          <w:szCs w:val="24"/>
          <w:lang w:val="en-IE" w:eastAsia="de-AT"/>
        </w:rPr>
        <w:t xml:space="preserve"> and works to ensure that the Council is </w:t>
      </w:r>
      <w:proofErr w:type="gramStart"/>
      <w:r w:rsidR="008F0B89" w:rsidRPr="008F0B89">
        <w:rPr>
          <w:rFonts w:ascii="Times New Roman" w:hAnsi="Times New Roman"/>
          <w:spacing w:val="-6"/>
          <w:szCs w:val="24"/>
          <w:lang w:val="en-IE" w:eastAsia="de-AT"/>
        </w:rPr>
        <w:t>in a position</w:t>
      </w:r>
      <w:proofErr w:type="gramEnd"/>
      <w:r w:rsidR="008F0B89" w:rsidRPr="008F0B89">
        <w:rPr>
          <w:rFonts w:ascii="Times New Roman" w:hAnsi="Times New Roman"/>
          <w:spacing w:val="-6"/>
          <w:szCs w:val="24"/>
          <w:lang w:val="en-IE" w:eastAsia="de-AT"/>
        </w:rPr>
        <w:t xml:space="preserve"> to take forward the </w:t>
      </w:r>
      <w:r w:rsidR="008F0B89" w:rsidRPr="00E5701B">
        <w:rPr>
          <w:rFonts w:ascii="Times New Roman" w:hAnsi="Times New Roman"/>
          <w:b/>
          <w:bCs/>
          <w:spacing w:val="-6"/>
          <w:szCs w:val="24"/>
          <w:lang w:val="en-IE" w:eastAsia="de-AT"/>
        </w:rPr>
        <w:t>opening of all clusters before the end of the year.</w:t>
      </w:r>
    </w:p>
    <w:p w14:paraId="54DCAC07" w14:textId="083FC788" w:rsidR="0045704A" w:rsidRPr="0045704A" w:rsidRDefault="0045704A" w:rsidP="007F3CBD">
      <w:pPr>
        <w:widowControl w:val="0"/>
        <w:rPr>
          <w:rFonts w:ascii="Times New Roman" w:hAnsi="Times New Roman"/>
          <w:b/>
          <w:bCs/>
          <w:spacing w:val="-6"/>
          <w:szCs w:val="24"/>
          <w:lang w:val="en-IE" w:eastAsia="de-AT"/>
        </w:rPr>
      </w:pPr>
      <w:r w:rsidRPr="0045704A">
        <w:rPr>
          <w:rFonts w:ascii="Times New Roman" w:hAnsi="Times New Roman"/>
          <w:b/>
          <w:bCs/>
          <w:spacing w:val="-6"/>
          <w:szCs w:val="24"/>
          <w:lang w:eastAsia="de-AT"/>
        </w:rPr>
        <w:t>The Ukraine Plan</w:t>
      </w:r>
      <w:r w:rsidRPr="0045704A">
        <w:rPr>
          <w:rFonts w:ascii="Times New Roman" w:hAnsi="Times New Roman"/>
          <w:spacing w:val="-6"/>
          <w:szCs w:val="24"/>
          <w:lang w:eastAsia="de-AT"/>
        </w:rPr>
        <w:t xml:space="preserve"> has been central in steering reforms and promoting alignment with the EU </w:t>
      </w:r>
      <w:r w:rsidRPr="00AF71D2">
        <w:rPr>
          <w:rFonts w:ascii="Times New Roman" w:hAnsi="Times New Roman"/>
          <w:i/>
          <w:iCs/>
          <w:spacing w:val="-6"/>
          <w:szCs w:val="24"/>
          <w:lang w:eastAsia="de-AT"/>
        </w:rPr>
        <w:t>acquis</w:t>
      </w:r>
      <w:r w:rsidRPr="0045704A">
        <w:rPr>
          <w:rFonts w:ascii="Times New Roman" w:hAnsi="Times New Roman"/>
          <w:spacing w:val="-6"/>
          <w:szCs w:val="24"/>
          <w:lang w:eastAsia="de-AT"/>
        </w:rPr>
        <w:t xml:space="preserve">, showing the resilience of conditionality under exceptional circumstances. Steps already taken (from reinforcing anti-corruption measures to improving public administration) are laying the foundations for recovery and opening space for greater private sector involvement. </w:t>
      </w:r>
      <w:r>
        <w:rPr>
          <w:rFonts w:ascii="Times New Roman" w:hAnsi="Times New Roman"/>
          <w:spacing w:val="-6"/>
          <w:szCs w:val="24"/>
          <w:lang w:eastAsia="de-AT"/>
        </w:rPr>
        <w:t>Further s</w:t>
      </w:r>
      <w:r w:rsidRPr="0045704A">
        <w:rPr>
          <w:rFonts w:ascii="Times New Roman" w:hAnsi="Times New Roman"/>
          <w:spacing w:val="-6"/>
          <w:szCs w:val="24"/>
          <w:lang w:eastAsia="de-AT"/>
        </w:rPr>
        <w:t xml:space="preserve">ustaining this momentum and preventing any risk of backsliding, </w:t>
      </w:r>
      <w:proofErr w:type="gramStart"/>
      <w:r w:rsidRPr="0045704A">
        <w:rPr>
          <w:rFonts w:ascii="Times New Roman" w:hAnsi="Times New Roman"/>
          <w:spacing w:val="-6"/>
          <w:szCs w:val="24"/>
          <w:lang w:eastAsia="de-AT"/>
        </w:rPr>
        <w:t>in particular on</w:t>
      </w:r>
      <w:proofErr w:type="gramEnd"/>
      <w:r w:rsidRPr="0045704A">
        <w:rPr>
          <w:rFonts w:ascii="Times New Roman" w:hAnsi="Times New Roman"/>
          <w:spacing w:val="-6"/>
          <w:szCs w:val="24"/>
          <w:lang w:eastAsia="de-AT"/>
        </w:rPr>
        <w:t xml:space="preserve"> anti-corruption, will be essential. Significant progress was also made on </w:t>
      </w:r>
      <w:r w:rsidRPr="0045704A">
        <w:rPr>
          <w:rFonts w:ascii="Times New Roman" w:hAnsi="Times New Roman"/>
          <w:b/>
          <w:bCs/>
          <w:spacing w:val="-6"/>
          <w:szCs w:val="24"/>
          <w:lang w:eastAsia="de-AT"/>
        </w:rPr>
        <w:t>gradual integration into the single market</w:t>
      </w:r>
      <w:r w:rsidRPr="0045704A">
        <w:rPr>
          <w:rFonts w:ascii="Times New Roman" w:hAnsi="Times New Roman"/>
          <w:spacing w:val="-6"/>
          <w:szCs w:val="24"/>
          <w:lang w:eastAsia="de-AT"/>
        </w:rPr>
        <w:t>, already bringing Ukraine closer to the EU. On 1 January 2026, the first internal market treatment decision for Ukraine, on ‘Roam like at home’ will enter into force.</w:t>
      </w:r>
    </w:p>
    <w:p w14:paraId="7C2D587E" w14:textId="2D5FC388" w:rsidR="008C3BF5" w:rsidRPr="008C3BF5" w:rsidRDefault="00AD752F" w:rsidP="008C3BF5">
      <w:pPr>
        <w:widowControl w:val="0"/>
        <w:rPr>
          <w:rFonts w:ascii="Times New Roman" w:hAnsi="Times New Roman"/>
          <w:spacing w:val="-6"/>
          <w:szCs w:val="24"/>
          <w:lang w:eastAsia="de-AT"/>
        </w:rPr>
      </w:pPr>
      <w:r w:rsidRPr="009C5385">
        <w:rPr>
          <w:rFonts w:ascii="Times New Roman" w:hAnsi="Times New Roman"/>
          <w:b/>
          <w:bCs/>
          <w:spacing w:val="-6"/>
          <w:szCs w:val="24"/>
          <w:lang w:val="en-IE" w:eastAsia="de-AT"/>
        </w:rPr>
        <w:t>On paragraph 3</w:t>
      </w:r>
      <w:r w:rsidR="00E32F09">
        <w:rPr>
          <w:rFonts w:ascii="Times New Roman" w:hAnsi="Times New Roman"/>
          <w:b/>
          <w:bCs/>
          <w:spacing w:val="-6"/>
          <w:szCs w:val="24"/>
          <w:lang w:val="en-IE" w:eastAsia="de-AT"/>
        </w:rPr>
        <w:t>7</w:t>
      </w:r>
      <w:r w:rsidRPr="009C5385">
        <w:rPr>
          <w:rFonts w:ascii="Times New Roman" w:hAnsi="Times New Roman"/>
          <w:b/>
          <w:bCs/>
          <w:spacing w:val="-6"/>
          <w:szCs w:val="24"/>
          <w:lang w:val="en-IE" w:eastAsia="de-AT"/>
        </w:rPr>
        <w:t xml:space="preserve"> on strengthening of the rule of law,</w:t>
      </w:r>
      <w:r w:rsidRPr="009C5385">
        <w:rPr>
          <w:rFonts w:ascii="Times New Roman" w:hAnsi="Times New Roman"/>
          <w:spacing w:val="-6"/>
          <w:szCs w:val="24"/>
          <w:lang w:val="en-IE" w:eastAsia="de-AT"/>
        </w:rPr>
        <w:t xml:space="preserve"> </w:t>
      </w:r>
      <w:r w:rsidRPr="009C5385">
        <w:rPr>
          <w:rFonts w:ascii="Times New Roman" w:hAnsi="Times New Roman"/>
          <w:b/>
          <w:bCs/>
          <w:spacing w:val="-6"/>
          <w:szCs w:val="24"/>
          <w:lang w:val="en-IE" w:eastAsia="de-AT"/>
        </w:rPr>
        <w:t>judicial reform and fight against corruption</w:t>
      </w:r>
      <w:r w:rsidRPr="009C5385">
        <w:rPr>
          <w:rFonts w:ascii="Times New Roman" w:hAnsi="Times New Roman"/>
          <w:spacing w:val="-6"/>
          <w:szCs w:val="24"/>
          <w:lang w:val="en-IE" w:eastAsia="de-AT"/>
        </w:rPr>
        <w:t xml:space="preserve">, the Commission fully shares the view that progress in these areas is crucial not only for EU membership but also for </w:t>
      </w:r>
      <w:r w:rsidR="009579E6" w:rsidRPr="009C5385">
        <w:rPr>
          <w:rFonts w:ascii="Times New Roman" w:hAnsi="Times New Roman"/>
          <w:spacing w:val="-6"/>
          <w:szCs w:val="24"/>
          <w:lang w:val="en-IE" w:eastAsia="de-AT"/>
        </w:rPr>
        <w:t xml:space="preserve">successful </w:t>
      </w:r>
      <w:r w:rsidRPr="009C5385">
        <w:rPr>
          <w:rFonts w:ascii="Times New Roman" w:hAnsi="Times New Roman"/>
          <w:spacing w:val="-6"/>
          <w:szCs w:val="24"/>
          <w:lang w:val="en-IE" w:eastAsia="de-AT"/>
        </w:rPr>
        <w:t>reconstruction. An acceleration of the pace of fundamental reforms is required</w:t>
      </w:r>
      <w:r w:rsidR="008C3BF5" w:rsidRPr="009C5385">
        <w:rPr>
          <w:rFonts w:ascii="Times New Roman" w:hAnsi="Times New Roman"/>
          <w:spacing w:val="-6"/>
          <w:szCs w:val="24"/>
          <w:lang w:val="en-IE" w:eastAsia="de-AT"/>
        </w:rPr>
        <w:t xml:space="preserve">. </w:t>
      </w:r>
      <w:r w:rsidR="008C3BF5" w:rsidRPr="009C5385">
        <w:rPr>
          <w:rFonts w:ascii="Times New Roman" w:hAnsi="Times New Roman"/>
          <w:spacing w:val="-6"/>
          <w:szCs w:val="24"/>
          <w:lang w:eastAsia="de-AT"/>
        </w:rPr>
        <w:t>Recent negative trends, including the pressure on the specialised anti-corruption agencies and civil society, must be decisively reversed. Ukraine should preserve and further advance its independent anti-corruption framework</w:t>
      </w:r>
      <w:r w:rsidR="009C5385" w:rsidRPr="004136AC">
        <w:rPr>
          <w:rFonts w:ascii="Times New Roman" w:hAnsi="Times New Roman"/>
          <w:spacing w:val="-6"/>
          <w:szCs w:val="24"/>
          <w:lang w:eastAsia="de-AT"/>
        </w:rPr>
        <w:t>, build a solid track record,</w:t>
      </w:r>
      <w:r w:rsidR="008C3BF5" w:rsidRPr="009C5385">
        <w:rPr>
          <w:rFonts w:ascii="Times New Roman" w:hAnsi="Times New Roman"/>
          <w:spacing w:val="-6"/>
          <w:szCs w:val="24"/>
          <w:lang w:eastAsia="de-AT"/>
        </w:rPr>
        <w:t xml:space="preserve"> and prevent any backsliding. The Commission is committed to provide support and remains in constant dialogue with the Ukrainian authorities in this regard.</w:t>
      </w:r>
    </w:p>
    <w:p w14:paraId="680781DA" w14:textId="4DDD0CB3" w:rsidR="00385312" w:rsidRDefault="00385312" w:rsidP="007F3CBD">
      <w:pPr>
        <w:widowControl w:val="0"/>
        <w:rPr>
          <w:rFonts w:ascii="Times New Roman" w:hAnsi="Times New Roman"/>
          <w:iCs/>
          <w:szCs w:val="24"/>
        </w:rPr>
      </w:pPr>
      <w:r w:rsidRPr="00385312">
        <w:rPr>
          <w:rFonts w:ascii="Times New Roman" w:hAnsi="Times New Roman"/>
          <w:b/>
          <w:bCs/>
          <w:iCs/>
          <w:szCs w:val="24"/>
        </w:rPr>
        <w:t>On paragraph 6</w:t>
      </w:r>
      <w:r w:rsidR="00967C2F">
        <w:rPr>
          <w:rFonts w:ascii="Times New Roman" w:hAnsi="Times New Roman"/>
          <w:b/>
          <w:bCs/>
          <w:iCs/>
          <w:szCs w:val="24"/>
        </w:rPr>
        <w:t>0</w:t>
      </w:r>
      <w:r w:rsidRPr="00385312">
        <w:rPr>
          <w:rFonts w:ascii="Times New Roman" w:hAnsi="Times New Roman"/>
          <w:b/>
          <w:bCs/>
          <w:iCs/>
          <w:szCs w:val="24"/>
        </w:rPr>
        <w:t xml:space="preserve"> on the Ukraine Plan implementation</w:t>
      </w:r>
      <w:r>
        <w:rPr>
          <w:rFonts w:ascii="Times New Roman" w:hAnsi="Times New Roman"/>
          <w:b/>
          <w:bCs/>
          <w:iCs/>
          <w:szCs w:val="24"/>
        </w:rPr>
        <w:t>,</w:t>
      </w:r>
      <w:r>
        <w:rPr>
          <w:rFonts w:ascii="Times New Roman" w:hAnsi="Times New Roman"/>
          <w:iCs/>
          <w:szCs w:val="24"/>
        </w:rPr>
        <w:t xml:space="preserve"> the Commission </w:t>
      </w:r>
      <w:r>
        <w:rPr>
          <w:rFonts w:ascii="Times New Roman" w:hAnsi="Times New Roman"/>
          <w:iCs/>
          <w:szCs w:val="24"/>
          <w:lang w:val="en-US"/>
        </w:rPr>
        <w:t>recalls that since</w:t>
      </w:r>
      <w:r w:rsidRPr="00385312">
        <w:rPr>
          <w:rFonts w:ascii="Times New Roman" w:hAnsi="Times New Roman"/>
          <w:iCs/>
          <w:szCs w:val="24"/>
          <w:lang w:val="en-US"/>
        </w:rPr>
        <w:t xml:space="preserve"> the </w:t>
      </w:r>
      <w:r w:rsidRPr="00385312">
        <w:rPr>
          <w:rFonts w:ascii="Times New Roman" w:hAnsi="Times New Roman"/>
          <w:b/>
          <w:bCs/>
          <w:iCs/>
          <w:szCs w:val="24"/>
          <w:lang w:val="en-US"/>
        </w:rPr>
        <w:t>Ukraine Facility</w:t>
      </w:r>
      <w:r w:rsidRPr="00385312">
        <w:rPr>
          <w:rFonts w:ascii="Times New Roman" w:hAnsi="Times New Roman"/>
          <w:iCs/>
          <w:szCs w:val="24"/>
          <w:lang w:val="en-US"/>
        </w:rPr>
        <w:t xml:space="preserve"> became operational in March 2024, the Commission has disbursed </w:t>
      </w:r>
      <w:r w:rsidRPr="00385312">
        <w:rPr>
          <w:rFonts w:ascii="Times New Roman" w:hAnsi="Times New Roman"/>
          <w:b/>
          <w:bCs/>
          <w:iCs/>
          <w:szCs w:val="24"/>
          <w:lang w:val="en-US"/>
        </w:rPr>
        <w:t>EUR 2</w:t>
      </w:r>
      <w:r w:rsidR="009E41F8">
        <w:rPr>
          <w:rFonts w:ascii="Times New Roman" w:hAnsi="Times New Roman"/>
          <w:b/>
          <w:bCs/>
          <w:iCs/>
          <w:szCs w:val="24"/>
          <w:lang w:val="en-US"/>
        </w:rPr>
        <w:t>4</w:t>
      </w:r>
      <w:r w:rsidRPr="00385312">
        <w:rPr>
          <w:rFonts w:ascii="Times New Roman" w:hAnsi="Times New Roman"/>
          <w:b/>
          <w:bCs/>
          <w:iCs/>
          <w:szCs w:val="24"/>
          <w:lang w:val="en-US"/>
        </w:rPr>
        <w:t>,</w:t>
      </w:r>
      <w:r w:rsidR="009E41F8">
        <w:rPr>
          <w:rFonts w:ascii="Times New Roman" w:hAnsi="Times New Roman"/>
          <w:b/>
          <w:bCs/>
          <w:iCs/>
          <w:szCs w:val="24"/>
          <w:lang w:val="en-US"/>
        </w:rPr>
        <w:t>5</w:t>
      </w:r>
      <w:r w:rsidRPr="00385312">
        <w:rPr>
          <w:rFonts w:ascii="Times New Roman" w:hAnsi="Times New Roman"/>
          <w:b/>
          <w:bCs/>
          <w:iCs/>
          <w:szCs w:val="24"/>
          <w:lang w:val="en-US"/>
        </w:rPr>
        <w:t xml:space="preserve"> billion</w:t>
      </w:r>
      <w:r w:rsidRPr="00385312">
        <w:rPr>
          <w:rFonts w:ascii="Times New Roman" w:hAnsi="Times New Roman"/>
          <w:iCs/>
          <w:szCs w:val="24"/>
          <w:lang w:val="en-US"/>
        </w:rPr>
        <w:t xml:space="preserve"> </w:t>
      </w:r>
      <w:r w:rsidR="009E41F8">
        <w:rPr>
          <w:rFonts w:ascii="Times New Roman" w:hAnsi="Times New Roman"/>
          <w:iCs/>
          <w:szCs w:val="24"/>
          <w:lang w:val="en-US"/>
        </w:rPr>
        <w:t xml:space="preserve">in loans and grants </w:t>
      </w:r>
      <w:r w:rsidRPr="00385312">
        <w:rPr>
          <w:rFonts w:ascii="Times New Roman" w:hAnsi="Times New Roman"/>
          <w:iCs/>
          <w:szCs w:val="24"/>
          <w:lang w:val="en-US"/>
        </w:rPr>
        <w:t xml:space="preserve">under the first pillar (Ukraine Plan). Over 2025, up to </w:t>
      </w:r>
      <w:r w:rsidRPr="00385312">
        <w:rPr>
          <w:rFonts w:ascii="Times New Roman" w:hAnsi="Times New Roman"/>
          <w:b/>
          <w:bCs/>
          <w:iCs/>
          <w:szCs w:val="24"/>
          <w:lang w:val="en-US"/>
        </w:rPr>
        <w:t>EUR 12.5 billion</w:t>
      </w:r>
      <w:r w:rsidRPr="00385312">
        <w:rPr>
          <w:rFonts w:ascii="Times New Roman" w:hAnsi="Times New Roman"/>
          <w:iCs/>
          <w:szCs w:val="24"/>
          <w:lang w:val="en-US"/>
        </w:rPr>
        <w:t xml:space="preserve"> </w:t>
      </w:r>
      <w:r w:rsidR="009E41F8">
        <w:rPr>
          <w:rFonts w:ascii="Times New Roman" w:hAnsi="Times New Roman"/>
          <w:iCs/>
          <w:szCs w:val="24"/>
          <w:lang w:val="en-US"/>
        </w:rPr>
        <w:t xml:space="preserve">in loans and grants </w:t>
      </w:r>
      <w:r w:rsidRPr="00385312">
        <w:rPr>
          <w:rFonts w:ascii="Times New Roman" w:hAnsi="Times New Roman"/>
          <w:iCs/>
          <w:szCs w:val="24"/>
          <w:lang w:val="en-US"/>
        </w:rPr>
        <w:t>can be disbursed under the Ukraine Plan, pending the implementation of reforms by Ukraine.</w:t>
      </w:r>
    </w:p>
    <w:p w14:paraId="435D87D9" w14:textId="44AEC641" w:rsidR="00661111" w:rsidRPr="00661111" w:rsidRDefault="0098090A" w:rsidP="00661111">
      <w:pPr>
        <w:widowControl w:val="0"/>
        <w:rPr>
          <w:rFonts w:ascii="Times New Roman" w:hAnsi="Times New Roman"/>
          <w:iCs/>
          <w:szCs w:val="24"/>
          <w:lang w:val="en-IE"/>
        </w:rPr>
      </w:pPr>
      <w:r w:rsidRPr="00661111">
        <w:rPr>
          <w:rFonts w:ascii="Times New Roman" w:hAnsi="Times New Roman"/>
          <w:b/>
          <w:bCs/>
          <w:iCs/>
          <w:szCs w:val="24"/>
        </w:rPr>
        <w:t xml:space="preserve">On paragraph </w:t>
      </w:r>
      <w:r w:rsidR="00A6433E" w:rsidRPr="00661111">
        <w:rPr>
          <w:rFonts w:ascii="Times New Roman" w:hAnsi="Times New Roman"/>
          <w:b/>
          <w:bCs/>
          <w:iCs/>
          <w:szCs w:val="24"/>
        </w:rPr>
        <w:t>6</w:t>
      </w:r>
      <w:r w:rsidR="00A6433E">
        <w:rPr>
          <w:rFonts w:ascii="Times New Roman" w:hAnsi="Times New Roman"/>
          <w:b/>
          <w:bCs/>
          <w:iCs/>
          <w:szCs w:val="24"/>
        </w:rPr>
        <w:t xml:space="preserve">3 </w:t>
      </w:r>
      <w:r w:rsidR="00E419DA" w:rsidRPr="00661111">
        <w:rPr>
          <w:rFonts w:ascii="Times New Roman" w:hAnsi="Times New Roman"/>
          <w:b/>
          <w:bCs/>
          <w:iCs/>
          <w:szCs w:val="24"/>
        </w:rPr>
        <w:t>on ensuring continued and enhanced financial support for 2026 and 2027</w:t>
      </w:r>
      <w:r w:rsidR="00661111">
        <w:rPr>
          <w:rFonts w:ascii="Times New Roman" w:hAnsi="Times New Roman"/>
          <w:iCs/>
          <w:szCs w:val="24"/>
        </w:rPr>
        <w:t>, t</w:t>
      </w:r>
      <w:r w:rsidR="00661111" w:rsidRPr="00661111">
        <w:rPr>
          <w:rFonts w:ascii="Times New Roman" w:hAnsi="Times New Roman"/>
          <w:iCs/>
          <w:szCs w:val="24"/>
          <w:lang w:val="en-US"/>
        </w:rPr>
        <w:t>he</w:t>
      </w:r>
      <w:r w:rsidR="00BF028E">
        <w:rPr>
          <w:rFonts w:ascii="Times New Roman" w:hAnsi="Times New Roman"/>
          <w:iCs/>
          <w:szCs w:val="24"/>
          <w:lang w:val="en-US"/>
        </w:rPr>
        <w:t xml:space="preserve"> President of the</w:t>
      </w:r>
      <w:r w:rsidR="00661111" w:rsidRPr="00661111">
        <w:rPr>
          <w:rFonts w:ascii="Times New Roman" w:hAnsi="Times New Roman"/>
          <w:iCs/>
          <w:szCs w:val="24"/>
          <w:lang w:val="en-US"/>
        </w:rPr>
        <w:t xml:space="preserve"> Commission</w:t>
      </w:r>
      <w:r w:rsidR="00CA7819">
        <w:rPr>
          <w:rFonts w:ascii="Times New Roman" w:hAnsi="Times New Roman"/>
          <w:iCs/>
          <w:szCs w:val="24"/>
          <w:lang w:val="en-US"/>
        </w:rPr>
        <w:t>,</w:t>
      </w:r>
      <w:r w:rsidR="00BF028E">
        <w:rPr>
          <w:rFonts w:ascii="Times New Roman" w:hAnsi="Times New Roman"/>
          <w:iCs/>
          <w:szCs w:val="24"/>
          <w:lang w:val="en-US"/>
        </w:rPr>
        <w:t xml:space="preserve"> in a letter dated 17 November</w:t>
      </w:r>
      <w:r w:rsidR="00CA7819">
        <w:rPr>
          <w:rFonts w:ascii="Times New Roman" w:hAnsi="Times New Roman"/>
          <w:iCs/>
          <w:szCs w:val="24"/>
          <w:lang w:val="en-US"/>
        </w:rPr>
        <w:t>,</w:t>
      </w:r>
      <w:r w:rsidR="00BF028E">
        <w:rPr>
          <w:rFonts w:ascii="Times New Roman" w:hAnsi="Times New Roman"/>
          <w:iCs/>
          <w:szCs w:val="24"/>
          <w:lang w:val="en-US"/>
        </w:rPr>
        <w:t xml:space="preserve"> </w:t>
      </w:r>
      <w:r w:rsidR="00CA7819">
        <w:rPr>
          <w:rFonts w:ascii="Times New Roman" w:hAnsi="Times New Roman"/>
          <w:iCs/>
          <w:szCs w:val="24"/>
          <w:lang w:val="en-US"/>
        </w:rPr>
        <w:t xml:space="preserve">has </w:t>
      </w:r>
      <w:r w:rsidR="00BF028E">
        <w:rPr>
          <w:rFonts w:ascii="Times New Roman" w:hAnsi="Times New Roman"/>
          <w:iCs/>
          <w:szCs w:val="24"/>
          <w:lang w:val="en-US"/>
        </w:rPr>
        <w:t xml:space="preserve">outlined the </w:t>
      </w:r>
      <w:r w:rsidR="00661111" w:rsidRPr="00661111">
        <w:rPr>
          <w:rFonts w:ascii="Times New Roman" w:hAnsi="Times New Roman"/>
          <w:iCs/>
          <w:szCs w:val="24"/>
          <w:lang w:val="en-US"/>
        </w:rPr>
        <w:t xml:space="preserve">options </w:t>
      </w:r>
      <w:r w:rsidR="00661111" w:rsidRPr="00661111">
        <w:rPr>
          <w:rFonts w:ascii="Times New Roman" w:hAnsi="Times New Roman"/>
          <w:iCs/>
          <w:szCs w:val="24"/>
          <w:lang w:val="en-US"/>
        </w:rPr>
        <w:lastRenderedPageBreak/>
        <w:t xml:space="preserve">to address Ukraine’s pressing financial needs </w:t>
      </w:r>
      <w:r w:rsidR="00661111">
        <w:rPr>
          <w:rFonts w:ascii="Times New Roman" w:hAnsi="Times New Roman"/>
          <w:iCs/>
          <w:szCs w:val="24"/>
          <w:lang w:val="en-US"/>
        </w:rPr>
        <w:t>in this period</w:t>
      </w:r>
      <w:r w:rsidR="00661111" w:rsidRPr="00661111">
        <w:rPr>
          <w:rFonts w:ascii="Times New Roman" w:hAnsi="Times New Roman"/>
          <w:iCs/>
          <w:szCs w:val="24"/>
          <w:lang w:val="en-US"/>
        </w:rPr>
        <w:t>, responding to the European Council conclusions. The Commission</w:t>
      </w:r>
      <w:r w:rsidR="00A3520E">
        <w:rPr>
          <w:rFonts w:ascii="Times New Roman" w:hAnsi="Times New Roman"/>
          <w:iCs/>
          <w:szCs w:val="24"/>
          <w:lang w:val="en-US"/>
        </w:rPr>
        <w:t xml:space="preserve"> </w:t>
      </w:r>
      <w:r w:rsidR="00661111" w:rsidRPr="00661111">
        <w:rPr>
          <w:rFonts w:ascii="Times New Roman" w:hAnsi="Times New Roman"/>
          <w:iCs/>
          <w:szCs w:val="24"/>
          <w:lang w:val="en-US"/>
        </w:rPr>
        <w:t>remains</w:t>
      </w:r>
      <w:r w:rsidR="00A3520E">
        <w:rPr>
          <w:rFonts w:ascii="Times New Roman" w:hAnsi="Times New Roman"/>
          <w:iCs/>
          <w:szCs w:val="24"/>
          <w:lang w:val="en-US"/>
        </w:rPr>
        <w:t xml:space="preserve"> </w:t>
      </w:r>
      <w:r w:rsidR="00661111" w:rsidRPr="00661111">
        <w:rPr>
          <w:rFonts w:ascii="Times New Roman" w:hAnsi="Times New Roman"/>
          <w:iCs/>
          <w:szCs w:val="24"/>
          <w:lang w:val="en-US"/>
        </w:rPr>
        <w:t>committed to continuing to provide Ukraine with regular and predictable financial support in the long term, together with like-minded partners and allies.</w:t>
      </w:r>
    </w:p>
    <w:p w14:paraId="0C532874" w14:textId="6CB18F10" w:rsidR="00A65228" w:rsidRPr="00AB2604" w:rsidRDefault="00180315" w:rsidP="00180315">
      <w:pPr>
        <w:widowControl w:val="0"/>
        <w:rPr>
          <w:rFonts w:ascii="Times New Roman" w:hAnsi="Times New Roman"/>
          <w:bCs/>
          <w:iCs/>
          <w:szCs w:val="24"/>
          <w:lang w:val="en-US"/>
        </w:rPr>
      </w:pPr>
      <w:bookmarkStart w:id="1" w:name="_Hlk214444735"/>
      <w:r w:rsidRPr="009017FF">
        <w:rPr>
          <w:rFonts w:ascii="Times New Roman" w:hAnsi="Times New Roman"/>
          <w:b/>
          <w:bCs/>
          <w:iCs/>
          <w:szCs w:val="24"/>
        </w:rPr>
        <w:t xml:space="preserve">On paragraphs concerning the support in </w:t>
      </w:r>
      <w:r w:rsidR="009579E6">
        <w:rPr>
          <w:rFonts w:ascii="Times New Roman" w:hAnsi="Times New Roman"/>
          <w:b/>
          <w:bCs/>
          <w:iCs/>
          <w:szCs w:val="24"/>
        </w:rPr>
        <w:t xml:space="preserve">the </w:t>
      </w:r>
      <w:r w:rsidRPr="009017FF">
        <w:rPr>
          <w:rFonts w:ascii="Times New Roman" w:hAnsi="Times New Roman"/>
          <w:b/>
          <w:bCs/>
          <w:iCs/>
          <w:szCs w:val="24"/>
        </w:rPr>
        <w:t>energy sector</w:t>
      </w:r>
      <w:r>
        <w:rPr>
          <w:rFonts w:ascii="Times New Roman" w:hAnsi="Times New Roman"/>
          <w:iCs/>
          <w:szCs w:val="24"/>
        </w:rPr>
        <w:t xml:space="preserve">, the Commission recalls that </w:t>
      </w:r>
      <w:r>
        <w:rPr>
          <w:rFonts w:ascii="Times New Roman" w:hAnsi="Times New Roman"/>
          <w:bCs/>
          <w:iCs/>
          <w:szCs w:val="24"/>
          <w:lang w:val="en-US"/>
        </w:rPr>
        <w:t>s</w:t>
      </w:r>
      <w:r w:rsidRPr="00180315">
        <w:rPr>
          <w:rFonts w:ascii="Times New Roman" w:hAnsi="Times New Roman"/>
          <w:bCs/>
          <w:iCs/>
          <w:szCs w:val="24"/>
          <w:lang w:val="en-US"/>
        </w:rPr>
        <w:t>ince the beginning of the full-scale</w:t>
      </w:r>
      <w:r>
        <w:rPr>
          <w:rFonts w:ascii="Times New Roman" w:hAnsi="Times New Roman"/>
          <w:bCs/>
          <w:iCs/>
          <w:szCs w:val="24"/>
          <w:lang w:val="en-US"/>
        </w:rPr>
        <w:t xml:space="preserve"> Russia’s</w:t>
      </w:r>
      <w:r w:rsidRPr="00180315">
        <w:rPr>
          <w:rFonts w:ascii="Times New Roman" w:hAnsi="Times New Roman"/>
          <w:bCs/>
          <w:iCs/>
          <w:szCs w:val="24"/>
          <w:lang w:val="en-US"/>
        </w:rPr>
        <w:t xml:space="preserve"> invasion,</w:t>
      </w:r>
      <w:r w:rsidR="00A65228">
        <w:rPr>
          <w:rFonts w:ascii="Times New Roman" w:hAnsi="Times New Roman"/>
          <w:bCs/>
          <w:iCs/>
          <w:szCs w:val="24"/>
          <w:lang w:val="en-US"/>
        </w:rPr>
        <w:t xml:space="preserve"> </w:t>
      </w:r>
      <w:r w:rsidR="00A65228" w:rsidRPr="00A65228">
        <w:rPr>
          <w:rFonts w:ascii="Times New Roman" w:hAnsi="Times New Roman"/>
          <w:bCs/>
          <w:iCs/>
          <w:szCs w:val="24"/>
          <w:lang w:val="en-US"/>
        </w:rPr>
        <w:t xml:space="preserve">the G7+ partners together with the EU have successfully mobilized over </w:t>
      </w:r>
      <w:r w:rsidR="000D358E">
        <w:rPr>
          <w:rFonts w:ascii="Times New Roman" w:hAnsi="Times New Roman"/>
          <w:bCs/>
          <w:iCs/>
          <w:szCs w:val="24"/>
          <w:lang w:val="en-US"/>
        </w:rPr>
        <w:t xml:space="preserve">USD </w:t>
      </w:r>
      <w:r w:rsidR="00A65228" w:rsidRPr="00A65228">
        <w:rPr>
          <w:rFonts w:ascii="Times New Roman" w:hAnsi="Times New Roman"/>
          <w:bCs/>
          <w:iCs/>
          <w:szCs w:val="24"/>
          <w:lang w:val="en-US"/>
        </w:rPr>
        <w:t>7 billion in energy assistance.</w:t>
      </w:r>
      <w:r w:rsidR="00A65228">
        <w:rPr>
          <w:rFonts w:ascii="Times New Roman" w:hAnsi="Times New Roman"/>
          <w:bCs/>
          <w:iCs/>
          <w:szCs w:val="24"/>
          <w:lang w:val="en-US"/>
        </w:rPr>
        <w:t xml:space="preserve"> Of this </w:t>
      </w:r>
      <w:r w:rsidR="00AB2604">
        <w:rPr>
          <w:rFonts w:ascii="Times New Roman" w:hAnsi="Times New Roman"/>
          <w:bCs/>
          <w:iCs/>
          <w:szCs w:val="24"/>
          <w:lang w:val="en-US"/>
        </w:rPr>
        <w:t>amount,</w:t>
      </w:r>
      <w:r w:rsidR="00AB2604" w:rsidRPr="00A65228">
        <w:rPr>
          <w:rFonts w:ascii="Times New Roman" w:hAnsi="Times New Roman"/>
          <w:bCs/>
          <w:iCs/>
          <w:szCs w:val="24"/>
          <w:lang w:val="en-US"/>
        </w:rPr>
        <w:t xml:space="preserve"> </w:t>
      </w:r>
      <w:r w:rsidR="00AB2604" w:rsidRPr="00180315">
        <w:rPr>
          <w:rFonts w:ascii="Times New Roman" w:hAnsi="Times New Roman"/>
          <w:bCs/>
          <w:iCs/>
          <w:szCs w:val="24"/>
          <w:lang w:val="en-US"/>
        </w:rPr>
        <w:t>the</w:t>
      </w:r>
      <w:r w:rsidR="00AB2604">
        <w:rPr>
          <w:rFonts w:ascii="Times New Roman" w:hAnsi="Times New Roman"/>
          <w:bCs/>
          <w:iCs/>
          <w:szCs w:val="24"/>
          <w:lang w:val="en-US"/>
        </w:rPr>
        <w:t xml:space="preserve"> EU has already provided </w:t>
      </w:r>
      <w:r w:rsidRPr="00180315">
        <w:rPr>
          <w:rFonts w:ascii="Times New Roman" w:hAnsi="Times New Roman"/>
          <w:bCs/>
          <w:iCs/>
          <w:szCs w:val="24"/>
          <w:lang w:val="en-US"/>
        </w:rPr>
        <w:t>more than</w:t>
      </w:r>
      <w:r w:rsidRPr="00180315">
        <w:rPr>
          <w:rFonts w:ascii="Times New Roman" w:hAnsi="Times New Roman"/>
          <w:b/>
          <w:iCs/>
          <w:szCs w:val="24"/>
          <w:lang w:val="en-US"/>
        </w:rPr>
        <w:t xml:space="preserve"> EUR 3</w:t>
      </w:r>
      <w:r>
        <w:rPr>
          <w:rFonts w:ascii="Times New Roman" w:hAnsi="Times New Roman"/>
          <w:b/>
          <w:iCs/>
          <w:szCs w:val="24"/>
          <w:lang w:val="en-US"/>
        </w:rPr>
        <w:t xml:space="preserve"> </w:t>
      </w:r>
      <w:r w:rsidRPr="00180315">
        <w:rPr>
          <w:rFonts w:ascii="Times New Roman" w:hAnsi="Times New Roman"/>
          <w:b/>
          <w:iCs/>
          <w:szCs w:val="24"/>
          <w:lang w:val="en-US"/>
        </w:rPr>
        <w:t>b</w:t>
      </w:r>
      <w:r>
        <w:rPr>
          <w:rFonts w:ascii="Times New Roman" w:hAnsi="Times New Roman"/>
          <w:b/>
          <w:iCs/>
          <w:szCs w:val="24"/>
          <w:lang w:val="en-US"/>
        </w:rPr>
        <w:t>illio</w:t>
      </w:r>
      <w:r w:rsidRPr="00180315">
        <w:rPr>
          <w:rFonts w:ascii="Times New Roman" w:hAnsi="Times New Roman"/>
          <w:b/>
          <w:iCs/>
          <w:szCs w:val="24"/>
          <w:lang w:val="en-US"/>
        </w:rPr>
        <w:t>n</w:t>
      </w:r>
      <w:r w:rsidRPr="00180315">
        <w:rPr>
          <w:rFonts w:ascii="Times New Roman" w:hAnsi="Times New Roman"/>
          <w:bCs/>
          <w:iCs/>
          <w:szCs w:val="24"/>
          <w:lang w:val="en-US"/>
        </w:rPr>
        <w:t xml:space="preserve"> </w:t>
      </w:r>
      <w:r w:rsidR="00AB2604">
        <w:rPr>
          <w:rFonts w:ascii="Times New Roman" w:hAnsi="Times New Roman"/>
          <w:bCs/>
          <w:iCs/>
          <w:szCs w:val="24"/>
          <w:lang w:val="en-US"/>
        </w:rPr>
        <w:t>to strengthen</w:t>
      </w:r>
      <w:r w:rsidRPr="00180315">
        <w:rPr>
          <w:rFonts w:ascii="Times New Roman" w:hAnsi="Times New Roman"/>
          <w:bCs/>
          <w:iCs/>
          <w:szCs w:val="24"/>
          <w:lang w:val="en-US"/>
        </w:rPr>
        <w:t xml:space="preserve"> </w:t>
      </w:r>
      <w:r w:rsidR="00AB2604">
        <w:rPr>
          <w:rFonts w:ascii="Times New Roman" w:hAnsi="Times New Roman"/>
          <w:bCs/>
          <w:iCs/>
          <w:szCs w:val="24"/>
          <w:lang w:val="en-US"/>
        </w:rPr>
        <w:t xml:space="preserve">Ukraine’s </w:t>
      </w:r>
      <w:r w:rsidRPr="00180315">
        <w:rPr>
          <w:rFonts w:ascii="Times New Roman" w:hAnsi="Times New Roman"/>
          <w:bCs/>
          <w:iCs/>
          <w:szCs w:val="24"/>
          <w:lang w:val="en-US"/>
        </w:rPr>
        <w:t xml:space="preserve">energy security via the Ukraine Facility and the Union Civil Protection Mechanism, among others. Most recently, the Ukraine Investment Framework helped </w:t>
      </w:r>
      <w:proofErr w:type="spellStart"/>
      <w:r w:rsidRPr="00180315">
        <w:rPr>
          <w:rFonts w:ascii="Times New Roman" w:hAnsi="Times New Roman"/>
          <w:bCs/>
          <w:iCs/>
          <w:szCs w:val="24"/>
          <w:lang w:val="en-US"/>
        </w:rPr>
        <w:t>mobili</w:t>
      </w:r>
      <w:r w:rsidR="00AF71D2">
        <w:rPr>
          <w:rFonts w:ascii="Times New Roman" w:hAnsi="Times New Roman"/>
          <w:bCs/>
          <w:iCs/>
          <w:szCs w:val="24"/>
          <w:lang w:val="en-US"/>
        </w:rPr>
        <w:t>s</w:t>
      </w:r>
      <w:r w:rsidRPr="00180315">
        <w:rPr>
          <w:rFonts w:ascii="Times New Roman" w:hAnsi="Times New Roman"/>
          <w:bCs/>
          <w:iCs/>
          <w:szCs w:val="24"/>
          <w:lang w:val="en-US"/>
        </w:rPr>
        <w:t>e</w:t>
      </w:r>
      <w:proofErr w:type="spellEnd"/>
      <w:r w:rsidRPr="00180315">
        <w:rPr>
          <w:rFonts w:ascii="Times New Roman" w:hAnsi="Times New Roman"/>
          <w:bCs/>
          <w:iCs/>
          <w:szCs w:val="24"/>
          <w:lang w:val="en-US"/>
        </w:rPr>
        <w:t xml:space="preserve"> </w:t>
      </w:r>
      <w:r w:rsidRPr="00180315">
        <w:rPr>
          <w:rFonts w:ascii="Times New Roman" w:hAnsi="Times New Roman"/>
          <w:b/>
          <w:iCs/>
          <w:szCs w:val="24"/>
          <w:lang w:val="en-US"/>
        </w:rPr>
        <w:t xml:space="preserve">EUR </w:t>
      </w:r>
      <w:r w:rsidR="00E772B4">
        <w:rPr>
          <w:rFonts w:ascii="Times New Roman" w:hAnsi="Times New Roman"/>
          <w:b/>
          <w:iCs/>
          <w:szCs w:val="24"/>
          <w:lang w:val="en-US"/>
        </w:rPr>
        <w:t>927</w:t>
      </w:r>
      <w:r>
        <w:rPr>
          <w:rFonts w:ascii="Times New Roman" w:hAnsi="Times New Roman"/>
          <w:b/>
          <w:iCs/>
          <w:szCs w:val="24"/>
          <w:lang w:val="en-US"/>
        </w:rPr>
        <w:t xml:space="preserve"> </w:t>
      </w:r>
      <w:r w:rsidRPr="00180315">
        <w:rPr>
          <w:rFonts w:ascii="Times New Roman" w:hAnsi="Times New Roman"/>
          <w:b/>
          <w:iCs/>
          <w:szCs w:val="24"/>
          <w:lang w:val="en-US"/>
        </w:rPr>
        <w:t>m</w:t>
      </w:r>
      <w:r>
        <w:rPr>
          <w:rFonts w:ascii="Times New Roman" w:hAnsi="Times New Roman"/>
          <w:b/>
          <w:iCs/>
          <w:szCs w:val="24"/>
          <w:lang w:val="en-US"/>
        </w:rPr>
        <w:t>illio</w:t>
      </w:r>
      <w:r w:rsidRPr="00180315">
        <w:rPr>
          <w:rFonts w:ascii="Times New Roman" w:hAnsi="Times New Roman"/>
          <w:b/>
          <w:iCs/>
          <w:szCs w:val="24"/>
          <w:lang w:val="en-US"/>
        </w:rPr>
        <w:t>n</w:t>
      </w:r>
      <w:r w:rsidRPr="00180315">
        <w:rPr>
          <w:rFonts w:ascii="Times New Roman" w:hAnsi="Times New Roman"/>
          <w:bCs/>
          <w:iCs/>
          <w:szCs w:val="24"/>
          <w:lang w:val="en-US"/>
        </w:rPr>
        <w:t xml:space="preserve"> worth of loans</w:t>
      </w:r>
      <w:r w:rsidR="00E772B4">
        <w:rPr>
          <w:rFonts w:ascii="Times New Roman" w:hAnsi="Times New Roman"/>
          <w:bCs/>
          <w:iCs/>
          <w:szCs w:val="24"/>
          <w:lang w:val="en-US"/>
        </w:rPr>
        <w:t xml:space="preserve"> and grants</w:t>
      </w:r>
      <w:r w:rsidRPr="00180315">
        <w:rPr>
          <w:rFonts w:ascii="Times New Roman" w:hAnsi="Times New Roman"/>
          <w:bCs/>
          <w:iCs/>
          <w:szCs w:val="24"/>
          <w:lang w:val="en-US"/>
        </w:rPr>
        <w:t xml:space="preserve"> </w:t>
      </w:r>
      <w:r w:rsidR="00E772B4">
        <w:rPr>
          <w:rFonts w:ascii="Times New Roman" w:hAnsi="Times New Roman"/>
          <w:bCs/>
          <w:iCs/>
          <w:szCs w:val="24"/>
          <w:lang w:val="en-US"/>
        </w:rPr>
        <w:t>via</w:t>
      </w:r>
      <w:r w:rsidRPr="00180315">
        <w:rPr>
          <w:rFonts w:ascii="Times New Roman" w:hAnsi="Times New Roman"/>
          <w:bCs/>
          <w:iCs/>
          <w:szCs w:val="24"/>
          <w:lang w:val="en-US"/>
        </w:rPr>
        <w:t xml:space="preserve"> the European Bank for Reconstruction and Development (EBRD) and the European Investment Bank (EIB) to </w:t>
      </w:r>
      <w:r w:rsidRPr="00180315">
        <w:rPr>
          <w:rFonts w:ascii="Times New Roman" w:hAnsi="Times New Roman"/>
          <w:b/>
          <w:iCs/>
          <w:szCs w:val="24"/>
          <w:lang w:val="en-US"/>
        </w:rPr>
        <w:t>Naftogaz</w:t>
      </w:r>
      <w:r w:rsidRPr="00180315">
        <w:rPr>
          <w:rFonts w:ascii="Times New Roman" w:hAnsi="Times New Roman"/>
          <w:bCs/>
          <w:iCs/>
          <w:szCs w:val="24"/>
          <w:lang w:val="en-US"/>
        </w:rPr>
        <w:t xml:space="preserve"> for emergency gas purchases for the heating season.</w:t>
      </w:r>
    </w:p>
    <w:bookmarkEnd w:id="1"/>
    <w:p w14:paraId="4B48B2F1" w14:textId="7FF874F7" w:rsidR="00E419DA" w:rsidRPr="00E1294C" w:rsidRDefault="00E419DA" w:rsidP="007F3CBD">
      <w:pPr>
        <w:widowControl w:val="0"/>
        <w:rPr>
          <w:rFonts w:ascii="Times New Roman" w:hAnsi="Times New Roman"/>
          <w:iCs/>
          <w:szCs w:val="24"/>
        </w:rPr>
      </w:pPr>
      <w:r w:rsidRPr="00E1294C">
        <w:rPr>
          <w:rFonts w:ascii="Times New Roman" w:hAnsi="Times New Roman"/>
          <w:b/>
          <w:bCs/>
          <w:iCs/>
          <w:szCs w:val="24"/>
        </w:rPr>
        <w:t>On paragraph 8</w:t>
      </w:r>
      <w:r w:rsidR="008C1857">
        <w:rPr>
          <w:rFonts w:ascii="Times New Roman" w:hAnsi="Times New Roman"/>
          <w:b/>
          <w:bCs/>
          <w:iCs/>
          <w:szCs w:val="24"/>
        </w:rPr>
        <w:t>7</w:t>
      </w:r>
      <w:r w:rsidRPr="00E1294C">
        <w:rPr>
          <w:rFonts w:ascii="Times New Roman" w:hAnsi="Times New Roman"/>
          <w:b/>
          <w:bCs/>
          <w:iCs/>
          <w:szCs w:val="24"/>
        </w:rPr>
        <w:t xml:space="preserve"> on support in expert assistance form in preparation for accession </w:t>
      </w:r>
      <w:bookmarkStart w:id="2" w:name="_Hlk214450464"/>
      <w:r w:rsidRPr="00E1294C">
        <w:rPr>
          <w:rFonts w:ascii="Times New Roman" w:hAnsi="Times New Roman"/>
          <w:b/>
          <w:bCs/>
          <w:iCs/>
          <w:szCs w:val="24"/>
        </w:rPr>
        <w:t>negotiations</w:t>
      </w:r>
      <w:r w:rsidRPr="00E1294C">
        <w:rPr>
          <w:rFonts w:ascii="Times New Roman" w:hAnsi="Times New Roman"/>
          <w:iCs/>
          <w:szCs w:val="24"/>
        </w:rPr>
        <w:t xml:space="preserve"> the Commission recall</w:t>
      </w:r>
      <w:r w:rsidR="00503810" w:rsidRPr="00E1294C">
        <w:rPr>
          <w:rFonts w:ascii="Times New Roman" w:hAnsi="Times New Roman"/>
          <w:iCs/>
          <w:szCs w:val="24"/>
        </w:rPr>
        <w:t>s</w:t>
      </w:r>
      <w:r w:rsidRPr="00E1294C">
        <w:rPr>
          <w:rFonts w:ascii="Times New Roman" w:hAnsi="Times New Roman"/>
          <w:iCs/>
          <w:szCs w:val="24"/>
        </w:rPr>
        <w:t xml:space="preserve"> that </w:t>
      </w:r>
      <w:r w:rsidR="00385312">
        <w:rPr>
          <w:rFonts w:ascii="Times New Roman" w:hAnsi="Times New Roman"/>
          <w:iCs/>
          <w:szCs w:val="24"/>
        </w:rPr>
        <w:t>third pillar</w:t>
      </w:r>
      <w:r w:rsidR="00503810" w:rsidRPr="00E1294C">
        <w:rPr>
          <w:rFonts w:ascii="Times New Roman" w:hAnsi="Times New Roman"/>
          <w:iCs/>
          <w:szCs w:val="24"/>
        </w:rPr>
        <w:t xml:space="preserve"> of the Ukraine Facility focuses on providing technical assistance and support measures to facilitate Ukraine’s alignment with EU laws and regulations. This includes capacity building initiatives (including civil society and organisations, local and regional authorities) and assistance to Ukraine in implementing reforms necessary for EU membership. Under Pillar III, the Technical Cooperation Facility for Ukraine 2024 was established and is being implemented smoothly.</w:t>
      </w:r>
    </w:p>
    <w:bookmarkEnd w:id="2"/>
    <w:p w14:paraId="2358503D" w14:textId="7FFEEDA0" w:rsidR="00963420" w:rsidRPr="00C33439" w:rsidRDefault="00963420" w:rsidP="007F3CBD">
      <w:pPr>
        <w:widowControl w:val="0"/>
        <w:rPr>
          <w:rFonts w:ascii="Times New Roman" w:hAnsi="Times New Roman"/>
          <w:b/>
          <w:szCs w:val="24"/>
        </w:rPr>
      </w:pPr>
    </w:p>
    <w:sectPr w:rsidR="00963420" w:rsidRPr="00C33439"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1956" w14:textId="77777777" w:rsidR="0058648D" w:rsidRDefault="0058648D">
      <w:r>
        <w:separator/>
      </w:r>
    </w:p>
  </w:endnote>
  <w:endnote w:type="continuationSeparator" w:id="0">
    <w:p w14:paraId="67ED7A3B" w14:textId="77777777" w:rsidR="0058648D" w:rsidRDefault="0058648D">
      <w:r>
        <w:continuationSeparator/>
      </w:r>
    </w:p>
  </w:endnote>
  <w:endnote w:type="continuationNotice" w:id="1">
    <w:p w14:paraId="1F9295E0" w14:textId="77777777" w:rsidR="0058648D" w:rsidRDefault="005864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976F"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5E7E313F"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B22D" w14:textId="0BAB86D3"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22C2">
      <w:rPr>
        <w:rStyle w:val="PageNumber"/>
        <w:noProof/>
      </w:rPr>
      <w:t>3</w:t>
    </w:r>
    <w:r>
      <w:rPr>
        <w:rStyle w:val="PageNumber"/>
      </w:rPr>
      <w:fldChar w:fldCharType="end"/>
    </w:r>
  </w:p>
  <w:p w14:paraId="2D8538D2"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403A" w14:textId="21FE496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22C2">
      <w:rPr>
        <w:rStyle w:val="PageNumber"/>
        <w:noProof/>
      </w:rPr>
      <w:t>1</w:t>
    </w:r>
    <w:r>
      <w:rPr>
        <w:rStyle w:val="PageNumber"/>
      </w:rPr>
      <w:fldChar w:fldCharType="end"/>
    </w:r>
  </w:p>
  <w:p w14:paraId="06C9DD32"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5E75" w14:textId="77777777" w:rsidR="0058648D" w:rsidRDefault="0058648D">
      <w:r>
        <w:separator/>
      </w:r>
    </w:p>
  </w:footnote>
  <w:footnote w:type="continuationSeparator" w:id="0">
    <w:p w14:paraId="13500A59" w14:textId="77777777" w:rsidR="0058648D" w:rsidRDefault="0058648D">
      <w:r>
        <w:continuationSeparator/>
      </w:r>
    </w:p>
  </w:footnote>
  <w:footnote w:type="continuationNotice" w:id="1">
    <w:p w14:paraId="08257664" w14:textId="77777777" w:rsidR="0058648D" w:rsidRDefault="005864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255E53"/>
    <w:multiLevelType w:val="hybridMultilevel"/>
    <w:tmpl w:val="968C2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C1202"/>
    <w:multiLevelType w:val="hybridMultilevel"/>
    <w:tmpl w:val="F782F81A"/>
    <w:lvl w:ilvl="0" w:tplc="A55AF180">
      <w:start w:val="1"/>
      <w:numFmt w:val="bullet"/>
      <w:lvlText w:val=""/>
      <w:lvlJc w:val="left"/>
      <w:pPr>
        <w:ind w:left="360" w:hanging="360"/>
      </w:pPr>
      <w:rPr>
        <w:rFonts w:ascii="Symbol" w:hAnsi="Symbol" w:hint="default"/>
        <w:lang w:val="en-GB"/>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1"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5"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838501035">
    <w:abstractNumId w:val="7"/>
  </w:num>
  <w:num w:numId="2" w16cid:durableId="1730610461">
    <w:abstractNumId w:val="1"/>
  </w:num>
  <w:num w:numId="3" w16cid:durableId="1833596048">
    <w:abstractNumId w:val="34"/>
  </w:num>
  <w:num w:numId="4" w16cid:durableId="156313343">
    <w:abstractNumId w:val="13"/>
  </w:num>
  <w:num w:numId="5" w16cid:durableId="86967650">
    <w:abstractNumId w:val="30"/>
  </w:num>
  <w:num w:numId="6" w16cid:durableId="32002086">
    <w:abstractNumId w:val="10"/>
  </w:num>
  <w:num w:numId="7" w16cid:durableId="818692407">
    <w:abstractNumId w:val="6"/>
  </w:num>
  <w:num w:numId="8" w16cid:durableId="471363823">
    <w:abstractNumId w:val="15"/>
  </w:num>
  <w:num w:numId="9" w16cid:durableId="684213427">
    <w:abstractNumId w:val="33"/>
  </w:num>
  <w:num w:numId="10" w16cid:durableId="1537043019">
    <w:abstractNumId w:val="24"/>
  </w:num>
  <w:num w:numId="11" w16cid:durableId="1086880721">
    <w:abstractNumId w:val="26"/>
  </w:num>
  <w:num w:numId="12" w16cid:durableId="1304893177">
    <w:abstractNumId w:val="12"/>
  </w:num>
  <w:num w:numId="13" w16cid:durableId="656302410">
    <w:abstractNumId w:val="16"/>
  </w:num>
  <w:num w:numId="14" w16cid:durableId="1201430848">
    <w:abstractNumId w:val="31"/>
  </w:num>
  <w:num w:numId="15" w16cid:durableId="1645618530">
    <w:abstractNumId w:val="14"/>
  </w:num>
  <w:num w:numId="16" w16cid:durableId="807743995">
    <w:abstractNumId w:val="37"/>
  </w:num>
  <w:num w:numId="17" w16cid:durableId="1375347234">
    <w:abstractNumId w:val="32"/>
  </w:num>
  <w:num w:numId="18" w16cid:durableId="123273567">
    <w:abstractNumId w:val="22"/>
  </w:num>
  <w:num w:numId="19" w16cid:durableId="1284267955">
    <w:abstractNumId w:val="23"/>
  </w:num>
  <w:num w:numId="20" w16cid:durableId="571237482">
    <w:abstractNumId w:val="28"/>
  </w:num>
  <w:num w:numId="21" w16cid:durableId="1534922392">
    <w:abstractNumId w:val="3"/>
  </w:num>
  <w:num w:numId="22" w16cid:durableId="896009788">
    <w:abstractNumId w:val="4"/>
  </w:num>
  <w:num w:numId="23" w16cid:durableId="644971944">
    <w:abstractNumId w:val="5"/>
  </w:num>
  <w:num w:numId="24" w16cid:durableId="7929890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9530277">
    <w:abstractNumId w:val="35"/>
  </w:num>
  <w:num w:numId="26" w16cid:durableId="1620987775">
    <w:abstractNumId w:val="25"/>
  </w:num>
  <w:num w:numId="27" w16cid:durableId="944730563">
    <w:abstractNumId w:val="17"/>
  </w:num>
  <w:num w:numId="28" w16cid:durableId="466163637">
    <w:abstractNumId w:val="36"/>
  </w:num>
  <w:num w:numId="29" w16cid:durableId="1027751227">
    <w:abstractNumId w:val="2"/>
  </w:num>
  <w:num w:numId="30" w16cid:durableId="554898281">
    <w:abstractNumId w:val="21"/>
  </w:num>
  <w:num w:numId="31" w16cid:durableId="1318454438">
    <w:abstractNumId w:val="20"/>
  </w:num>
  <w:num w:numId="32" w16cid:durableId="943924294">
    <w:abstractNumId w:val="9"/>
  </w:num>
  <w:num w:numId="33" w16cid:durableId="2040201596">
    <w:abstractNumId w:val="11"/>
  </w:num>
  <w:num w:numId="34" w16cid:durableId="2105999971">
    <w:abstractNumId w:val="19"/>
  </w:num>
  <w:num w:numId="35" w16cid:durableId="1279263064">
    <w:abstractNumId w:val="29"/>
  </w:num>
  <w:num w:numId="36" w16cid:durableId="74483766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3E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427"/>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58E"/>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079"/>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70C"/>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315"/>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093"/>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AB"/>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AAF"/>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26B"/>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711"/>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403"/>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2BAD"/>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C49"/>
    <w:rsid w:val="00343CC0"/>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DF7"/>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2C2"/>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12"/>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330"/>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6AC"/>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04A"/>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B97"/>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DE6"/>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40"/>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810"/>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1A8"/>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8D"/>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9F2"/>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1E9"/>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31"/>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79"/>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17FBC"/>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111"/>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2FE"/>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0B6"/>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B57"/>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AEE"/>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520"/>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D88"/>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0C0"/>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22"/>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B05"/>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93B"/>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14D"/>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70"/>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02"/>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3CBD"/>
    <w:rsid w:val="007F42CF"/>
    <w:rsid w:val="007F4331"/>
    <w:rsid w:val="007F43DC"/>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A4"/>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8CD"/>
    <w:rsid w:val="00895D58"/>
    <w:rsid w:val="00895E0F"/>
    <w:rsid w:val="00895F87"/>
    <w:rsid w:val="008961A7"/>
    <w:rsid w:val="008962CD"/>
    <w:rsid w:val="008963A5"/>
    <w:rsid w:val="00896575"/>
    <w:rsid w:val="00896612"/>
    <w:rsid w:val="008968D9"/>
    <w:rsid w:val="0089690E"/>
    <w:rsid w:val="00896A26"/>
    <w:rsid w:val="00896BC5"/>
    <w:rsid w:val="00896ED7"/>
    <w:rsid w:val="0089748A"/>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857"/>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3BF5"/>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8B3"/>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B89"/>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7F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9E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C2F"/>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90A"/>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234"/>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7C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C6"/>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385"/>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2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4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1F8"/>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C64"/>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0E"/>
    <w:rsid w:val="00A35286"/>
    <w:rsid w:val="00A352E1"/>
    <w:rsid w:val="00A35378"/>
    <w:rsid w:val="00A354DC"/>
    <w:rsid w:val="00A35576"/>
    <w:rsid w:val="00A35843"/>
    <w:rsid w:val="00A35CB2"/>
    <w:rsid w:val="00A36056"/>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80C"/>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3E"/>
    <w:rsid w:val="00A64370"/>
    <w:rsid w:val="00A64432"/>
    <w:rsid w:val="00A64892"/>
    <w:rsid w:val="00A648EF"/>
    <w:rsid w:val="00A64A2F"/>
    <w:rsid w:val="00A64A63"/>
    <w:rsid w:val="00A64D7C"/>
    <w:rsid w:val="00A64FEF"/>
    <w:rsid w:val="00A65018"/>
    <w:rsid w:val="00A6514D"/>
    <w:rsid w:val="00A65228"/>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04"/>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6D0"/>
    <w:rsid w:val="00AD6845"/>
    <w:rsid w:val="00AD68C1"/>
    <w:rsid w:val="00AD6C00"/>
    <w:rsid w:val="00AD6C74"/>
    <w:rsid w:val="00AD7053"/>
    <w:rsid w:val="00AD748B"/>
    <w:rsid w:val="00AD752F"/>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1D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6BA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0BA"/>
    <w:rsid w:val="00B40106"/>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1B5B"/>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83"/>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29"/>
    <w:rsid w:val="00BE6CE4"/>
    <w:rsid w:val="00BE74FD"/>
    <w:rsid w:val="00BE7598"/>
    <w:rsid w:val="00BE78AF"/>
    <w:rsid w:val="00BE7912"/>
    <w:rsid w:val="00BE7CF2"/>
    <w:rsid w:val="00BE7DC5"/>
    <w:rsid w:val="00BF000B"/>
    <w:rsid w:val="00BF0046"/>
    <w:rsid w:val="00BF0052"/>
    <w:rsid w:val="00BF026E"/>
    <w:rsid w:val="00BF028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AB9"/>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2DC"/>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79F"/>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4D0A"/>
    <w:rsid w:val="00CA51C3"/>
    <w:rsid w:val="00CA5B28"/>
    <w:rsid w:val="00CA5CEA"/>
    <w:rsid w:val="00CA5D19"/>
    <w:rsid w:val="00CA633D"/>
    <w:rsid w:val="00CA63D9"/>
    <w:rsid w:val="00CA6759"/>
    <w:rsid w:val="00CA76F9"/>
    <w:rsid w:val="00CA7700"/>
    <w:rsid w:val="00CA7755"/>
    <w:rsid w:val="00CA776B"/>
    <w:rsid w:val="00CA7819"/>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ADD"/>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3D2"/>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3F92"/>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8AF"/>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1BB2"/>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1C"/>
    <w:rsid w:val="00D944F1"/>
    <w:rsid w:val="00D9471D"/>
    <w:rsid w:val="00D947C0"/>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4C"/>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3F13"/>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09"/>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19D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01B"/>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4C5"/>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2B4"/>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069"/>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D6C"/>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01"/>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7"/>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0E"/>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3BD"/>
    <w:rsid w:val="00F91A11"/>
    <w:rsid w:val="00F91A18"/>
    <w:rsid w:val="00F91F66"/>
    <w:rsid w:val="00F92955"/>
    <w:rsid w:val="00F92987"/>
    <w:rsid w:val="00F92996"/>
    <w:rsid w:val="00F92BE5"/>
    <w:rsid w:val="00F92E01"/>
    <w:rsid w:val="00F93288"/>
    <w:rsid w:val="00F93304"/>
    <w:rsid w:val="00F934D3"/>
    <w:rsid w:val="00F93733"/>
    <w:rsid w:val="00F937B7"/>
    <w:rsid w:val="00F93818"/>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79"/>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67C"/>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1"/>
    <w:rsid w:val="00FF3C3C"/>
    <w:rsid w:val="00FF3DF5"/>
    <w:rsid w:val="00FF3F26"/>
    <w:rsid w:val="00FF3F55"/>
    <w:rsid w:val="00FF4044"/>
    <w:rsid w:val="00FF43F0"/>
    <w:rsid w:val="00FF4B3F"/>
    <w:rsid w:val="00FF4D84"/>
    <w:rsid w:val="00FF524E"/>
    <w:rsid w:val="00FF52B6"/>
    <w:rsid w:val="00FF52BD"/>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68740"/>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1">
    <w:name w:val="Char1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9700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ée un document." ma:contentTypeScope="" ma:versionID="270070a0fb4fbf7d8679a080caa27c22">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a798025273a0f84ee49d18fa7a81f90"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C3A8C-0290-4B6B-B20C-CEDC7440FCBC}">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298404A0-7C3F-4730-ABD1-471D20B7DBBF}">
  <ds:schemaRefs>
    <ds:schemaRef ds:uri="http://schemas.microsoft.com/sharepoint/v3/contenttype/forms"/>
  </ds:schemaRefs>
</ds:datastoreItem>
</file>

<file path=customXml/itemProps3.xml><?xml version="1.0" encoding="utf-8"?>
<ds:datastoreItem xmlns:ds="http://schemas.openxmlformats.org/officeDocument/2006/customXml" ds:itemID="{B9183DFE-17B6-473A-A769-479B5D6C44EF}">
  <ds:schemaRefs>
    <ds:schemaRef ds:uri="http://schemas.openxmlformats.org/officeDocument/2006/bibliography"/>
  </ds:schemaRefs>
</ds:datastoreItem>
</file>

<file path=customXml/itemProps4.xml><?xml version="1.0" encoding="utf-8"?>
<ds:datastoreItem xmlns:ds="http://schemas.openxmlformats.org/officeDocument/2006/customXml" ds:itemID="{4D961DA2-F285-4178-913B-911CD6816E11}"/>
</file>

<file path=docProps/app.xml><?xml version="1.0" encoding="utf-8"?>
<Properties xmlns="http://schemas.openxmlformats.org/officeDocument/2006/extended-properties" xmlns:vt="http://schemas.openxmlformats.org/officeDocument/2006/docPropsVTypes">
  <Template>TEL.DOTM</Template>
  <TotalTime>2</TotalTime>
  <Pages>3</Pages>
  <Words>1377</Words>
  <Characters>7864</Characters>
  <Application>Microsoft Office Word</Application>
  <DocSecurity>0</DocSecurity>
  <PresentationFormat>Microsoft Word 8.0b</PresentationFormat>
  <Lines>110</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9217</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DODEKOVA Gabriela (SG)</cp:lastModifiedBy>
  <cp:revision>1</cp:revision>
  <cp:lastPrinted>2017-11-23T08:27:00Z</cp:lastPrinted>
  <dcterms:created xsi:type="dcterms:W3CDTF">2025-12-09T17:15:00Z</dcterms:created>
  <dcterms:modified xsi:type="dcterms:W3CDTF">2026-01-05T15:40:00Z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2025-09-24T07:40:59Z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088123a1-6e26-477e-a498-e722e1743620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ContentTypeId">
    <vt:lpwstr>0x010100271BB73A879EDE41AFDC9232B9EB1EA9</vt:lpwstr>
  </property>
  <property fmtid="{D5CDD505-2E9C-101B-9397-08002B2CF9AE}" pid="22" name="MediaServiceImageTags">
    <vt:lpwstr/>
  </property>
</Properties>
</file>