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7952" w14:textId="502C9473" w:rsidR="00DC568A" w:rsidRPr="00FC1400" w:rsidRDefault="009B1FF1" w:rsidP="00DC568A">
      <w:pPr>
        <w:spacing w:after="600" w:line="240" w:lineRule="auto"/>
        <w:jc w:val="center"/>
        <w:rPr>
          <w:b/>
          <w:bCs/>
          <w:szCs w:val="24"/>
          <w:lang w:val="en-US"/>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6407D" w:rsidRPr="00D6407D">
        <w:rPr>
          <w:b/>
          <w:bCs/>
          <w:szCs w:val="24"/>
          <w:lang w:val="en-GB"/>
        </w:rPr>
        <w:t>on</w:t>
      </w:r>
      <w:r w:rsidR="008C7EF2">
        <w:rPr>
          <w:b/>
          <w:bCs/>
          <w:szCs w:val="24"/>
          <w:lang w:val="en-GB"/>
        </w:rPr>
        <w:t xml:space="preserve"> </w:t>
      </w:r>
      <w:r w:rsidR="00FC1400">
        <w:rPr>
          <w:b/>
          <w:lang w:val="en-IE"/>
        </w:rPr>
        <w:t xml:space="preserve">the </w:t>
      </w:r>
      <w:r w:rsidR="00FC1400" w:rsidRPr="00FC1400">
        <w:rPr>
          <w:b/>
          <w:lang w:val="en-US"/>
        </w:rPr>
        <w:t>Proposal for a R</w:t>
      </w:r>
      <w:r w:rsidR="00A50907">
        <w:rPr>
          <w:b/>
          <w:lang w:val="en-US"/>
        </w:rPr>
        <w:t>egulation of the European Parliament and of the Council</w:t>
      </w:r>
      <w:r w:rsidR="002208D1">
        <w:rPr>
          <w:b/>
          <w:lang w:val="en-US"/>
        </w:rPr>
        <w:t xml:space="preserve"> </w:t>
      </w:r>
      <w:r w:rsidR="00FC1400" w:rsidRPr="00FC1400">
        <w:rPr>
          <w:b/>
          <w:lang w:val="en-US"/>
        </w:rPr>
        <w:t>on a monitoring framework for resilient European forests</w:t>
      </w:r>
    </w:p>
    <w:p w14:paraId="5481E768" w14:textId="33B97C7A" w:rsidR="002B7441" w:rsidRPr="00FC1400" w:rsidRDefault="002B7441" w:rsidP="00D05171">
      <w:pPr>
        <w:spacing w:after="240"/>
        <w:ind w:left="567" w:hanging="567"/>
        <w:rPr>
          <w:lang w:val="en-US"/>
        </w:rPr>
      </w:pPr>
      <w:r w:rsidRPr="00FC1400">
        <w:rPr>
          <w:b/>
          <w:lang w:val="en-US"/>
        </w:rPr>
        <w:t>1.</w:t>
      </w:r>
      <w:r w:rsidRPr="00FC1400">
        <w:rPr>
          <w:b/>
          <w:lang w:val="en-US"/>
        </w:rPr>
        <w:tab/>
        <w:t>Rapporteur</w:t>
      </w:r>
      <w:r w:rsidR="00FC1400" w:rsidRPr="00FC1400">
        <w:rPr>
          <w:b/>
          <w:lang w:val="en-US"/>
        </w:rPr>
        <w:t>s</w:t>
      </w:r>
      <w:r w:rsidRPr="00FC1400">
        <w:rPr>
          <w:b/>
          <w:lang w:val="en-US"/>
        </w:rPr>
        <w:t>:</w:t>
      </w:r>
      <w:r w:rsidR="00AC6F72" w:rsidRPr="00FC1400">
        <w:rPr>
          <w:b/>
          <w:lang w:val="en-US"/>
        </w:rPr>
        <w:t xml:space="preserve"> </w:t>
      </w:r>
      <w:r w:rsidR="00FC1400" w:rsidRPr="00FC1400">
        <w:rPr>
          <w:bCs/>
          <w:lang w:val="en-US"/>
        </w:rPr>
        <w:t>Emma WIESNER</w:t>
      </w:r>
      <w:r w:rsidR="00D6407D" w:rsidRPr="00FC1400">
        <w:rPr>
          <w:bCs/>
          <w:lang w:val="en-US"/>
        </w:rPr>
        <w:t xml:space="preserve"> </w:t>
      </w:r>
      <w:r w:rsidR="00FF0C02" w:rsidRPr="00FC1400">
        <w:rPr>
          <w:bCs/>
          <w:lang w:val="en-US"/>
        </w:rPr>
        <w:t>(</w:t>
      </w:r>
      <w:r w:rsidR="00FC1400" w:rsidRPr="00FC1400">
        <w:rPr>
          <w:bCs/>
          <w:lang w:val="en-US"/>
        </w:rPr>
        <w:t>Renew</w:t>
      </w:r>
      <w:r w:rsidR="00FF0C02" w:rsidRPr="00FC1400">
        <w:rPr>
          <w:bCs/>
          <w:lang w:val="en-US"/>
        </w:rPr>
        <w:t xml:space="preserve"> / </w:t>
      </w:r>
      <w:r w:rsidR="00FC1400" w:rsidRPr="00FC1400">
        <w:rPr>
          <w:bCs/>
          <w:lang w:val="en-US"/>
        </w:rPr>
        <w:t>S</w:t>
      </w:r>
      <w:r w:rsidR="00925D54">
        <w:rPr>
          <w:bCs/>
          <w:lang w:val="en-US"/>
        </w:rPr>
        <w:t>V</w:t>
      </w:r>
      <w:r w:rsidR="00153310" w:rsidRPr="00FC1400">
        <w:rPr>
          <w:bCs/>
          <w:lang w:val="en-US"/>
        </w:rPr>
        <w:t>)</w:t>
      </w:r>
      <w:r w:rsidR="00FC1400" w:rsidRPr="00FC1400">
        <w:rPr>
          <w:bCs/>
          <w:lang w:val="en-US"/>
        </w:rPr>
        <w:t>, Eric SARGIACOMO (S&amp;D / F</w:t>
      </w:r>
      <w:r w:rsidR="002208D1">
        <w:rPr>
          <w:bCs/>
          <w:lang w:val="en-US"/>
        </w:rPr>
        <w:t>R</w:t>
      </w:r>
      <w:r w:rsidR="00FC1400" w:rsidRPr="00FC1400">
        <w:rPr>
          <w:bCs/>
          <w:lang w:val="en-US"/>
        </w:rPr>
        <w:t>)</w:t>
      </w:r>
    </w:p>
    <w:p w14:paraId="5E579AB4" w14:textId="6BE9393A" w:rsidR="00FC1400" w:rsidRPr="073D100E" w:rsidRDefault="002B7441" w:rsidP="00FC1400">
      <w:pPr>
        <w:spacing w:after="240"/>
        <w:ind w:left="567" w:hanging="567"/>
        <w:rPr>
          <w:i/>
          <w:iCs/>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FC1400" w:rsidRPr="00FC1400">
        <w:rPr>
          <w:lang w:val="en-IE"/>
        </w:rPr>
        <w:t>2023/0413(COD)</w:t>
      </w:r>
      <w:r w:rsidR="00BA74E6">
        <w:rPr>
          <w:lang w:val="en-IE"/>
        </w:rPr>
        <w:t xml:space="preserve"> /</w:t>
      </w:r>
      <w:r w:rsidR="0019232D" w:rsidRPr="00CE34A5">
        <w:rPr>
          <w:i/>
          <w:lang w:val="en-GB"/>
        </w:rPr>
        <w:t xml:space="preserve"> </w:t>
      </w:r>
      <w:r w:rsidR="00FC1400" w:rsidRPr="00FC1400">
        <w:rPr>
          <w:lang w:val="en-US"/>
        </w:rPr>
        <w:t>A10-0176/2025</w:t>
      </w:r>
      <w:r w:rsidR="0019232D" w:rsidRPr="00D10A5A">
        <w:rPr>
          <w:lang w:val="en-GB"/>
        </w:rPr>
        <w:t xml:space="preserve"> / </w:t>
      </w:r>
      <w:r w:rsidR="00FC1400" w:rsidRPr="00FC1400">
        <w:rPr>
          <w:lang w:val="en-GB"/>
        </w:rPr>
        <w:t xml:space="preserve">P10_TA(2025)240 </w:t>
      </w:r>
    </w:p>
    <w:p w14:paraId="474B79A2" w14:textId="3D6B1D30"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FC1400" w:rsidRPr="00FC1400">
        <w:rPr>
          <w:iCs/>
          <w:szCs w:val="24"/>
          <w:lang w:val="en-IE"/>
        </w:rPr>
        <w:t>21 October</w:t>
      </w:r>
      <w:r w:rsidR="00FC1400">
        <w:rPr>
          <w:iCs/>
          <w:szCs w:val="24"/>
          <w:lang w:val="en-IE"/>
        </w:rPr>
        <w:t xml:space="preserve"> 2025</w:t>
      </w:r>
    </w:p>
    <w:p w14:paraId="7A2CA449" w14:textId="1DA7760A" w:rsidR="00FC1400" w:rsidRDefault="002B7441" w:rsidP="00DE04F8">
      <w:pPr>
        <w:spacing w:after="240"/>
        <w:ind w:left="567" w:hanging="567"/>
        <w:jc w:val="both"/>
        <w:rPr>
          <w:bCs/>
          <w:lang w:val="en-US"/>
        </w:rPr>
      </w:pPr>
      <w:r w:rsidRPr="002B7441">
        <w:rPr>
          <w:b/>
          <w:lang w:val="en-GB"/>
        </w:rPr>
        <w:t>4.</w:t>
      </w:r>
      <w:r w:rsidRPr="002B7441">
        <w:rPr>
          <w:b/>
          <w:lang w:val="en-GB"/>
        </w:rPr>
        <w:tab/>
        <w:t xml:space="preserve">Legal basis: </w:t>
      </w:r>
      <w:r w:rsidR="00FC1400" w:rsidRPr="00FC1400">
        <w:rPr>
          <w:bCs/>
          <w:lang w:val="en-US"/>
        </w:rPr>
        <w:t>Treaty on the Functioning of the European Union, Article 192(1)</w:t>
      </w:r>
    </w:p>
    <w:p w14:paraId="5DE3F035" w14:textId="6DE92D08"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00FC1400">
        <w:rPr>
          <w:b/>
          <w:lang w:val="en-GB"/>
        </w:rPr>
        <w:t>s</w:t>
      </w:r>
      <w:r w:rsidRPr="002B7441">
        <w:rPr>
          <w:b/>
          <w:lang w:val="en-GB"/>
        </w:rPr>
        <w:t>:</w:t>
      </w:r>
      <w:r w:rsidRPr="00900DC1">
        <w:rPr>
          <w:bCs/>
          <w:lang w:val="en-GB"/>
        </w:rPr>
        <w:t xml:space="preserve"> </w:t>
      </w:r>
      <w:r w:rsidR="0019232D" w:rsidRPr="0019232D">
        <w:rPr>
          <w:szCs w:val="24"/>
          <w:lang w:val="en-IE"/>
        </w:rPr>
        <w:t>Committee on</w:t>
      </w:r>
      <w:r w:rsidR="00FC1400">
        <w:rPr>
          <w:szCs w:val="24"/>
          <w:lang w:val="en-IE"/>
        </w:rPr>
        <w:t xml:space="preserve"> </w:t>
      </w:r>
      <w:r w:rsidR="00FC1400" w:rsidRPr="00FC1400">
        <w:rPr>
          <w:szCs w:val="24"/>
          <w:lang w:val="en-IE"/>
        </w:rPr>
        <w:t>Environment, Climate and Food Safety</w:t>
      </w:r>
      <w:r w:rsidR="00092CC6">
        <w:rPr>
          <w:szCs w:val="24"/>
          <w:lang w:val="en-IE"/>
        </w:rPr>
        <w:t xml:space="preserve"> (</w:t>
      </w:r>
      <w:r w:rsidR="00A87EC4">
        <w:rPr>
          <w:szCs w:val="24"/>
          <w:lang w:val="en-IE"/>
        </w:rPr>
        <w:t>ENVI) and</w:t>
      </w:r>
      <w:r w:rsidR="00FC1400">
        <w:rPr>
          <w:szCs w:val="24"/>
          <w:lang w:val="en-IE"/>
        </w:rPr>
        <w:t xml:space="preserve"> </w:t>
      </w:r>
      <w:r w:rsidR="00FC1400" w:rsidRPr="0019232D">
        <w:rPr>
          <w:szCs w:val="24"/>
          <w:lang w:val="en-IE"/>
        </w:rPr>
        <w:t>Committee on</w:t>
      </w:r>
      <w:r w:rsidR="00FC1400">
        <w:rPr>
          <w:szCs w:val="24"/>
          <w:lang w:val="en-IE"/>
        </w:rPr>
        <w:t xml:space="preserve"> </w:t>
      </w:r>
      <w:r w:rsidR="00FC1400" w:rsidRPr="00FC1400">
        <w:rPr>
          <w:szCs w:val="24"/>
          <w:lang w:val="en-IE"/>
        </w:rPr>
        <w:t>Agriculture and Rural Development</w:t>
      </w:r>
      <w:r w:rsidR="00A87EC4">
        <w:rPr>
          <w:szCs w:val="24"/>
          <w:lang w:val="en-IE"/>
        </w:rPr>
        <w:t xml:space="preserve"> (AGRI)</w:t>
      </w:r>
    </w:p>
    <w:p w14:paraId="4C23ED87" w14:textId="58A8F0BB" w:rsidR="001265A9" w:rsidRPr="00FC1400" w:rsidRDefault="002B7441" w:rsidP="00D05171">
      <w:pPr>
        <w:tabs>
          <w:tab w:val="left" w:pos="567"/>
        </w:tabs>
        <w:spacing w:after="200" w:line="276" w:lineRule="auto"/>
        <w:rPr>
          <w:color w:val="000000"/>
          <w:szCs w:val="24"/>
          <w:highlight w:val="yellow"/>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00522C82">
        <w:rPr>
          <w:color w:val="000000"/>
          <w:szCs w:val="24"/>
          <w:highlight w:val="yellow"/>
          <w:lang w:val="en-GB"/>
        </w:rPr>
        <w:t xml:space="preserve"> </w:t>
      </w:r>
    </w:p>
    <w:p w14:paraId="490F2F41" w14:textId="36513F61" w:rsidR="00522C82" w:rsidRDefault="00522C82" w:rsidP="00522C82">
      <w:pPr>
        <w:spacing w:after="160" w:line="278" w:lineRule="auto"/>
        <w:jc w:val="both"/>
        <w:rPr>
          <w:lang w:val="en-GB"/>
        </w:rPr>
      </w:pPr>
      <w:r w:rsidRPr="00EB59F6">
        <w:rPr>
          <w:lang w:val="en-GB"/>
        </w:rPr>
        <w:t xml:space="preserve">The Commission takes note of the European Parliament’s decision to reject the Commission proposal for a </w:t>
      </w:r>
      <w:r w:rsidRPr="00EB59F6">
        <w:rPr>
          <w:i/>
          <w:iCs/>
          <w:lang w:val="en-GB"/>
        </w:rPr>
        <w:t>Regulation on a monitoring framework for resilient European forests</w:t>
      </w:r>
      <w:r w:rsidRPr="00EB59F6">
        <w:rPr>
          <w:lang w:val="en-GB"/>
        </w:rPr>
        <w:t>.</w:t>
      </w:r>
      <w:r>
        <w:rPr>
          <w:lang w:val="en-GB"/>
        </w:rPr>
        <w:t xml:space="preserve"> </w:t>
      </w:r>
      <w:r w:rsidR="00F62ABA">
        <w:rPr>
          <w:lang w:val="en-GB"/>
        </w:rPr>
        <w:t xml:space="preserve">Despite regretting </w:t>
      </w:r>
      <w:r w:rsidRPr="00EB59F6">
        <w:rPr>
          <w:lang w:val="en-GB"/>
        </w:rPr>
        <w:t>this decision</w:t>
      </w:r>
      <w:r w:rsidR="00F62ABA">
        <w:rPr>
          <w:lang w:val="en-GB"/>
        </w:rPr>
        <w:t>, the Commission</w:t>
      </w:r>
      <w:r w:rsidRPr="00EB59F6">
        <w:rPr>
          <w:lang w:val="en-GB"/>
        </w:rPr>
        <w:t xml:space="preserve"> announced in the </w:t>
      </w:r>
      <w:r w:rsidRPr="00EB59F6">
        <w:rPr>
          <w:i/>
          <w:iCs/>
          <w:lang w:val="en-GB"/>
        </w:rPr>
        <w:t xml:space="preserve">Commission Work Programme 2026 </w:t>
      </w:r>
      <w:r>
        <w:rPr>
          <w:lang w:val="en-GB"/>
        </w:rPr>
        <w:t>its intention</w:t>
      </w:r>
      <w:r w:rsidRPr="00EB59F6">
        <w:rPr>
          <w:lang w:val="en-GB"/>
        </w:rPr>
        <w:t xml:space="preserve"> to withdraw the proposal</w:t>
      </w:r>
      <w:r w:rsidR="00DF4C7B">
        <w:rPr>
          <w:lang w:val="en-GB"/>
        </w:rPr>
        <w:t>, together with 24 other draft laws</w:t>
      </w:r>
      <w:r w:rsidRPr="00EB59F6">
        <w:rPr>
          <w:lang w:val="en-GB"/>
        </w:rPr>
        <w:t xml:space="preserve">. </w:t>
      </w:r>
    </w:p>
    <w:p w14:paraId="4C382C46" w14:textId="361E7182" w:rsidR="00595BB5" w:rsidRDefault="00A80695" w:rsidP="2C013D33">
      <w:pPr>
        <w:spacing w:after="160" w:line="278" w:lineRule="auto"/>
        <w:jc w:val="both"/>
        <w:rPr>
          <w:lang w:val="en-IE"/>
        </w:rPr>
      </w:pPr>
      <w:r w:rsidRPr="2C013D33">
        <w:rPr>
          <w:lang w:val="en-IE"/>
        </w:rPr>
        <w:t xml:space="preserve">It should be noted that in </w:t>
      </w:r>
      <w:r w:rsidR="00595BB5" w:rsidRPr="2C013D33">
        <w:rPr>
          <w:lang w:val="en-IE"/>
        </w:rPr>
        <w:t xml:space="preserve">the context of preparing for its work programme for 2026, the Commission has assessed all proposals pending with the European Parliament and the Council. </w:t>
      </w:r>
      <w:r w:rsidR="6C05FE3E" w:rsidRPr="2C013D33">
        <w:rPr>
          <w:lang w:val="en-IE"/>
        </w:rPr>
        <w:t>In its assessment i</w:t>
      </w:r>
      <w:r w:rsidR="00595BB5" w:rsidRPr="2C013D33">
        <w:rPr>
          <w:lang w:val="en-IE"/>
        </w:rPr>
        <w:t xml:space="preserve">t considered in particular those proposals whose adoption would no longer be in the general interest </w:t>
      </w:r>
      <w:r w:rsidR="51DD0015" w:rsidRPr="2C013D33">
        <w:rPr>
          <w:lang w:val="en-IE"/>
        </w:rPr>
        <w:t>based on</w:t>
      </w:r>
      <w:r w:rsidR="00595BB5" w:rsidRPr="2C013D33">
        <w:rPr>
          <w:lang w:val="en-IE"/>
        </w:rPr>
        <w:t xml:space="preserve"> their adoption date, their lack of progress in the legislative process, the potential burden they would incur and </w:t>
      </w:r>
      <w:r w:rsidR="4B607273" w:rsidRPr="2C013D33">
        <w:rPr>
          <w:lang w:val="en-IE"/>
        </w:rPr>
        <w:t>their adherence</w:t>
      </w:r>
      <w:r w:rsidR="00595BB5" w:rsidRPr="2C013D33">
        <w:rPr>
          <w:lang w:val="en-IE"/>
        </w:rPr>
        <w:t xml:space="preserve"> with the </w:t>
      </w:r>
      <w:r w:rsidR="03AA86EC" w:rsidRPr="2C013D33">
        <w:rPr>
          <w:lang w:val="en-IE"/>
        </w:rPr>
        <w:t xml:space="preserve">most recent </w:t>
      </w:r>
      <w:r w:rsidR="00595BB5" w:rsidRPr="2C013D33">
        <w:rPr>
          <w:lang w:val="en-IE"/>
        </w:rPr>
        <w:t>Union’s priorities.</w:t>
      </w:r>
    </w:p>
    <w:p w14:paraId="0792E086" w14:textId="65F94540" w:rsidR="00DF4C7B" w:rsidRPr="00595BB5" w:rsidRDefault="00DF4C7B" w:rsidP="00595BB5">
      <w:pPr>
        <w:spacing w:after="160" w:line="278" w:lineRule="auto"/>
        <w:jc w:val="both"/>
        <w:rPr>
          <w:lang w:val="en-IE"/>
        </w:rPr>
      </w:pPr>
      <w:r>
        <w:rPr>
          <w:lang w:val="en-IE"/>
        </w:rPr>
        <w:t xml:space="preserve">The Commission considers that the </w:t>
      </w:r>
      <w:r w:rsidRPr="00DF4C7B">
        <w:rPr>
          <w:lang w:val="en-IE"/>
        </w:rPr>
        <w:t>European Parliament</w:t>
      </w:r>
      <w:r>
        <w:rPr>
          <w:lang w:val="en-IE"/>
        </w:rPr>
        <w:t>’ rejection of the proposal justifies including the proposal in the list of draft laws to be withdrawn</w:t>
      </w:r>
      <w:r w:rsidR="00F62ABA">
        <w:rPr>
          <w:lang w:val="en-IE"/>
        </w:rPr>
        <w:t>.</w:t>
      </w:r>
    </w:p>
    <w:p w14:paraId="7FDA4571" w14:textId="2856AB0B" w:rsidR="00595BB5" w:rsidRPr="00595BB5" w:rsidRDefault="00595BB5" w:rsidP="00595BB5">
      <w:pPr>
        <w:spacing w:after="160" w:line="278" w:lineRule="auto"/>
        <w:jc w:val="both"/>
        <w:rPr>
          <w:lang w:val="en-IE"/>
        </w:rPr>
      </w:pPr>
      <w:r w:rsidRPr="00595BB5">
        <w:rPr>
          <w:lang w:val="en-IE"/>
        </w:rPr>
        <w:t xml:space="preserve">In line with the interinstitutional agreement on better law making, both the European Parliament and the Council can now express their views on the draft laws </w:t>
      </w:r>
      <w:r w:rsidR="00F62ABA">
        <w:rPr>
          <w:lang w:val="en-IE"/>
        </w:rPr>
        <w:t xml:space="preserve">that the Commission </w:t>
      </w:r>
      <w:r w:rsidRPr="00595BB5">
        <w:rPr>
          <w:lang w:val="en-IE"/>
        </w:rPr>
        <w:t>intend</w:t>
      </w:r>
      <w:r w:rsidR="00F62ABA">
        <w:rPr>
          <w:lang w:val="en-IE"/>
        </w:rPr>
        <w:t>s</w:t>
      </w:r>
      <w:r w:rsidRPr="00595BB5">
        <w:rPr>
          <w:lang w:val="en-IE"/>
        </w:rPr>
        <w:t xml:space="preserve"> to withdraw. The Commission will carefully take such views into account before </w:t>
      </w:r>
      <w:r w:rsidR="00F62ABA">
        <w:rPr>
          <w:lang w:val="en-IE"/>
        </w:rPr>
        <w:t>adopting</w:t>
      </w:r>
      <w:r w:rsidR="00F62ABA" w:rsidRPr="00595BB5">
        <w:rPr>
          <w:lang w:val="en-IE"/>
        </w:rPr>
        <w:t xml:space="preserve"> </w:t>
      </w:r>
      <w:r w:rsidRPr="00595BB5">
        <w:rPr>
          <w:lang w:val="en-IE"/>
        </w:rPr>
        <w:t>its decision on the final list of proposals to be withdrawn.</w:t>
      </w:r>
    </w:p>
    <w:p w14:paraId="4C86F67B" w14:textId="0CA9D262" w:rsidR="00862937" w:rsidRDefault="00862937" w:rsidP="001A743A">
      <w:pPr>
        <w:spacing w:after="160" w:line="278" w:lineRule="auto"/>
        <w:jc w:val="both"/>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5A12" w14:textId="77777777" w:rsidR="00A27035" w:rsidRDefault="00A27035">
      <w:pPr>
        <w:spacing w:line="240" w:lineRule="auto"/>
      </w:pPr>
      <w:r>
        <w:separator/>
      </w:r>
    </w:p>
  </w:endnote>
  <w:endnote w:type="continuationSeparator" w:id="0">
    <w:p w14:paraId="74267727" w14:textId="77777777" w:rsidR="00A27035" w:rsidRDefault="00A27035">
      <w:pPr>
        <w:spacing w:line="240" w:lineRule="auto"/>
      </w:pPr>
      <w:r>
        <w:continuationSeparator/>
      </w:r>
    </w:p>
  </w:endnote>
  <w:endnote w:type="continuationNotice" w:id="1">
    <w:p w14:paraId="1AFE58B2" w14:textId="77777777" w:rsidR="00A27035" w:rsidRDefault="00A270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2924" w14:textId="77777777" w:rsidR="00A27035" w:rsidRDefault="00A27035">
      <w:pPr>
        <w:spacing w:line="240" w:lineRule="auto"/>
      </w:pPr>
      <w:r>
        <w:separator/>
      </w:r>
    </w:p>
  </w:footnote>
  <w:footnote w:type="continuationSeparator" w:id="0">
    <w:p w14:paraId="46F5D1BF" w14:textId="77777777" w:rsidR="00A27035" w:rsidRDefault="00A27035">
      <w:pPr>
        <w:spacing w:line="240" w:lineRule="auto"/>
      </w:pPr>
      <w:r>
        <w:continuationSeparator/>
      </w:r>
    </w:p>
  </w:footnote>
  <w:footnote w:type="continuationNotice" w:id="1">
    <w:p w14:paraId="3FB8AFC8" w14:textId="77777777" w:rsidR="00A27035" w:rsidRDefault="00A270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8387F"/>
    <w:multiLevelType w:val="hybridMultilevel"/>
    <w:tmpl w:val="1E6E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0"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3"/>
  </w:num>
  <w:num w:numId="5" w16cid:durableId="971406308">
    <w:abstractNumId w:val="28"/>
  </w:num>
  <w:num w:numId="6" w16cid:durableId="273682649">
    <w:abstractNumId w:val="11"/>
  </w:num>
  <w:num w:numId="7" w16cid:durableId="1764909784">
    <w:abstractNumId w:val="31"/>
  </w:num>
  <w:num w:numId="8" w16cid:durableId="1134712123">
    <w:abstractNumId w:val="23"/>
  </w:num>
  <w:num w:numId="9" w16cid:durableId="844704771">
    <w:abstractNumId w:val="10"/>
  </w:num>
  <w:num w:numId="10" w16cid:durableId="276066907">
    <w:abstractNumId w:val="4"/>
  </w:num>
  <w:num w:numId="11" w16cid:durableId="401220151">
    <w:abstractNumId w:val="32"/>
  </w:num>
  <w:num w:numId="12" w16cid:durableId="1453670525">
    <w:abstractNumId w:val="5"/>
  </w:num>
  <w:num w:numId="13" w16cid:durableId="1062292021">
    <w:abstractNumId w:val="20"/>
  </w:num>
  <w:num w:numId="14" w16cid:durableId="777681743">
    <w:abstractNumId w:val="29"/>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4"/>
  </w:num>
  <w:num w:numId="20" w16cid:durableId="1729450954">
    <w:abstractNumId w:val="2"/>
  </w:num>
  <w:num w:numId="21" w16cid:durableId="510028576">
    <w:abstractNumId w:val="35"/>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6"/>
  </w:num>
  <w:num w:numId="28" w16cid:durableId="812521163">
    <w:abstractNumId w:val="38"/>
  </w:num>
  <w:num w:numId="29" w16cid:durableId="316959018">
    <w:abstractNumId w:val="30"/>
  </w:num>
  <w:num w:numId="30" w16cid:durableId="355236493">
    <w:abstractNumId w:val="25"/>
  </w:num>
  <w:num w:numId="31" w16cid:durableId="2031299187">
    <w:abstractNumId w:val="37"/>
  </w:num>
  <w:num w:numId="32" w16cid:durableId="1703703904">
    <w:abstractNumId w:val="18"/>
  </w:num>
  <w:num w:numId="33" w16cid:durableId="675380325">
    <w:abstractNumId w:val="13"/>
  </w:num>
  <w:num w:numId="34" w16cid:durableId="1478065102">
    <w:abstractNumId w:val="15"/>
  </w:num>
  <w:num w:numId="35" w16cid:durableId="493645849">
    <w:abstractNumId w:val="36"/>
  </w:num>
  <w:num w:numId="36" w16cid:durableId="148520944">
    <w:abstractNumId w:val="24"/>
  </w:num>
  <w:num w:numId="37" w16cid:durableId="954294422">
    <w:abstractNumId w:val="9"/>
  </w:num>
  <w:num w:numId="38" w16cid:durableId="493381111">
    <w:abstractNumId w:val="27"/>
  </w:num>
  <w:num w:numId="39" w16cid:durableId="1892973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22BC"/>
    <w:rsid w:val="00034338"/>
    <w:rsid w:val="0003642E"/>
    <w:rsid w:val="000371E3"/>
    <w:rsid w:val="000404B8"/>
    <w:rsid w:val="000411E2"/>
    <w:rsid w:val="00041B37"/>
    <w:rsid w:val="00045BF0"/>
    <w:rsid w:val="00045E90"/>
    <w:rsid w:val="00046224"/>
    <w:rsid w:val="00052442"/>
    <w:rsid w:val="00052506"/>
    <w:rsid w:val="00053607"/>
    <w:rsid w:val="000538A3"/>
    <w:rsid w:val="00055079"/>
    <w:rsid w:val="00055096"/>
    <w:rsid w:val="00055589"/>
    <w:rsid w:val="000557D5"/>
    <w:rsid w:val="00056C9A"/>
    <w:rsid w:val="000577CD"/>
    <w:rsid w:val="00061954"/>
    <w:rsid w:val="0006264D"/>
    <w:rsid w:val="00063000"/>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2CC6"/>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3F24"/>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43A"/>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8D1"/>
    <w:rsid w:val="00220B4E"/>
    <w:rsid w:val="002219A6"/>
    <w:rsid w:val="00221C5C"/>
    <w:rsid w:val="00223D38"/>
    <w:rsid w:val="00225916"/>
    <w:rsid w:val="002318F2"/>
    <w:rsid w:val="002319B7"/>
    <w:rsid w:val="00232488"/>
    <w:rsid w:val="002347A0"/>
    <w:rsid w:val="002351E7"/>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253F"/>
    <w:rsid w:val="002C42A0"/>
    <w:rsid w:val="002C4D1F"/>
    <w:rsid w:val="002C61F4"/>
    <w:rsid w:val="002D1F6A"/>
    <w:rsid w:val="002D2B8E"/>
    <w:rsid w:val="002D5EF2"/>
    <w:rsid w:val="002E1418"/>
    <w:rsid w:val="002E190A"/>
    <w:rsid w:val="002E39BB"/>
    <w:rsid w:val="002E5C8C"/>
    <w:rsid w:val="002E6296"/>
    <w:rsid w:val="002E777F"/>
    <w:rsid w:val="002E7F0A"/>
    <w:rsid w:val="002F2144"/>
    <w:rsid w:val="002F35B1"/>
    <w:rsid w:val="002F38E9"/>
    <w:rsid w:val="002F3C4F"/>
    <w:rsid w:val="002F7976"/>
    <w:rsid w:val="002F7A18"/>
    <w:rsid w:val="00300027"/>
    <w:rsid w:val="0030280B"/>
    <w:rsid w:val="003030EB"/>
    <w:rsid w:val="00303A72"/>
    <w:rsid w:val="00307670"/>
    <w:rsid w:val="00310798"/>
    <w:rsid w:val="003131D1"/>
    <w:rsid w:val="00314DE1"/>
    <w:rsid w:val="003167C9"/>
    <w:rsid w:val="0031759A"/>
    <w:rsid w:val="00320CE6"/>
    <w:rsid w:val="00322729"/>
    <w:rsid w:val="00322B0D"/>
    <w:rsid w:val="00322FB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47F02"/>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78F"/>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2EEE"/>
    <w:rsid w:val="00443292"/>
    <w:rsid w:val="004440DE"/>
    <w:rsid w:val="00450D60"/>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E6508"/>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6D4"/>
    <w:rsid w:val="00517B51"/>
    <w:rsid w:val="00517EF1"/>
    <w:rsid w:val="0052009A"/>
    <w:rsid w:val="00520D95"/>
    <w:rsid w:val="00521425"/>
    <w:rsid w:val="0052176E"/>
    <w:rsid w:val="00522C82"/>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3528"/>
    <w:rsid w:val="0059401B"/>
    <w:rsid w:val="00595BB5"/>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25CA4"/>
    <w:rsid w:val="00626169"/>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A7714"/>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17F0F"/>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332"/>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779F2"/>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5BAE"/>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2F0"/>
    <w:rsid w:val="008217E4"/>
    <w:rsid w:val="0082222B"/>
    <w:rsid w:val="008231AA"/>
    <w:rsid w:val="008235B8"/>
    <w:rsid w:val="00823FC7"/>
    <w:rsid w:val="008246E5"/>
    <w:rsid w:val="00824BF1"/>
    <w:rsid w:val="00825F6E"/>
    <w:rsid w:val="0082638F"/>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6EC7"/>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5EEA"/>
    <w:rsid w:val="008A60A1"/>
    <w:rsid w:val="008A6703"/>
    <w:rsid w:val="008A7747"/>
    <w:rsid w:val="008B08A4"/>
    <w:rsid w:val="008B355F"/>
    <w:rsid w:val="008B4DB5"/>
    <w:rsid w:val="008B5D70"/>
    <w:rsid w:val="008B614F"/>
    <w:rsid w:val="008B7AD8"/>
    <w:rsid w:val="008C0DC5"/>
    <w:rsid w:val="008C1FDD"/>
    <w:rsid w:val="008C2C5F"/>
    <w:rsid w:val="008C4AA4"/>
    <w:rsid w:val="008C6349"/>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5D54"/>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6BD0"/>
    <w:rsid w:val="009C7C13"/>
    <w:rsid w:val="009D012E"/>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27035"/>
    <w:rsid w:val="00A31044"/>
    <w:rsid w:val="00A313AD"/>
    <w:rsid w:val="00A320B1"/>
    <w:rsid w:val="00A40DFA"/>
    <w:rsid w:val="00A4243B"/>
    <w:rsid w:val="00A427C7"/>
    <w:rsid w:val="00A44323"/>
    <w:rsid w:val="00A44626"/>
    <w:rsid w:val="00A44C06"/>
    <w:rsid w:val="00A454EF"/>
    <w:rsid w:val="00A45962"/>
    <w:rsid w:val="00A46C12"/>
    <w:rsid w:val="00A50696"/>
    <w:rsid w:val="00A50907"/>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0695"/>
    <w:rsid w:val="00A86C93"/>
    <w:rsid w:val="00A87EC4"/>
    <w:rsid w:val="00A904DB"/>
    <w:rsid w:val="00A90F77"/>
    <w:rsid w:val="00A92F39"/>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1EB2"/>
    <w:rsid w:val="00BA2834"/>
    <w:rsid w:val="00BA5125"/>
    <w:rsid w:val="00BA5218"/>
    <w:rsid w:val="00BA55A7"/>
    <w:rsid w:val="00BA5B91"/>
    <w:rsid w:val="00BA74E6"/>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3BEC"/>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35C9"/>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596B"/>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6613"/>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24C3"/>
    <w:rsid w:val="00DC3C3C"/>
    <w:rsid w:val="00DC3FB4"/>
    <w:rsid w:val="00DC568A"/>
    <w:rsid w:val="00DC5A4E"/>
    <w:rsid w:val="00DC5EBD"/>
    <w:rsid w:val="00DC5FA1"/>
    <w:rsid w:val="00DC7CCF"/>
    <w:rsid w:val="00DD046B"/>
    <w:rsid w:val="00DD1725"/>
    <w:rsid w:val="00DD191F"/>
    <w:rsid w:val="00DD1B39"/>
    <w:rsid w:val="00DD2B7C"/>
    <w:rsid w:val="00DD3D8B"/>
    <w:rsid w:val="00DD49D0"/>
    <w:rsid w:val="00DD55F8"/>
    <w:rsid w:val="00DD5AFE"/>
    <w:rsid w:val="00DD6DBD"/>
    <w:rsid w:val="00DE04F8"/>
    <w:rsid w:val="00DE0FF3"/>
    <w:rsid w:val="00DE1F2D"/>
    <w:rsid w:val="00DE696D"/>
    <w:rsid w:val="00DE762C"/>
    <w:rsid w:val="00DF2B58"/>
    <w:rsid w:val="00DF4C7B"/>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2A7B"/>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017"/>
    <w:rsid w:val="00E92759"/>
    <w:rsid w:val="00E92CAE"/>
    <w:rsid w:val="00E93D63"/>
    <w:rsid w:val="00E93FD7"/>
    <w:rsid w:val="00EA022C"/>
    <w:rsid w:val="00EA1BCD"/>
    <w:rsid w:val="00EA3439"/>
    <w:rsid w:val="00EA38F2"/>
    <w:rsid w:val="00EA40FB"/>
    <w:rsid w:val="00EA4AAC"/>
    <w:rsid w:val="00EA4E89"/>
    <w:rsid w:val="00EB2178"/>
    <w:rsid w:val="00EB4282"/>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2ABA"/>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4EC0"/>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400"/>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E7C9F"/>
    <w:rsid w:val="00FF012B"/>
    <w:rsid w:val="00FF0C02"/>
    <w:rsid w:val="00FF1736"/>
    <w:rsid w:val="00FF3537"/>
    <w:rsid w:val="00FF39C1"/>
    <w:rsid w:val="00FF46C0"/>
    <w:rsid w:val="00FF71DA"/>
    <w:rsid w:val="00FF7AE0"/>
    <w:rsid w:val="00FF7F71"/>
    <w:rsid w:val="02D86B7B"/>
    <w:rsid w:val="03AA86EC"/>
    <w:rsid w:val="073D100E"/>
    <w:rsid w:val="075BF409"/>
    <w:rsid w:val="24020B9C"/>
    <w:rsid w:val="2C013D33"/>
    <w:rsid w:val="3A2EF6A5"/>
    <w:rsid w:val="3DF713ED"/>
    <w:rsid w:val="4337917C"/>
    <w:rsid w:val="43C00E32"/>
    <w:rsid w:val="4A77A29E"/>
    <w:rsid w:val="4B607273"/>
    <w:rsid w:val="4B6CEEF5"/>
    <w:rsid w:val="4BA2F45D"/>
    <w:rsid w:val="51DD0015"/>
    <w:rsid w:val="6019C4CF"/>
    <w:rsid w:val="63172F81"/>
    <w:rsid w:val="63CFAA8F"/>
    <w:rsid w:val="64D3A5FD"/>
    <w:rsid w:val="68E048A9"/>
    <w:rsid w:val="6C05FE3E"/>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14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FC1400"/>
    <w:rPr>
      <w:rFonts w:asciiTheme="majorHAnsi" w:eastAsiaTheme="majorEastAsia" w:hAnsiTheme="majorHAnsi" w:cstheme="majorBidi"/>
      <w:color w:val="365F91" w:themeColor="accent1" w:themeShade="BF"/>
      <w:sz w:val="26"/>
      <w:szCs w:val="26"/>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15201776">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1740">
      <w:bodyDiv w:val="1"/>
      <w:marLeft w:val="0"/>
      <w:marRight w:val="0"/>
      <w:marTop w:val="0"/>
      <w:marBottom w:val="0"/>
      <w:divBdr>
        <w:top w:val="none" w:sz="0" w:space="0" w:color="auto"/>
        <w:left w:val="none" w:sz="0" w:space="0" w:color="auto"/>
        <w:bottom w:val="none" w:sz="0" w:space="0" w:color="auto"/>
        <w:right w:val="none" w:sz="0" w:space="0" w:color="auto"/>
      </w:divBdr>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057076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393886455">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7EB81960-E99C-4E33-88CF-6804AC1755FA}"/>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1664</Characters>
  <Application>Microsoft Office Word</Application>
  <DocSecurity>0</DocSecurity>
  <Lines>26</Lines>
  <Paragraphs>11</Paragraphs>
  <ScaleCrop>false</ScaleCrop>
  <Company>European Commission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2025-11-11T15:32:00Z</cp:lastPrinted>
  <dcterms:created xsi:type="dcterms:W3CDTF">2026-01-16T09:50:00Z</dcterms:created>
  <dcterms:modified xsi:type="dcterms:W3CDTF">2026-01-16T09:50:00Z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APP0">
    <vt:lpwstr>28</vt:lpwstr>
  </property>
  <property fmtid="{D5CDD505-2E9C-101B-9397-08002B2CF9AE}" pid="11" name="ContentTypeId">
    <vt:lpwstr>0x010100271BB73A879EDE41AFDC9232B9EB1EA9</vt:lpwstr>
  </property>
</Properties>
</file>