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9E2C" w14:textId="77777777" w:rsidR="00CD7384" w:rsidRPr="001B57C5" w:rsidRDefault="00CD7384" w:rsidP="00CD7384">
      <w:pPr>
        <w:jc w:val="center"/>
        <w:rPr>
          <w:rFonts w:ascii="Times New Roman" w:hAnsi="Times New Roman"/>
          <w:b/>
        </w:rPr>
      </w:pPr>
      <w:r w:rsidRPr="001B57C5">
        <w:rPr>
          <w:rFonts w:ascii="Times New Roman" w:hAnsi="Times New Roman"/>
          <w:b/>
          <w:bCs/>
        </w:rPr>
        <w:t xml:space="preserve">Follow up to the </w:t>
      </w:r>
      <w:r w:rsidRPr="001B57C5">
        <w:rPr>
          <w:rFonts w:ascii="Times New Roman" w:hAnsi="Times New Roman"/>
          <w:b/>
        </w:rPr>
        <w:t xml:space="preserve">European Parliament </w:t>
      </w:r>
      <w:r w:rsidRPr="001B57C5">
        <w:rPr>
          <w:rFonts w:ascii="Times New Roman" w:hAnsi="Times New Roman"/>
          <w:b/>
          <w:szCs w:val="24"/>
        </w:rPr>
        <w:t xml:space="preserve">non-legislative </w:t>
      </w:r>
      <w:r w:rsidRPr="001B57C5">
        <w:rPr>
          <w:rFonts w:ascii="Times New Roman" w:hAnsi="Times New Roman"/>
          <w:b/>
        </w:rPr>
        <w:t xml:space="preserve">resolution on </w:t>
      </w:r>
      <w:r w:rsidRPr="00462787">
        <w:rPr>
          <w:rFonts w:ascii="Times New Roman" w:hAnsi="Times New Roman"/>
          <w:b/>
        </w:rPr>
        <w:t>the Second World Summit for Social Development</w:t>
      </w:r>
    </w:p>
    <w:p w14:paraId="7A43A88A" w14:textId="77777777" w:rsidR="00CD7384" w:rsidRPr="001B57C5" w:rsidRDefault="00CD7384" w:rsidP="00CD7384">
      <w:pPr>
        <w:jc w:val="center"/>
        <w:rPr>
          <w:rFonts w:ascii="Times New Roman" w:hAnsi="Times New Roman"/>
          <w:b/>
        </w:rPr>
      </w:pPr>
    </w:p>
    <w:p w14:paraId="10A5BCEF" w14:textId="77777777" w:rsidR="00CD7384" w:rsidRPr="001B57C5" w:rsidRDefault="00CD7384" w:rsidP="00462787">
      <w:pPr>
        <w:numPr>
          <w:ilvl w:val="0"/>
          <w:numId w:val="47"/>
        </w:numPr>
        <w:ind w:left="426" w:hanging="426"/>
        <w:rPr>
          <w:rFonts w:ascii="Times New Roman" w:hAnsi="Times New Roman"/>
          <w:b/>
          <w:bCs/>
          <w:i/>
          <w:iCs/>
        </w:rPr>
      </w:pPr>
      <w:r w:rsidRPr="001B57C5">
        <w:rPr>
          <w:rFonts w:ascii="Times New Roman" w:hAnsi="Times New Roman"/>
          <w:b/>
          <w:bCs/>
        </w:rPr>
        <w:t xml:space="preserve">Resolution tabled pursuant to Rule 136 of the European Parliament's Rules of procedure </w:t>
      </w:r>
      <w:r w:rsidRPr="001B57C5">
        <w:rPr>
          <w:rFonts w:ascii="Times New Roman" w:hAnsi="Times New Roman"/>
          <w:b/>
          <w:bCs/>
          <w:i/>
          <w:iCs/>
        </w:rPr>
        <w:t xml:space="preserve"> </w:t>
      </w:r>
    </w:p>
    <w:p w14:paraId="414DC79C" w14:textId="47F5CFEB" w:rsidR="00CD7384" w:rsidRPr="00462787" w:rsidRDefault="00CD7384" w:rsidP="00462787">
      <w:pPr>
        <w:pStyle w:val="Default"/>
        <w:tabs>
          <w:tab w:val="left" w:pos="426"/>
        </w:tabs>
        <w:spacing w:after="240"/>
        <w:jc w:val="both"/>
        <w:rPr>
          <w:b/>
          <w:lang w:val="en-GB"/>
        </w:rPr>
      </w:pPr>
      <w:r w:rsidRPr="00462787">
        <w:rPr>
          <w:b/>
          <w:lang w:val="en-GB"/>
        </w:rPr>
        <w:t>2.</w:t>
      </w:r>
      <w:r w:rsidR="00462787">
        <w:rPr>
          <w:b/>
          <w:lang w:val="en-GB"/>
        </w:rPr>
        <w:tab/>
      </w:r>
      <w:r w:rsidRPr="00462787">
        <w:rPr>
          <w:b/>
          <w:lang w:val="en-GB"/>
        </w:rPr>
        <w:t xml:space="preserve">References: </w:t>
      </w:r>
      <w:r w:rsidRPr="00462787">
        <w:rPr>
          <w:lang w:val="en-GB"/>
        </w:rPr>
        <w:t>2025/2654(RSP)</w:t>
      </w:r>
      <w:r w:rsidRPr="00462787">
        <w:rPr>
          <w:i/>
          <w:lang w:val="en-GB"/>
        </w:rPr>
        <w:t xml:space="preserve"> </w:t>
      </w:r>
      <w:r w:rsidRPr="00462787">
        <w:rPr>
          <w:iCs/>
          <w:lang w:val="en-GB"/>
        </w:rPr>
        <w:t>/</w:t>
      </w:r>
      <w:r w:rsidRPr="00462787">
        <w:rPr>
          <w:i/>
          <w:lang w:val="en-GB"/>
        </w:rPr>
        <w:t xml:space="preserve"> </w:t>
      </w:r>
      <w:hyperlink r:id="rId11" w:tgtFrame="externalDocument" w:history="1">
        <w:r w:rsidRPr="00462787">
          <w:rPr>
            <w:lang w:val="en-GB"/>
          </w:rPr>
          <w:t>B10-0408/20</w:t>
        </w:r>
      </w:hyperlink>
      <w:r w:rsidRPr="00462787">
        <w:rPr>
          <w:lang w:val="en-GB"/>
        </w:rPr>
        <w:t>25 / P10_TA(2025)0231</w:t>
      </w:r>
    </w:p>
    <w:p w14:paraId="5FEF7AA5" w14:textId="06A1D74A" w:rsidR="00CD7384" w:rsidRPr="001B57C5" w:rsidRDefault="00CD7384" w:rsidP="00462787">
      <w:pPr>
        <w:tabs>
          <w:tab w:val="left" w:pos="426"/>
        </w:tabs>
        <w:rPr>
          <w:rFonts w:ascii="Times New Roman" w:hAnsi="Times New Roman"/>
          <w:szCs w:val="24"/>
        </w:rPr>
      </w:pPr>
      <w:r w:rsidRPr="001B57C5">
        <w:rPr>
          <w:rFonts w:ascii="Times New Roman" w:hAnsi="Times New Roman"/>
          <w:b/>
          <w:szCs w:val="24"/>
        </w:rPr>
        <w:t>3.</w:t>
      </w:r>
      <w:r w:rsidR="00462787">
        <w:rPr>
          <w:rFonts w:ascii="Times New Roman" w:hAnsi="Times New Roman"/>
          <w:b/>
          <w:szCs w:val="24"/>
        </w:rPr>
        <w:tab/>
      </w:r>
      <w:r w:rsidRPr="001B57C5">
        <w:rPr>
          <w:rFonts w:ascii="Times New Roman" w:hAnsi="Times New Roman"/>
          <w:b/>
          <w:szCs w:val="24"/>
        </w:rPr>
        <w:t xml:space="preserve">Date of adoption of the resolution: </w:t>
      </w:r>
      <w:r w:rsidRPr="001B57C5">
        <w:rPr>
          <w:rFonts w:ascii="Times New Roman" w:hAnsi="Times New Roman"/>
          <w:iCs/>
        </w:rPr>
        <w:t>9 October 2025</w:t>
      </w:r>
    </w:p>
    <w:p w14:paraId="0140F705" w14:textId="77777777" w:rsidR="00CD7384" w:rsidRPr="001B57C5" w:rsidRDefault="00CD7384" w:rsidP="00462787">
      <w:pPr>
        <w:numPr>
          <w:ilvl w:val="0"/>
          <w:numId w:val="38"/>
        </w:numPr>
        <w:ind w:left="426" w:hanging="426"/>
        <w:rPr>
          <w:rFonts w:ascii="Times New Roman" w:hAnsi="Times New Roman"/>
        </w:rPr>
      </w:pPr>
      <w:r w:rsidRPr="001B57C5">
        <w:rPr>
          <w:rFonts w:ascii="Times New Roman" w:hAnsi="Times New Roman"/>
          <w:b/>
          <w:bCs/>
        </w:rPr>
        <w:t>Competent Parliamentary Committee</w:t>
      </w:r>
      <w:r w:rsidRPr="001B57C5">
        <w:rPr>
          <w:b/>
          <w:bCs/>
        </w:rPr>
        <w:t xml:space="preserve">: </w:t>
      </w:r>
      <w:r w:rsidRPr="001B57C5">
        <w:rPr>
          <w:rFonts w:ascii="Times New Roman" w:hAnsi="Times New Roman"/>
        </w:rPr>
        <w:t>Employment and Social Affairs Committee (EMPL)</w:t>
      </w:r>
    </w:p>
    <w:p w14:paraId="34511D96" w14:textId="77777777" w:rsidR="00CD7384" w:rsidRPr="001B57C5" w:rsidRDefault="00CD7384" w:rsidP="00CD7384">
      <w:pPr>
        <w:widowControl w:val="0"/>
        <w:numPr>
          <w:ilvl w:val="0"/>
          <w:numId w:val="38"/>
        </w:numPr>
        <w:rPr>
          <w:rFonts w:ascii="Times New Roman" w:hAnsi="Times New Roman"/>
          <w:szCs w:val="24"/>
        </w:rPr>
      </w:pPr>
      <w:r w:rsidRPr="001B57C5">
        <w:rPr>
          <w:rFonts w:ascii="Times New Roman" w:hAnsi="Times New Roman"/>
          <w:b/>
          <w:szCs w:val="24"/>
        </w:rPr>
        <w:t>Brief analysis/ assessment of the resolution and requests made in it:</w:t>
      </w:r>
    </w:p>
    <w:p w14:paraId="26E8C1C3" w14:textId="70D8EF7C" w:rsidR="00CD7384" w:rsidRPr="001B57C5" w:rsidRDefault="00CD7384" w:rsidP="00CD7384">
      <w:pPr>
        <w:pStyle w:val="NormalWeb"/>
        <w:jc w:val="both"/>
      </w:pPr>
      <w:r w:rsidRPr="001B57C5">
        <w:t>This European Parliament</w:t>
      </w:r>
      <w:r w:rsidR="65FABA75" w:rsidRPr="001B57C5">
        <w:t xml:space="preserve"> Resolution</w:t>
      </w:r>
      <w:r w:rsidRPr="001B57C5">
        <w:t xml:space="preserve"> makes a wide-ranging appeal for the European Commission and Member States to strengthen the EU’s social dimension in line with the European Pillar of Social Rights (EPSR), the La Hulpe Declaration of 2024, and the UN 2030 Agenda for Sustainable Development. Against a backdrop of persistent social and regional inequalities, rising living costs, demographic challenges, and the social implications of the green and digital transitions, the Parliament urges renewed political commitment and robust EU-level action to achieve the EPSR and Sustainable Development Goals (SDGs) by 2030.</w:t>
      </w:r>
    </w:p>
    <w:p w14:paraId="4A5E12A5" w14:textId="55016033" w:rsidR="00CD7384" w:rsidRPr="001B57C5" w:rsidRDefault="00CD7384" w:rsidP="00CD7384">
      <w:pPr>
        <w:pStyle w:val="NormalWeb"/>
        <w:jc w:val="both"/>
      </w:pPr>
      <w:r w:rsidRPr="001B57C5">
        <w:t>The European Parliament calls on the European Commission to update and strengthen the EPSR Action Plan, including through the adoption of new headline targets and legislative proposals ensuring its full implementation. It urges cooperation with the Commission and Member States towards a new European Social Deal for the Future, combining poverty reduction, social inclusion, quality employment, and climate neutrality objectives. Furthermore, the resolution demands that the Commission urgently present an EU quality jobs package and ensure that the next Multiannual Financial Framework (MFF) allocates sufficient resources for social dialogue, collective bargaining, and the fight against poverty, housing insecurity, and homelessness. The Parliament highlights the need for stronger measures on pay transparency, gender equality and application of gender mainstreaming across all policy areas</w:t>
      </w:r>
      <w:r w:rsidR="00B636F8" w:rsidRPr="001B57C5">
        <w:t>,</w:t>
      </w:r>
      <w:r w:rsidRPr="001B57C5">
        <w:t xml:space="preserve"> and the implementation of the Council Recommendation on adequate minimum income, as well as reinforced social protection systems to guarantee social resilience.</w:t>
      </w:r>
    </w:p>
    <w:p w14:paraId="15FE1A00" w14:textId="77777777" w:rsidR="00CD7384" w:rsidRPr="001B57C5" w:rsidRDefault="00CD7384" w:rsidP="00CD7384">
      <w:pPr>
        <w:pStyle w:val="NormalWeb"/>
        <w:jc w:val="both"/>
      </w:pPr>
      <w:r w:rsidRPr="001B57C5">
        <w:t>The resolution also stresses the importance of universal access to quality education, training, and care services, calling for the establishment of an EU-level individual right to training and upskilling for workers. It underscores that the social economy and the integration of third-country nationals are key drivers of inclusive growth and should be better supported at EU level. Externally, the Parliament insists that the EU integrate social development objectives into its development, trade, and foreign policies, particularly to promote decent work, fair labour standards, and the transition from informal to formal employment globally.</w:t>
      </w:r>
    </w:p>
    <w:p w14:paraId="503829E5" w14:textId="77777777" w:rsidR="00CD7384" w:rsidRPr="001B57C5" w:rsidRDefault="00CD7384" w:rsidP="00CD7384">
      <w:pPr>
        <w:widowControl w:val="0"/>
        <w:rPr>
          <w:rFonts w:ascii="Times New Roman" w:hAnsi="Times New Roman"/>
          <w:szCs w:val="24"/>
        </w:rPr>
      </w:pPr>
    </w:p>
    <w:p w14:paraId="31839A96" w14:textId="77777777" w:rsidR="00B636F8" w:rsidRPr="001B57C5" w:rsidRDefault="00B636F8" w:rsidP="00CD7384">
      <w:pPr>
        <w:widowControl w:val="0"/>
        <w:rPr>
          <w:rFonts w:ascii="Times New Roman" w:hAnsi="Times New Roman"/>
          <w:szCs w:val="24"/>
        </w:rPr>
      </w:pPr>
    </w:p>
    <w:p w14:paraId="5B9AC972" w14:textId="77777777" w:rsidR="00B636F8" w:rsidRPr="001B57C5" w:rsidRDefault="00B636F8" w:rsidP="00CD7384">
      <w:pPr>
        <w:widowControl w:val="0"/>
        <w:rPr>
          <w:rFonts w:ascii="Times New Roman" w:hAnsi="Times New Roman"/>
          <w:szCs w:val="24"/>
        </w:rPr>
      </w:pPr>
    </w:p>
    <w:p w14:paraId="15AC235D" w14:textId="77777777" w:rsidR="00CD7384" w:rsidRPr="001B57C5" w:rsidRDefault="00CD7384" w:rsidP="00CD7384">
      <w:pPr>
        <w:widowControl w:val="0"/>
        <w:numPr>
          <w:ilvl w:val="0"/>
          <w:numId w:val="38"/>
        </w:numPr>
        <w:ind w:left="567" w:hanging="567"/>
        <w:rPr>
          <w:rFonts w:ascii="Times New Roman" w:hAnsi="Times New Roman"/>
          <w:b/>
          <w:i/>
          <w:szCs w:val="24"/>
        </w:rPr>
      </w:pPr>
      <w:r w:rsidRPr="001B57C5">
        <w:rPr>
          <w:rFonts w:ascii="Times New Roman" w:hAnsi="Times New Roman"/>
          <w:b/>
          <w:szCs w:val="24"/>
        </w:rPr>
        <w:lastRenderedPageBreak/>
        <w:t>Response to the requests in the resolution and overview of the action taken, or intended to be taken, by the Commission:</w:t>
      </w:r>
      <w:r w:rsidRPr="001B57C5">
        <w:rPr>
          <w:rFonts w:ascii="Times New Roman" w:hAnsi="Times New Roman"/>
          <w:szCs w:val="24"/>
        </w:rPr>
        <w:t xml:space="preserve"> </w:t>
      </w:r>
    </w:p>
    <w:p w14:paraId="07D57337" w14:textId="77777777" w:rsidR="00CD7384" w:rsidRPr="001B57C5" w:rsidRDefault="00CD7384" w:rsidP="00CD7384">
      <w:pPr>
        <w:widowControl w:val="0"/>
        <w:rPr>
          <w:rFonts w:ascii="Times New Roman" w:hAnsi="Times New Roman"/>
          <w:b/>
          <w:bCs/>
          <w:szCs w:val="24"/>
        </w:rPr>
      </w:pPr>
      <w:r w:rsidRPr="001B57C5">
        <w:rPr>
          <w:rFonts w:ascii="Times New Roman" w:hAnsi="Times New Roman"/>
          <w:b/>
          <w:bCs/>
          <w:szCs w:val="24"/>
        </w:rPr>
        <w:t>Paragraphs 1 and 20</w:t>
      </w:r>
    </w:p>
    <w:p w14:paraId="22B1C2F3" w14:textId="744BCE45" w:rsidR="00CD7384" w:rsidRPr="001B57C5" w:rsidRDefault="00CD7384" w:rsidP="00CD7384">
      <w:pPr>
        <w:widowControl w:val="0"/>
        <w:rPr>
          <w:rFonts w:ascii="Times New Roman" w:hAnsi="Times New Roman"/>
        </w:rPr>
      </w:pPr>
      <w:r w:rsidRPr="001B57C5">
        <w:rPr>
          <w:rFonts w:ascii="Times New Roman" w:hAnsi="Times New Roman"/>
        </w:rPr>
        <w:t>Regarding the call for the Commission to step up the efforts to implement the E</w:t>
      </w:r>
      <w:r w:rsidR="00B636F8" w:rsidRPr="001B57C5">
        <w:rPr>
          <w:rFonts w:ascii="Times New Roman" w:hAnsi="Times New Roman"/>
        </w:rPr>
        <w:t>P</w:t>
      </w:r>
      <w:r w:rsidRPr="001B57C5">
        <w:rPr>
          <w:rFonts w:ascii="Times New Roman" w:hAnsi="Times New Roman"/>
        </w:rPr>
        <w:t xml:space="preserve">SR, to complement the current headline targets, and </w:t>
      </w:r>
      <w:r w:rsidR="00B636F8" w:rsidRPr="001B57C5">
        <w:rPr>
          <w:rFonts w:ascii="Times New Roman" w:hAnsi="Times New Roman"/>
        </w:rPr>
        <w:t xml:space="preserve">to </w:t>
      </w:r>
      <w:r w:rsidRPr="001B57C5">
        <w:rPr>
          <w:rFonts w:ascii="Times New Roman" w:hAnsi="Times New Roman"/>
        </w:rPr>
        <w:t>put forward legislative initiatives for the full implementation of the E</w:t>
      </w:r>
      <w:r w:rsidR="00B636F8" w:rsidRPr="001B57C5">
        <w:rPr>
          <w:rFonts w:ascii="Times New Roman" w:hAnsi="Times New Roman"/>
        </w:rPr>
        <w:t>P</w:t>
      </w:r>
      <w:r w:rsidRPr="001B57C5">
        <w:rPr>
          <w:rFonts w:ascii="Times New Roman" w:hAnsi="Times New Roman"/>
        </w:rPr>
        <w:t xml:space="preserve">SR, the Commission is </w:t>
      </w:r>
      <w:r w:rsidR="004046E0" w:rsidRPr="001B57C5">
        <w:rPr>
          <w:rFonts w:ascii="Times New Roman" w:hAnsi="Times New Roman"/>
        </w:rPr>
        <w:t>currently analysing</w:t>
      </w:r>
      <w:r w:rsidRPr="001B57C5">
        <w:rPr>
          <w:rFonts w:ascii="Times New Roman" w:hAnsi="Times New Roman"/>
        </w:rPr>
        <w:t xml:space="preserve"> the results and feedback on the impact of the 75 actions successfully taken at EU and national level since the </w:t>
      </w:r>
      <w:hyperlink r:id="rId12">
        <w:r w:rsidRPr="001B57C5">
          <w:rPr>
            <w:rStyle w:val="Hyperlink"/>
            <w:rFonts w:ascii="Times New Roman" w:hAnsi="Times New Roman"/>
          </w:rPr>
          <w:t>2021 Action Plan.</w:t>
        </w:r>
      </w:hyperlink>
      <w:r w:rsidRPr="001B57C5">
        <w:rPr>
          <w:rFonts w:ascii="Times New Roman" w:hAnsi="Times New Roman"/>
        </w:rPr>
        <w:t xml:space="preserve"> The 2021 Action Plan advanced progress in training, social protection, and equal opportunities. The</w:t>
      </w:r>
      <w:r w:rsidR="004046E0" w:rsidRPr="001B57C5">
        <w:rPr>
          <w:rFonts w:ascii="Times New Roman" w:hAnsi="Times New Roman"/>
        </w:rPr>
        <w:t xml:space="preserve"> assessment of the Action Plan looks at the </w:t>
      </w:r>
      <w:r w:rsidRPr="001B57C5">
        <w:rPr>
          <w:rFonts w:ascii="Times New Roman" w:hAnsi="Times New Roman"/>
        </w:rPr>
        <w:t>progress towards the existing 2030 targets and consider</w:t>
      </w:r>
      <w:r w:rsidR="00C80360" w:rsidRPr="001B57C5">
        <w:rPr>
          <w:rFonts w:ascii="Times New Roman" w:hAnsi="Times New Roman"/>
        </w:rPr>
        <w:t>s</w:t>
      </w:r>
      <w:r w:rsidRPr="001B57C5">
        <w:rPr>
          <w:rFonts w:ascii="Times New Roman" w:hAnsi="Times New Roman"/>
        </w:rPr>
        <w:t xml:space="preserve">, where appropriate, </w:t>
      </w:r>
      <w:r w:rsidR="00F85069" w:rsidRPr="001B57C5">
        <w:rPr>
          <w:rFonts w:ascii="Times New Roman" w:hAnsi="Times New Roman"/>
        </w:rPr>
        <w:t xml:space="preserve">possible </w:t>
      </w:r>
      <w:r w:rsidRPr="001B57C5">
        <w:rPr>
          <w:rFonts w:ascii="Times New Roman" w:hAnsi="Times New Roman"/>
        </w:rPr>
        <w:t xml:space="preserve">complementary indicators and objectives to capture new challenges, including those related to the green and digital transitions, demographic change and the cost of living. </w:t>
      </w:r>
    </w:p>
    <w:p w14:paraId="6EDCA693" w14:textId="0649CE2B" w:rsidR="0086236E" w:rsidRPr="001B57C5" w:rsidRDefault="00CD7384" w:rsidP="00462787">
      <w:pPr>
        <w:pStyle w:val="Briefinglist1"/>
        <w:widowControl w:val="0"/>
        <w:tabs>
          <w:tab w:val="num" w:pos="0"/>
        </w:tabs>
        <w:spacing w:line="259" w:lineRule="auto"/>
        <w:jc w:val="both"/>
      </w:pPr>
      <w:r w:rsidRPr="001B57C5">
        <w:t xml:space="preserve">With regards to the achievement of the 2030 headline targets, the Commission is examining the need for new legislative and policy initiatives to support the full implementation of the EPSR principles. </w:t>
      </w:r>
      <w:r w:rsidR="004046E0" w:rsidRPr="001B57C5">
        <w:t>The Commission notes that</w:t>
      </w:r>
      <w:r w:rsidRPr="001B57C5">
        <w:t xml:space="preserve">, despite the robust employment growth between 2023 and 2025, and the EU remaining on course to meet its headline employment rate target by 2030, progress remains uneven across Member States on the remaining two targets of the Action Plan on increasing adult participation in training and reducing the number of people in poverty and at risk of poverty </w:t>
      </w:r>
      <w:r w:rsidR="004046E0" w:rsidRPr="001B57C5">
        <w:t xml:space="preserve">that are </w:t>
      </w:r>
      <w:r w:rsidRPr="001B57C5">
        <w:t>still lagging behind.</w:t>
      </w:r>
      <w:r w:rsidRPr="00462787">
        <w:rPr>
          <w:i/>
          <w:iCs/>
        </w:rPr>
        <w:t xml:space="preserve"> </w:t>
      </w:r>
      <w:r w:rsidRPr="001B57C5">
        <w:t>To guarantee that progress remains on track</w:t>
      </w:r>
      <w:r w:rsidR="00F21962" w:rsidRPr="001B57C5">
        <w:t xml:space="preserve"> with regard to the latter</w:t>
      </w:r>
      <w:r w:rsidRPr="001B57C5">
        <w:t xml:space="preserve">, the Commission is preparing the first </w:t>
      </w:r>
      <w:hyperlink r:id="rId13">
        <w:r w:rsidRPr="001B57C5">
          <w:rPr>
            <w:rStyle w:val="Hyperlink"/>
          </w:rPr>
          <w:t>EU Anti-Poverty Strategy</w:t>
        </w:r>
      </w:hyperlink>
      <w:r w:rsidRPr="001B57C5">
        <w:t xml:space="preserve"> to propose EU-level measures addressing the root causes of poverty and to ensure essential protection to those in need. The Strategy is expected to be </w:t>
      </w:r>
      <w:r w:rsidR="00096D57" w:rsidRPr="001B57C5">
        <w:t xml:space="preserve">adopted </w:t>
      </w:r>
      <w:r w:rsidRPr="001B57C5">
        <w:t xml:space="preserve">in </w:t>
      </w:r>
      <w:r w:rsidR="00F21962" w:rsidRPr="001B57C5">
        <w:t xml:space="preserve">the second quarter of </w:t>
      </w:r>
      <w:r w:rsidRPr="001B57C5">
        <w:t>2026</w:t>
      </w:r>
      <w:r w:rsidR="180289B8" w:rsidRPr="001B57C5">
        <w:t>, and will be complemented by</w:t>
      </w:r>
      <w:r w:rsidR="501BC8A3" w:rsidRPr="001B57C5">
        <w:t xml:space="preserve"> a non-legislative initiative on</w:t>
      </w:r>
      <w:r w:rsidR="2838C107" w:rsidRPr="001B57C5">
        <w:t xml:space="preserve"> st</w:t>
      </w:r>
      <w:r w:rsidR="1041034E" w:rsidRPr="001B57C5">
        <w:t>rengthening the E</w:t>
      </w:r>
      <w:r w:rsidR="2F2727EB" w:rsidRPr="001B57C5">
        <w:t xml:space="preserve">uropean </w:t>
      </w:r>
      <w:r w:rsidR="1041034E" w:rsidRPr="001B57C5">
        <w:t>C</w:t>
      </w:r>
      <w:r w:rsidR="0B183EE8" w:rsidRPr="001B57C5">
        <w:t xml:space="preserve">hild </w:t>
      </w:r>
      <w:r w:rsidR="1041034E" w:rsidRPr="001B57C5">
        <w:t>G</w:t>
      </w:r>
      <w:r w:rsidR="5751B3CD" w:rsidRPr="001B57C5">
        <w:t>uarantee</w:t>
      </w:r>
      <w:r w:rsidR="00096D57" w:rsidRPr="001B57C5">
        <w:t>.</w:t>
      </w:r>
    </w:p>
    <w:p w14:paraId="6E5E3A61" w14:textId="7DA219F1" w:rsidR="0086236E" w:rsidRPr="001B57C5" w:rsidRDefault="0086236E" w:rsidP="00462787">
      <w:pPr>
        <w:pStyle w:val="Briefinglist1"/>
        <w:widowControl w:val="0"/>
        <w:tabs>
          <w:tab w:val="num" w:pos="0"/>
        </w:tabs>
        <w:spacing w:line="259" w:lineRule="auto"/>
        <w:jc w:val="both"/>
      </w:pPr>
    </w:p>
    <w:p w14:paraId="54073862" w14:textId="17534CDF" w:rsidR="0086236E" w:rsidRPr="00462787" w:rsidRDefault="00EA2FE5" w:rsidP="00462787">
      <w:pPr>
        <w:pStyle w:val="Briefinglist1"/>
        <w:widowControl w:val="0"/>
        <w:tabs>
          <w:tab w:val="num" w:pos="0"/>
        </w:tabs>
        <w:spacing w:line="259" w:lineRule="auto"/>
        <w:jc w:val="both"/>
      </w:pPr>
      <w:r w:rsidRPr="001B57C5">
        <w:t xml:space="preserve">The key </w:t>
      </w:r>
      <w:r w:rsidR="00177BBE" w:rsidRPr="001B57C5">
        <w:t xml:space="preserve">Commission’s </w:t>
      </w:r>
      <w:r w:rsidRPr="001B57C5">
        <w:t xml:space="preserve">initiative </w:t>
      </w:r>
      <w:r w:rsidR="00177BBE" w:rsidRPr="001B57C5">
        <w:t xml:space="preserve">aimed at supporting the development of quality, inclusive and adaptable education is </w:t>
      </w:r>
      <w:r w:rsidRPr="001B57C5">
        <w:t>t</w:t>
      </w:r>
      <w:r w:rsidRPr="001B57C5">
        <w:rPr>
          <w:color w:val="000000"/>
          <w:lang w:eastAsia="ko-KR"/>
        </w:rPr>
        <w:t xml:space="preserve">he Union of Skills. It </w:t>
      </w:r>
      <w:r w:rsidR="00177BBE" w:rsidRPr="001B57C5">
        <w:rPr>
          <w:color w:val="000000"/>
          <w:lang w:eastAsia="ko-KR"/>
        </w:rPr>
        <w:t xml:space="preserve">was designed to </w:t>
      </w:r>
      <w:r w:rsidRPr="001B57C5">
        <w:rPr>
          <w:color w:val="000000"/>
          <w:lang w:eastAsia="ko-KR"/>
        </w:rPr>
        <w:t xml:space="preserve">support the development of quality, inclusive and adaptable education, training and skills systems to increase the EU’s competitiveness. </w:t>
      </w:r>
      <w:r w:rsidR="0086236E" w:rsidRPr="00462787">
        <w:t>The actions are grouped around four pillars:</w:t>
      </w:r>
    </w:p>
    <w:p w14:paraId="340AD993" w14:textId="2AA66E45" w:rsidR="0086236E" w:rsidRPr="00462787" w:rsidRDefault="002C3773" w:rsidP="00462787">
      <w:pPr>
        <w:pStyle w:val="ListDash2"/>
        <w:widowControl w:val="0"/>
        <w:numPr>
          <w:ilvl w:val="0"/>
          <w:numId w:val="49"/>
        </w:numPr>
        <w:spacing w:after="0"/>
        <w:rPr>
          <w:rFonts w:ascii="Times New Roman" w:hAnsi="Times New Roman"/>
        </w:rPr>
      </w:pPr>
      <w:r w:rsidRPr="001B57C5">
        <w:rPr>
          <w:rFonts w:ascii="Times New Roman" w:hAnsi="Times New Roman"/>
        </w:rPr>
        <w:t>Building skills for life through a solid educational foundation</w:t>
      </w:r>
    </w:p>
    <w:p w14:paraId="4373BD2A" w14:textId="77777777" w:rsidR="008D3068" w:rsidRPr="001B57C5" w:rsidRDefault="008D3068" w:rsidP="00462787">
      <w:pPr>
        <w:pStyle w:val="ListDash2"/>
        <w:widowControl w:val="0"/>
        <w:numPr>
          <w:ilvl w:val="0"/>
          <w:numId w:val="49"/>
        </w:numPr>
        <w:spacing w:after="0"/>
        <w:rPr>
          <w:rFonts w:ascii="Times New Roman" w:hAnsi="Times New Roman"/>
        </w:rPr>
      </w:pPr>
      <w:r w:rsidRPr="001B57C5">
        <w:rPr>
          <w:rFonts w:ascii="Times New Roman" w:hAnsi="Times New Roman"/>
        </w:rPr>
        <w:t>Upskill and reskill to ensure future-oriented skills</w:t>
      </w:r>
    </w:p>
    <w:p w14:paraId="3DC4ED3E" w14:textId="199D5287" w:rsidR="008D3068" w:rsidRPr="001B57C5" w:rsidRDefault="008D3068" w:rsidP="00462787">
      <w:pPr>
        <w:pStyle w:val="ListDash2"/>
        <w:widowControl w:val="0"/>
        <w:numPr>
          <w:ilvl w:val="0"/>
          <w:numId w:val="49"/>
        </w:numPr>
        <w:spacing w:after="0"/>
        <w:rPr>
          <w:rFonts w:ascii="Times New Roman" w:hAnsi="Times New Roman"/>
        </w:rPr>
      </w:pPr>
      <w:r w:rsidRPr="001B57C5">
        <w:rPr>
          <w:rFonts w:ascii="Times New Roman" w:hAnsi="Times New Roman"/>
        </w:rPr>
        <w:t>Circulate and allocate skills to unlock the full potential of the single market</w:t>
      </w:r>
    </w:p>
    <w:p w14:paraId="1890A013" w14:textId="05FC5E93" w:rsidR="00CD7384" w:rsidRPr="001B57C5" w:rsidRDefault="008D3068" w:rsidP="00462787">
      <w:pPr>
        <w:pStyle w:val="ListDash2"/>
        <w:widowControl w:val="0"/>
        <w:numPr>
          <w:ilvl w:val="0"/>
          <w:numId w:val="49"/>
        </w:numPr>
        <w:spacing w:after="0"/>
        <w:rPr>
          <w:rFonts w:ascii="Times New Roman" w:hAnsi="Times New Roman"/>
        </w:rPr>
      </w:pPr>
      <w:r w:rsidRPr="001B57C5">
        <w:rPr>
          <w:rFonts w:ascii="Times New Roman" w:hAnsi="Times New Roman"/>
        </w:rPr>
        <w:t>Attract and retain skills from third countries to address skills shortages and develop top talent in Europe</w:t>
      </w:r>
    </w:p>
    <w:p w14:paraId="57F3D776" w14:textId="77777777" w:rsidR="002C3773" w:rsidRPr="001B57C5" w:rsidRDefault="002C3773" w:rsidP="002C3773">
      <w:pPr>
        <w:pStyle w:val="ListDash2"/>
        <w:numPr>
          <w:ilvl w:val="0"/>
          <w:numId w:val="0"/>
        </w:numPr>
        <w:spacing w:after="0"/>
        <w:ind w:left="1440"/>
        <w:rPr>
          <w:rFonts w:ascii="Times New Roman" w:hAnsi="Times New Roman"/>
        </w:rPr>
      </w:pPr>
    </w:p>
    <w:p w14:paraId="7F59AA6D" w14:textId="010F6A87" w:rsidR="00CD7384" w:rsidRPr="001B57C5" w:rsidRDefault="00B62ABE" w:rsidP="00CD7384">
      <w:pPr>
        <w:widowControl w:val="0"/>
        <w:rPr>
          <w:rFonts w:ascii="Times New Roman" w:hAnsi="Times New Roman"/>
          <w:bCs/>
          <w:iCs/>
          <w:szCs w:val="24"/>
        </w:rPr>
      </w:pPr>
      <w:r w:rsidRPr="001B57C5">
        <w:rPr>
          <w:rFonts w:ascii="Times New Roman" w:hAnsi="Times New Roman"/>
          <w:bCs/>
          <w:iCs/>
          <w:szCs w:val="24"/>
        </w:rPr>
        <w:t>T</w:t>
      </w:r>
      <w:r w:rsidR="00CD7384" w:rsidRPr="001B57C5">
        <w:rPr>
          <w:rFonts w:ascii="Times New Roman" w:hAnsi="Times New Roman"/>
          <w:bCs/>
          <w:iCs/>
          <w:szCs w:val="24"/>
        </w:rPr>
        <w:t>he adoption of the EU Platform Work Directive, the Pay Transparency Directive and the European Care Strategy</w:t>
      </w:r>
      <w:r w:rsidRPr="001B57C5">
        <w:rPr>
          <w:rFonts w:ascii="Times New Roman" w:hAnsi="Times New Roman"/>
          <w:bCs/>
          <w:iCs/>
          <w:szCs w:val="24"/>
        </w:rPr>
        <w:t xml:space="preserve"> also </w:t>
      </w:r>
      <w:r w:rsidR="00CD7384" w:rsidRPr="001B57C5">
        <w:rPr>
          <w:rFonts w:ascii="Times New Roman" w:hAnsi="Times New Roman"/>
          <w:bCs/>
          <w:iCs/>
          <w:szCs w:val="24"/>
        </w:rPr>
        <w:t>aim to deliver a more coherent and comprehensive social framework for the Union.</w:t>
      </w:r>
    </w:p>
    <w:p w14:paraId="2DEC1A46"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t>Paragraphs 2 and 7</w:t>
      </w:r>
    </w:p>
    <w:p w14:paraId="55B8C0E0" w14:textId="66DF4783" w:rsidR="00CD7384" w:rsidRPr="00462787" w:rsidRDefault="00CD7384" w:rsidP="2C0899C8">
      <w:pPr>
        <w:widowControl w:val="0"/>
        <w:spacing w:line="259" w:lineRule="auto"/>
        <w:rPr>
          <w:rFonts w:ascii="Times New Roman" w:hAnsi="Times New Roman"/>
          <w:i/>
          <w:iCs/>
        </w:rPr>
      </w:pPr>
      <w:r w:rsidRPr="001B57C5">
        <w:rPr>
          <w:rFonts w:ascii="Times New Roman" w:hAnsi="Times New Roman"/>
        </w:rPr>
        <w:t>With regard to developing a new European Social Deal for the Future, the Commission is already taking relevant actions that support the reduction of the risk of poverty and social exclusion in the EU, and the goal of achieving net-zero emissions in the EU by 2050. As mentioned above, t</w:t>
      </w:r>
      <w:r w:rsidRPr="00462787">
        <w:rPr>
          <w:rFonts w:ascii="Times New Roman" w:hAnsi="Times New Roman"/>
        </w:rPr>
        <w:t xml:space="preserve">he Commission will propose in 2026 </w:t>
      </w:r>
      <w:r w:rsidR="004B1B1F" w:rsidRPr="00462787">
        <w:rPr>
          <w:rFonts w:ascii="Times New Roman" w:hAnsi="Times New Roman"/>
        </w:rPr>
        <w:t xml:space="preserve">the first-ever </w:t>
      </w:r>
      <w:r w:rsidR="75CB9741" w:rsidRPr="00462787">
        <w:rPr>
          <w:rFonts w:ascii="Times New Roman" w:hAnsi="Times New Roman"/>
        </w:rPr>
        <w:t>EU Anti-Poverty Strategy</w:t>
      </w:r>
      <w:r w:rsidR="00C80360" w:rsidRPr="00462787">
        <w:rPr>
          <w:rFonts w:ascii="Times New Roman" w:hAnsi="Times New Roman"/>
        </w:rPr>
        <w:t xml:space="preserve"> </w:t>
      </w:r>
      <w:r w:rsidR="004B1B1F" w:rsidRPr="00462787">
        <w:rPr>
          <w:rFonts w:ascii="Times New Roman" w:hAnsi="Times New Roman"/>
        </w:rPr>
        <w:t>and a proposal to strengthen the Child Guarantee</w:t>
      </w:r>
      <w:r w:rsidRPr="001B57C5">
        <w:rPr>
          <w:rFonts w:ascii="Times New Roman" w:hAnsi="Times New Roman"/>
        </w:rPr>
        <w:t xml:space="preserve">. Other related important initiatives are the </w:t>
      </w:r>
      <w:r w:rsidR="0004512A" w:rsidRPr="001B57C5">
        <w:rPr>
          <w:rFonts w:ascii="Times New Roman" w:hAnsi="Times New Roman"/>
        </w:rPr>
        <w:t xml:space="preserve">recently adopted </w:t>
      </w:r>
      <w:r w:rsidRPr="001B57C5">
        <w:rPr>
          <w:rFonts w:ascii="Times New Roman" w:hAnsi="Times New Roman"/>
        </w:rPr>
        <w:t xml:space="preserve">European Affordable Housing Plan and the </w:t>
      </w:r>
      <w:r w:rsidR="004B55C4" w:rsidRPr="001B57C5">
        <w:rPr>
          <w:rFonts w:ascii="Times New Roman" w:hAnsi="Times New Roman"/>
        </w:rPr>
        <w:t xml:space="preserve">upcoming </w:t>
      </w:r>
      <w:r w:rsidRPr="001B57C5">
        <w:rPr>
          <w:rFonts w:ascii="Times New Roman" w:hAnsi="Times New Roman"/>
        </w:rPr>
        <w:t>Intergenerational Fairness Strategy.</w:t>
      </w:r>
      <w:r w:rsidRPr="00462787">
        <w:rPr>
          <w:rFonts w:ascii="Times New Roman" w:hAnsi="Times New Roman"/>
        </w:rPr>
        <w:t xml:space="preserve"> The </w:t>
      </w:r>
      <w:r w:rsidR="75CB9741" w:rsidRPr="00462787">
        <w:rPr>
          <w:rFonts w:ascii="Times New Roman" w:hAnsi="Times New Roman"/>
        </w:rPr>
        <w:t>European Social Fund Plus (ESF+)</w:t>
      </w:r>
      <w:r w:rsidRPr="00462787">
        <w:rPr>
          <w:rFonts w:ascii="Times New Roman" w:hAnsi="Times New Roman"/>
        </w:rPr>
        <w:t xml:space="preserve"> (2021-2027) </w:t>
      </w:r>
      <w:r w:rsidRPr="00462787">
        <w:rPr>
          <w:rFonts w:ascii="Times New Roman" w:hAnsi="Times New Roman"/>
        </w:rPr>
        <w:lastRenderedPageBreak/>
        <w:t>is the main tool used to support social inclusion</w:t>
      </w:r>
      <w:r w:rsidR="00B65BE0" w:rsidRPr="00462787">
        <w:rPr>
          <w:rFonts w:ascii="Times New Roman" w:hAnsi="Times New Roman"/>
        </w:rPr>
        <w:t>.</w:t>
      </w:r>
      <w:r w:rsidRPr="00462787">
        <w:rPr>
          <w:rFonts w:ascii="Times New Roman" w:hAnsi="Times New Roman"/>
        </w:rPr>
        <w:t xml:space="preserve"> </w:t>
      </w:r>
      <w:r w:rsidR="00B65BE0" w:rsidRPr="00462787">
        <w:rPr>
          <w:rFonts w:ascii="Times New Roman" w:hAnsi="Times New Roman"/>
        </w:rPr>
        <w:t>A</w:t>
      </w:r>
      <w:r w:rsidRPr="00462787">
        <w:rPr>
          <w:rFonts w:ascii="Times New Roman" w:hAnsi="Times New Roman"/>
        </w:rPr>
        <w:t xml:space="preserve"> substantial part of its budget (≥ 25 %) is dedicated to inclusion, helping people at risk of poverty</w:t>
      </w:r>
      <w:r w:rsidR="2F583A67" w:rsidRPr="00462787">
        <w:rPr>
          <w:rFonts w:ascii="Times New Roman" w:hAnsi="Times New Roman"/>
        </w:rPr>
        <w:t xml:space="preserve"> and/or social exclusion</w:t>
      </w:r>
      <w:r w:rsidR="00144923" w:rsidRPr="00462787">
        <w:rPr>
          <w:rFonts w:ascii="Times New Roman" w:hAnsi="Times New Roman"/>
        </w:rPr>
        <w:t xml:space="preserve"> and</w:t>
      </w:r>
      <w:r w:rsidRPr="00462787">
        <w:rPr>
          <w:rFonts w:ascii="Times New Roman" w:hAnsi="Times New Roman"/>
        </w:rPr>
        <w:t xml:space="preserve"> marginalised groups (including non-EU nationals, Roma), </w:t>
      </w:r>
      <w:r w:rsidR="00144923" w:rsidRPr="00462787">
        <w:rPr>
          <w:rFonts w:ascii="Times New Roman" w:hAnsi="Times New Roman"/>
        </w:rPr>
        <w:t xml:space="preserve">as well as </w:t>
      </w:r>
      <w:r w:rsidRPr="00462787">
        <w:rPr>
          <w:rFonts w:ascii="Times New Roman" w:hAnsi="Times New Roman"/>
        </w:rPr>
        <w:t>improving access to essential services like housing and healthcare.</w:t>
      </w:r>
      <w:r w:rsidRPr="00462787">
        <w:rPr>
          <w:rFonts w:ascii="Times New Roman" w:hAnsi="Times New Roman"/>
          <w:i/>
          <w:iCs/>
        </w:rPr>
        <w:t xml:space="preserve"> </w:t>
      </w:r>
      <w:r w:rsidR="0096140B" w:rsidRPr="00462787">
        <w:rPr>
          <w:rFonts w:ascii="Times New Roman" w:hAnsi="Times New Roman"/>
        </w:rPr>
        <w:t>T</w:t>
      </w:r>
      <w:r w:rsidRPr="00462787">
        <w:rPr>
          <w:rFonts w:ascii="Times New Roman" w:hAnsi="Times New Roman"/>
        </w:rPr>
        <w:t xml:space="preserve">he Commission </w:t>
      </w:r>
      <w:r w:rsidR="1C4909AE" w:rsidRPr="001B57C5">
        <w:rPr>
          <w:rFonts w:ascii="Times New Roman" w:hAnsi="Times New Roman"/>
        </w:rPr>
        <w:t xml:space="preserve">will promote </w:t>
      </w:r>
      <w:r w:rsidRPr="00462787">
        <w:rPr>
          <w:rFonts w:ascii="Times New Roman" w:hAnsi="Times New Roman"/>
        </w:rPr>
        <w:t xml:space="preserve">fair wages, good working conditions, and fair job-to-job </w:t>
      </w:r>
      <w:r w:rsidR="0096140B" w:rsidRPr="00462787">
        <w:rPr>
          <w:rFonts w:ascii="Times New Roman" w:hAnsi="Times New Roman"/>
        </w:rPr>
        <w:t xml:space="preserve">transition for workers and the self-employed in line with </w:t>
      </w:r>
      <w:r w:rsidR="00D4094C" w:rsidRPr="00462787">
        <w:rPr>
          <w:rFonts w:ascii="Times New Roman" w:hAnsi="Times New Roman"/>
        </w:rPr>
        <w:t xml:space="preserve">the </w:t>
      </w:r>
      <w:r w:rsidR="00B65BE0" w:rsidRPr="00462787">
        <w:rPr>
          <w:rFonts w:ascii="Times New Roman" w:hAnsi="Times New Roman"/>
        </w:rPr>
        <w:t>Q</w:t>
      </w:r>
      <w:r w:rsidRPr="00462787">
        <w:rPr>
          <w:rFonts w:ascii="Times New Roman" w:hAnsi="Times New Roman"/>
        </w:rPr>
        <w:t xml:space="preserve">uality </w:t>
      </w:r>
      <w:r w:rsidR="00B65BE0" w:rsidRPr="00462787">
        <w:rPr>
          <w:rFonts w:ascii="Times New Roman" w:hAnsi="Times New Roman"/>
        </w:rPr>
        <w:t>J</w:t>
      </w:r>
      <w:r w:rsidRPr="00462787">
        <w:rPr>
          <w:rFonts w:ascii="Times New Roman" w:hAnsi="Times New Roman"/>
        </w:rPr>
        <w:t xml:space="preserve">obs </w:t>
      </w:r>
      <w:r w:rsidR="00B65BE0" w:rsidRPr="00462787">
        <w:rPr>
          <w:rFonts w:ascii="Times New Roman" w:hAnsi="Times New Roman"/>
        </w:rPr>
        <w:t>R</w:t>
      </w:r>
      <w:r w:rsidRPr="00462787">
        <w:rPr>
          <w:rFonts w:ascii="Times New Roman" w:hAnsi="Times New Roman"/>
        </w:rPr>
        <w:t>oadmap.</w:t>
      </w:r>
    </w:p>
    <w:p w14:paraId="2BCC3C39" w14:textId="19BB7C69" w:rsidR="00CD7384" w:rsidRPr="00462787" w:rsidRDefault="00CD7384" w:rsidP="00CD7384">
      <w:pPr>
        <w:widowControl w:val="0"/>
        <w:rPr>
          <w:rFonts w:ascii="Times New Roman" w:hAnsi="Times New Roman"/>
        </w:rPr>
      </w:pPr>
      <w:r w:rsidRPr="00462787">
        <w:rPr>
          <w:rFonts w:ascii="Times New Roman" w:hAnsi="Times New Roman"/>
        </w:rPr>
        <w:t xml:space="preserve">The </w:t>
      </w:r>
      <w:hyperlink r:id="rId14">
        <w:r w:rsidRPr="00462787">
          <w:rPr>
            <w:rStyle w:val="Hyperlink"/>
            <w:rFonts w:ascii="Times New Roman" w:hAnsi="Times New Roman"/>
          </w:rPr>
          <w:t>Social Climate Fund (SCF)</w:t>
        </w:r>
      </w:hyperlink>
      <w:r w:rsidRPr="00462787">
        <w:rPr>
          <w:rFonts w:ascii="Times New Roman" w:hAnsi="Times New Roman"/>
        </w:rPr>
        <w:t xml:space="preserve"> has been established to ensure a socially just climate transition. It aims to mobilise at least about </w:t>
      </w:r>
      <w:r w:rsidR="00B65BE0" w:rsidRPr="00462787">
        <w:rPr>
          <w:rFonts w:ascii="Times New Roman" w:hAnsi="Times New Roman"/>
        </w:rPr>
        <w:t>EUR </w:t>
      </w:r>
      <w:r w:rsidRPr="00462787">
        <w:rPr>
          <w:rFonts w:ascii="Times New Roman" w:hAnsi="Times New Roman"/>
        </w:rPr>
        <w:t>86.7 billion (2026-2032) combining revenues from the new EU Emissions Trading System (ETS2) and co-financing from Member States, to support vulnerable households, transport users, and micro-enterprises affected by climate policies. In support of the cooperation with Member States, the Commission has published guidance to assist Member States in preparing their national Social Climate Plans.</w:t>
      </w:r>
    </w:p>
    <w:p w14:paraId="1EA0EC4D" w14:textId="77777777" w:rsidR="00C80360" w:rsidRPr="00462787" w:rsidRDefault="00C80360" w:rsidP="00C80360">
      <w:pPr>
        <w:widowControl w:val="0"/>
        <w:rPr>
          <w:rFonts w:ascii="Times New Roman" w:hAnsi="Times New Roman"/>
          <w:b/>
          <w:bCs/>
        </w:rPr>
      </w:pPr>
      <w:r w:rsidRPr="00462787">
        <w:rPr>
          <w:rFonts w:ascii="Times New Roman" w:hAnsi="Times New Roman"/>
          <w:b/>
          <w:bCs/>
        </w:rPr>
        <w:t>Paragraph 8</w:t>
      </w:r>
    </w:p>
    <w:p w14:paraId="1E960CA2" w14:textId="69E5B3E2" w:rsidR="00C80360" w:rsidRPr="001B57C5" w:rsidRDefault="00C80360" w:rsidP="00C80360">
      <w:pPr>
        <w:widowControl w:val="0"/>
        <w:rPr>
          <w:rFonts w:ascii="Times New Roman" w:hAnsi="Times New Roman"/>
        </w:rPr>
      </w:pPr>
      <w:r w:rsidRPr="001B57C5">
        <w:rPr>
          <w:rFonts w:ascii="Times New Roman" w:hAnsi="Times New Roman"/>
        </w:rPr>
        <w:t xml:space="preserve">The Commission is implementing the </w:t>
      </w:r>
      <w:hyperlink r:id="rId15" w:history="1">
        <w:r w:rsidRPr="001B57C5">
          <w:rPr>
            <w:rStyle w:val="Hyperlink"/>
            <w:rFonts w:ascii="Times New Roman" w:hAnsi="Times New Roman"/>
          </w:rPr>
          <w:t>Global Gateway strategy</w:t>
        </w:r>
      </w:hyperlink>
      <w:r w:rsidRPr="001B57C5">
        <w:rPr>
          <w:rFonts w:ascii="Times New Roman" w:hAnsi="Times New Roman"/>
        </w:rPr>
        <w:t xml:space="preserve">, which aims to reduce poverty in partner countries by closing the investment gap for meeting the </w:t>
      </w:r>
      <w:r w:rsidR="00405961" w:rsidRPr="001B57C5">
        <w:rPr>
          <w:rFonts w:ascii="Times New Roman" w:hAnsi="Times New Roman"/>
        </w:rPr>
        <w:t xml:space="preserve">Sustainable </w:t>
      </w:r>
      <w:r w:rsidR="002A52BA" w:rsidRPr="001B57C5">
        <w:rPr>
          <w:rFonts w:ascii="Times New Roman" w:hAnsi="Times New Roman"/>
        </w:rPr>
        <w:t>Development Goals</w:t>
      </w:r>
      <w:r w:rsidR="00405961" w:rsidRPr="001B57C5">
        <w:rPr>
          <w:rFonts w:ascii="Times New Roman" w:hAnsi="Times New Roman"/>
        </w:rPr>
        <w:t xml:space="preserve"> </w:t>
      </w:r>
      <w:r w:rsidR="00B12279" w:rsidRPr="001B57C5">
        <w:rPr>
          <w:rFonts w:ascii="Times New Roman" w:hAnsi="Times New Roman"/>
        </w:rPr>
        <w:t>(</w:t>
      </w:r>
      <w:r w:rsidRPr="001B57C5">
        <w:rPr>
          <w:rFonts w:ascii="Times New Roman" w:hAnsi="Times New Roman"/>
        </w:rPr>
        <w:t>SDGs</w:t>
      </w:r>
      <w:r w:rsidR="007352E5" w:rsidRPr="001B57C5">
        <w:rPr>
          <w:rFonts w:ascii="Times New Roman" w:hAnsi="Times New Roman"/>
        </w:rPr>
        <w:t>)</w:t>
      </w:r>
      <w:r w:rsidRPr="001B57C5">
        <w:rPr>
          <w:rFonts w:ascii="Times New Roman" w:hAnsi="Times New Roman"/>
        </w:rPr>
        <w:t xml:space="preserve">. Working through both public and private sector funds, the Global Gateway strengthens social development by directly promoting high-impact investments on inclusive social services across the Global Gateway five priority areas: in </w:t>
      </w:r>
      <w:r w:rsidRPr="001B57C5">
        <w:rPr>
          <w:rFonts w:ascii="Times New Roman" w:hAnsi="Times New Roman"/>
          <w:i/>
          <w:iCs/>
        </w:rPr>
        <w:t>health</w:t>
      </w:r>
      <w:r w:rsidRPr="001B57C5">
        <w:rPr>
          <w:rFonts w:ascii="Times New Roman" w:hAnsi="Times New Roman"/>
        </w:rPr>
        <w:t xml:space="preserve">, e.g. promoting equal access to vaccines and medicines; in </w:t>
      </w:r>
      <w:r w:rsidRPr="001B57C5">
        <w:rPr>
          <w:rFonts w:ascii="Times New Roman" w:hAnsi="Times New Roman"/>
          <w:i/>
          <w:iCs/>
        </w:rPr>
        <w:t>education and skills</w:t>
      </w:r>
      <w:r w:rsidRPr="001B57C5">
        <w:rPr>
          <w:rFonts w:ascii="Times New Roman" w:hAnsi="Times New Roman"/>
        </w:rPr>
        <w:t xml:space="preserve">, e.g. building human capital for decent work; in </w:t>
      </w:r>
      <w:r w:rsidRPr="001B57C5">
        <w:rPr>
          <w:rFonts w:ascii="Times New Roman" w:hAnsi="Times New Roman"/>
          <w:i/>
          <w:iCs/>
        </w:rPr>
        <w:t>digitalisation</w:t>
      </w:r>
      <w:r w:rsidRPr="001B57C5">
        <w:rPr>
          <w:rFonts w:ascii="Times New Roman" w:hAnsi="Times New Roman"/>
        </w:rPr>
        <w:t xml:space="preserve">, e.g. addressing digital divides, in </w:t>
      </w:r>
      <w:r w:rsidRPr="001B57C5">
        <w:rPr>
          <w:rFonts w:ascii="Times New Roman" w:hAnsi="Times New Roman"/>
          <w:i/>
          <w:iCs/>
        </w:rPr>
        <w:t>transport</w:t>
      </w:r>
      <w:r w:rsidRPr="001B57C5">
        <w:rPr>
          <w:rFonts w:ascii="Times New Roman" w:hAnsi="Times New Roman"/>
        </w:rPr>
        <w:t xml:space="preserve"> – e.g. inclusive urban mobility; and in </w:t>
      </w:r>
      <w:r w:rsidRPr="001B57C5">
        <w:rPr>
          <w:rFonts w:ascii="Times New Roman" w:hAnsi="Times New Roman"/>
          <w:i/>
          <w:iCs/>
        </w:rPr>
        <w:t>energy,</w:t>
      </w:r>
      <w:r w:rsidRPr="001B57C5">
        <w:rPr>
          <w:rFonts w:ascii="Times New Roman" w:hAnsi="Times New Roman"/>
        </w:rPr>
        <w:t xml:space="preserve"> e.g. emphasizing just energy transitions. The </w:t>
      </w:r>
      <w:r w:rsidRPr="00462787">
        <w:rPr>
          <w:rFonts w:ascii="Times New Roman" w:hAnsi="Times New Roman"/>
        </w:rPr>
        <w:t xml:space="preserve">Global Gateway is implemented through a 360-degree approach that respects key European values. </w:t>
      </w:r>
      <w:r w:rsidRPr="001B57C5">
        <w:rPr>
          <w:rFonts w:ascii="Times New Roman" w:hAnsi="Times New Roman"/>
        </w:rPr>
        <w:t xml:space="preserve">Along with Global Gateway investments, support to partner countries can include funding to create an enabling environment for social development, e.g. by ensuring decent job creation, promoting environmental, social and governance safeguards and strengthening social protection systems. To make EU development cooperation more socially inclusive, the Commission's external services are mainstreaming the use of three policy markers: the inequality marker (I-Marker); ii) the marker on gender equality and empowerment of all women and girls (G-marker), and iii) the disability marker (D-marker). </w:t>
      </w:r>
    </w:p>
    <w:p w14:paraId="7D6F6157" w14:textId="77777777" w:rsidR="00C80360" w:rsidRPr="00462787" w:rsidRDefault="00C80360" w:rsidP="00C80360">
      <w:pPr>
        <w:pStyle w:val="ListParagraph"/>
        <w:widowControl w:val="0"/>
        <w:spacing w:after="240" w:line="259" w:lineRule="auto"/>
        <w:ind w:left="0"/>
        <w:jc w:val="both"/>
        <w:rPr>
          <w:rFonts w:ascii="Times New Roman" w:eastAsia="Times New Roman" w:hAnsi="Times New Roman"/>
          <w:sz w:val="24"/>
          <w:szCs w:val="24"/>
          <w:lang w:val="en-GB"/>
        </w:rPr>
      </w:pPr>
      <w:r w:rsidRPr="00462787">
        <w:rPr>
          <w:rFonts w:ascii="Times New Roman" w:eastAsia="Times New Roman" w:hAnsi="Times New Roman"/>
          <w:sz w:val="24"/>
          <w:szCs w:val="24"/>
          <w:lang w:val="en-GB"/>
        </w:rPr>
        <w:t>The EU continues to play its part as a top donor for education, a key driver of social development worldwide. The EU is committed to maintaining its education and skills investments at 13% of the EU’s budget for international partnerships which is estimated to amount to over EUR 6 billion in 2021-2027.</w:t>
      </w:r>
    </w:p>
    <w:p w14:paraId="552F314B"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t>Paragraphs 4 and 10</w:t>
      </w:r>
    </w:p>
    <w:p w14:paraId="0E82FB3E" w14:textId="7E9B35B2" w:rsidR="00CD7384" w:rsidRPr="001B57C5" w:rsidRDefault="00605330" w:rsidP="00CD7384">
      <w:pPr>
        <w:rPr>
          <w:rFonts w:ascii="Times New Roman" w:hAnsi="Times New Roman"/>
          <w:szCs w:val="24"/>
        </w:rPr>
      </w:pPr>
      <w:r w:rsidRPr="001B57C5">
        <w:rPr>
          <w:rFonts w:ascii="Times New Roman" w:hAnsi="Times New Roman"/>
        </w:rPr>
        <w:t xml:space="preserve">The recent Commission initiative - the </w:t>
      </w:r>
      <w:r w:rsidR="00CD7384" w:rsidRPr="001B57C5">
        <w:rPr>
          <w:rFonts w:ascii="Times New Roman" w:hAnsi="Times New Roman"/>
        </w:rPr>
        <w:t xml:space="preserve">Quality Jobs Roadmap </w:t>
      </w:r>
      <w:r w:rsidRPr="001B57C5">
        <w:rPr>
          <w:rFonts w:ascii="Times New Roman" w:hAnsi="Times New Roman"/>
        </w:rPr>
        <w:t xml:space="preserve">- </w:t>
      </w:r>
      <w:r w:rsidR="00CD7384" w:rsidRPr="001B57C5">
        <w:rPr>
          <w:rFonts w:ascii="Times New Roman" w:hAnsi="Times New Roman"/>
          <w:szCs w:val="24"/>
        </w:rPr>
        <w:t xml:space="preserve">will support </w:t>
      </w:r>
      <w:r w:rsidR="001408E2" w:rsidRPr="001B57C5">
        <w:rPr>
          <w:rFonts w:ascii="Times New Roman" w:hAnsi="Times New Roman"/>
          <w:szCs w:val="24"/>
        </w:rPr>
        <w:t xml:space="preserve">creating and maintaining quality jobs, </w:t>
      </w:r>
      <w:r w:rsidR="00CD7384" w:rsidRPr="001B57C5">
        <w:rPr>
          <w:rFonts w:ascii="Times New Roman" w:hAnsi="Times New Roman"/>
          <w:szCs w:val="24"/>
        </w:rPr>
        <w:t xml:space="preserve">fair wages, good </w:t>
      </w:r>
      <w:r w:rsidR="001408E2" w:rsidRPr="001B57C5">
        <w:rPr>
          <w:rFonts w:ascii="Times New Roman" w:hAnsi="Times New Roman"/>
          <w:szCs w:val="24"/>
        </w:rPr>
        <w:t xml:space="preserve">and safe </w:t>
      </w:r>
      <w:r w:rsidR="00CD7384" w:rsidRPr="001B57C5">
        <w:rPr>
          <w:rFonts w:ascii="Times New Roman" w:hAnsi="Times New Roman"/>
          <w:szCs w:val="24"/>
        </w:rPr>
        <w:t xml:space="preserve">working conditions, training and fair job transitions for workers and self-employed people. This will be followed by a legislative initiative in 2026, a Quality Jobs Act, to ensure that modern employment keeps pace with a modern economy. </w:t>
      </w:r>
    </w:p>
    <w:p w14:paraId="51ED29B4" w14:textId="6FAC90E4" w:rsidR="00CD7384" w:rsidRPr="001B57C5" w:rsidRDefault="00CD7384" w:rsidP="00CD7384">
      <w:pPr>
        <w:rPr>
          <w:rFonts w:ascii="Times New Roman" w:hAnsi="Times New Roman"/>
        </w:rPr>
      </w:pPr>
      <w:r w:rsidRPr="001B57C5">
        <w:rPr>
          <w:rFonts w:ascii="Times New Roman" w:hAnsi="Times New Roman"/>
        </w:rPr>
        <w:t>Moreover, the Fair Labour Mobility Package, also planned for 2026, will include measures to simplify, digitalise and modernise the rules and procedures on</w:t>
      </w:r>
      <w:r w:rsidR="000563A7" w:rsidRPr="001B57C5">
        <w:rPr>
          <w:rFonts w:ascii="Times New Roman" w:hAnsi="Times New Roman"/>
        </w:rPr>
        <w:t xml:space="preserve"> </w:t>
      </w:r>
      <w:r w:rsidRPr="001B57C5">
        <w:rPr>
          <w:rFonts w:ascii="Times New Roman" w:hAnsi="Times New Roman"/>
        </w:rPr>
        <w:t>social security coordination</w:t>
      </w:r>
      <w:r w:rsidR="00764BBE" w:rsidRPr="001B57C5">
        <w:rPr>
          <w:rFonts w:ascii="Times New Roman" w:hAnsi="Times New Roman"/>
        </w:rPr>
        <w:t>, labour mobility</w:t>
      </w:r>
      <w:r w:rsidR="001D1785" w:rsidRPr="001B57C5">
        <w:rPr>
          <w:rFonts w:ascii="Times New Roman" w:hAnsi="Times New Roman"/>
        </w:rPr>
        <w:t>,</w:t>
      </w:r>
      <w:r w:rsidR="00764BBE" w:rsidRPr="001B57C5">
        <w:rPr>
          <w:rFonts w:ascii="Times New Roman" w:hAnsi="Times New Roman"/>
        </w:rPr>
        <w:t xml:space="preserve"> skills portability</w:t>
      </w:r>
      <w:r w:rsidR="001D1785" w:rsidRPr="001B57C5">
        <w:rPr>
          <w:rFonts w:ascii="Times New Roman" w:hAnsi="Times New Roman"/>
        </w:rPr>
        <w:t xml:space="preserve"> and recognition of qualifications</w:t>
      </w:r>
      <w:r w:rsidRPr="001B57C5">
        <w:rPr>
          <w:rFonts w:ascii="Times New Roman" w:hAnsi="Times New Roman"/>
        </w:rPr>
        <w:t xml:space="preserve">. This </w:t>
      </w:r>
      <w:r w:rsidR="00AE7BE5" w:rsidRPr="001B57C5">
        <w:rPr>
          <w:rFonts w:ascii="Times New Roman" w:hAnsi="Times New Roman"/>
        </w:rPr>
        <w:t>will</w:t>
      </w:r>
      <w:r w:rsidRPr="001B57C5">
        <w:rPr>
          <w:rFonts w:ascii="Times New Roman" w:hAnsi="Times New Roman"/>
        </w:rPr>
        <w:t xml:space="preserve"> also result in better enforcement and further secur</w:t>
      </w:r>
      <w:r w:rsidR="001D1785" w:rsidRPr="001B57C5">
        <w:rPr>
          <w:rFonts w:ascii="Times New Roman" w:hAnsi="Times New Roman"/>
        </w:rPr>
        <w:t>ing</w:t>
      </w:r>
      <w:r w:rsidRPr="001B57C5">
        <w:rPr>
          <w:rFonts w:ascii="Times New Roman" w:hAnsi="Times New Roman"/>
        </w:rPr>
        <w:t xml:space="preserve"> workers’ rights in the context of cross-border labour mobility.</w:t>
      </w:r>
    </w:p>
    <w:p w14:paraId="1265B05E"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lastRenderedPageBreak/>
        <w:t>Paragraphs 5 and 13</w:t>
      </w:r>
    </w:p>
    <w:p w14:paraId="622BAEAF" w14:textId="02E84093" w:rsidR="00CD7384" w:rsidRPr="001B57C5" w:rsidRDefault="00CD7384" w:rsidP="00CD7384">
      <w:pPr>
        <w:widowControl w:val="0"/>
        <w:rPr>
          <w:rFonts w:ascii="Times New Roman" w:hAnsi="Times New Roman"/>
          <w:bCs/>
          <w:iCs/>
          <w:szCs w:val="24"/>
        </w:rPr>
      </w:pPr>
      <w:r w:rsidRPr="001B57C5">
        <w:rPr>
          <w:rFonts w:ascii="Times New Roman" w:hAnsi="Times New Roman"/>
        </w:rPr>
        <w:t>Currently, the ESF+, the Recovery and Resilience Facility (RRF), the European Regional Development Fund (ERDF) and Just</w:t>
      </w:r>
      <w:r w:rsidRPr="001B57C5">
        <w:rPr>
          <w:rFonts w:ascii="Times New Roman" w:hAnsi="Times New Roman"/>
          <w:color w:val="000000"/>
          <w:szCs w:val="24"/>
        </w:rPr>
        <w:t xml:space="preserve"> Transition Fund (JTF) contribute to the objective of ensuring quality jobs and ensuring fairness in the transitions by</w:t>
      </w:r>
      <w:r w:rsidRPr="001B57C5">
        <w:rPr>
          <w:rFonts w:ascii="Times New Roman" w:hAnsi="Times New Roman"/>
        </w:rPr>
        <w:t xml:space="preserve"> investing in promoting the adaptation of workers, enterprises and entrepreneurs to change, with a substantial budget allocated for skills development. The European Globalisation Adjustment Fund for Displaced Workers (EGF) and RRF also support up- and re-skilling measures, </w:t>
      </w:r>
      <w:r w:rsidR="00B65BE0" w:rsidRPr="001B57C5">
        <w:rPr>
          <w:rFonts w:ascii="Times New Roman" w:hAnsi="Times New Roman"/>
        </w:rPr>
        <w:t>including</w:t>
      </w:r>
      <w:r w:rsidRPr="001B57C5">
        <w:rPr>
          <w:rFonts w:ascii="Times New Roman" w:hAnsi="Times New Roman"/>
        </w:rPr>
        <w:t xml:space="preserve"> for workers whose employment will be affected by restructuring. In its proposals for the next Multiannual Financial Framework (MFF), the Commission has proposed that at least 14% of the financial envelope of the new National and Regional Partnership (NRP) Regulation will be dedicated to social objectives</w:t>
      </w:r>
      <w:r w:rsidR="001575C4" w:rsidRPr="001B57C5">
        <w:rPr>
          <w:rFonts w:ascii="Times New Roman" w:hAnsi="Times New Roman"/>
        </w:rPr>
        <w:t>.</w:t>
      </w:r>
      <w:r w:rsidR="00605330" w:rsidRPr="001B57C5">
        <w:rPr>
          <w:rFonts w:ascii="Times New Roman" w:hAnsi="Times New Roman"/>
        </w:rPr>
        <w:t xml:space="preserve"> </w:t>
      </w:r>
      <w:r w:rsidR="001575C4" w:rsidRPr="001B57C5">
        <w:rPr>
          <w:rFonts w:ascii="Times New Roman" w:hAnsi="Times New Roman"/>
        </w:rPr>
        <w:t>T</w:t>
      </w:r>
      <w:r w:rsidR="00605330" w:rsidRPr="001B57C5">
        <w:rPr>
          <w:rFonts w:ascii="Times New Roman" w:hAnsi="Times New Roman"/>
        </w:rPr>
        <w:t>he final amount</w:t>
      </w:r>
      <w:r w:rsidR="001575C4" w:rsidRPr="001B57C5">
        <w:rPr>
          <w:rFonts w:ascii="Times New Roman" w:hAnsi="Times New Roman"/>
        </w:rPr>
        <w:t>s</w:t>
      </w:r>
      <w:r w:rsidR="00605330" w:rsidRPr="001B57C5">
        <w:rPr>
          <w:rFonts w:ascii="Times New Roman" w:hAnsi="Times New Roman"/>
        </w:rPr>
        <w:t xml:space="preserve"> will be subject to negotiations</w:t>
      </w:r>
      <w:r w:rsidRPr="001B57C5">
        <w:rPr>
          <w:rFonts w:ascii="Times New Roman" w:hAnsi="Times New Roman"/>
        </w:rPr>
        <w:t>.</w:t>
      </w:r>
    </w:p>
    <w:p w14:paraId="40D953AE" w14:textId="36A0B1CB" w:rsidR="00CD7384" w:rsidRPr="001B57C5" w:rsidRDefault="00CD7384" w:rsidP="00CD7384">
      <w:pPr>
        <w:widowControl w:val="0"/>
        <w:rPr>
          <w:rFonts w:ascii="Times New Roman" w:hAnsi="Times New Roman"/>
          <w:bCs/>
          <w:iCs/>
          <w:szCs w:val="24"/>
        </w:rPr>
      </w:pPr>
      <w:r w:rsidRPr="001B57C5">
        <w:rPr>
          <w:rFonts w:ascii="Times New Roman" w:hAnsi="Times New Roman"/>
          <w:bCs/>
          <w:iCs/>
          <w:szCs w:val="24"/>
        </w:rPr>
        <w:t>Challenges such as the cost-of-living crisis, care burden disparities and unequal access to digital and green jobs have highlighted the need for sustained investment in gender equality. Gender mainstreaming is now embedded across major EU policies and funding programmes, including the European Social Fund</w:t>
      </w:r>
      <w:r w:rsidR="00DB0511" w:rsidRPr="001B57C5">
        <w:rPr>
          <w:rFonts w:ascii="Times New Roman" w:hAnsi="Times New Roman"/>
          <w:bCs/>
          <w:iCs/>
          <w:szCs w:val="24"/>
        </w:rPr>
        <w:t>+</w:t>
      </w:r>
      <w:r w:rsidRPr="001B57C5">
        <w:rPr>
          <w:rFonts w:ascii="Times New Roman" w:hAnsi="Times New Roman"/>
          <w:bCs/>
          <w:iCs/>
          <w:szCs w:val="24"/>
        </w:rPr>
        <w:t>, the European Regional Development Fund, the Just Transition Fund, Horizon Europe</w:t>
      </w:r>
      <w:r w:rsidR="00FC7921" w:rsidRPr="001B57C5">
        <w:rPr>
          <w:rFonts w:ascii="Times New Roman" w:hAnsi="Times New Roman"/>
          <w:bCs/>
          <w:iCs/>
          <w:szCs w:val="24"/>
        </w:rPr>
        <w:t>,</w:t>
      </w:r>
      <w:r w:rsidR="009152FC" w:rsidRPr="001B57C5">
        <w:rPr>
          <w:rFonts w:ascii="Times New Roman" w:hAnsi="Times New Roman"/>
          <w:bCs/>
          <w:iCs/>
          <w:szCs w:val="24"/>
        </w:rPr>
        <w:t xml:space="preserve"> </w:t>
      </w:r>
      <w:r w:rsidRPr="001B57C5">
        <w:rPr>
          <w:rFonts w:ascii="Times New Roman" w:hAnsi="Times New Roman"/>
          <w:bCs/>
          <w:iCs/>
          <w:szCs w:val="24"/>
        </w:rPr>
        <w:t xml:space="preserve">the </w:t>
      </w:r>
      <w:r w:rsidR="00FA37E5" w:rsidRPr="001B57C5">
        <w:rPr>
          <w:rFonts w:ascii="Times New Roman" w:hAnsi="Times New Roman"/>
          <w:bCs/>
          <w:iCs/>
          <w:szCs w:val="24"/>
        </w:rPr>
        <w:t>C</w:t>
      </w:r>
      <w:r w:rsidRPr="001B57C5">
        <w:rPr>
          <w:rFonts w:ascii="Times New Roman" w:hAnsi="Times New Roman"/>
          <w:bCs/>
          <w:iCs/>
          <w:szCs w:val="24"/>
        </w:rPr>
        <w:t xml:space="preserve">ommon </w:t>
      </w:r>
      <w:r w:rsidR="00FA37E5" w:rsidRPr="001B57C5">
        <w:rPr>
          <w:rFonts w:ascii="Times New Roman" w:hAnsi="Times New Roman"/>
          <w:bCs/>
          <w:iCs/>
          <w:szCs w:val="24"/>
        </w:rPr>
        <w:t>A</w:t>
      </w:r>
      <w:r w:rsidRPr="001B57C5">
        <w:rPr>
          <w:rFonts w:ascii="Times New Roman" w:hAnsi="Times New Roman"/>
          <w:bCs/>
          <w:iCs/>
          <w:szCs w:val="24"/>
        </w:rPr>
        <w:t xml:space="preserve">gricultural </w:t>
      </w:r>
      <w:r w:rsidR="00FA37E5" w:rsidRPr="001B57C5">
        <w:rPr>
          <w:rFonts w:ascii="Times New Roman" w:hAnsi="Times New Roman"/>
          <w:bCs/>
          <w:iCs/>
          <w:szCs w:val="24"/>
        </w:rPr>
        <w:t>P</w:t>
      </w:r>
      <w:r w:rsidRPr="001B57C5">
        <w:rPr>
          <w:rFonts w:ascii="Times New Roman" w:hAnsi="Times New Roman"/>
          <w:bCs/>
          <w:iCs/>
          <w:szCs w:val="24"/>
        </w:rPr>
        <w:t xml:space="preserve">olicy, </w:t>
      </w:r>
      <w:r w:rsidR="00FC7921" w:rsidRPr="001B57C5">
        <w:rPr>
          <w:rFonts w:ascii="Times New Roman" w:hAnsi="Times New Roman"/>
          <w:bCs/>
          <w:iCs/>
          <w:szCs w:val="24"/>
        </w:rPr>
        <w:t xml:space="preserve">and the </w:t>
      </w:r>
      <w:r w:rsidRPr="001B57C5">
        <w:rPr>
          <w:rFonts w:ascii="Times New Roman" w:hAnsi="Times New Roman"/>
          <w:bCs/>
          <w:iCs/>
          <w:szCs w:val="24"/>
        </w:rPr>
        <w:t>N</w:t>
      </w:r>
      <w:r w:rsidR="00FC7921" w:rsidRPr="001B57C5">
        <w:rPr>
          <w:rFonts w:ascii="Times New Roman" w:hAnsi="Times New Roman"/>
          <w:bCs/>
          <w:iCs/>
          <w:szCs w:val="24"/>
        </w:rPr>
        <w:t>eighbourhood Development and International Cooperation Instrument</w:t>
      </w:r>
      <w:r w:rsidRPr="001B57C5">
        <w:rPr>
          <w:rFonts w:ascii="Times New Roman" w:hAnsi="Times New Roman"/>
          <w:bCs/>
          <w:iCs/>
          <w:szCs w:val="24"/>
        </w:rPr>
        <w:t>-Global Europe.</w:t>
      </w:r>
    </w:p>
    <w:p w14:paraId="718CEBCB" w14:textId="77777777" w:rsidR="00994DDC" w:rsidRPr="001B57C5" w:rsidRDefault="00CD7384" w:rsidP="00994DDC">
      <w:pPr>
        <w:rPr>
          <w:rFonts w:ascii="Times New Roman" w:hAnsi="Times New Roman"/>
        </w:rPr>
      </w:pPr>
      <w:r w:rsidRPr="001B57C5">
        <w:rPr>
          <w:rFonts w:ascii="Times New Roman" w:hAnsi="Times New Roman"/>
        </w:rPr>
        <w:t xml:space="preserve">The Council Recommendation on ensuring fair transition towards climate neutrality (2022) gives guidance to Member States to implement fair green transition policies taking a whole-of-economy and whole-of society approach, including by fostering social dialogue, collective bargaining and improving working conditions. </w:t>
      </w:r>
      <w:r w:rsidR="00994DDC" w:rsidRPr="001B57C5">
        <w:rPr>
          <w:rFonts w:ascii="Times New Roman" w:hAnsi="Times New Roman"/>
        </w:rPr>
        <w:t>The Council Recommendation on learning for the green transition and sustainable development</w:t>
      </w:r>
      <w:r w:rsidR="00994DDC" w:rsidRPr="001B57C5">
        <w:rPr>
          <w:rStyle w:val="FootnoteReference"/>
          <w:rFonts w:ascii="Times New Roman" w:hAnsi="Times New Roman"/>
        </w:rPr>
        <w:footnoteReference w:id="2"/>
      </w:r>
      <w:r w:rsidR="00994DDC" w:rsidRPr="001B57C5">
        <w:rPr>
          <w:rFonts w:ascii="Times New Roman" w:hAnsi="Times New Roman"/>
        </w:rPr>
        <w:t xml:space="preserve"> (2022) provides a clear roadmap to make sustainability a priority in education and training and redirect them towards the deep and transformative changes needed for the green transition.</w:t>
      </w:r>
    </w:p>
    <w:p w14:paraId="62579B3F" w14:textId="2EA200DA" w:rsidR="00BC2C9A" w:rsidRPr="001B57C5" w:rsidRDefault="00BC2C9A" w:rsidP="00BC2C9A">
      <w:pPr>
        <w:widowControl w:val="0"/>
        <w:rPr>
          <w:rFonts w:ascii="Times New Roman" w:hAnsi="Times New Roman"/>
        </w:rPr>
      </w:pPr>
      <w:r w:rsidRPr="001B57C5">
        <w:rPr>
          <w:rFonts w:ascii="Times New Roman" w:hAnsi="Times New Roman"/>
        </w:rPr>
        <w:t xml:space="preserve">The Gender Equality Strategy 2020-2025 and the Roadmap for Women’s Rights, adopted by the Commission in March 2025 and endorsed by the 27 Member States, the </w:t>
      </w:r>
      <w:r w:rsidR="00BD775F" w:rsidRPr="001B57C5">
        <w:rPr>
          <w:rFonts w:ascii="Times New Roman" w:hAnsi="Times New Roman"/>
        </w:rPr>
        <w:t xml:space="preserve">Parliament </w:t>
      </w:r>
      <w:r w:rsidRPr="001B57C5">
        <w:rPr>
          <w:rFonts w:ascii="Times New Roman" w:hAnsi="Times New Roman"/>
        </w:rPr>
        <w:t>and other stakeholders in October 2025, confirm the principle of gender mainstreaming in all EU policies, next to policies to tackle gender gaps, including through the European Semester policies. The Roadmap highlights a principle for Equal pay and economic empowerment, reiterating the objective of tackling the undervaluation of jobs predominantly done by women and ensuring pay transparency. The Commission supports and monitor the timely implementation of Directive 2023/970 to strengthen the application of the principle of equal pay for equal work or work of equal value between men and women through pay transparency and enforcement mechanisms</w:t>
      </w:r>
      <w:r w:rsidRPr="001B57C5">
        <w:rPr>
          <w:color w:val="0000FF"/>
          <w:u w:val="single"/>
        </w:rPr>
        <w:t>.</w:t>
      </w:r>
    </w:p>
    <w:p w14:paraId="6C6C0776" w14:textId="0757D9F9" w:rsidR="00CD7384" w:rsidRPr="001B57C5" w:rsidRDefault="00CD7384" w:rsidP="00CD7384">
      <w:pPr>
        <w:widowControl w:val="0"/>
        <w:rPr>
          <w:rFonts w:ascii="Times New Roman" w:hAnsi="Times New Roman"/>
          <w:b/>
          <w:bCs/>
        </w:rPr>
      </w:pPr>
      <w:r w:rsidRPr="001B57C5">
        <w:rPr>
          <w:rFonts w:ascii="Times New Roman" w:hAnsi="Times New Roman"/>
          <w:b/>
          <w:bCs/>
        </w:rPr>
        <w:t>Paragraph 6</w:t>
      </w:r>
    </w:p>
    <w:p w14:paraId="6095B987" w14:textId="5779E0E2" w:rsidR="00BC2C9A" w:rsidRPr="00462787" w:rsidRDefault="00CD7384" w:rsidP="00BC2C9A">
      <w:pPr>
        <w:pStyle w:val="ListParagraph"/>
        <w:widowControl w:val="0"/>
        <w:spacing w:after="240" w:line="259" w:lineRule="auto"/>
        <w:ind w:left="0"/>
        <w:jc w:val="both"/>
        <w:rPr>
          <w:rFonts w:ascii="Times New Roman" w:eastAsia="Times New Roman" w:hAnsi="Times New Roman"/>
          <w:sz w:val="24"/>
          <w:szCs w:val="24"/>
          <w:lang w:val="en-GB" w:eastAsia="en-GB"/>
        </w:rPr>
      </w:pPr>
      <w:r w:rsidRPr="00462787">
        <w:rPr>
          <w:rFonts w:ascii="Times New Roman" w:eastAsia="Times New Roman" w:hAnsi="Times New Roman"/>
          <w:sz w:val="24"/>
          <w:szCs w:val="24"/>
          <w:lang w:val="en-GB" w:eastAsia="en-GB"/>
        </w:rPr>
        <w:t>The EU and its Member States played an active role in negotiating the Violence and Harassment Convention, 2019 (No 190) of the International Labour Organization. In March 2024, the Council of the EU adopted Council Decision 2024/2018 inviting Member States to ratify Convention No. 190.</w:t>
      </w:r>
      <w:r w:rsidR="000563A7" w:rsidRPr="00462787">
        <w:rPr>
          <w:rFonts w:ascii="Times New Roman" w:eastAsia="Times New Roman" w:hAnsi="Times New Roman"/>
          <w:sz w:val="24"/>
          <w:szCs w:val="24"/>
          <w:lang w:val="en-GB" w:eastAsia="en-GB"/>
        </w:rPr>
        <w:t xml:space="preserve"> </w:t>
      </w:r>
      <w:r w:rsidR="00BC2C9A" w:rsidRPr="00462787">
        <w:rPr>
          <w:rFonts w:ascii="Times New Roman" w:eastAsia="Times New Roman" w:hAnsi="Times New Roman"/>
          <w:sz w:val="24"/>
          <w:szCs w:val="24"/>
          <w:lang w:val="en-GB" w:eastAsia="en-GB"/>
        </w:rPr>
        <w:t xml:space="preserve">Furthermore, the Commission will monitor the implementation of the </w:t>
      </w:r>
      <w:hyperlink r:id="rId16" w:history="1">
        <w:r w:rsidR="00BC2C9A" w:rsidRPr="00462787">
          <w:rPr>
            <w:rFonts w:ascii="Times New Roman" w:eastAsia="Times New Roman" w:hAnsi="Times New Roman"/>
            <w:sz w:val="24"/>
            <w:szCs w:val="24"/>
            <w:lang w:val="en-GB" w:eastAsia="en-GB"/>
          </w:rPr>
          <w:t>Directive 2024/1385 on combating violence against women and domestic violence</w:t>
        </w:r>
      </w:hyperlink>
      <w:r w:rsidR="00BC2C9A" w:rsidRPr="00462787">
        <w:rPr>
          <w:rFonts w:ascii="Times New Roman" w:eastAsia="Times New Roman" w:hAnsi="Times New Roman"/>
          <w:sz w:val="24"/>
          <w:szCs w:val="24"/>
          <w:lang w:val="en-GB" w:eastAsia="en-GB"/>
        </w:rPr>
        <w:t xml:space="preserve">, which includes specific provisions on sexual harassment at work. </w:t>
      </w:r>
    </w:p>
    <w:p w14:paraId="7ADA0797" w14:textId="77777777" w:rsidR="00883BDA" w:rsidRPr="00462787" w:rsidRDefault="00883BDA" w:rsidP="00CD7384">
      <w:pPr>
        <w:pStyle w:val="ListParagraph"/>
        <w:widowControl w:val="0"/>
        <w:spacing w:after="240" w:line="259" w:lineRule="auto"/>
        <w:ind w:left="0"/>
        <w:jc w:val="both"/>
        <w:rPr>
          <w:rFonts w:ascii="Times New Roman" w:eastAsia="Times New Roman" w:hAnsi="Times New Roman"/>
          <w:sz w:val="24"/>
          <w:szCs w:val="24"/>
          <w:lang w:val="en-GB" w:eastAsia="en-GB"/>
        </w:rPr>
      </w:pPr>
    </w:p>
    <w:p w14:paraId="19FB669A"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lastRenderedPageBreak/>
        <w:t>Paragraph 9</w:t>
      </w:r>
    </w:p>
    <w:p w14:paraId="5C9BE587" w14:textId="7E227118" w:rsidR="00CD7384" w:rsidRPr="001B57C5" w:rsidRDefault="00CD7384" w:rsidP="00CD7384">
      <w:pPr>
        <w:widowControl w:val="0"/>
        <w:rPr>
          <w:rFonts w:ascii="Times New Roman" w:hAnsi="Times New Roman"/>
        </w:rPr>
      </w:pPr>
      <w:r w:rsidRPr="001B57C5">
        <w:rPr>
          <w:rFonts w:ascii="Times New Roman" w:hAnsi="Times New Roman"/>
        </w:rPr>
        <w:t>The Commission works closely with Child Guarantee Coordinators and supports them in their efforts to implement their national action plans. As regards financing, in the current programming period, EUR 9</w:t>
      </w:r>
      <w:r w:rsidR="00883BDA" w:rsidRPr="001B57C5">
        <w:rPr>
          <w:rFonts w:ascii="Times New Roman" w:hAnsi="Times New Roman"/>
        </w:rPr>
        <w:t>.</w:t>
      </w:r>
      <w:r w:rsidRPr="001B57C5">
        <w:rPr>
          <w:rFonts w:ascii="Times New Roman" w:hAnsi="Times New Roman"/>
        </w:rPr>
        <w:t>2 billion are programmed under Secondary Theme 6 (‘Addressing child poverty’). There is a thematic concentration of at least 5% of ESF+ resources to tackle child poverty in Member States where child poverty exceeded the EU average.</w:t>
      </w:r>
      <w:r w:rsidRPr="001B57C5">
        <w:rPr>
          <w:rStyle w:val="FootnoteReference"/>
          <w:rFonts w:ascii="Times New Roman" w:hAnsi="Times New Roman"/>
        </w:rPr>
        <w:footnoteReference w:id="3"/>
      </w:r>
      <w:r w:rsidRPr="001B57C5">
        <w:rPr>
          <w:rFonts w:ascii="Times New Roman" w:hAnsi="Times New Roman"/>
        </w:rPr>
        <w:t xml:space="preserve"> Ten Member States are using ESF+ funds in combination with national funding and/or the RRF to support the implementation of the European Child Guarantee.</w:t>
      </w:r>
      <w:r w:rsidRPr="001B57C5">
        <w:rPr>
          <w:rStyle w:val="FootnoteReference"/>
          <w:rFonts w:ascii="Times New Roman" w:hAnsi="Times New Roman"/>
        </w:rPr>
        <w:footnoteReference w:id="4"/>
      </w:r>
      <w:r w:rsidRPr="001B57C5">
        <w:rPr>
          <w:rFonts w:ascii="Times New Roman" w:hAnsi="Times New Roman"/>
        </w:rPr>
        <w:t xml:space="preserve"> </w:t>
      </w:r>
    </w:p>
    <w:p w14:paraId="63C16619" w14:textId="73901B8D" w:rsidR="00CD7384" w:rsidRPr="001B57C5" w:rsidRDefault="00CD7384" w:rsidP="00CD7384">
      <w:pPr>
        <w:widowControl w:val="0"/>
        <w:rPr>
          <w:rFonts w:ascii="Times New Roman" w:hAnsi="Times New Roman"/>
        </w:rPr>
      </w:pPr>
      <w:r w:rsidRPr="001B57C5">
        <w:rPr>
          <w:rFonts w:ascii="Times New Roman" w:hAnsi="Times New Roman"/>
        </w:rPr>
        <w:t xml:space="preserve">In 2026, the Commission will present an initiative to further strengthen the </w:t>
      </w:r>
      <w:r w:rsidR="00883BDA" w:rsidRPr="001B57C5">
        <w:rPr>
          <w:rFonts w:ascii="Times New Roman" w:hAnsi="Times New Roman"/>
        </w:rPr>
        <w:t xml:space="preserve">European </w:t>
      </w:r>
      <w:r w:rsidRPr="001B57C5">
        <w:rPr>
          <w:rFonts w:ascii="Times New Roman" w:hAnsi="Times New Roman"/>
        </w:rPr>
        <w:t>Child Guarantee</w:t>
      </w:r>
      <w:r w:rsidR="389E7D7F" w:rsidRPr="001B57C5">
        <w:rPr>
          <w:rFonts w:ascii="Times New Roman" w:hAnsi="Times New Roman"/>
        </w:rPr>
        <w:t xml:space="preserve">, complementing </w:t>
      </w:r>
      <w:r w:rsidR="008E0E79" w:rsidRPr="001B57C5">
        <w:rPr>
          <w:rFonts w:ascii="Times New Roman" w:hAnsi="Times New Roman"/>
        </w:rPr>
        <w:t>the upcoming Anti-Poverty Strategy</w:t>
      </w:r>
      <w:r w:rsidR="00120422" w:rsidRPr="001B57C5">
        <w:rPr>
          <w:rFonts w:ascii="Times New Roman" w:hAnsi="Times New Roman"/>
        </w:rPr>
        <w:t xml:space="preserve">. </w:t>
      </w:r>
    </w:p>
    <w:p w14:paraId="2EAACB21" w14:textId="77777777" w:rsidR="00994DDC" w:rsidRPr="001B57C5" w:rsidRDefault="00994DDC" w:rsidP="00994DDC">
      <w:pPr>
        <w:widowControl w:val="0"/>
        <w:rPr>
          <w:rFonts w:ascii="Times New Roman" w:hAnsi="Times New Roman"/>
          <w:b/>
          <w:bCs/>
        </w:rPr>
      </w:pPr>
      <w:r w:rsidRPr="001B57C5">
        <w:rPr>
          <w:rFonts w:ascii="Times New Roman" w:hAnsi="Times New Roman"/>
          <w:b/>
          <w:bCs/>
        </w:rPr>
        <w:t>Paragraph 11</w:t>
      </w:r>
    </w:p>
    <w:p w14:paraId="693F8E1F" w14:textId="4A91CD62" w:rsidR="00994DDC" w:rsidRPr="001B57C5" w:rsidRDefault="00994DDC" w:rsidP="00994DDC">
      <w:pPr>
        <w:widowControl w:val="0"/>
        <w:rPr>
          <w:rFonts w:ascii="Times New Roman" w:hAnsi="Times New Roman"/>
        </w:rPr>
      </w:pPr>
      <w:r w:rsidRPr="001B57C5">
        <w:rPr>
          <w:rFonts w:ascii="Times New Roman" w:hAnsi="Times New Roman"/>
        </w:rPr>
        <w:t xml:space="preserve">The European Commission welcomes the European Parliament’s call to further ensure universal access to quality, inclusive, and free public education, as well as lifelong learning opportunities leading to quality employment and decent wages. The Commission fully shares the Parliament’s ambition to make education, training, and upskilling central to a fair, competitive, and future-ready Europe. Through the recently launched </w:t>
      </w:r>
      <w:hyperlink r:id="rId17" w:history="1">
        <w:r w:rsidRPr="001B57C5">
          <w:rPr>
            <w:rStyle w:val="Hyperlink"/>
            <w:rFonts w:ascii="Times New Roman" w:hAnsi="Times New Roman"/>
          </w:rPr>
          <w:t>Union of Skills</w:t>
        </w:r>
      </w:hyperlink>
      <w:r w:rsidRPr="001B57C5">
        <w:rPr>
          <w:rStyle w:val="FootnoteReference"/>
          <w:rFonts w:ascii="Times New Roman" w:hAnsi="Times New Roman"/>
        </w:rPr>
        <w:footnoteReference w:id="5"/>
      </w:r>
      <w:r w:rsidRPr="001B57C5">
        <w:rPr>
          <w:rFonts w:ascii="Times New Roman" w:hAnsi="Times New Roman"/>
        </w:rPr>
        <w:t xml:space="preserve"> </w:t>
      </w:r>
      <w:r w:rsidR="51E3EFEC" w:rsidRPr="001B57C5">
        <w:rPr>
          <w:rFonts w:ascii="Times New Roman" w:hAnsi="Times New Roman"/>
        </w:rPr>
        <w:t>strategy</w:t>
      </w:r>
      <w:r w:rsidRPr="001B57C5">
        <w:rPr>
          <w:rFonts w:ascii="Times New Roman" w:hAnsi="Times New Roman"/>
        </w:rPr>
        <w:t xml:space="preserve">, the Commission </w:t>
      </w:r>
      <w:r w:rsidR="566C29AE" w:rsidRPr="001B57C5">
        <w:rPr>
          <w:rFonts w:ascii="Times New Roman" w:hAnsi="Times New Roman"/>
        </w:rPr>
        <w:t xml:space="preserve">aims </w:t>
      </w:r>
      <w:r w:rsidRPr="001B57C5">
        <w:rPr>
          <w:rFonts w:ascii="Times New Roman" w:hAnsi="Times New Roman"/>
        </w:rPr>
        <w:t xml:space="preserve">to empower everyone in Europe to acquire and continuously update their skills throughout life, in line with the European Pillar of Social Rights. The Union of Skills promotes education and training systems that are inclusive and adaptable, ensuring that all learners can access lifelong learning opportunities tailored to their needs and capabilities. The </w:t>
      </w:r>
      <w:hyperlink r:id="rId18" w:history="1">
        <w:r w:rsidRPr="001B57C5">
          <w:rPr>
            <w:rStyle w:val="Hyperlink"/>
            <w:rFonts w:ascii="Times New Roman" w:hAnsi="Times New Roman"/>
          </w:rPr>
          <w:t>Action Plan on Basic Skills</w:t>
        </w:r>
      </w:hyperlink>
      <w:r w:rsidRPr="001B57C5">
        <w:rPr>
          <w:rStyle w:val="FootnoteReference"/>
          <w:rFonts w:ascii="Times New Roman" w:hAnsi="Times New Roman"/>
        </w:rPr>
        <w:footnoteReference w:id="6"/>
      </w:r>
      <w:r w:rsidRPr="001B57C5">
        <w:rPr>
          <w:rFonts w:ascii="Times New Roman" w:hAnsi="Times New Roman"/>
        </w:rPr>
        <w:t xml:space="preserve"> addresses the urgent need to improve literacy, numeracy, science, digital and citizenship skills for all, through targeted, early interventions. The 2026 education package will be a direct follow-up to this action plan, with an EU Teachers and Trainers Agenda, a Basic Skills Support Scheme and the first European School Alliances. The </w:t>
      </w:r>
      <w:hyperlink r:id="rId19" w:history="1">
        <w:r w:rsidRPr="001B57C5">
          <w:rPr>
            <w:rStyle w:val="Hyperlink"/>
            <w:rFonts w:ascii="Times New Roman" w:hAnsi="Times New Roman"/>
          </w:rPr>
          <w:t>STEM Education Strategic Plan</w:t>
        </w:r>
      </w:hyperlink>
      <w:r w:rsidRPr="001B57C5">
        <w:rPr>
          <w:rStyle w:val="FootnoteReference"/>
          <w:rFonts w:ascii="Times New Roman" w:hAnsi="Times New Roman"/>
        </w:rPr>
        <w:footnoteReference w:id="7"/>
      </w:r>
      <w:r w:rsidRPr="001B57C5">
        <w:rPr>
          <w:rFonts w:ascii="Times New Roman" w:hAnsi="Times New Roman"/>
        </w:rPr>
        <w:t xml:space="preserve"> aims to strengthen Europe’s innovation capacity by improving STEM education and training across all levels, tackling teacher shortages, promoting gender equality, and building strong links between education and industry. The Commission will continue to support Individual Learning Accounts, micro-credentials, and the Pact for Skills, ensuring that upskilling and reskilling opportunities are accessible to all workers, including those in vulnerable situations. While respecting Member States’ primary competence in education and training, the Commission stands ready to work closely with national authorities, social partners, and stakeholders to promote lifelong learning as an individual right and shared responsibility. Together, these initiatives will help ensure that every person in the EU can access high-quality learning opportunities throughout life, leading to quality jobs, fair wages, and a more cohesive, innovative, and competitive Europe.</w:t>
      </w:r>
    </w:p>
    <w:p w14:paraId="0D76C92B"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t>Paragraph 12</w:t>
      </w:r>
    </w:p>
    <w:p w14:paraId="2110224E" w14:textId="2AAF5ECD" w:rsidR="00CD7384" w:rsidRPr="001B57C5" w:rsidRDefault="00CD7384" w:rsidP="00CD7384">
      <w:pPr>
        <w:widowControl w:val="0"/>
        <w:rPr>
          <w:rFonts w:ascii="Times New Roman" w:hAnsi="Times New Roman"/>
        </w:rPr>
      </w:pPr>
      <w:r w:rsidRPr="001B57C5">
        <w:rPr>
          <w:rFonts w:ascii="Times New Roman" w:hAnsi="Times New Roman"/>
        </w:rPr>
        <w:t xml:space="preserve">The </w:t>
      </w:r>
      <w:hyperlink r:id="rId20">
        <w:r w:rsidRPr="001B57C5">
          <w:rPr>
            <w:rStyle w:val="Hyperlink"/>
            <w:rFonts w:ascii="Times New Roman" w:hAnsi="Times New Roman"/>
          </w:rPr>
          <w:t>European Care Strategy</w:t>
        </w:r>
      </w:hyperlink>
      <w:r w:rsidRPr="001B57C5">
        <w:rPr>
          <w:rFonts w:ascii="Times New Roman" w:hAnsi="Times New Roman"/>
        </w:rPr>
        <w:t xml:space="preserve"> adopted by the Commission in September 2022, sets out a comprehensive framework to ensure that people who need care have access to </w:t>
      </w:r>
      <w:r w:rsidR="00035FDB" w:rsidRPr="001B57C5">
        <w:rPr>
          <w:rFonts w:ascii="Times New Roman" w:hAnsi="Times New Roman"/>
        </w:rPr>
        <w:t>high-</w:t>
      </w:r>
      <w:r w:rsidRPr="001B57C5">
        <w:rPr>
          <w:rFonts w:ascii="Times New Roman" w:hAnsi="Times New Roman"/>
        </w:rPr>
        <w:t>quality</w:t>
      </w:r>
      <w:r w:rsidR="00F43882" w:rsidRPr="001B57C5">
        <w:rPr>
          <w:rFonts w:ascii="Times New Roman" w:hAnsi="Times New Roman"/>
        </w:rPr>
        <w:t xml:space="preserve"> and</w:t>
      </w:r>
      <w:r w:rsidRPr="001B57C5">
        <w:rPr>
          <w:rFonts w:ascii="Times New Roman" w:hAnsi="Times New Roman"/>
        </w:rPr>
        <w:t xml:space="preserve"> affordable care at all life stages. It also aims to support fair working conditions </w:t>
      </w:r>
      <w:r w:rsidR="00BF6EB6" w:rsidRPr="001B57C5">
        <w:rPr>
          <w:rFonts w:ascii="Times New Roman" w:hAnsi="Times New Roman"/>
        </w:rPr>
        <w:t xml:space="preserve">and work-life balance </w:t>
      </w:r>
      <w:r w:rsidRPr="001B57C5">
        <w:rPr>
          <w:rFonts w:ascii="Times New Roman" w:hAnsi="Times New Roman"/>
        </w:rPr>
        <w:t xml:space="preserve">for care workers and recognise and reward care work in a way that reflects its high societal value and economic potential. It is accompanied by two Council </w:t>
      </w:r>
      <w:r w:rsidRPr="001B57C5">
        <w:rPr>
          <w:rFonts w:ascii="Times New Roman" w:hAnsi="Times New Roman"/>
        </w:rPr>
        <w:lastRenderedPageBreak/>
        <w:t>Recommendations, on access to affordable high-quality long-term care and on early childhood education and care. The Commission continues to support Member States in implementing their national care reforms, using the European Semester, the ESF+, and the RRF to finance service provision, workforce training, and reforms improving access to care and support for carers.</w:t>
      </w:r>
      <w:r w:rsidR="001C4025" w:rsidRPr="001B57C5">
        <w:rPr>
          <w:rFonts w:ascii="Times New Roman" w:hAnsi="Times New Roman"/>
        </w:rPr>
        <w:t xml:space="preserve"> The Commission is also working to create a more coherent framework for addressing long-term care workforce challenges, including facilitating the recognition of skills and qualifications, supporting skilling and career progression and improving working condition</w:t>
      </w:r>
      <w:r w:rsidR="03D17B09" w:rsidRPr="001B57C5">
        <w:rPr>
          <w:rFonts w:ascii="Times New Roman" w:hAnsi="Times New Roman"/>
        </w:rPr>
        <w:t>s,</w:t>
      </w:r>
    </w:p>
    <w:p w14:paraId="0300E035"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t>Paragraph 14</w:t>
      </w:r>
    </w:p>
    <w:p w14:paraId="53A60ADF" w14:textId="77777777" w:rsidR="00CD7384" w:rsidRPr="00462787" w:rsidRDefault="00CD7384" w:rsidP="00CD7384">
      <w:pPr>
        <w:widowControl w:val="0"/>
        <w:rPr>
          <w:rFonts w:ascii="Times New Roman" w:hAnsi="Times New Roman"/>
          <w:szCs w:val="24"/>
        </w:rPr>
      </w:pPr>
      <w:r w:rsidRPr="00462787">
        <w:rPr>
          <w:rFonts w:ascii="Times New Roman" w:hAnsi="Times New Roman"/>
        </w:rPr>
        <w:t xml:space="preserve">The upcoming </w:t>
      </w:r>
      <w:hyperlink r:id="rId21" w:anchor=":~:text=The%20Commission%20is%20developing%20a%20new%20integrated%20framework,prepare%20for%20the%20growing%20impacts%20of%20climate%20change." w:history="1">
        <w:r w:rsidRPr="00462787">
          <w:rPr>
            <w:rStyle w:val="Hyperlink"/>
            <w:rFonts w:ascii="Times New Roman" w:hAnsi="Times New Roman"/>
          </w:rPr>
          <w:t>European Climate Resilience and Risk Management framework</w:t>
        </w:r>
      </w:hyperlink>
      <w:r w:rsidRPr="00462787">
        <w:rPr>
          <w:rFonts w:ascii="Times New Roman" w:hAnsi="Times New Roman"/>
        </w:rPr>
        <w:t xml:space="preserve"> will help Member States to better prevent and prepare for the growing impacts of climate change and strengthen societal resilience. </w:t>
      </w:r>
    </w:p>
    <w:p w14:paraId="23FC0101" w14:textId="7BD1F9B0" w:rsidR="00CD7384" w:rsidRPr="00462787" w:rsidRDefault="00CD7384" w:rsidP="00CD7384">
      <w:pPr>
        <w:widowControl w:val="0"/>
        <w:rPr>
          <w:rFonts w:ascii="Times New Roman" w:hAnsi="Times New Roman"/>
        </w:rPr>
      </w:pPr>
      <w:r w:rsidRPr="00462787">
        <w:rPr>
          <w:rFonts w:ascii="Times New Roman" w:hAnsi="Times New Roman"/>
          <w:szCs w:val="24"/>
        </w:rPr>
        <w:t>I</w:t>
      </w:r>
      <w:r w:rsidRPr="00462787">
        <w:rPr>
          <w:rFonts w:ascii="Times New Roman" w:hAnsi="Times New Roman"/>
        </w:rPr>
        <w:t xml:space="preserve">n the field of occupational safety and health (OSH), Framework Directive 89/391/EEC </w:t>
      </w:r>
      <w:r w:rsidR="00C067EF" w:rsidRPr="001B57C5">
        <w:rPr>
          <w:rFonts w:ascii="Times New Roman" w:hAnsi="Times New Roman"/>
        </w:rPr>
        <w:t>establish</w:t>
      </w:r>
      <w:r w:rsidR="001C4025" w:rsidRPr="001B57C5">
        <w:rPr>
          <w:rFonts w:ascii="Times New Roman" w:hAnsi="Times New Roman"/>
        </w:rPr>
        <w:t>es</w:t>
      </w:r>
      <w:r w:rsidR="00C067EF" w:rsidRPr="001B57C5">
        <w:rPr>
          <w:rFonts w:ascii="Times New Roman" w:hAnsi="Times New Roman"/>
        </w:rPr>
        <w:t xml:space="preserve"> a number of obligations on </w:t>
      </w:r>
      <w:r w:rsidRPr="00462787">
        <w:rPr>
          <w:rFonts w:ascii="Times New Roman" w:hAnsi="Times New Roman"/>
        </w:rPr>
        <w:t>employers</w:t>
      </w:r>
      <w:r w:rsidR="00C067EF" w:rsidRPr="00462787">
        <w:rPr>
          <w:rFonts w:ascii="Times New Roman" w:hAnsi="Times New Roman"/>
        </w:rPr>
        <w:t xml:space="preserve">, </w:t>
      </w:r>
      <w:r w:rsidR="00F2531B" w:rsidRPr="00462787">
        <w:rPr>
          <w:rFonts w:ascii="Times New Roman" w:hAnsi="Times New Roman"/>
        </w:rPr>
        <w:t>which</w:t>
      </w:r>
      <w:r w:rsidR="00C067EF" w:rsidRPr="00462787">
        <w:rPr>
          <w:rFonts w:ascii="Times New Roman" w:hAnsi="Times New Roman"/>
        </w:rPr>
        <w:t xml:space="preserve"> </w:t>
      </w:r>
      <w:r w:rsidRPr="00462787">
        <w:rPr>
          <w:rFonts w:ascii="Times New Roman" w:hAnsi="Times New Roman"/>
        </w:rPr>
        <w:t xml:space="preserve">apply to all risks, including those arising from climate change, such as heat stress and other extreme weather conditions. Also, promoting effective application and enforcement is essential. In this respect, the </w:t>
      </w:r>
      <w:hyperlink r:id="rId22" w:history="1">
        <w:r w:rsidRPr="00462787">
          <w:rPr>
            <w:rStyle w:val="Hyperlink"/>
            <w:rFonts w:ascii="Times New Roman" w:hAnsi="Times New Roman"/>
          </w:rPr>
          <w:t>EU-OSHA guide “Heat at work – Guidance for workplaces</w:t>
        </w:r>
      </w:hyperlink>
      <w:r w:rsidRPr="00462787">
        <w:rPr>
          <w:rFonts w:ascii="Times New Roman" w:hAnsi="Times New Roman"/>
        </w:rPr>
        <w:t>”</w:t>
      </w:r>
      <w:r w:rsidRPr="00462787">
        <w:rPr>
          <w:rFonts w:ascii="Times New Roman" w:hAnsi="Times New Roman"/>
          <w:vertAlign w:val="superscript"/>
        </w:rPr>
        <w:t xml:space="preserve"> </w:t>
      </w:r>
      <w:r w:rsidRPr="00462787">
        <w:rPr>
          <w:rFonts w:ascii="Times New Roman" w:hAnsi="Times New Roman"/>
        </w:rPr>
        <w:t>can be of particular relevance for employers and workers</w:t>
      </w:r>
      <w:r w:rsidR="00883BDA" w:rsidRPr="00462787">
        <w:rPr>
          <w:rFonts w:ascii="Times New Roman" w:hAnsi="Times New Roman"/>
        </w:rPr>
        <w:t>.</w:t>
      </w:r>
    </w:p>
    <w:p w14:paraId="15BF54BD" w14:textId="77777777" w:rsidR="00CD7384" w:rsidRPr="001B57C5" w:rsidRDefault="00CD7384" w:rsidP="00CD7384">
      <w:pPr>
        <w:widowControl w:val="0"/>
        <w:rPr>
          <w:rFonts w:ascii="Times New Roman" w:hAnsi="Times New Roman"/>
          <w:b/>
          <w:iCs/>
          <w:szCs w:val="24"/>
        </w:rPr>
      </w:pPr>
      <w:r w:rsidRPr="001B57C5">
        <w:rPr>
          <w:rFonts w:ascii="Times New Roman" w:hAnsi="Times New Roman"/>
          <w:b/>
          <w:iCs/>
          <w:szCs w:val="24"/>
        </w:rPr>
        <w:t>Paragraph 17</w:t>
      </w:r>
    </w:p>
    <w:p w14:paraId="6822942D" w14:textId="0047F20F" w:rsidR="00CD7384" w:rsidRPr="001B57C5" w:rsidRDefault="00CD7384" w:rsidP="00CD7384">
      <w:pPr>
        <w:widowControl w:val="0"/>
        <w:rPr>
          <w:rFonts w:ascii="Times New Roman" w:hAnsi="Times New Roman"/>
        </w:rPr>
      </w:pPr>
      <w:r w:rsidRPr="001B57C5">
        <w:rPr>
          <w:rFonts w:ascii="Times New Roman" w:hAnsi="Times New Roman"/>
        </w:rPr>
        <w:t xml:space="preserve">The European Commission recognises the social economy as a key driver </w:t>
      </w:r>
      <w:r w:rsidR="00D50373" w:rsidRPr="001B57C5">
        <w:rPr>
          <w:rFonts w:ascii="Times New Roman" w:hAnsi="Times New Roman"/>
        </w:rPr>
        <w:t xml:space="preserve">for the implementation of </w:t>
      </w:r>
      <w:r w:rsidRPr="001B57C5">
        <w:rPr>
          <w:rFonts w:ascii="Times New Roman" w:hAnsi="Times New Roman"/>
        </w:rPr>
        <w:t xml:space="preserve">the EPSR </w:t>
      </w:r>
      <w:r w:rsidR="00D50373" w:rsidRPr="001B57C5">
        <w:rPr>
          <w:rFonts w:ascii="Times New Roman" w:hAnsi="Times New Roman"/>
        </w:rPr>
        <w:t>principles</w:t>
      </w:r>
      <w:r w:rsidRPr="001B57C5">
        <w:rPr>
          <w:rFonts w:ascii="Times New Roman" w:hAnsi="Times New Roman"/>
        </w:rPr>
        <w:t xml:space="preserve"> and </w:t>
      </w:r>
      <w:r w:rsidR="00D50373" w:rsidRPr="001B57C5">
        <w:rPr>
          <w:rFonts w:ascii="Times New Roman" w:hAnsi="Times New Roman"/>
        </w:rPr>
        <w:t>targets</w:t>
      </w:r>
      <w:r w:rsidRPr="001B57C5">
        <w:rPr>
          <w:rFonts w:ascii="Times New Roman" w:hAnsi="Times New Roman"/>
        </w:rPr>
        <w:t xml:space="preserve">, supporting inclusive labour markets and social innovation. </w:t>
      </w:r>
      <w:r w:rsidR="001575C4" w:rsidRPr="001B57C5">
        <w:rPr>
          <w:rFonts w:ascii="Times New Roman" w:hAnsi="Times New Roman"/>
        </w:rPr>
        <w:t xml:space="preserve">The Social Economy Action Plan adopted in 2021 aims to help mobilize the full potential of the social economy in the EU. </w:t>
      </w:r>
      <w:r w:rsidR="00CD28F9" w:rsidRPr="001B57C5">
        <w:rPr>
          <w:rFonts w:ascii="Times New Roman" w:hAnsi="Times New Roman"/>
        </w:rPr>
        <w:t xml:space="preserve">The Plan provides a comprehensive framework to support social economy: cooperatives, mutual societies, associations, foundations and social enterprises to start, scale up, innovate, and create jobs. </w:t>
      </w:r>
      <w:r w:rsidRPr="001B57C5">
        <w:rPr>
          <w:rFonts w:ascii="Times New Roman" w:hAnsi="Times New Roman"/>
        </w:rPr>
        <w:t xml:space="preserve">To strengthen the enabling environment for social economy actors, the Commission proposed a </w:t>
      </w:r>
      <w:hyperlink r:id="rId23" w:anchor=":~:text=As%20part%20of%20the%20implementation%20of%20the%202021,social%20economy%20framework%20conditions%20on%2013%20June%202023." w:history="1">
        <w:r w:rsidRPr="001B57C5">
          <w:rPr>
            <w:rStyle w:val="Hyperlink"/>
            <w:rFonts w:ascii="Times New Roman" w:hAnsi="Times New Roman"/>
          </w:rPr>
          <w:t>Council Recommendation on developing social economy framework conditions</w:t>
        </w:r>
      </w:hyperlink>
      <w:r w:rsidRPr="001B57C5">
        <w:rPr>
          <w:rFonts w:ascii="Times New Roman" w:hAnsi="Times New Roman"/>
        </w:rPr>
        <w:t xml:space="preserve"> in 2023, which was then adopted (2023/C 395/01).</w:t>
      </w:r>
      <w:r w:rsidRPr="001B57C5">
        <w:rPr>
          <w:rFonts w:ascii="Times New Roman" w:hAnsi="Times New Roman"/>
          <w:b/>
          <w:bCs/>
        </w:rPr>
        <w:t xml:space="preserve"> </w:t>
      </w:r>
      <w:r w:rsidRPr="001B57C5">
        <w:rPr>
          <w:rFonts w:ascii="Times New Roman" w:hAnsi="Times New Roman"/>
        </w:rPr>
        <w:t>The Recommendation specifically encourages Member States to create frameworks for cooperation between public authorities and social economy organisations, improve visibility and access to finance, and integrate the social economy in national strategies.</w:t>
      </w:r>
    </w:p>
    <w:p w14:paraId="119B610F" w14:textId="6160D0FC" w:rsidR="00CD7384" w:rsidRPr="001B57C5" w:rsidRDefault="00CD7384" w:rsidP="00CD7384">
      <w:pPr>
        <w:widowControl w:val="0"/>
        <w:rPr>
          <w:rFonts w:ascii="Times New Roman" w:hAnsi="Times New Roman"/>
        </w:rPr>
      </w:pPr>
      <w:r w:rsidRPr="001B57C5">
        <w:rPr>
          <w:rFonts w:ascii="Times New Roman" w:hAnsi="Times New Roman"/>
        </w:rPr>
        <w:t xml:space="preserve">In support of public authorities and social economy organisations, the </w:t>
      </w:r>
      <w:hyperlink r:id="rId24" w:history="1">
        <w:r w:rsidRPr="001B57C5">
          <w:rPr>
            <w:rStyle w:val="Hyperlink"/>
            <w:rFonts w:ascii="Times New Roman" w:hAnsi="Times New Roman"/>
          </w:rPr>
          <w:t>European Competence Centre for Social Innovation</w:t>
        </w:r>
      </w:hyperlink>
      <w:r w:rsidRPr="001B57C5">
        <w:rPr>
          <w:rFonts w:ascii="Times New Roman" w:hAnsi="Times New Roman"/>
        </w:rPr>
        <w:t>, supported by the ESF</w:t>
      </w:r>
      <w:r w:rsidR="0069121C" w:rsidRPr="001B57C5">
        <w:rPr>
          <w:rFonts w:ascii="Times New Roman" w:hAnsi="Times New Roman"/>
        </w:rPr>
        <w:t xml:space="preserve"> helps the social economy by funding projects to scale up innovative solutions, providing tools and methods for social innovation, facilitating mutual learning and networking and offering access to information and resources.</w:t>
      </w:r>
    </w:p>
    <w:p w14:paraId="7D17CE7D" w14:textId="77777777" w:rsidR="00E55794" w:rsidRPr="00462787" w:rsidRDefault="00E55794" w:rsidP="00E55794">
      <w:pPr>
        <w:rPr>
          <w:rFonts w:ascii="Times New Roman" w:hAnsi="Times New Roman"/>
          <w:b/>
          <w:bCs/>
        </w:rPr>
      </w:pPr>
      <w:r w:rsidRPr="00462787">
        <w:rPr>
          <w:rFonts w:ascii="Times New Roman" w:hAnsi="Times New Roman"/>
          <w:b/>
          <w:bCs/>
        </w:rPr>
        <w:t>Paragraph 18</w:t>
      </w:r>
    </w:p>
    <w:p w14:paraId="15598687" w14:textId="5B556F8D" w:rsidR="00E55794" w:rsidRPr="00462787" w:rsidRDefault="00E55794" w:rsidP="00E55794">
      <w:pPr>
        <w:rPr>
          <w:rFonts w:ascii="Times New Roman" w:hAnsi="Times New Roman"/>
        </w:rPr>
      </w:pPr>
      <w:r w:rsidRPr="00462787">
        <w:rPr>
          <w:rFonts w:ascii="Times New Roman" w:hAnsi="Times New Roman"/>
        </w:rPr>
        <w:t>The Commission additionally highlights the importance of a conducive environment for sustainable and decent employment creation by the private sector with a view to boost economic growth to alleviate poverty</w:t>
      </w:r>
      <w:r w:rsidR="00091A11" w:rsidRPr="00462787">
        <w:rPr>
          <w:rFonts w:ascii="Times New Roman" w:hAnsi="Times New Roman"/>
        </w:rPr>
        <w:t>.</w:t>
      </w:r>
    </w:p>
    <w:p w14:paraId="268A98ED" w14:textId="77777777" w:rsidR="00E55794" w:rsidRPr="00462787" w:rsidRDefault="00E55794" w:rsidP="00E55794">
      <w:pPr>
        <w:rPr>
          <w:rFonts w:ascii="Times New Roman" w:hAnsi="Times New Roman"/>
          <w:b/>
          <w:bCs/>
        </w:rPr>
      </w:pPr>
      <w:r w:rsidRPr="00462787">
        <w:rPr>
          <w:rFonts w:ascii="Times New Roman" w:hAnsi="Times New Roman"/>
          <w:b/>
          <w:bCs/>
        </w:rPr>
        <w:t>Paragraph 21</w:t>
      </w:r>
    </w:p>
    <w:p w14:paraId="2E197233" w14:textId="543938B9" w:rsidR="00E55794" w:rsidRPr="001B57C5" w:rsidRDefault="00E55794" w:rsidP="00E55794">
      <w:pPr>
        <w:rPr>
          <w:rFonts w:ascii="Times New Roman" w:hAnsi="Times New Roman"/>
        </w:rPr>
      </w:pPr>
      <w:r w:rsidRPr="001B57C5">
        <w:rPr>
          <w:rFonts w:ascii="Times New Roman" w:hAnsi="Times New Roman"/>
        </w:rPr>
        <w:t xml:space="preserve">The European Commission recognises that a multilateral instrument has the potential to enhance global protection against business-related human rights abuses. For this to happen, it should build on the consensual framework provided by the UN Guiding Principles on </w:t>
      </w:r>
      <w:r w:rsidRPr="001B57C5">
        <w:rPr>
          <w:rFonts w:ascii="Times New Roman" w:hAnsi="Times New Roman"/>
        </w:rPr>
        <w:lastRenderedPageBreak/>
        <w:t xml:space="preserve">business and human rights, adopted unanimously by UN members and supported by both business and civil society. It should also be legally sound, effectively implementable, and ideally supported by all UN members, or at least a number of them across all regions, to enhance the protection of victims and create a global level playing field for all companies. The EU has contributed to the </w:t>
      </w:r>
      <w:r w:rsidR="001C4025" w:rsidRPr="001B57C5">
        <w:rPr>
          <w:rFonts w:ascii="Times New Roman" w:hAnsi="Times New Roman"/>
        </w:rPr>
        <w:t xml:space="preserve">legally binding instrument </w:t>
      </w:r>
      <w:r w:rsidR="001C4025" w:rsidRPr="00462787">
        <w:rPr>
          <w:rFonts w:ascii="Times New Roman" w:hAnsi="Times New Roman"/>
        </w:rPr>
        <w:t>(</w:t>
      </w:r>
      <w:r w:rsidRPr="001B57C5">
        <w:rPr>
          <w:rFonts w:ascii="Times New Roman" w:hAnsi="Times New Roman"/>
        </w:rPr>
        <w:t>LBI</w:t>
      </w:r>
      <w:r w:rsidR="001C4025" w:rsidRPr="001B57C5">
        <w:rPr>
          <w:rFonts w:ascii="Times New Roman" w:hAnsi="Times New Roman"/>
        </w:rPr>
        <w:t>)</w:t>
      </w:r>
      <w:r w:rsidRPr="001B57C5">
        <w:rPr>
          <w:rFonts w:ascii="Times New Roman" w:hAnsi="Times New Roman"/>
        </w:rPr>
        <w:t xml:space="preserve"> process in a constructive manner, notably by sharing information on the evolving EU policy and legislative framework. The EU legislation on corporate sustainability due diligence, currently undergoing revision, and the fight against forced labour notably provide an important basis for strengthened EU engagement. While the European Union does not have a formal negotiating mandate at this stage, the EU will continue contributing to the LBI process in a constructive manner.</w:t>
      </w:r>
    </w:p>
    <w:p w14:paraId="213EC78D" w14:textId="77777777" w:rsidR="00E55794" w:rsidRPr="001B57C5" w:rsidRDefault="00E55794" w:rsidP="00E55794">
      <w:pPr>
        <w:rPr>
          <w:rFonts w:ascii="Times New Roman" w:hAnsi="Times New Roman"/>
          <w:b/>
          <w:bCs/>
        </w:rPr>
      </w:pPr>
      <w:r w:rsidRPr="001B57C5">
        <w:rPr>
          <w:rFonts w:ascii="Times New Roman" w:hAnsi="Times New Roman"/>
          <w:b/>
          <w:bCs/>
        </w:rPr>
        <w:t>Paragraph 22</w:t>
      </w:r>
    </w:p>
    <w:p w14:paraId="433A18D1" w14:textId="04713A9C" w:rsidR="00404208" w:rsidRPr="001B57C5" w:rsidRDefault="00E55794" w:rsidP="00E55794">
      <w:pPr>
        <w:rPr>
          <w:rFonts w:ascii="Times New Roman" w:hAnsi="Times New Roman"/>
        </w:rPr>
      </w:pPr>
      <w:r w:rsidRPr="001B57C5">
        <w:rPr>
          <w:rFonts w:ascii="Times New Roman" w:hAnsi="Times New Roman"/>
        </w:rPr>
        <w:t>The European Commission sees the creation of decent jobs for all - including for women and youth - as the most effective path towards an inclusive economy, an economy that works for people.</w:t>
      </w:r>
      <w:r w:rsidR="00091A11" w:rsidRPr="001B57C5">
        <w:rPr>
          <w:rFonts w:ascii="Times New Roman" w:hAnsi="Times New Roman"/>
        </w:rPr>
        <w:t xml:space="preserve"> </w:t>
      </w:r>
      <w:r w:rsidRPr="001B57C5">
        <w:rPr>
          <w:rFonts w:ascii="Times New Roman" w:hAnsi="Times New Roman"/>
        </w:rPr>
        <w:t>Employment creation and decent jobs in the formal sector is a powerful tool to eradicate poverty, support sustainable livelihoods and inclusive growth. As part of the Global Gateway strategy, the Commission partners with the private sector to invest in high-quality infrastructure in partner countries, helping to creat</w:t>
      </w:r>
      <w:r w:rsidR="00091A11" w:rsidRPr="001B57C5">
        <w:rPr>
          <w:rFonts w:ascii="Times New Roman" w:hAnsi="Times New Roman"/>
        </w:rPr>
        <w:t>e</w:t>
      </w:r>
      <w:r w:rsidRPr="001B57C5">
        <w:rPr>
          <w:rFonts w:ascii="Times New Roman" w:hAnsi="Times New Roman"/>
        </w:rPr>
        <w:t xml:space="preserve"> jobs, directly and indirectly. Some sectors are however marked by high levels of informality, and investments can be supported by a 360-degree approach that helps countries develop more inclusive legislation, easier processes and incentives for informal workers to register their businesses and to contribute to social security programmes.</w:t>
      </w:r>
    </w:p>
    <w:sectPr w:rsidR="00404208" w:rsidRPr="001B57C5" w:rsidSect="000A07D2">
      <w:footerReference w:type="even" r:id="rId25"/>
      <w:footerReference w:type="default" r:id="rId26"/>
      <w:footerReference w:type="first" r:id="rId27"/>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FB5C0" w14:textId="77777777" w:rsidR="00F96435" w:rsidRDefault="00F96435">
      <w:r>
        <w:separator/>
      </w:r>
    </w:p>
  </w:endnote>
  <w:endnote w:type="continuationSeparator" w:id="0">
    <w:p w14:paraId="0CECCD07" w14:textId="77777777" w:rsidR="00F96435" w:rsidRDefault="00F96435">
      <w:r>
        <w:continuationSeparator/>
      </w:r>
    </w:p>
  </w:endnote>
  <w:endnote w:type="continuationNotice" w:id="1">
    <w:p w14:paraId="67FD0D87" w14:textId="77777777" w:rsidR="00F96435" w:rsidRDefault="00F964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font>
  <w:font w:name="EC Square Sans Cond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1241"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DFA29C5"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1E8F"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E5F">
      <w:rPr>
        <w:rStyle w:val="PageNumber"/>
        <w:noProof/>
      </w:rPr>
      <w:t>3</w:t>
    </w:r>
    <w:r>
      <w:rPr>
        <w:rStyle w:val="PageNumber"/>
      </w:rPr>
      <w:fldChar w:fldCharType="end"/>
    </w:r>
  </w:p>
  <w:p w14:paraId="13721D28"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CEBF"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6B0F" w14:textId="77777777" w:rsidR="00F96435" w:rsidRDefault="00F96435">
      <w:r>
        <w:separator/>
      </w:r>
    </w:p>
  </w:footnote>
  <w:footnote w:type="continuationSeparator" w:id="0">
    <w:p w14:paraId="1157EAB8" w14:textId="77777777" w:rsidR="00F96435" w:rsidRDefault="00F96435">
      <w:r>
        <w:continuationSeparator/>
      </w:r>
    </w:p>
  </w:footnote>
  <w:footnote w:type="continuationNotice" w:id="1">
    <w:p w14:paraId="0EF2C2F2" w14:textId="77777777" w:rsidR="00F96435" w:rsidRDefault="00F96435">
      <w:pPr>
        <w:spacing w:after="0"/>
      </w:pPr>
    </w:p>
  </w:footnote>
  <w:footnote w:id="2">
    <w:p w14:paraId="6EE62183" w14:textId="77777777" w:rsidR="00994DDC" w:rsidRPr="000563A7" w:rsidRDefault="00994DDC" w:rsidP="00994DDC">
      <w:pPr>
        <w:pStyle w:val="FootnoteText"/>
        <w:rPr>
          <w:rFonts w:ascii="Times New Roman" w:hAnsi="Times New Roman"/>
        </w:rPr>
      </w:pPr>
      <w:r w:rsidRPr="000563A7">
        <w:rPr>
          <w:rStyle w:val="FootnoteReference"/>
          <w:rFonts w:ascii="Times New Roman" w:hAnsi="Times New Roman"/>
        </w:rPr>
        <w:footnoteRef/>
      </w:r>
      <w:r w:rsidRPr="000563A7">
        <w:rPr>
          <w:rFonts w:ascii="Times New Roman" w:hAnsi="Times New Roman"/>
        </w:rPr>
        <w:t xml:space="preserve"> OJ C 243, 27.6.2022, pp. 1–9</w:t>
      </w:r>
    </w:p>
  </w:footnote>
  <w:footnote w:id="3">
    <w:p w14:paraId="10E746B5" w14:textId="77777777" w:rsidR="00CD7384" w:rsidRPr="00EA021E" w:rsidRDefault="00CD7384" w:rsidP="00091A11">
      <w:pPr>
        <w:pStyle w:val="FootnoteText"/>
        <w:spacing w:after="0"/>
        <w:rPr>
          <w:rFonts w:ascii="Times New Roman" w:hAnsi="Times New Roman"/>
          <w:lang w:val="en-IE"/>
        </w:rPr>
      </w:pPr>
      <w:r w:rsidRPr="00091A11">
        <w:rPr>
          <w:rStyle w:val="FootnoteReference"/>
          <w:rFonts w:ascii="Times New Roman" w:hAnsi="Times New Roman"/>
        </w:rPr>
        <w:footnoteRef/>
      </w:r>
      <w:r w:rsidRPr="00EA021E">
        <w:rPr>
          <w:rFonts w:ascii="Times New Roman" w:hAnsi="Times New Roman"/>
        </w:rPr>
        <w:t xml:space="preserve"> </w:t>
      </w:r>
      <w:r w:rsidRPr="00994DDC">
        <w:rPr>
          <w:rFonts w:ascii="Times New Roman" w:hAnsi="Times New Roman"/>
          <w:szCs w:val="16"/>
        </w:rPr>
        <w:t>Member States concerned by this requirement: BG, CY, EL, ES, HR, HU, IE, IT, LT, LU and RO.</w:t>
      </w:r>
    </w:p>
  </w:footnote>
  <w:footnote w:id="4">
    <w:p w14:paraId="13904175" w14:textId="77777777" w:rsidR="00CD7384" w:rsidRPr="00994DDC" w:rsidRDefault="00CD7384" w:rsidP="00091A11">
      <w:pPr>
        <w:pStyle w:val="FootnoteText"/>
        <w:spacing w:after="0"/>
        <w:rPr>
          <w:rFonts w:ascii="Times New Roman" w:hAnsi="Times New Roman"/>
          <w:szCs w:val="16"/>
        </w:rPr>
      </w:pPr>
      <w:r w:rsidRPr="00EA021E">
        <w:rPr>
          <w:rStyle w:val="FootnoteReference"/>
          <w:rFonts w:ascii="Times New Roman" w:hAnsi="Times New Roman"/>
        </w:rPr>
        <w:footnoteRef/>
      </w:r>
      <w:r w:rsidRPr="00EA021E">
        <w:rPr>
          <w:rFonts w:ascii="Times New Roman" w:hAnsi="Times New Roman"/>
        </w:rPr>
        <w:t xml:space="preserve"> </w:t>
      </w:r>
      <w:r w:rsidRPr="00994DDC">
        <w:rPr>
          <w:rFonts w:ascii="Times New Roman" w:hAnsi="Times New Roman"/>
          <w:szCs w:val="16"/>
        </w:rPr>
        <w:t>BE, BG, CY, ES, GR, HR, HU, IT, PT and RO.</w:t>
      </w:r>
    </w:p>
  </w:footnote>
  <w:footnote w:id="5">
    <w:p w14:paraId="0E7D4485" w14:textId="77777777" w:rsidR="00994DDC" w:rsidRPr="003C0708" w:rsidRDefault="00994DDC" w:rsidP="00091A11">
      <w:pPr>
        <w:pStyle w:val="FootnoteText"/>
        <w:spacing w:after="0"/>
        <w:rPr>
          <w:rFonts w:ascii="Times New Roman" w:hAnsi="Times New Roman"/>
          <w:lang w:val="pt-PT"/>
        </w:rPr>
      </w:pPr>
      <w:r w:rsidRPr="00EA021E">
        <w:rPr>
          <w:rStyle w:val="FootnoteReference"/>
          <w:rFonts w:ascii="Times New Roman" w:hAnsi="Times New Roman"/>
        </w:rPr>
        <w:footnoteRef/>
      </w:r>
      <w:r w:rsidRPr="003C0708">
        <w:rPr>
          <w:rFonts w:ascii="Times New Roman" w:hAnsi="Times New Roman"/>
          <w:lang w:val="pt-PT"/>
        </w:rPr>
        <w:t xml:space="preserve"> COM/2025/90 final</w:t>
      </w:r>
    </w:p>
  </w:footnote>
  <w:footnote w:id="6">
    <w:p w14:paraId="76BA5AA9" w14:textId="77777777" w:rsidR="00994DDC" w:rsidRPr="003C0708" w:rsidRDefault="00994DDC" w:rsidP="00091A11">
      <w:pPr>
        <w:pStyle w:val="FootnoteText"/>
        <w:spacing w:after="0"/>
        <w:rPr>
          <w:rFonts w:ascii="Times New Roman" w:hAnsi="Times New Roman"/>
          <w:lang w:val="pt-PT"/>
        </w:rPr>
      </w:pPr>
      <w:r w:rsidRPr="00EA021E">
        <w:rPr>
          <w:rStyle w:val="FootnoteReference"/>
          <w:rFonts w:ascii="Times New Roman" w:hAnsi="Times New Roman"/>
        </w:rPr>
        <w:footnoteRef/>
      </w:r>
      <w:r w:rsidRPr="003C0708">
        <w:rPr>
          <w:rFonts w:ascii="Times New Roman" w:hAnsi="Times New Roman"/>
          <w:lang w:val="pt-PT"/>
        </w:rPr>
        <w:t xml:space="preserve"> COM/2025/88 final</w:t>
      </w:r>
    </w:p>
  </w:footnote>
  <w:footnote w:id="7">
    <w:p w14:paraId="6634F602" w14:textId="77777777" w:rsidR="00994DDC" w:rsidRPr="003C0708" w:rsidRDefault="00994DDC" w:rsidP="00091A11">
      <w:pPr>
        <w:pStyle w:val="FootnoteText"/>
        <w:spacing w:after="0"/>
        <w:rPr>
          <w:lang w:val="pt-PT"/>
        </w:rPr>
      </w:pPr>
      <w:r w:rsidRPr="00EA021E">
        <w:rPr>
          <w:rStyle w:val="FootnoteReference"/>
          <w:rFonts w:ascii="Times New Roman" w:hAnsi="Times New Roman"/>
        </w:rPr>
        <w:footnoteRef/>
      </w:r>
      <w:r w:rsidRPr="003C0708">
        <w:rPr>
          <w:rFonts w:ascii="Times New Roman" w:hAnsi="Times New Roman"/>
          <w:lang w:val="pt-PT"/>
        </w:rPr>
        <w:t xml:space="preserve"> COM/2025/89 final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126FB"/>
    <w:multiLevelType w:val="hybridMultilevel"/>
    <w:tmpl w:val="F2E6154C"/>
    <w:lvl w:ilvl="0" w:tplc="D7ECFE7E">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B1C8E"/>
    <w:multiLevelType w:val="hybridMultilevel"/>
    <w:tmpl w:val="58F077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1F72C4"/>
    <w:multiLevelType w:val="hybridMultilevel"/>
    <w:tmpl w:val="C6CAC59A"/>
    <w:lvl w:ilvl="0" w:tplc="1809000F">
      <w:start w:val="1"/>
      <w:numFmt w:val="decimal"/>
      <w:lvlText w:val="%1."/>
      <w:lvlJc w:val="left"/>
      <w:pPr>
        <w:ind w:left="360" w:hanging="360"/>
      </w:pPr>
      <w:rPr>
        <w:rFonts w:hint="default"/>
        <w:i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3" w15:restartNumberingAfterBreak="0">
    <w:nsid w:val="1AB963DF"/>
    <w:multiLevelType w:val="hybridMultilevel"/>
    <w:tmpl w:val="6CA431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5"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7"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4673B7"/>
    <w:multiLevelType w:val="hybridMultilevel"/>
    <w:tmpl w:val="F066FA68"/>
    <w:lvl w:ilvl="0" w:tplc="61FA3544">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E4C4DAA"/>
    <w:multiLevelType w:val="hybridMultilevel"/>
    <w:tmpl w:val="147ACEF0"/>
    <w:lvl w:ilvl="0" w:tplc="309E7F10">
      <w:start w:val="4"/>
      <w:numFmt w:val="decimal"/>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E6B03EB"/>
    <w:multiLevelType w:val="hybridMultilevel"/>
    <w:tmpl w:val="60D0A172"/>
    <w:lvl w:ilvl="0" w:tplc="98DA5104">
      <w:start w:val="2"/>
      <w:numFmt w:val="decimal"/>
      <w:lvlText w:val="%1."/>
      <w:lvlJc w:val="left"/>
      <w:pPr>
        <w:ind w:left="1429" w:hanging="360"/>
      </w:pPr>
      <w:rPr>
        <w:rFonts w:hint="default"/>
        <w:b/>
        <w:color w:val="000000"/>
      </w:r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21"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63D62CD"/>
    <w:multiLevelType w:val="hybridMultilevel"/>
    <w:tmpl w:val="3D508786"/>
    <w:lvl w:ilvl="0" w:tplc="C5ACCCA0">
      <w:start w:val="1"/>
      <w:numFmt w:val="bullet"/>
      <w:lvlText w:val=""/>
      <w:lvlJc w:val="left"/>
      <w:pPr>
        <w:ind w:left="720" w:hanging="360"/>
      </w:pPr>
      <w:rPr>
        <w:rFonts w:ascii="Symbol" w:hAnsi="Symbol" w:hint="default"/>
      </w:rPr>
    </w:lvl>
    <w:lvl w:ilvl="1" w:tplc="A1BE9636">
      <w:start w:val="1"/>
      <w:numFmt w:val="bullet"/>
      <w:lvlText w:val="o"/>
      <w:lvlJc w:val="left"/>
      <w:pPr>
        <w:ind w:left="1440" w:hanging="360"/>
      </w:pPr>
      <w:rPr>
        <w:rFonts w:ascii="&quot;Courier New&quot;" w:hAnsi="&quot;Courier New&quot;" w:hint="default"/>
      </w:rPr>
    </w:lvl>
    <w:lvl w:ilvl="2" w:tplc="0D70D22E">
      <w:start w:val="1"/>
      <w:numFmt w:val="bullet"/>
      <w:lvlText w:val=""/>
      <w:lvlJc w:val="left"/>
      <w:pPr>
        <w:ind w:left="2160" w:hanging="360"/>
      </w:pPr>
      <w:rPr>
        <w:rFonts w:ascii="Wingdings" w:hAnsi="Wingdings" w:hint="default"/>
      </w:rPr>
    </w:lvl>
    <w:lvl w:ilvl="3" w:tplc="B70278B2">
      <w:start w:val="1"/>
      <w:numFmt w:val="bullet"/>
      <w:lvlText w:val=""/>
      <w:lvlJc w:val="left"/>
      <w:pPr>
        <w:ind w:left="2880" w:hanging="360"/>
      </w:pPr>
      <w:rPr>
        <w:rFonts w:ascii="Symbol" w:hAnsi="Symbol" w:hint="default"/>
      </w:rPr>
    </w:lvl>
    <w:lvl w:ilvl="4" w:tplc="A33482C6">
      <w:start w:val="1"/>
      <w:numFmt w:val="bullet"/>
      <w:lvlText w:val="o"/>
      <w:lvlJc w:val="left"/>
      <w:pPr>
        <w:ind w:left="3600" w:hanging="360"/>
      </w:pPr>
      <w:rPr>
        <w:rFonts w:ascii="Courier New" w:hAnsi="Courier New" w:hint="default"/>
      </w:rPr>
    </w:lvl>
    <w:lvl w:ilvl="5" w:tplc="59B2712E">
      <w:start w:val="1"/>
      <w:numFmt w:val="bullet"/>
      <w:lvlText w:val=""/>
      <w:lvlJc w:val="left"/>
      <w:pPr>
        <w:ind w:left="4320" w:hanging="360"/>
      </w:pPr>
      <w:rPr>
        <w:rFonts w:ascii="Wingdings" w:hAnsi="Wingdings" w:hint="default"/>
      </w:rPr>
    </w:lvl>
    <w:lvl w:ilvl="6" w:tplc="9460C316">
      <w:start w:val="1"/>
      <w:numFmt w:val="bullet"/>
      <w:lvlText w:val=""/>
      <w:lvlJc w:val="left"/>
      <w:pPr>
        <w:ind w:left="5040" w:hanging="360"/>
      </w:pPr>
      <w:rPr>
        <w:rFonts w:ascii="Symbol" w:hAnsi="Symbol" w:hint="default"/>
      </w:rPr>
    </w:lvl>
    <w:lvl w:ilvl="7" w:tplc="A69080D8">
      <w:start w:val="1"/>
      <w:numFmt w:val="bullet"/>
      <w:lvlText w:val="o"/>
      <w:lvlJc w:val="left"/>
      <w:pPr>
        <w:ind w:left="5760" w:hanging="360"/>
      </w:pPr>
      <w:rPr>
        <w:rFonts w:ascii="Courier New" w:hAnsi="Courier New" w:hint="default"/>
      </w:rPr>
    </w:lvl>
    <w:lvl w:ilvl="8" w:tplc="6E4020A4">
      <w:start w:val="1"/>
      <w:numFmt w:val="bullet"/>
      <w:lvlText w:val=""/>
      <w:lvlJc w:val="left"/>
      <w:pPr>
        <w:ind w:left="6480" w:hanging="360"/>
      </w:pPr>
      <w:rPr>
        <w:rFonts w:ascii="Wingdings" w:hAnsi="Wingdings" w:hint="default"/>
      </w:rPr>
    </w:lvl>
  </w:abstractNum>
  <w:abstractNum w:abstractNumId="23" w15:restartNumberingAfterBreak="0">
    <w:nsid w:val="36615FEF"/>
    <w:multiLevelType w:val="singleLevel"/>
    <w:tmpl w:val="62805BAA"/>
    <w:lvl w:ilvl="0">
      <w:numFmt w:val="none"/>
      <w:pStyle w:val="ListDash2"/>
      <w:lvlText w:val=""/>
      <w:lvlJc w:val="left"/>
      <w:pPr>
        <w:tabs>
          <w:tab w:val="num" w:pos="360"/>
        </w:tabs>
      </w:pPr>
    </w:lvl>
  </w:abstractNum>
  <w:abstractNum w:abstractNumId="24"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FDFF6B"/>
    <w:multiLevelType w:val="hybridMultilevel"/>
    <w:tmpl w:val="FFFFFFFF"/>
    <w:lvl w:ilvl="0" w:tplc="7F0C5004">
      <w:start w:val="1"/>
      <w:numFmt w:val="bullet"/>
      <w:lvlText w:val="-"/>
      <w:lvlJc w:val="left"/>
      <w:pPr>
        <w:ind w:left="720" w:hanging="360"/>
      </w:pPr>
      <w:rPr>
        <w:rFonts w:ascii="Aptos" w:hAnsi="Aptos" w:hint="default"/>
      </w:rPr>
    </w:lvl>
    <w:lvl w:ilvl="1" w:tplc="193C615A">
      <w:start w:val="1"/>
      <w:numFmt w:val="bullet"/>
      <w:lvlText w:val="o"/>
      <w:lvlJc w:val="left"/>
      <w:pPr>
        <w:ind w:left="1440" w:hanging="360"/>
      </w:pPr>
      <w:rPr>
        <w:rFonts w:ascii="Courier New" w:hAnsi="Courier New" w:hint="default"/>
      </w:rPr>
    </w:lvl>
    <w:lvl w:ilvl="2" w:tplc="491E5F72">
      <w:start w:val="1"/>
      <w:numFmt w:val="bullet"/>
      <w:lvlText w:val=""/>
      <w:lvlJc w:val="left"/>
      <w:pPr>
        <w:ind w:left="2160" w:hanging="360"/>
      </w:pPr>
      <w:rPr>
        <w:rFonts w:ascii="Wingdings" w:hAnsi="Wingdings" w:hint="default"/>
      </w:rPr>
    </w:lvl>
    <w:lvl w:ilvl="3" w:tplc="3564A1B0">
      <w:start w:val="1"/>
      <w:numFmt w:val="bullet"/>
      <w:lvlText w:val=""/>
      <w:lvlJc w:val="left"/>
      <w:pPr>
        <w:ind w:left="2880" w:hanging="360"/>
      </w:pPr>
      <w:rPr>
        <w:rFonts w:ascii="Symbol" w:hAnsi="Symbol" w:hint="default"/>
      </w:rPr>
    </w:lvl>
    <w:lvl w:ilvl="4" w:tplc="7612EE48">
      <w:start w:val="1"/>
      <w:numFmt w:val="bullet"/>
      <w:lvlText w:val="o"/>
      <w:lvlJc w:val="left"/>
      <w:pPr>
        <w:ind w:left="3600" w:hanging="360"/>
      </w:pPr>
      <w:rPr>
        <w:rFonts w:ascii="Courier New" w:hAnsi="Courier New" w:hint="default"/>
      </w:rPr>
    </w:lvl>
    <w:lvl w:ilvl="5" w:tplc="E014E48A">
      <w:start w:val="1"/>
      <w:numFmt w:val="bullet"/>
      <w:lvlText w:val=""/>
      <w:lvlJc w:val="left"/>
      <w:pPr>
        <w:ind w:left="4320" w:hanging="360"/>
      </w:pPr>
      <w:rPr>
        <w:rFonts w:ascii="Wingdings" w:hAnsi="Wingdings" w:hint="default"/>
      </w:rPr>
    </w:lvl>
    <w:lvl w:ilvl="6" w:tplc="1FDCC138">
      <w:start w:val="1"/>
      <w:numFmt w:val="bullet"/>
      <w:lvlText w:val=""/>
      <w:lvlJc w:val="left"/>
      <w:pPr>
        <w:ind w:left="5040" w:hanging="360"/>
      </w:pPr>
      <w:rPr>
        <w:rFonts w:ascii="Symbol" w:hAnsi="Symbol" w:hint="default"/>
      </w:rPr>
    </w:lvl>
    <w:lvl w:ilvl="7" w:tplc="3A6A4384">
      <w:start w:val="1"/>
      <w:numFmt w:val="bullet"/>
      <w:lvlText w:val="o"/>
      <w:lvlJc w:val="left"/>
      <w:pPr>
        <w:ind w:left="5760" w:hanging="360"/>
      </w:pPr>
      <w:rPr>
        <w:rFonts w:ascii="Courier New" w:hAnsi="Courier New" w:hint="default"/>
      </w:rPr>
    </w:lvl>
    <w:lvl w:ilvl="8" w:tplc="A8D4503C">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86" w:hanging="360"/>
      </w:pPr>
      <w:rPr>
        <w:rFonts w:ascii="Courier New" w:hAnsi="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8" w15:restartNumberingAfterBreak="0">
    <w:nsid w:val="4CBD309A"/>
    <w:multiLevelType w:val="hybridMultilevel"/>
    <w:tmpl w:val="996AE1D4"/>
    <w:lvl w:ilvl="0" w:tplc="551464BA">
      <w:start w:val="4"/>
      <w:numFmt w:val="decimal"/>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0080D3D"/>
    <w:multiLevelType w:val="hybridMultilevel"/>
    <w:tmpl w:val="A21E0116"/>
    <w:lvl w:ilvl="0" w:tplc="1809000F">
      <w:start w:val="1"/>
      <w:numFmt w:val="decimal"/>
      <w:lvlText w:val="%1."/>
      <w:lvlJc w:val="left"/>
      <w:pPr>
        <w:ind w:left="72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31"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2"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4" w15:restartNumberingAfterBreak="0">
    <w:nsid w:val="5C6B40CF"/>
    <w:multiLevelType w:val="hybridMultilevel"/>
    <w:tmpl w:val="DEE82B82"/>
    <w:lvl w:ilvl="0" w:tplc="8E723A7A">
      <w:start w:val="4"/>
      <w:numFmt w:val="decimal"/>
      <w:lvlText w:val="%1."/>
      <w:lvlJc w:val="left"/>
      <w:pPr>
        <w:ind w:left="360" w:hanging="360"/>
      </w:pPr>
      <w:rPr>
        <w:rFonts w:hint="default"/>
        <w:b/>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7C9682F"/>
    <w:multiLevelType w:val="hybridMultilevel"/>
    <w:tmpl w:val="38F80A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8C23AC0"/>
    <w:multiLevelType w:val="hybridMultilevel"/>
    <w:tmpl w:val="E0F82AFC"/>
    <w:lvl w:ilvl="0" w:tplc="1809000F">
      <w:start w:val="1"/>
      <w:numFmt w:val="decimal"/>
      <w:lvlText w:val="%1."/>
      <w:lvlJc w:val="left"/>
      <w:pPr>
        <w:ind w:left="72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41" w15:restartNumberingAfterBreak="0">
    <w:nsid w:val="700C529F"/>
    <w:multiLevelType w:val="hybridMultilevel"/>
    <w:tmpl w:val="D89EB46E"/>
    <w:lvl w:ilvl="0" w:tplc="D7ECFE7E">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7"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8"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abstractNum w:abstractNumId="49" w15:restartNumberingAfterBreak="0">
    <w:nsid w:val="7ECD4340"/>
    <w:multiLevelType w:val="hybridMultilevel"/>
    <w:tmpl w:val="4EB4E98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123697138">
    <w:abstractNumId w:val="22"/>
  </w:num>
  <w:num w:numId="2" w16cid:durableId="834609195">
    <w:abstractNumId w:val="8"/>
  </w:num>
  <w:num w:numId="3" w16cid:durableId="171652927">
    <w:abstractNumId w:val="1"/>
  </w:num>
  <w:num w:numId="4" w16cid:durableId="569727697">
    <w:abstractNumId w:val="47"/>
  </w:num>
  <w:num w:numId="5" w16cid:durableId="761143288">
    <w:abstractNumId w:val="16"/>
  </w:num>
  <w:num w:numId="6" w16cid:durableId="11272722">
    <w:abstractNumId w:val="40"/>
  </w:num>
  <w:num w:numId="7" w16cid:durableId="782770010">
    <w:abstractNumId w:val="14"/>
  </w:num>
  <w:num w:numId="8" w16cid:durableId="1582178939">
    <w:abstractNumId w:val="7"/>
  </w:num>
  <w:num w:numId="9" w16cid:durableId="588390446">
    <w:abstractNumId w:val="23"/>
  </w:num>
  <w:num w:numId="10" w16cid:durableId="540169940">
    <w:abstractNumId w:val="46"/>
  </w:num>
  <w:num w:numId="11" w16cid:durableId="926959529">
    <w:abstractNumId w:val="33"/>
  </w:num>
  <w:num w:numId="12" w16cid:durableId="163055828">
    <w:abstractNumId w:val="36"/>
  </w:num>
  <w:num w:numId="13" w16cid:durableId="818498099">
    <w:abstractNumId w:val="15"/>
  </w:num>
  <w:num w:numId="14" w16cid:durableId="1476601677">
    <w:abstractNumId w:val="24"/>
  </w:num>
  <w:num w:numId="15" w16cid:durableId="346908523">
    <w:abstractNumId w:val="42"/>
  </w:num>
  <w:num w:numId="16" w16cid:durableId="1867909918">
    <w:abstractNumId w:val="21"/>
  </w:num>
  <w:num w:numId="17" w16cid:durableId="887691365">
    <w:abstractNumId w:val="48"/>
  </w:num>
  <w:num w:numId="18" w16cid:durableId="109052002">
    <w:abstractNumId w:val="45"/>
  </w:num>
  <w:num w:numId="19" w16cid:durableId="932930344">
    <w:abstractNumId w:val="31"/>
  </w:num>
  <w:num w:numId="20" w16cid:durableId="1815296700">
    <w:abstractNumId w:val="32"/>
  </w:num>
  <w:num w:numId="21" w16cid:durableId="1673946011">
    <w:abstractNumId w:val="39"/>
  </w:num>
  <w:num w:numId="22" w16cid:durableId="1719279227">
    <w:abstractNumId w:val="4"/>
  </w:num>
  <w:num w:numId="23" w16cid:durableId="895117912">
    <w:abstractNumId w:val="5"/>
  </w:num>
  <w:num w:numId="24" w16cid:durableId="942031350">
    <w:abstractNumId w:val="30"/>
  </w:num>
  <w:num w:numId="25" w16cid:durableId="586352541">
    <w:abstractNumId w:val="43"/>
  </w:num>
  <w:num w:numId="26" w16cid:durableId="76560440">
    <w:abstractNumId w:val="12"/>
  </w:num>
  <w:num w:numId="27" w16cid:durableId="709111737">
    <w:abstractNumId w:val="44"/>
  </w:num>
  <w:num w:numId="28" w16cid:durableId="487749275">
    <w:abstractNumId w:val="11"/>
  </w:num>
  <w:num w:numId="29" w16cid:durableId="266236028">
    <w:abstractNumId w:val="2"/>
  </w:num>
  <w:num w:numId="30" w16cid:durableId="905267234">
    <w:abstractNumId w:val="17"/>
  </w:num>
  <w:num w:numId="31" w16cid:durableId="1995910076">
    <w:abstractNumId w:val="35"/>
  </w:num>
  <w:num w:numId="32" w16cid:durableId="2021733199">
    <w:abstractNumId w:val="47"/>
  </w:num>
  <w:num w:numId="33" w16cid:durableId="493381111">
    <w:abstractNumId w:val="26"/>
  </w:num>
  <w:num w:numId="34" w16cid:durableId="1322079617">
    <w:abstractNumId w:val="27"/>
  </w:num>
  <w:num w:numId="35" w16cid:durableId="1073310378">
    <w:abstractNumId w:val="20"/>
  </w:num>
  <w:num w:numId="36" w16cid:durableId="1613707061">
    <w:abstractNumId w:val="28"/>
  </w:num>
  <w:num w:numId="37" w16cid:durableId="1648826052">
    <w:abstractNumId w:val="19"/>
  </w:num>
  <w:num w:numId="38" w16cid:durableId="696925055">
    <w:abstractNumId w:val="34"/>
  </w:num>
  <w:num w:numId="39" w16cid:durableId="144276394">
    <w:abstractNumId w:val="38"/>
  </w:num>
  <w:num w:numId="40" w16cid:durableId="1351446753">
    <w:abstractNumId w:val="18"/>
  </w:num>
  <w:num w:numId="41" w16cid:durableId="603344259">
    <w:abstractNumId w:val="3"/>
  </w:num>
  <w:num w:numId="42" w16cid:durableId="1209757766">
    <w:abstractNumId w:val="41"/>
  </w:num>
  <w:num w:numId="43" w16cid:durableId="917444528">
    <w:abstractNumId w:val="37"/>
  </w:num>
  <w:num w:numId="44" w16cid:durableId="890507528">
    <w:abstractNumId w:val="13"/>
  </w:num>
  <w:num w:numId="45" w16cid:durableId="2133092032">
    <w:abstractNumId w:val="6"/>
  </w:num>
  <w:num w:numId="46" w16cid:durableId="1003238141">
    <w:abstractNumId w:val="29"/>
  </w:num>
  <w:num w:numId="47" w16cid:durableId="237054143">
    <w:abstractNumId w:val="10"/>
  </w:num>
  <w:num w:numId="48" w16cid:durableId="1687977345">
    <w:abstractNumId w:val="25"/>
  </w:num>
  <w:num w:numId="49" w16cid:durableId="2115785696">
    <w:abstractNumId w:val="4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TEL"/>
  </w:docVars>
  <w:rsids>
    <w:rsidRoot w:val="009A3DA0"/>
    <w:rsid w:val="00000080"/>
    <w:rsid w:val="000001DC"/>
    <w:rsid w:val="000001EF"/>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44"/>
    <w:rsid w:val="000048D8"/>
    <w:rsid w:val="00004C3F"/>
    <w:rsid w:val="0000525F"/>
    <w:rsid w:val="000054A7"/>
    <w:rsid w:val="00005541"/>
    <w:rsid w:val="000056D4"/>
    <w:rsid w:val="000058C9"/>
    <w:rsid w:val="00005961"/>
    <w:rsid w:val="00005D46"/>
    <w:rsid w:val="00005DE3"/>
    <w:rsid w:val="0000613E"/>
    <w:rsid w:val="00006304"/>
    <w:rsid w:val="00006595"/>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0EEF"/>
    <w:rsid w:val="0001109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8CE"/>
    <w:rsid w:val="00016A8D"/>
    <w:rsid w:val="00016C72"/>
    <w:rsid w:val="000170C1"/>
    <w:rsid w:val="000171BC"/>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DE9"/>
    <w:rsid w:val="00021EF0"/>
    <w:rsid w:val="00021FA4"/>
    <w:rsid w:val="0002207D"/>
    <w:rsid w:val="0002216F"/>
    <w:rsid w:val="000221F2"/>
    <w:rsid w:val="00022538"/>
    <w:rsid w:val="00022669"/>
    <w:rsid w:val="00022775"/>
    <w:rsid w:val="00022776"/>
    <w:rsid w:val="00022903"/>
    <w:rsid w:val="00022B33"/>
    <w:rsid w:val="00022CC6"/>
    <w:rsid w:val="00022E91"/>
    <w:rsid w:val="00022FAA"/>
    <w:rsid w:val="0002308A"/>
    <w:rsid w:val="00023162"/>
    <w:rsid w:val="000232A5"/>
    <w:rsid w:val="00023424"/>
    <w:rsid w:val="00023451"/>
    <w:rsid w:val="00023626"/>
    <w:rsid w:val="00023658"/>
    <w:rsid w:val="00023AC8"/>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10"/>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274D8"/>
    <w:rsid w:val="00030058"/>
    <w:rsid w:val="0003009E"/>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460"/>
    <w:rsid w:val="000326E6"/>
    <w:rsid w:val="00032766"/>
    <w:rsid w:val="000328B1"/>
    <w:rsid w:val="00032DC3"/>
    <w:rsid w:val="00032E4F"/>
    <w:rsid w:val="00032EDB"/>
    <w:rsid w:val="000332FE"/>
    <w:rsid w:val="000337C2"/>
    <w:rsid w:val="00033EA1"/>
    <w:rsid w:val="00033F57"/>
    <w:rsid w:val="000340CA"/>
    <w:rsid w:val="000341DE"/>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B"/>
    <w:rsid w:val="00035FDE"/>
    <w:rsid w:val="00036009"/>
    <w:rsid w:val="00036106"/>
    <w:rsid w:val="00036177"/>
    <w:rsid w:val="0003633B"/>
    <w:rsid w:val="00036C5B"/>
    <w:rsid w:val="00037004"/>
    <w:rsid w:val="00037224"/>
    <w:rsid w:val="000372EF"/>
    <w:rsid w:val="0003737B"/>
    <w:rsid w:val="0003745C"/>
    <w:rsid w:val="0003758E"/>
    <w:rsid w:val="000375BA"/>
    <w:rsid w:val="00037990"/>
    <w:rsid w:val="00037BDD"/>
    <w:rsid w:val="0004004A"/>
    <w:rsid w:val="00040060"/>
    <w:rsid w:val="000400CC"/>
    <w:rsid w:val="00040281"/>
    <w:rsid w:val="0004046D"/>
    <w:rsid w:val="000407AA"/>
    <w:rsid w:val="00040A13"/>
    <w:rsid w:val="00040C7A"/>
    <w:rsid w:val="00040E6E"/>
    <w:rsid w:val="0004105D"/>
    <w:rsid w:val="00041310"/>
    <w:rsid w:val="0004139B"/>
    <w:rsid w:val="0004146E"/>
    <w:rsid w:val="000414BC"/>
    <w:rsid w:val="0004189C"/>
    <w:rsid w:val="0004193F"/>
    <w:rsid w:val="0004195A"/>
    <w:rsid w:val="00041A87"/>
    <w:rsid w:val="00041DA3"/>
    <w:rsid w:val="00041F1F"/>
    <w:rsid w:val="0004209B"/>
    <w:rsid w:val="000420DB"/>
    <w:rsid w:val="000421A1"/>
    <w:rsid w:val="00042508"/>
    <w:rsid w:val="000425CD"/>
    <w:rsid w:val="00042A8B"/>
    <w:rsid w:val="00042F4E"/>
    <w:rsid w:val="00043302"/>
    <w:rsid w:val="000434BD"/>
    <w:rsid w:val="000436A8"/>
    <w:rsid w:val="00043B7B"/>
    <w:rsid w:val="00043E36"/>
    <w:rsid w:val="000443C3"/>
    <w:rsid w:val="0004455F"/>
    <w:rsid w:val="00044806"/>
    <w:rsid w:val="00044A42"/>
    <w:rsid w:val="00044AB8"/>
    <w:rsid w:val="0004512A"/>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6C4"/>
    <w:rsid w:val="0005373A"/>
    <w:rsid w:val="00053766"/>
    <w:rsid w:val="00053B4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3A7"/>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64F"/>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3E8"/>
    <w:rsid w:val="00067567"/>
    <w:rsid w:val="00067C33"/>
    <w:rsid w:val="00067FB5"/>
    <w:rsid w:val="000703CB"/>
    <w:rsid w:val="000703FE"/>
    <w:rsid w:val="000705DD"/>
    <w:rsid w:val="00070633"/>
    <w:rsid w:val="000706D4"/>
    <w:rsid w:val="00070FC9"/>
    <w:rsid w:val="000713EE"/>
    <w:rsid w:val="00071470"/>
    <w:rsid w:val="00071695"/>
    <w:rsid w:val="000717D6"/>
    <w:rsid w:val="00071956"/>
    <w:rsid w:val="00071BD3"/>
    <w:rsid w:val="00071DDA"/>
    <w:rsid w:val="00071E87"/>
    <w:rsid w:val="00071FC6"/>
    <w:rsid w:val="00072134"/>
    <w:rsid w:val="00072583"/>
    <w:rsid w:val="000729E8"/>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6"/>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34E"/>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75E"/>
    <w:rsid w:val="00084B71"/>
    <w:rsid w:val="00084D1E"/>
    <w:rsid w:val="00084DFB"/>
    <w:rsid w:val="00084FBF"/>
    <w:rsid w:val="0008526A"/>
    <w:rsid w:val="000853EB"/>
    <w:rsid w:val="00085484"/>
    <w:rsid w:val="000855D2"/>
    <w:rsid w:val="00085847"/>
    <w:rsid w:val="00085BE8"/>
    <w:rsid w:val="00085E04"/>
    <w:rsid w:val="0008608A"/>
    <w:rsid w:val="000863ED"/>
    <w:rsid w:val="00086911"/>
    <w:rsid w:val="00086C30"/>
    <w:rsid w:val="00086D5D"/>
    <w:rsid w:val="00086DA6"/>
    <w:rsid w:val="000875DD"/>
    <w:rsid w:val="00087C2A"/>
    <w:rsid w:val="00087CC3"/>
    <w:rsid w:val="00087E0A"/>
    <w:rsid w:val="00090055"/>
    <w:rsid w:val="000901F1"/>
    <w:rsid w:val="0009096A"/>
    <w:rsid w:val="00090B6B"/>
    <w:rsid w:val="00090D4B"/>
    <w:rsid w:val="00090EA4"/>
    <w:rsid w:val="000910D7"/>
    <w:rsid w:val="00091408"/>
    <w:rsid w:val="0009166A"/>
    <w:rsid w:val="000918B2"/>
    <w:rsid w:val="00091A11"/>
    <w:rsid w:val="00091CE2"/>
    <w:rsid w:val="0009205D"/>
    <w:rsid w:val="000920E3"/>
    <w:rsid w:val="0009233D"/>
    <w:rsid w:val="00092442"/>
    <w:rsid w:val="0009257A"/>
    <w:rsid w:val="00092B44"/>
    <w:rsid w:val="00092C2D"/>
    <w:rsid w:val="00092EB9"/>
    <w:rsid w:val="00093309"/>
    <w:rsid w:val="0009343D"/>
    <w:rsid w:val="00093617"/>
    <w:rsid w:val="0009383E"/>
    <w:rsid w:val="00093E98"/>
    <w:rsid w:val="00093FDF"/>
    <w:rsid w:val="00094051"/>
    <w:rsid w:val="000942B9"/>
    <w:rsid w:val="00094353"/>
    <w:rsid w:val="000945D6"/>
    <w:rsid w:val="00094600"/>
    <w:rsid w:val="00094AC0"/>
    <w:rsid w:val="00094B2F"/>
    <w:rsid w:val="00094D50"/>
    <w:rsid w:val="0009571A"/>
    <w:rsid w:val="000957A2"/>
    <w:rsid w:val="00095892"/>
    <w:rsid w:val="00095A1A"/>
    <w:rsid w:val="00095A8C"/>
    <w:rsid w:val="00095C0B"/>
    <w:rsid w:val="00095C79"/>
    <w:rsid w:val="00095E37"/>
    <w:rsid w:val="00096343"/>
    <w:rsid w:val="00096552"/>
    <w:rsid w:val="00096607"/>
    <w:rsid w:val="00096700"/>
    <w:rsid w:val="0009691F"/>
    <w:rsid w:val="00096925"/>
    <w:rsid w:val="0009694F"/>
    <w:rsid w:val="00096B06"/>
    <w:rsid w:val="00096D57"/>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105"/>
    <w:rsid w:val="000A1418"/>
    <w:rsid w:val="000A1760"/>
    <w:rsid w:val="000A19A2"/>
    <w:rsid w:val="000A1BDC"/>
    <w:rsid w:val="000A1CD5"/>
    <w:rsid w:val="000A1E0A"/>
    <w:rsid w:val="000A1E8A"/>
    <w:rsid w:val="000A21FC"/>
    <w:rsid w:val="000A227F"/>
    <w:rsid w:val="000A22C0"/>
    <w:rsid w:val="000A2388"/>
    <w:rsid w:val="000A24B2"/>
    <w:rsid w:val="000A2AC3"/>
    <w:rsid w:val="000A2CC3"/>
    <w:rsid w:val="000A2CC6"/>
    <w:rsid w:val="000A2E68"/>
    <w:rsid w:val="000A30BD"/>
    <w:rsid w:val="000A3320"/>
    <w:rsid w:val="000A34FC"/>
    <w:rsid w:val="000A3563"/>
    <w:rsid w:val="000A37F6"/>
    <w:rsid w:val="000A3825"/>
    <w:rsid w:val="000A3935"/>
    <w:rsid w:val="000A3E2D"/>
    <w:rsid w:val="000A44D4"/>
    <w:rsid w:val="000A4524"/>
    <w:rsid w:val="000A452B"/>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83E"/>
    <w:rsid w:val="000A6855"/>
    <w:rsid w:val="000A6858"/>
    <w:rsid w:val="000A6ADD"/>
    <w:rsid w:val="000A6ECC"/>
    <w:rsid w:val="000A716D"/>
    <w:rsid w:val="000A7267"/>
    <w:rsid w:val="000A7721"/>
    <w:rsid w:val="000A77D0"/>
    <w:rsid w:val="000A7823"/>
    <w:rsid w:val="000A79F0"/>
    <w:rsid w:val="000A7A88"/>
    <w:rsid w:val="000A7A8B"/>
    <w:rsid w:val="000A7C1F"/>
    <w:rsid w:val="000A7F9D"/>
    <w:rsid w:val="000B01AF"/>
    <w:rsid w:val="000B0467"/>
    <w:rsid w:val="000B055C"/>
    <w:rsid w:val="000B0711"/>
    <w:rsid w:val="000B09D0"/>
    <w:rsid w:val="000B0F74"/>
    <w:rsid w:val="000B110B"/>
    <w:rsid w:val="000B1471"/>
    <w:rsid w:val="000B16FC"/>
    <w:rsid w:val="000B1845"/>
    <w:rsid w:val="000B1B92"/>
    <w:rsid w:val="000B1CA5"/>
    <w:rsid w:val="000B21EE"/>
    <w:rsid w:val="000B250E"/>
    <w:rsid w:val="000B25E8"/>
    <w:rsid w:val="000B281C"/>
    <w:rsid w:val="000B29E5"/>
    <w:rsid w:val="000B2A6D"/>
    <w:rsid w:val="000B2C0D"/>
    <w:rsid w:val="000B2C17"/>
    <w:rsid w:val="000B2CE1"/>
    <w:rsid w:val="000B2ECA"/>
    <w:rsid w:val="000B2FAD"/>
    <w:rsid w:val="000B307A"/>
    <w:rsid w:val="000B30CD"/>
    <w:rsid w:val="000B3373"/>
    <w:rsid w:val="000B3447"/>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DC3"/>
    <w:rsid w:val="000B4EBD"/>
    <w:rsid w:val="000B4FEA"/>
    <w:rsid w:val="000B54AE"/>
    <w:rsid w:val="000B58B6"/>
    <w:rsid w:val="000B595A"/>
    <w:rsid w:val="000B5A27"/>
    <w:rsid w:val="000B5C5B"/>
    <w:rsid w:val="000B5FF0"/>
    <w:rsid w:val="000B607D"/>
    <w:rsid w:val="000B6139"/>
    <w:rsid w:val="000B61F1"/>
    <w:rsid w:val="000B641A"/>
    <w:rsid w:val="000B64EA"/>
    <w:rsid w:val="000B66DF"/>
    <w:rsid w:val="000B67EE"/>
    <w:rsid w:val="000B6A5E"/>
    <w:rsid w:val="000B6EA8"/>
    <w:rsid w:val="000B70BC"/>
    <w:rsid w:val="000B739A"/>
    <w:rsid w:val="000B73B7"/>
    <w:rsid w:val="000B7631"/>
    <w:rsid w:val="000B776B"/>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D38"/>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A3F"/>
    <w:rsid w:val="000C4BEC"/>
    <w:rsid w:val="000C4CD3"/>
    <w:rsid w:val="000C52B2"/>
    <w:rsid w:val="000C53D3"/>
    <w:rsid w:val="000C53D4"/>
    <w:rsid w:val="000C5518"/>
    <w:rsid w:val="000C5720"/>
    <w:rsid w:val="000C5898"/>
    <w:rsid w:val="000C60C0"/>
    <w:rsid w:val="000C61AB"/>
    <w:rsid w:val="000C628E"/>
    <w:rsid w:val="000C6577"/>
    <w:rsid w:val="000C6610"/>
    <w:rsid w:val="000C6902"/>
    <w:rsid w:val="000C69CA"/>
    <w:rsid w:val="000C71A3"/>
    <w:rsid w:val="000C728E"/>
    <w:rsid w:val="000C755B"/>
    <w:rsid w:val="000C7646"/>
    <w:rsid w:val="000C7708"/>
    <w:rsid w:val="000C78DA"/>
    <w:rsid w:val="000C7914"/>
    <w:rsid w:val="000C7A75"/>
    <w:rsid w:val="000C7BE4"/>
    <w:rsid w:val="000C7E7C"/>
    <w:rsid w:val="000D02D7"/>
    <w:rsid w:val="000D0536"/>
    <w:rsid w:val="000D057B"/>
    <w:rsid w:val="000D0723"/>
    <w:rsid w:val="000D082B"/>
    <w:rsid w:val="000D0939"/>
    <w:rsid w:val="000D0AEE"/>
    <w:rsid w:val="000D1461"/>
    <w:rsid w:val="000D1C63"/>
    <w:rsid w:val="000D20A1"/>
    <w:rsid w:val="000D23CE"/>
    <w:rsid w:val="000D25EF"/>
    <w:rsid w:val="000D2718"/>
    <w:rsid w:val="000D280C"/>
    <w:rsid w:val="000D333F"/>
    <w:rsid w:val="000D341C"/>
    <w:rsid w:val="000D34BD"/>
    <w:rsid w:val="000D3537"/>
    <w:rsid w:val="000D37F7"/>
    <w:rsid w:val="000D38B0"/>
    <w:rsid w:val="000D390C"/>
    <w:rsid w:val="000D3A17"/>
    <w:rsid w:val="000D3DA6"/>
    <w:rsid w:val="000D414D"/>
    <w:rsid w:val="000D416D"/>
    <w:rsid w:val="000D4395"/>
    <w:rsid w:val="000D452A"/>
    <w:rsid w:val="000D4534"/>
    <w:rsid w:val="000D45F1"/>
    <w:rsid w:val="000D46FC"/>
    <w:rsid w:val="000D47E4"/>
    <w:rsid w:val="000D4894"/>
    <w:rsid w:val="000D498A"/>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1A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51A"/>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7CD"/>
    <w:rsid w:val="000E3A04"/>
    <w:rsid w:val="000E3A37"/>
    <w:rsid w:val="000E3A7F"/>
    <w:rsid w:val="000E3B7F"/>
    <w:rsid w:val="000E3C1E"/>
    <w:rsid w:val="000E3EC4"/>
    <w:rsid w:val="000E3FBC"/>
    <w:rsid w:val="000E4154"/>
    <w:rsid w:val="000E42FB"/>
    <w:rsid w:val="000E458E"/>
    <w:rsid w:val="000E459D"/>
    <w:rsid w:val="000E4750"/>
    <w:rsid w:val="000E4788"/>
    <w:rsid w:val="000E4C9D"/>
    <w:rsid w:val="000E4E61"/>
    <w:rsid w:val="000E51A0"/>
    <w:rsid w:val="000E58E0"/>
    <w:rsid w:val="000E59FD"/>
    <w:rsid w:val="000E5C16"/>
    <w:rsid w:val="000E600A"/>
    <w:rsid w:val="000E6201"/>
    <w:rsid w:val="000E68CA"/>
    <w:rsid w:val="000E690A"/>
    <w:rsid w:val="000E695D"/>
    <w:rsid w:val="000E699A"/>
    <w:rsid w:val="000E6FA8"/>
    <w:rsid w:val="000E702D"/>
    <w:rsid w:val="000E719A"/>
    <w:rsid w:val="000E72A8"/>
    <w:rsid w:val="000E7303"/>
    <w:rsid w:val="000E74B3"/>
    <w:rsid w:val="000E75D1"/>
    <w:rsid w:val="000E7FD0"/>
    <w:rsid w:val="000F0118"/>
    <w:rsid w:val="000F023F"/>
    <w:rsid w:val="000F0582"/>
    <w:rsid w:val="000F0603"/>
    <w:rsid w:val="000F08AF"/>
    <w:rsid w:val="000F0B16"/>
    <w:rsid w:val="000F0B77"/>
    <w:rsid w:val="000F1404"/>
    <w:rsid w:val="000F1480"/>
    <w:rsid w:val="000F1A32"/>
    <w:rsid w:val="000F1B8E"/>
    <w:rsid w:val="000F24AC"/>
    <w:rsid w:val="000F26A5"/>
    <w:rsid w:val="000F2713"/>
    <w:rsid w:val="000F2E1A"/>
    <w:rsid w:val="000F2F8D"/>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65C"/>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CCA"/>
    <w:rsid w:val="00103DE9"/>
    <w:rsid w:val="00103F38"/>
    <w:rsid w:val="00103FA7"/>
    <w:rsid w:val="00104198"/>
    <w:rsid w:val="0010440E"/>
    <w:rsid w:val="00104824"/>
    <w:rsid w:val="001048AE"/>
    <w:rsid w:val="00104CC5"/>
    <w:rsid w:val="00104E16"/>
    <w:rsid w:val="0010517D"/>
    <w:rsid w:val="0010525A"/>
    <w:rsid w:val="001054F9"/>
    <w:rsid w:val="001055C5"/>
    <w:rsid w:val="001056E3"/>
    <w:rsid w:val="0010582B"/>
    <w:rsid w:val="00105A47"/>
    <w:rsid w:val="00105A8D"/>
    <w:rsid w:val="00105ABA"/>
    <w:rsid w:val="00105C4F"/>
    <w:rsid w:val="0010606B"/>
    <w:rsid w:val="0010634A"/>
    <w:rsid w:val="00106376"/>
    <w:rsid w:val="001069D6"/>
    <w:rsid w:val="00106D10"/>
    <w:rsid w:val="00106D27"/>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1ECF"/>
    <w:rsid w:val="00112203"/>
    <w:rsid w:val="00112486"/>
    <w:rsid w:val="00112539"/>
    <w:rsid w:val="00112579"/>
    <w:rsid w:val="0011258D"/>
    <w:rsid w:val="001126FA"/>
    <w:rsid w:val="00112A1C"/>
    <w:rsid w:val="00112B50"/>
    <w:rsid w:val="00112ED5"/>
    <w:rsid w:val="00113072"/>
    <w:rsid w:val="0011325C"/>
    <w:rsid w:val="0011362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B97"/>
    <w:rsid w:val="00115E85"/>
    <w:rsid w:val="00116169"/>
    <w:rsid w:val="0011636E"/>
    <w:rsid w:val="001163D1"/>
    <w:rsid w:val="00116539"/>
    <w:rsid w:val="001166A1"/>
    <w:rsid w:val="00116823"/>
    <w:rsid w:val="00116AC9"/>
    <w:rsid w:val="00116B75"/>
    <w:rsid w:val="00117377"/>
    <w:rsid w:val="001176DE"/>
    <w:rsid w:val="0011799C"/>
    <w:rsid w:val="00117E41"/>
    <w:rsid w:val="00117F86"/>
    <w:rsid w:val="00120043"/>
    <w:rsid w:val="00120230"/>
    <w:rsid w:val="00120411"/>
    <w:rsid w:val="00120422"/>
    <w:rsid w:val="0012079D"/>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2B0"/>
    <w:rsid w:val="00125393"/>
    <w:rsid w:val="00125666"/>
    <w:rsid w:val="001257EB"/>
    <w:rsid w:val="0012584C"/>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BD5"/>
    <w:rsid w:val="00127CE6"/>
    <w:rsid w:val="00127D14"/>
    <w:rsid w:val="001300B8"/>
    <w:rsid w:val="001304C4"/>
    <w:rsid w:val="00130541"/>
    <w:rsid w:val="00130719"/>
    <w:rsid w:val="00130B37"/>
    <w:rsid w:val="00130B64"/>
    <w:rsid w:val="00130E70"/>
    <w:rsid w:val="00130F31"/>
    <w:rsid w:val="00130FF4"/>
    <w:rsid w:val="0013125D"/>
    <w:rsid w:val="001312DE"/>
    <w:rsid w:val="001315A5"/>
    <w:rsid w:val="001315EB"/>
    <w:rsid w:val="00131B2B"/>
    <w:rsid w:val="00131B4D"/>
    <w:rsid w:val="00131BB3"/>
    <w:rsid w:val="00131E9D"/>
    <w:rsid w:val="001320D2"/>
    <w:rsid w:val="001322C9"/>
    <w:rsid w:val="001323E0"/>
    <w:rsid w:val="00132432"/>
    <w:rsid w:val="0013245F"/>
    <w:rsid w:val="00132665"/>
    <w:rsid w:val="001327A2"/>
    <w:rsid w:val="00132D7C"/>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4C9"/>
    <w:rsid w:val="00136660"/>
    <w:rsid w:val="001366A2"/>
    <w:rsid w:val="00136D26"/>
    <w:rsid w:val="001370BE"/>
    <w:rsid w:val="00137319"/>
    <w:rsid w:val="00137470"/>
    <w:rsid w:val="001378AD"/>
    <w:rsid w:val="00140405"/>
    <w:rsid w:val="001408E2"/>
    <w:rsid w:val="001409FC"/>
    <w:rsid w:val="00140A06"/>
    <w:rsid w:val="00140B17"/>
    <w:rsid w:val="00140B5B"/>
    <w:rsid w:val="00140B81"/>
    <w:rsid w:val="00140C28"/>
    <w:rsid w:val="00141418"/>
    <w:rsid w:val="001416BD"/>
    <w:rsid w:val="0014174F"/>
    <w:rsid w:val="0014185F"/>
    <w:rsid w:val="00141A02"/>
    <w:rsid w:val="00141C08"/>
    <w:rsid w:val="00141CA1"/>
    <w:rsid w:val="00141FB3"/>
    <w:rsid w:val="0014201B"/>
    <w:rsid w:val="00142062"/>
    <w:rsid w:val="0014210A"/>
    <w:rsid w:val="00142485"/>
    <w:rsid w:val="0014296A"/>
    <w:rsid w:val="00143061"/>
    <w:rsid w:val="00143335"/>
    <w:rsid w:val="00143391"/>
    <w:rsid w:val="001438FC"/>
    <w:rsid w:val="00143DDE"/>
    <w:rsid w:val="00143F3D"/>
    <w:rsid w:val="0014413D"/>
    <w:rsid w:val="00144923"/>
    <w:rsid w:val="00145AB8"/>
    <w:rsid w:val="00145BBD"/>
    <w:rsid w:val="00145D7D"/>
    <w:rsid w:val="001463CA"/>
    <w:rsid w:val="00146572"/>
    <w:rsid w:val="00146BA0"/>
    <w:rsid w:val="0014708A"/>
    <w:rsid w:val="00147197"/>
    <w:rsid w:val="001476D4"/>
    <w:rsid w:val="0014776E"/>
    <w:rsid w:val="00147784"/>
    <w:rsid w:val="00147791"/>
    <w:rsid w:val="001477F4"/>
    <w:rsid w:val="00147B3E"/>
    <w:rsid w:val="00147E99"/>
    <w:rsid w:val="00150056"/>
    <w:rsid w:val="0015007A"/>
    <w:rsid w:val="001501AF"/>
    <w:rsid w:val="0015095B"/>
    <w:rsid w:val="00150A4F"/>
    <w:rsid w:val="00150F61"/>
    <w:rsid w:val="00150F85"/>
    <w:rsid w:val="00151028"/>
    <w:rsid w:val="0015144C"/>
    <w:rsid w:val="00151521"/>
    <w:rsid w:val="00151572"/>
    <w:rsid w:val="00151969"/>
    <w:rsid w:val="00151B26"/>
    <w:rsid w:val="00151D83"/>
    <w:rsid w:val="00151F5E"/>
    <w:rsid w:val="00151F7E"/>
    <w:rsid w:val="001520FA"/>
    <w:rsid w:val="001521CC"/>
    <w:rsid w:val="0015220F"/>
    <w:rsid w:val="00152B3C"/>
    <w:rsid w:val="00152D6E"/>
    <w:rsid w:val="00152E1C"/>
    <w:rsid w:val="00153005"/>
    <w:rsid w:val="001538A6"/>
    <w:rsid w:val="00153952"/>
    <w:rsid w:val="00153AD9"/>
    <w:rsid w:val="00153C3E"/>
    <w:rsid w:val="00153F3C"/>
    <w:rsid w:val="001540D4"/>
    <w:rsid w:val="00154153"/>
    <w:rsid w:val="00154223"/>
    <w:rsid w:val="001543E0"/>
    <w:rsid w:val="00154492"/>
    <w:rsid w:val="001545E0"/>
    <w:rsid w:val="00154908"/>
    <w:rsid w:val="00154939"/>
    <w:rsid w:val="00154E3C"/>
    <w:rsid w:val="00155050"/>
    <w:rsid w:val="00155265"/>
    <w:rsid w:val="001553AE"/>
    <w:rsid w:val="001559B7"/>
    <w:rsid w:val="00155DAE"/>
    <w:rsid w:val="0015615D"/>
    <w:rsid w:val="001561D4"/>
    <w:rsid w:val="00156301"/>
    <w:rsid w:val="001565BD"/>
    <w:rsid w:val="00156775"/>
    <w:rsid w:val="00156BB9"/>
    <w:rsid w:val="00157383"/>
    <w:rsid w:val="00157530"/>
    <w:rsid w:val="0015754F"/>
    <w:rsid w:val="001575C4"/>
    <w:rsid w:val="00157717"/>
    <w:rsid w:val="001577FE"/>
    <w:rsid w:val="00157826"/>
    <w:rsid w:val="001579E7"/>
    <w:rsid w:val="00157B10"/>
    <w:rsid w:val="00160197"/>
    <w:rsid w:val="00160355"/>
    <w:rsid w:val="0016053D"/>
    <w:rsid w:val="00160A74"/>
    <w:rsid w:val="00160B1A"/>
    <w:rsid w:val="00160EB3"/>
    <w:rsid w:val="001616F0"/>
    <w:rsid w:val="00161826"/>
    <w:rsid w:val="001618DC"/>
    <w:rsid w:val="00161B04"/>
    <w:rsid w:val="00161DD3"/>
    <w:rsid w:val="00162094"/>
    <w:rsid w:val="001623A4"/>
    <w:rsid w:val="001625B7"/>
    <w:rsid w:val="0016261F"/>
    <w:rsid w:val="001630F8"/>
    <w:rsid w:val="0016323F"/>
    <w:rsid w:val="00163676"/>
    <w:rsid w:val="001636EE"/>
    <w:rsid w:val="001637E5"/>
    <w:rsid w:val="0016386C"/>
    <w:rsid w:val="001638B6"/>
    <w:rsid w:val="00163961"/>
    <w:rsid w:val="00163A47"/>
    <w:rsid w:val="00163BF8"/>
    <w:rsid w:val="00163F92"/>
    <w:rsid w:val="001642FB"/>
    <w:rsid w:val="00164681"/>
    <w:rsid w:val="00164718"/>
    <w:rsid w:val="00164721"/>
    <w:rsid w:val="00164785"/>
    <w:rsid w:val="00164CE6"/>
    <w:rsid w:val="00164DD5"/>
    <w:rsid w:val="001650A6"/>
    <w:rsid w:val="00165345"/>
    <w:rsid w:val="00165465"/>
    <w:rsid w:val="00165769"/>
    <w:rsid w:val="00165A0B"/>
    <w:rsid w:val="00165C19"/>
    <w:rsid w:val="00165D60"/>
    <w:rsid w:val="0016609E"/>
    <w:rsid w:val="001661B4"/>
    <w:rsid w:val="001661D6"/>
    <w:rsid w:val="00166332"/>
    <w:rsid w:val="001663A4"/>
    <w:rsid w:val="001663DB"/>
    <w:rsid w:val="001664C3"/>
    <w:rsid w:val="00166604"/>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0E36"/>
    <w:rsid w:val="00171357"/>
    <w:rsid w:val="001716AB"/>
    <w:rsid w:val="00171872"/>
    <w:rsid w:val="001718D9"/>
    <w:rsid w:val="001719EA"/>
    <w:rsid w:val="00171B08"/>
    <w:rsid w:val="0017264A"/>
    <w:rsid w:val="00172D10"/>
    <w:rsid w:val="00172D59"/>
    <w:rsid w:val="00172ED9"/>
    <w:rsid w:val="00172F37"/>
    <w:rsid w:val="00172F62"/>
    <w:rsid w:val="00173099"/>
    <w:rsid w:val="001730C2"/>
    <w:rsid w:val="001730D9"/>
    <w:rsid w:val="001738A9"/>
    <w:rsid w:val="00173964"/>
    <w:rsid w:val="00173BC9"/>
    <w:rsid w:val="00173BFF"/>
    <w:rsid w:val="00173E07"/>
    <w:rsid w:val="00174654"/>
    <w:rsid w:val="001747EB"/>
    <w:rsid w:val="00174CD1"/>
    <w:rsid w:val="001750CD"/>
    <w:rsid w:val="00175267"/>
    <w:rsid w:val="001752C8"/>
    <w:rsid w:val="001754EE"/>
    <w:rsid w:val="00175520"/>
    <w:rsid w:val="001755D6"/>
    <w:rsid w:val="001755FC"/>
    <w:rsid w:val="00175895"/>
    <w:rsid w:val="00175935"/>
    <w:rsid w:val="00175A18"/>
    <w:rsid w:val="00175C00"/>
    <w:rsid w:val="00175C34"/>
    <w:rsid w:val="0017633D"/>
    <w:rsid w:val="001763B3"/>
    <w:rsid w:val="0017648C"/>
    <w:rsid w:val="001764A5"/>
    <w:rsid w:val="00176697"/>
    <w:rsid w:val="001766DB"/>
    <w:rsid w:val="00176734"/>
    <w:rsid w:val="00176748"/>
    <w:rsid w:val="00176AFC"/>
    <w:rsid w:val="00176C00"/>
    <w:rsid w:val="00176E31"/>
    <w:rsid w:val="001772C8"/>
    <w:rsid w:val="00177404"/>
    <w:rsid w:val="001774B6"/>
    <w:rsid w:val="001774D3"/>
    <w:rsid w:val="00177510"/>
    <w:rsid w:val="00177512"/>
    <w:rsid w:val="001777B7"/>
    <w:rsid w:val="001777D3"/>
    <w:rsid w:val="00177816"/>
    <w:rsid w:val="001778EA"/>
    <w:rsid w:val="00177996"/>
    <w:rsid w:val="00177AE0"/>
    <w:rsid w:val="00177AFD"/>
    <w:rsid w:val="00177B86"/>
    <w:rsid w:val="00177BBE"/>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1E89"/>
    <w:rsid w:val="001821DE"/>
    <w:rsid w:val="00182429"/>
    <w:rsid w:val="001824D3"/>
    <w:rsid w:val="001824FF"/>
    <w:rsid w:val="00182D7D"/>
    <w:rsid w:val="00182F24"/>
    <w:rsid w:val="001831CD"/>
    <w:rsid w:val="001832C4"/>
    <w:rsid w:val="001834E8"/>
    <w:rsid w:val="00183592"/>
    <w:rsid w:val="0018363F"/>
    <w:rsid w:val="00183764"/>
    <w:rsid w:val="001839A0"/>
    <w:rsid w:val="00183A22"/>
    <w:rsid w:val="00183EF3"/>
    <w:rsid w:val="001843EF"/>
    <w:rsid w:val="001844BB"/>
    <w:rsid w:val="001844C3"/>
    <w:rsid w:val="00184870"/>
    <w:rsid w:val="00184950"/>
    <w:rsid w:val="00184ED2"/>
    <w:rsid w:val="00184FD0"/>
    <w:rsid w:val="00185069"/>
    <w:rsid w:val="001852B6"/>
    <w:rsid w:val="00185546"/>
    <w:rsid w:val="001855FC"/>
    <w:rsid w:val="00185816"/>
    <w:rsid w:val="00185CCB"/>
    <w:rsid w:val="00185D07"/>
    <w:rsid w:val="001864D1"/>
    <w:rsid w:val="00186B84"/>
    <w:rsid w:val="00186CA2"/>
    <w:rsid w:val="00186CD2"/>
    <w:rsid w:val="00186FD2"/>
    <w:rsid w:val="0018707E"/>
    <w:rsid w:val="001870AB"/>
    <w:rsid w:val="00187102"/>
    <w:rsid w:val="00187221"/>
    <w:rsid w:val="001872B2"/>
    <w:rsid w:val="00187488"/>
    <w:rsid w:val="001876ED"/>
    <w:rsid w:val="00187749"/>
    <w:rsid w:val="00187849"/>
    <w:rsid w:val="0018789B"/>
    <w:rsid w:val="0018792D"/>
    <w:rsid w:val="00187997"/>
    <w:rsid w:val="00187B9B"/>
    <w:rsid w:val="00187D17"/>
    <w:rsid w:val="00187E15"/>
    <w:rsid w:val="00187E5B"/>
    <w:rsid w:val="00187E74"/>
    <w:rsid w:val="00187F9D"/>
    <w:rsid w:val="00187FBE"/>
    <w:rsid w:val="00190163"/>
    <w:rsid w:val="001908F8"/>
    <w:rsid w:val="00190A1E"/>
    <w:rsid w:val="001912E2"/>
    <w:rsid w:val="00191A2A"/>
    <w:rsid w:val="00191BF5"/>
    <w:rsid w:val="00191C56"/>
    <w:rsid w:val="00191D19"/>
    <w:rsid w:val="00191DD2"/>
    <w:rsid w:val="00191E0F"/>
    <w:rsid w:val="00191EC5"/>
    <w:rsid w:val="001920C5"/>
    <w:rsid w:val="001922AC"/>
    <w:rsid w:val="001922FE"/>
    <w:rsid w:val="0019262E"/>
    <w:rsid w:val="001927DC"/>
    <w:rsid w:val="00192DC8"/>
    <w:rsid w:val="00192E36"/>
    <w:rsid w:val="00192ED2"/>
    <w:rsid w:val="001930FC"/>
    <w:rsid w:val="001932A6"/>
    <w:rsid w:val="0019344A"/>
    <w:rsid w:val="00193567"/>
    <w:rsid w:val="001939BF"/>
    <w:rsid w:val="00193D1E"/>
    <w:rsid w:val="00193E17"/>
    <w:rsid w:val="00193FA0"/>
    <w:rsid w:val="00194410"/>
    <w:rsid w:val="0019484D"/>
    <w:rsid w:val="00194A0F"/>
    <w:rsid w:val="00194B51"/>
    <w:rsid w:val="00195512"/>
    <w:rsid w:val="00196088"/>
    <w:rsid w:val="001962D1"/>
    <w:rsid w:val="00196902"/>
    <w:rsid w:val="00196BE4"/>
    <w:rsid w:val="00196CC1"/>
    <w:rsid w:val="001970C6"/>
    <w:rsid w:val="00197294"/>
    <w:rsid w:val="00197522"/>
    <w:rsid w:val="00197576"/>
    <w:rsid w:val="001976A1"/>
    <w:rsid w:val="0019786E"/>
    <w:rsid w:val="00197A47"/>
    <w:rsid w:val="001A01B9"/>
    <w:rsid w:val="001A01F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BF7"/>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357"/>
    <w:rsid w:val="001A5720"/>
    <w:rsid w:val="001A58FB"/>
    <w:rsid w:val="001A59BE"/>
    <w:rsid w:val="001A5D06"/>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5D"/>
    <w:rsid w:val="001A7460"/>
    <w:rsid w:val="001A7968"/>
    <w:rsid w:val="001A79CF"/>
    <w:rsid w:val="001A7A26"/>
    <w:rsid w:val="001A7F9C"/>
    <w:rsid w:val="001B001A"/>
    <w:rsid w:val="001B0178"/>
    <w:rsid w:val="001B03A0"/>
    <w:rsid w:val="001B0405"/>
    <w:rsid w:val="001B0427"/>
    <w:rsid w:val="001B0519"/>
    <w:rsid w:val="001B061B"/>
    <w:rsid w:val="001B079F"/>
    <w:rsid w:val="001B07D6"/>
    <w:rsid w:val="001B0814"/>
    <w:rsid w:val="001B0918"/>
    <w:rsid w:val="001B0ADD"/>
    <w:rsid w:val="001B0C9B"/>
    <w:rsid w:val="001B0FAC"/>
    <w:rsid w:val="001B100D"/>
    <w:rsid w:val="001B1034"/>
    <w:rsid w:val="001B1499"/>
    <w:rsid w:val="001B15A6"/>
    <w:rsid w:val="001B17DA"/>
    <w:rsid w:val="001B1A64"/>
    <w:rsid w:val="001B1B45"/>
    <w:rsid w:val="001B1BC5"/>
    <w:rsid w:val="001B1C3B"/>
    <w:rsid w:val="001B1C41"/>
    <w:rsid w:val="001B1CD7"/>
    <w:rsid w:val="001B28A4"/>
    <w:rsid w:val="001B296B"/>
    <w:rsid w:val="001B2A14"/>
    <w:rsid w:val="001B2DC4"/>
    <w:rsid w:val="001B31D0"/>
    <w:rsid w:val="001B31FB"/>
    <w:rsid w:val="001B35F9"/>
    <w:rsid w:val="001B3705"/>
    <w:rsid w:val="001B3734"/>
    <w:rsid w:val="001B3A7C"/>
    <w:rsid w:val="001B3EB5"/>
    <w:rsid w:val="001B400F"/>
    <w:rsid w:val="001B4075"/>
    <w:rsid w:val="001B42A3"/>
    <w:rsid w:val="001B4393"/>
    <w:rsid w:val="001B43E8"/>
    <w:rsid w:val="001B4508"/>
    <w:rsid w:val="001B459A"/>
    <w:rsid w:val="001B4D25"/>
    <w:rsid w:val="001B4D98"/>
    <w:rsid w:val="001B5070"/>
    <w:rsid w:val="001B51CB"/>
    <w:rsid w:val="001B533B"/>
    <w:rsid w:val="001B54BE"/>
    <w:rsid w:val="001B572C"/>
    <w:rsid w:val="001B57C5"/>
    <w:rsid w:val="001B57D4"/>
    <w:rsid w:val="001B5D40"/>
    <w:rsid w:val="001B5EAE"/>
    <w:rsid w:val="001B627A"/>
    <w:rsid w:val="001B6448"/>
    <w:rsid w:val="001B6B7E"/>
    <w:rsid w:val="001B6BAD"/>
    <w:rsid w:val="001B6F81"/>
    <w:rsid w:val="001B70A1"/>
    <w:rsid w:val="001B72AA"/>
    <w:rsid w:val="001B7448"/>
    <w:rsid w:val="001B76B5"/>
    <w:rsid w:val="001B7802"/>
    <w:rsid w:val="001B7D87"/>
    <w:rsid w:val="001B7DE2"/>
    <w:rsid w:val="001B7E7B"/>
    <w:rsid w:val="001C0463"/>
    <w:rsid w:val="001C04FE"/>
    <w:rsid w:val="001C07A1"/>
    <w:rsid w:val="001C0985"/>
    <w:rsid w:val="001C10DE"/>
    <w:rsid w:val="001C11EB"/>
    <w:rsid w:val="001C13D8"/>
    <w:rsid w:val="001C15ED"/>
    <w:rsid w:val="001C1764"/>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A60"/>
    <w:rsid w:val="001C3D04"/>
    <w:rsid w:val="001C3EC5"/>
    <w:rsid w:val="001C4025"/>
    <w:rsid w:val="001C4737"/>
    <w:rsid w:val="001C4833"/>
    <w:rsid w:val="001C48DA"/>
    <w:rsid w:val="001C4946"/>
    <w:rsid w:val="001C4A99"/>
    <w:rsid w:val="001C580F"/>
    <w:rsid w:val="001C58C0"/>
    <w:rsid w:val="001C5C8A"/>
    <w:rsid w:val="001C6197"/>
    <w:rsid w:val="001C680C"/>
    <w:rsid w:val="001C68EB"/>
    <w:rsid w:val="001C6B35"/>
    <w:rsid w:val="001C6C55"/>
    <w:rsid w:val="001C6E36"/>
    <w:rsid w:val="001C6ECF"/>
    <w:rsid w:val="001C7433"/>
    <w:rsid w:val="001C77DB"/>
    <w:rsid w:val="001C78EB"/>
    <w:rsid w:val="001C7BBA"/>
    <w:rsid w:val="001C7C96"/>
    <w:rsid w:val="001C7CF5"/>
    <w:rsid w:val="001C7D9C"/>
    <w:rsid w:val="001D00BA"/>
    <w:rsid w:val="001D0217"/>
    <w:rsid w:val="001D03B9"/>
    <w:rsid w:val="001D091B"/>
    <w:rsid w:val="001D0AC4"/>
    <w:rsid w:val="001D0D78"/>
    <w:rsid w:val="001D0FE7"/>
    <w:rsid w:val="001D112C"/>
    <w:rsid w:val="001D11F0"/>
    <w:rsid w:val="001D1785"/>
    <w:rsid w:val="001D27B6"/>
    <w:rsid w:val="001D2B45"/>
    <w:rsid w:val="001D2BA0"/>
    <w:rsid w:val="001D35D5"/>
    <w:rsid w:val="001D3722"/>
    <w:rsid w:val="001D3813"/>
    <w:rsid w:val="001D39D7"/>
    <w:rsid w:val="001D3DAC"/>
    <w:rsid w:val="001D3E09"/>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6F5F"/>
    <w:rsid w:val="001D72EF"/>
    <w:rsid w:val="001D7541"/>
    <w:rsid w:val="001D7715"/>
    <w:rsid w:val="001D7D0A"/>
    <w:rsid w:val="001E0259"/>
    <w:rsid w:val="001E035B"/>
    <w:rsid w:val="001E03CE"/>
    <w:rsid w:val="001E05D4"/>
    <w:rsid w:val="001E0A98"/>
    <w:rsid w:val="001E0B9A"/>
    <w:rsid w:val="001E0C41"/>
    <w:rsid w:val="001E0CEF"/>
    <w:rsid w:val="001E0F6D"/>
    <w:rsid w:val="001E1545"/>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7D3"/>
    <w:rsid w:val="001E69E0"/>
    <w:rsid w:val="001E74CA"/>
    <w:rsid w:val="001E7518"/>
    <w:rsid w:val="001E758F"/>
    <w:rsid w:val="001E765C"/>
    <w:rsid w:val="001E7741"/>
    <w:rsid w:val="001E77A4"/>
    <w:rsid w:val="001E77D1"/>
    <w:rsid w:val="001E7846"/>
    <w:rsid w:val="001E787B"/>
    <w:rsid w:val="001E79DD"/>
    <w:rsid w:val="001E79E2"/>
    <w:rsid w:val="001E7C26"/>
    <w:rsid w:val="001E7F29"/>
    <w:rsid w:val="001F0008"/>
    <w:rsid w:val="001F00BC"/>
    <w:rsid w:val="001F04D8"/>
    <w:rsid w:val="001F0827"/>
    <w:rsid w:val="001F08E5"/>
    <w:rsid w:val="001F09AF"/>
    <w:rsid w:val="001F0A12"/>
    <w:rsid w:val="001F0C8D"/>
    <w:rsid w:val="001F1458"/>
    <w:rsid w:val="001F1823"/>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C65"/>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A8F"/>
    <w:rsid w:val="00202DA7"/>
    <w:rsid w:val="00202F74"/>
    <w:rsid w:val="0020318B"/>
    <w:rsid w:val="002031AB"/>
    <w:rsid w:val="00203310"/>
    <w:rsid w:val="0020347A"/>
    <w:rsid w:val="00203595"/>
    <w:rsid w:val="002038EC"/>
    <w:rsid w:val="00203B39"/>
    <w:rsid w:val="00203B3C"/>
    <w:rsid w:val="00203D52"/>
    <w:rsid w:val="00203E7E"/>
    <w:rsid w:val="00203F4D"/>
    <w:rsid w:val="002040C7"/>
    <w:rsid w:val="002044AA"/>
    <w:rsid w:val="00204709"/>
    <w:rsid w:val="00204843"/>
    <w:rsid w:val="00204B36"/>
    <w:rsid w:val="00204BAA"/>
    <w:rsid w:val="00204CEC"/>
    <w:rsid w:val="00205236"/>
    <w:rsid w:val="0020559E"/>
    <w:rsid w:val="00205B3A"/>
    <w:rsid w:val="0020610A"/>
    <w:rsid w:val="002064C9"/>
    <w:rsid w:val="00206676"/>
    <w:rsid w:val="00206753"/>
    <w:rsid w:val="0020687E"/>
    <w:rsid w:val="002068ED"/>
    <w:rsid w:val="00206A85"/>
    <w:rsid w:val="00206CA4"/>
    <w:rsid w:val="002070EA"/>
    <w:rsid w:val="00207700"/>
    <w:rsid w:val="00207853"/>
    <w:rsid w:val="002079D9"/>
    <w:rsid w:val="00210269"/>
    <w:rsid w:val="002105BF"/>
    <w:rsid w:val="00210C8D"/>
    <w:rsid w:val="00210F5F"/>
    <w:rsid w:val="00210FDF"/>
    <w:rsid w:val="00210FF4"/>
    <w:rsid w:val="002111C6"/>
    <w:rsid w:val="00211279"/>
    <w:rsid w:val="002112D0"/>
    <w:rsid w:val="0021167F"/>
    <w:rsid w:val="002118CB"/>
    <w:rsid w:val="0021193D"/>
    <w:rsid w:val="0021199C"/>
    <w:rsid w:val="00211B2F"/>
    <w:rsid w:val="00211B32"/>
    <w:rsid w:val="00211D11"/>
    <w:rsid w:val="00211D71"/>
    <w:rsid w:val="00211FFF"/>
    <w:rsid w:val="00212112"/>
    <w:rsid w:val="00212222"/>
    <w:rsid w:val="00212706"/>
    <w:rsid w:val="002128AE"/>
    <w:rsid w:val="00212B11"/>
    <w:rsid w:val="00212F6D"/>
    <w:rsid w:val="00212FD8"/>
    <w:rsid w:val="0021304A"/>
    <w:rsid w:val="002130AE"/>
    <w:rsid w:val="002134DA"/>
    <w:rsid w:val="0021353E"/>
    <w:rsid w:val="002135B7"/>
    <w:rsid w:val="0021365E"/>
    <w:rsid w:val="002136AD"/>
    <w:rsid w:val="002137B3"/>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1E"/>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17FA3"/>
    <w:rsid w:val="002208FF"/>
    <w:rsid w:val="00220BEF"/>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D0"/>
    <w:rsid w:val="002268EA"/>
    <w:rsid w:val="00226C21"/>
    <w:rsid w:val="00227056"/>
    <w:rsid w:val="00227511"/>
    <w:rsid w:val="002276B7"/>
    <w:rsid w:val="00227749"/>
    <w:rsid w:val="00227750"/>
    <w:rsid w:val="00227794"/>
    <w:rsid w:val="00227EC2"/>
    <w:rsid w:val="00227F58"/>
    <w:rsid w:val="00230277"/>
    <w:rsid w:val="0023029C"/>
    <w:rsid w:val="002302FC"/>
    <w:rsid w:val="002303C6"/>
    <w:rsid w:val="00230D30"/>
    <w:rsid w:val="00230DC9"/>
    <w:rsid w:val="00230F07"/>
    <w:rsid w:val="0023117F"/>
    <w:rsid w:val="0023153C"/>
    <w:rsid w:val="0023194F"/>
    <w:rsid w:val="002319B1"/>
    <w:rsid w:val="00231DFE"/>
    <w:rsid w:val="00232166"/>
    <w:rsid w:val="00232359"/>
    <w:rsid w:val="002327BF"/>
    <w:rsid w:val="00232BAA"/>
    <w:rsid w:val="00232DF2"/>
    <w:rsid w:val="00232E14"/>
    <w:rsid w:val="00232E5E"/>
    <w:rsid w:val="0023356F"/>
    <w:rsid w:val="00233656"/>
    <w:rsid w:val="00233749"/>
    <w:rsid w:val="002338E8"/>
    <w:rsid w:val="00233B5C"/>
    <w:rsid w:val="00233E26"/>
    <w:rsid w:val="00233E5C"/>
    <w:rsid w:val="00233ED8"/>
    <w:rsid w:val="00233F9E"/>
    <w:rsid w:val="00233FD6"/>
    <w:rsid w:val="0023412C"/>
    <w:rsid w:val="00234569"/>
    <w:rsid w:val="002346D9"/>
    <w:rsid w:val="00234E56"/>
    <w:rsid w:val="00234EB2"/>
    <w:rsid w:val="0023552E"/>
    <w:rsid w:val="00235968"/>
    <w:rsid w:val="00235B35"/>
    <w:rsid w:val="00235BFB"/>
    <w:rsid w:val="00235D31"/>
    <w:rsid w:val="00236008"/>
    <w:rsid w:val="00236124"/>
    <w:rsid w:val="00236259"/>
    <w:rsid w:val="00236570"/>
    <w:rsid w:val="00236722"/>
    <w:rsid w:val="00236732"/>
    <w:rsid w:val="002367F0"/>
    <w:rsid w:val="00237015"/>
    <w:rsid w:val="002373B0"/>
    <w:rsid w:val="00237507"/>
    <w:rsid w:val="0023752E"/>
    <w:rsid w:val="0023757C"/>
    <w:rsid w:val="00237677"/>
    <w:rsid w:val="00237701"/>
    <w:rsid w:val="00237C25"/>
    <w:rsid w:val="00237C85"/>
    <w:rsid w:val="00237D02"/>
    <w:rsid w:val="00237EEE"/>
    <w:rsid w:val="0024032B"/>
    <w:rsid w:val="002406E1"/>
    <w:rsid w:val="00240932"/>
    <w:rsid w:val="00240959"/>
    <w:rsid w:val="00240A59"/>
    <w:rsid w:val="00240D88"/>
    <w:rsid w:val="0024116F"/>
    <w:rsid w:val="00241806"/>
    <w:rsid w:val="002419E1"/>
    <w:rsid w:val="00241AD7"/>
    <w:rsid w:val="00241BC3"/>
    <w:rsid w:val="002422D1"/>
    <w:rsid w:val="00242379"/>
    <w:rsid w:val="002425C0"/>
    <w:rsid w:val="0024261D"/>
    <w:rsid w:val="00242766"/>
    <w:rsid w:val="00242878"/>
    <w:rsid w:val="00242CCC"/>
    <w:rsid w:val="00242EB7"/>
    <w:rsid w:val="00242FB5"/>
    <w:rsid w:val="00243051"/>
    <w:rsid w:val="002432D1"/>
    <w:rsid w:val="00243592"/>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C7F"/>
    <w:rsid w:val="00245F0C"/>
    <w:rsid w:val="00245F73"/>
    <w:rsid w:val="002462D8"/>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80E"/>
    <w:rsid w:val="00253A58"/>
    <w:rsid w:val="00253B63"/>
    <w:rsid w:val="00253F47"/>
    <w:rsid w:val="00253F7D"/>
    <w:rsid w:val="00253FB8"/>
    <w:rsid w:val="00254470"/>
    <w:rsid w:val="002544C2"/>
    <w:rsid w:val="0025459C"/>
    <w:rsid w:val="002546A9"/>
    <w:rsid w:val="00254775"/>
    <w:rsid w:val="00254AA1"/>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23D"/>
    <w:rsid w:val="00260320"/>
    <w:rsid w:val="00260441"/>
    <w:rsid w:val="0026079D"/>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3A"/>
    <w:rsid w:val="00262AC3"/>
    <w:rsid w:val="00262ACD"/>
    <w:rsid w:val="00262BA1"/>
    <w:rsid w:val="00262D28"/>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7CA"/>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09F"/>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14B"/>
    <w:rsid w:val="0027528D"/>
    <w:rsid w:val="00275370"/>
    <w:rsid w:val="002756D4"/>
    <w:rsid w:val="0027581C"/>
    <w:rsid w:val="00275BAA"/>
    <w:rsid w:val="00275E50"/>
    <w:rsid w:val="002760FF"/>
    <w:rsid w:val="00276574"/>
    <w:rsid w:val="002766D5"/>
    <w:rsid w:val="002767E7"/>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0B33"/>
    <w:rsid w:val="00280BEE"/>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AE5"/>
    <w:rsid w:val="00283B0F"/>
    <w:rsid w:val="00283C63"/>
    <w:rsid w:val="00283D7F"/>
    <w:rsid w:val="00283DD8"/>
    <w:rsid w:val="00284207"/>
    <w:rsid w:val="00284491"/>
    <w:rsid w:val="00284886"/>
    <w:rsid w:val="00284928"/>
    <w:rsid w:val="00284D1A"/>
    <w:rsid w:val="00284D97"/>
    <w:rsid w:val="00284DD3"/>
    <w:rsid w:val="0028579B"/>
    <w:rsid w:val="002857ED"/>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5B2"/>
    <w:rsid w:val="00291DA7"/>
    <w:rsid w:val="002922CA"/>
    <w:rsid w:val="002924ED"/>
    <w:rsid w:val="0029256D"/>
    <w:rsid w:val="00292578"/>
    <w:rsid w:val="00292752"/>
    <w:rsid w:val="0029277C"/>
    <w:rsid w:val="002927D0"/>
    <w:rsid w:val="002928F4"/>
    <w:rsid w:val="002929EE"/>
    <w:rsid w:val="00292A56"/>
    <w:rsid w:val="00292AE0"/>
    <w:rsid w:val="00292D8F"/>
    <w:rsid w:val="00292E52"/>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22D"/>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BA"/>
    <w:rsid w:val="002A52D1"/>
    <w:rsid w:val="002A5B34"/>
    <w:rsid w:val="002A5BCC"/>
    <w:rsid w:val="002A60F5"/>
    <w:rsid w:val="002A648C"/>
    <w:rsid w:val="002A6A37"/>
    <w:rsid w:val="002A6AD9"/>
    <w:rsid w:val="002A728E"/>
    <w:rsid w:val="002A7347"/>
    <w:rsid w:val="002A75AE"/>
    <w:rsid w:val="002A7744"/>
    <w:rsid w:val="002A77AF"/>
    <w:rsid w:val="002A7A3E"/>
    <w:rsid w:val="002A7B9D"/>
    <w:rsid w:val="002A7F12"/>
    <w:rsid w:val="002B038F"/>
    <w:rsid w:val="002B0486"/>
    <w:rsid w:val="002B0499"/>
    <w:rsid w:val="002B0BA4"/>
    <w:rsid w:val="002B0E1C"/>
    <w:rsid w:val="002B0FE7"/>
    <w:rsid w:val="002B12F3"/>
    <w:rsid w:val="002B165A"/>
    <w:rsid w:val="002B1709"/>
    <w:rsid w:val="002B1740"/>
    <w:rsid w:val="002B1820"/>
    <w:rsid w:val="002B19FE"/>
    <w:rsid w:val="002B1A67"/>
    <w:rsid w:val="002B1BA3"/>
    <w:rsid w:val="002B2485"/>
    <w:rsid w:val="002B2627"/>
    <w:rsid w:val="002B26A2"/>
    <w:rsid w:val="002B2751"/>
    <w:rsid w:val="002B287C"/>
    <w:rsid w:val="002B3151"/>
    <w:rsid w:val="002B366D"/>
    <w:rsid w:val="002B3BD7"/>
    <w:rsid w:val="002B3C56"/>
    <w:rsid w:val="002B3D3B"/>
    <w:rsid w:val="002B3E4F"/>
    <w:rsid w:val="002B3F77"/>
    <w:rsid w:val="002B4078"/>
    <w:rsid w:val="002B453F"/>
    <w:rsid w:val="002B45F9"/>
    <w:rsid w:val="002B4722"/>
    <w:rsid w:val="002B47A1"/>
    <w:rsid w:val="002B5080"/>
    <w:rsid w:val="002B534A"/>
    <w:rsid w:val="002B558F"/>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6FC4"/>
    <w:rsid w:val="002B713C"/>
    <w:rsid w:val="002B7AD5"/>
    <w:rsid w:val="002B7BAF"/>
    <w:rsid w:val="002B7BEB"/>
    <w:rsid w:val="002B7CCD"/>
    <w:rsid w:val="002C0046"/>
    <w:rsid w:val="002C00E0"/>
    <w:rsid w:val="002C05F0"/>
    <w:rsid w:val="002C0661"/>
    <w:rsid w:val="002C085E"/>
    <w:rsid w:val="002C089B"/>
    <w:rsid w:val="002C093A"/>
    <w:rsid w:val="002C0C05"/>
    <w:rsid w:val="002C0FF0"/>
    <w:rsid w:val="002C16A0"/>
    <w:rsid w:val="002C17DF"/>
    <w:rsid w:val="002C1B11"/>
    <w:rsid w:val="002C1C93"/>
    <w:rsid w:val="002C1D99"/>
    <w:rsid w:val="002C2151"/>
    <w:rsid w:val="002C230C"/>
    <w:rsid w:val="002C2311"/>
    <w:rsid w:val="002C24F2"/>
    <w:rsid w:val="002C2802"/>
    <w:rsid w:val="002C2CDB"/>
    <w:rsid w:val="002C2D37"/>
    <w:rsid w:val="002C2E02"/>
    <w:rsid w:val="002C2ECE"/>
    <w:rsid w:val="002C2F3D"/>
    <w:rsid w:val="002C30C5"/>
    <w:rsid w:val="002C3190"/>
    <w:rsid w:val="002C33B4"/>
    <w:rsid w:val="002C33B8"/>
    <w:rsid w:val="002C3623"/>
    <w:rsid w:val="002C3773"/>
    <w:rsid w:val="002C3AE6"/>
    <w:rsid w:val="002C3C14"/>
    <w:rsid w:val="002C3CD0"/>
    <w:rsid w:val="002C3FDC"/>
    <w:rsid w:val="002C4BB7"/>
    <w:rsid w:val="002C4C60"/>
    <w:rsid w:val="002C4CF3"/>
    <w:rsid w:val="002C530A"/>
    <w:rsid w:val="002C5558"/>
    <w:rsid w:val="002C5771"/>
    <w:rsid w:val="002C57CD"/>
    <w:rsid w:val="002C5975"/>
    <w:rsid w:val="002C5A58"/>
    <w:rsid w:val="002C5A7A"/>
    <w:rsid w:val="002C5B07"/>
    <w:rsid w:val="002C5B23"/>
    <w:rsid w:val="002C5CCA"/>
    <w:rsid w:val="002C5E51"/>
    <w:rsid w:val="002C5FCC"/>
    <w:rsid w:val="002C64FE"/>
    <w:rsid w:val="002C655E"/>
    <w:rsid w:val="002C66B2"/>
    <w:rsid w:val="002C6A79"/>
    <w:rsid w:val="002C6AEA"/>
    <w:rsid w:val="002C6B27"/>
    <w:rsid w:val="002C6B40"/>
    <w:rsid w:val="002C6DA1"/>
    <w:rsid w:val="002C744D"/>
    <w:rsid w:val="002C7857"/>
    <w:rsid w:val="002C7B8E"/>
    <w:rsid w:val="002C7E85"/>
    <w:rsid w:val="002C7F07"/>
    <w:rsid w:val="002C7FA2"/>
    <w:rsid w:val="002D0099"/>
    <w:rsid w:val="002D032B"/>
    <w:rsid w:val="002D0428"/>
    <w:rsid w:val="002D0AE3"/>
    <w:rsid w:val="002D0C3B"/>
    <w:rsid w:val="002D0C57"/>
    <w:rsid w:val="002D0CEC"/>
    <w:rsid w:val="002D0E6B"/>
    <w:rsid w:val="002D0F86"/>
    <w:rsid w:val="002D1035"/>
    <w:rsid w:val="002D14B9"/>
    <w:rsid w:val="002D188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935"/>
    <w:rsid w:val="002D3A30"/>
    <w:rsid w:val="002D3A51"/>
    <w:rsid w:val="002D3BEB"/>
    <w:rsid w:val="002D3E97"/>
    <w:rsid w:val="002D3F07"/>
    <w:rsid w:val="002D409F"/>
    <w:rsid w:val="002D40F0"/>
    <w:rsid w:val="002D4273"/>
    <w:rsid w:val="002D4719"/>
    <w:rsid w:val="002D5184"/>
    <w:rsid w:val="002D55EB"/>
    <w:rsid w:val="002D563C"/>
    <w:rsid w:val="002D58F7"/>
    <w:rsid w:val="002D5C45"/>
    <w:rsid w:val="002D5CB7"/>
    <w:rsid w:val="002D5CF9"/>
    <w:rsid w:val="002D5E62"/>
    <w:rsid w:val="002D5FFF"/>
    <w:rsid w:val="002D6032"/>
    <w:rsid w:val="002D62A4"/>
    <w:rsid w:val="002D62A9"/>
    <w:rsid w:val="002D636B"/>
    <w:rsid w:val="002D6CA3"/>
    <w:rsid w:val="002D6CF0"/>
    <w:rsid w:val="002D6E32"/>
    <w:rsid w:val="002D6ED3"/>
    <w:rsid w:val="002D6FFE"/>
    <w:rsid w:val="002D7047"/>
    <w:rsid w:val="002D70C1"/>
    <w:rsid w:val="002D784E"/>
    <w:rsid w:val="002D7930"/>
    <w:rsid w:val="002D7B18"/>
    <w:rsid w:val="002D7B49"/>
    <w:rsid w:val="002E090F"/>
    <w:rsid w:val="002E0967"/>
    <w:rsid w:val="002E0F16"/>
    <w:rsid w:val="002E0FA2"/>
    <w:rsid w:val="002E13A0"/>
    <w:rsid w:val="002E15B8"/>
    <w:rsid w:val="002E185A"/>
    <w:rsid w:val="002E1C42"/>
    <w:rsid w:val="002E1E26"/>
    <w:rsid w:val="002E2748"/>
    <w:rsid w:val="002E2A70"/>
    <w:rsid w:val="002E2B77"/>
    <w:rsid w:val="002E33BF"/>
    <w:rsid w:val="002E37B5"/>
    <w:rsid w:val="002E380E"/>
    <w:rsid w:val="002E3B41"/>
    <w:rsid w:val="002E3DF0"/>
    <w:rsid w:val="002E4608"/>
    <w:rsid w:val="002E4671"/>
    <w:rsid w:val="002E4E82"/>
    <w:rsid w:val="002E4EE2"/>
    <w:rsid w:val="002E5335"/>
    <w:rsid w:val="002E5734"/>
    <w:rsid w:val="002E5811"/>
    <w:rsid w:val="002E5AF7"/>
    <w:rsid w:val="002E5BA3"/>
    <w:rsid w:val="002E5BE7"/>
    <w:rsid w:val="002E5CF2"/>
    <w:rsid w:val="002E5F3B"/>
    <w:rsid w:val="002E660A"/>
    <w:rsid w:val="002E6799"/>
    <w:rsid w:val="002E6C40"/>
    <w:rsid w:val="002E6CCF"/>
    <w:rsid w:val="002E6E72"/>
    <w:rsid w:val="002E706B"/>
    <w:rsid w:val="002E7523"/>
    <w:rsid w:val="002E77A4"/>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B8F"/>
    <w:rsid w:val="002F2EEA"/>
    <w:rsid w:val="002F3437"/>
    <w:rsid w:val="002F3560"/>
    <w:rsid w:val="002F3659"/>
    <w:rsid w:val="002F381F"/>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44B"/>
    <w:rsid w:val="002F688E"/>
    <w:rsid w:val="002F6B0D"/>
    <w:rsid w:val="002F6B84"/>
    <w:rsid w:val="002F6D2F"/>
    <w:rsid w:val="002F6D5F"/>
    <w:rsid w:val="002F7193"/>
    <w:rsid w:val="002F76B2"/>
    <w:rsid w:val="002F76CC"/>
    <w:rsid w:val="002F77DD"/>
    <w:rsid w:val="002F78D9"/>
    <w:rsid w:val="002F793B"/>
    <w:rsid w:val="002F7AC3"/>
    <w:rsid w:val="003001EC"/>
    <w:rsid w:val="00300255"/>
    <w:rsid w:val="00300613"/>
    <w:rsid w:val="003008AD"/>
    <w:rsid w:val="003008E3"/>
    <w:rsid w:val="0030092E"/>
    <w:rsid w:val="00300C7C"/>
    <w:rsid w:val="00300C85"/>
    <w:rsid w:val="00300E91"/>
    <w:rsid w:val="00300EF7"/>
    <w:rsid w:val="0030122E"/>
    <w:rsid w:val="003012E2"/>
    <w:rsid w:val="00301354"/>
    <w:rsid w:val="0030179B"/>
    <w:rsid w:val="00301BE1"/>
    <w:rsid w:val="00301DB7"/>
    <w:rsid w:val="00302431"/>
    <w:rsid w:val="003026DD"/>
    <w:rsid w:val="003026F0"/>
    <w:rsid w:val="0030276D"/>
    <w:rsid w:val="00302946"/>
    <w:rsid w:val="00302A86"/>
    <w:rsid w:val="00302B76"/>
    <w:rsid w:val="00302C8D"/>
    <w:rsid w:val="00302D6C"/>
    <w:rsid w:val="00302E3D"/>
    <w:rsid w:val="00303524"/>
    <w:rsid w:val="003038CA"/>
    <w:rsid w:val="00303BB2"/>
    <w:rsid w:val="00303F41"/>
    <w:rsid w:val="00303F7C"/>
    <w:rsid w:val="003041B9"/>
    <w:rsid w:val="003041DB"/>
    <w:rsid w:val="0030429A"/>
    <w:rsid w:val="003042F3"/>
    <w:rsid w:val="00304447"/>
    <w:rsid w:val="0030452E"/>
    <w:rsid w:val="0030455B"/>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62A"/>
    <w:rsid w:val="0031177F"/>
    <w:rsid w:val="00311B7B"/>
    <w:rsid w:val="00311F51"/>
    <w:rsid w:val="003122E8"/>
    <w:rsid w:val="00312635"/>
    <w:rsid w:val="0031286F"/>
    <w:rsid w:val="00312B96"/>
    <w:rsid w:val="00312BA3"/>
    <w:rsid w:val="00313B7C"/>
    <w:rsid w:val="00313C32"/>
    <w:rsid w:val="00314017"/>
    <w:rsid w:val="00314034"/>
    <w:rsid w:val="003142C0"/>
    <w:rsid w:val="00314397"/>
    <w:rsid w:val="003144BA"/>
    <w:rsid w:val="00314523"/>
    <w:rsid w:val="00314645"/>
    <w:rsid w:val="003149A3"/>
    <w:rsid w:val="00314B2A"/>
    <w:rsid w:val="00315000"/>
    <w:rsid w:val="0031550B"/>
    <w:rsid w:val="00315540"/>
    <w:rsid w:val="00315A9D"/>
    <w:rsid w:val="00315E08"/>
    <w:rsid w:val="00315E2E"/>
    <w:rsid w:val="00316755"/>
    <w:rsid w:val="003169B6"/>
    <w:rsid w:val="00316C69"/>
    <w:rsid w:val="003171CB"/>
    <w:rsid w:val="00317261"/>
    <w:rsid w:val="0031736F"/>
    <w:rsid w:val="00317766"/>
    <w:rsid w:val="003179CF"/>
    <w:rsid w:val="00317E3D"/>
    <w:rsid w:val="00320010"/>
    <w:rsid w:val="003201FF"/>
    <w:rsid w:val="00320682"/>
    <w:rsid w:val="00320693"/>
    <w:rsid w:val="00320862"/>
    <w:rsid w:val="00320881"/>
    <w:rsid w:val="003214CE"/>
    <w:rsid w:val="00321665"/>
    <w:rsid w:val="00321A5B"/>
    <w:rsid w:val="00321D00"/>
    <w:rsid w:val="00321D56"/>
    <w:rsid w:val="00321F48"/>
    <w:rsid w:val="00321FB7"/>
    <w:rsid w:val="003220F3"/>
    <w:rsid w:val="0032220B"/>
    <w:rsid w:val="0032238A"/>
    <w:rsid w:val="00322510"/>
    <w:rsid w:val="00322A19"/>
    <w:rsid w:val="00322B6A"/>
    <w:rsid w:val="00322CD0"/>
    <w:rsid w:val="00322ED9"/>
    <w:rsid w:val="00322FA3"/>
    <w:rsid w:val="00323450"/>
    <w:rsid w:val="0032350B"/>
    <w:rsid w:val="00323BC5"/>
    <w:rsid w:val="00323BEB"/>
    <w:rsid w:val="00324673"/>
    <w:rsid w:val="00324B9B"/>
    <w:rsid w:val="00324C33"/>
    <w:rsid w:val="00324D46"/>
    <w:rsid w:val="00324DE1"/>
    <w:rsid w:val="003250DD"/>
    <w:rsid w:val="0032558B"/>
    <w:rsid w:val="003257CD"/>
    <w:rsid w:val="00325B0D"/>
    <w:rsid w:val="00325B56"/>
    <w:rsid w:val="00325D65"/>
    <w:rsid w:val="00325DF1"/>
    <w:rsid w:val="0032640C"/>
    <w:rsid w:val="0032655A"/>
    <w:rsid w:val="003268E8"/>
    <w:rsid w:val="00326C01"/>
    <w:rsid w:val="00326C1B"/>
    <w:rsid w:val="00326D93"/>
    <w:rsid w:val="003273F4"/>
    <w:rsid w:val="00327441"/>
    <w:rsid w:val="0032744B"/>
    <w:rsid w:val="00327607"/>
    <w:rsid w:val="00327618"/>
    <w:rsid w:val="00327764"/>
    <w:rsid w:val="003279D2"/>
    <w:rsid w:val="00327C5F"/>
    <w:rsid w:val="00327FFA"/>
    <w:rsid w:val="003302DF"/>
    <w:rsid w:val="00330315"/>
    <w:rsid w:val="00330788"/>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457"/>
    <w:rsid w:val="0033457B"/>
    <w:rsid w:val="00334AA7"/>
    <w:rsid w:val="0033504D"/>
    <w:rsid w:val="00335190"/>
    <w:rsid w:val="003351D9"/>
    <w:rsid w:val="0033532E"/>
    <w:rsid w:val="00335BDA"/>
    <w:rsid w:val="00335CE3"/>
    <w:rsid w:val="00335D2A"/>
    <w:rsid w:val="00335E9E"/>
    <w:rsid w:val="00336146"/>
    <w:rsid w:val="003364E2"/>
    <w:rsid w:val="00336662"/>
    <w:rsid w:val="003366AE"/>
    <w:rsid w:val="003369EE"/>
    <w:rsid w:val="00336A2E"/>
    <w:rsid w:val="00336A91"/>
    <w:rsid w:val="00336DB6"/>
    <w:rsid w:val="00336F08"/>
    <w:rsid w:val="003370CB"/>
    <w:rsid w:val="0033723E"/>
    <w:rsid w:val="0033733B"/>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E4"/>
    <w:rsid w:val="003431F1"/>
    <w:rsid w:val="00343F07"/>
    <w:rsid w:val="003443FB"/>
    <w:rsid w:val="00344488"/>
    <w:rsid w:val="003444CF"/>
    <w:rsid w:val="003445AC"/>
    <w:rsid w:val="00344760"/>
    <w:rsid w:val="0034486C"/>
    <w:rsid w:val="00344B24"/>
    <w:rsid w:val="00344E5B"/>
    <w:rsid w:val="0034500C"/>
    <w:rsid w:val="003450B8"/>
    <w:rsid w:val="00345185"/>
    <w:rsid w:val="003458B8"/>
    <w:rsid w:val="00345A37"/>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0D1"/>
    <w:rsid w:val="003502F1"/>
    <w:rsid w:val="003503E7"/>
    <w:rsid w:val="00350557"/>
    <w:rsid w:val="00350967"/>
    <w:rsid w:val="00350A35"/>
    <w:rsid w:val="00350D13"/>
    <w:rsid w:val="00350EDC"/>
    <w:rsid w:val="003510D7"/>
    <w:rsid w:val="0035152F"/>
    <w:rsid w:val="00351630"/>
    <w:rsid w:val="00351C0B"/>
    <w:rsid w:val="00351F72"/>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1B7"/>
    <w:rsid w:val="003542D4"/>
    <w:rsid w:val="003543DA"/>
    <w:rsid w:val="00354514"/>
    <w:rsid w:val="0035483F"/>
    <w:rsid w:val="00354B65"/>
    <w:rsid w:val="00354B6B"/>
    <w:rsid w:val="00354B7A"/>
    <w:rsid w:val="00354F05"/>
    <w:rsid w:val="00355439"/>
    <w:rsid w:val="003555F5"/>
    <w:rsid w:val="00355B3F"/>
    <w:rsid w:val="00355DC0"/>
    <w:rsid w:val="00355E59"/>
    <w:rsid w:val="0035616C"/>
    <w:rsid w:val="0035633C"/>
    <w:rsid w:val="00356450"/>
    <w:rsid w:val="00356A2D"/>
    <w:rsid w:val="00356ADE"/>
    <w:rsid w:val="00356DB8"/>
    <w:rsid w:val="00356EF5"/>
    <w:rsid w:val="00357466"/>
    <w:rsid w:val="0035798B"/>
    <w:rsid w:val="00357999"/>
    <w:rsid w:val="00357A18"/>
    <w:rsid w:val="00357EF9"/>
    <w:rsid w:val="00357FCD"/>
    <w:rsid w:val="00357FF5"/>
    <w:rsid w:val="00360101"/>
    <w:rsid w:val="00360125"/>
    <w:rsid w:val="00360258"/>
    <w:rsid w:val="00360590"/>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236"/>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6C8A"/>
    <w:rsid w:val="00366E70"/>
    <w:rsid w:val="003671D4"/>
    <w:rsid w:val="0036739B"/>
    <w:rsid w:val="00367409"/>
    <w:rsid w:val="00367433"/>
    <w:rsid w:val="0036748C"/>
    <w:rsid w:val="00367716"/>
    <w:rsid w:val="00367745"/>
    <w:rsid w:val="00367816"/>
    <w:rsid w:val="00367ACE"/>
    <w:rsid w:val="00367B01"/>
    <w:rsid w:val="00367DCF"/>
    <w:rsid w:val="00367F9B"/>
    <w:rsid w:val="003700CC"/>
    <w:rsid w:val="00370536"/>
    <w:rsid w:val="00370AD0"/>
    <w:rsid w:val="00370E4B"/>
    <w:rsid w:val="00370F6E"/>
    <w:rsid w:val="00371062"/>
    <w:rsid w:val="00371091"/>
    <w:rsid w:val="003714B2"/>
    <w:rsid w:val="00371518"/>
    <w:rsid w:val="0037158B"/>
    <w:rsid w:val="003717F1"/>
    <w:rsid w:val="00371BC0"/>
    <w:rsid w:val="00371ECA"/>
    <w:rsid w:val="0037209F"/>
    <w:rsid w:val="003726B7"/>
    <w:rsid w:val="00372984"/>
    <w:rsid w:val="00372A68"/>
    <w:rsid w:val="00372AE1"/>
    <w:rsid w:val="00372B4A"/>
    <w:rsid w:val="0037310C"/>
    <w:rsid w:val="00373254"/>
    <w:rsid w:val="0037325C"/>
    <w:rsid w:val="003733D9"/>
    <w:rsid w:val="003734B6"/>
    <w:rsid w:val="00373684"/>
    <w:rsid w:val="00373698"/>
    <w:rsid w:val="003738DA"/>
    <w:rsid w:val="00373990"/>
    <w:rsid w:val="00373AFB"/>
    <w:rsid w:val="00373CCC"/>
    <w:rsid w:val="00373F24"/>
    <w:rsid w:val="0037417E"/>
    <w:rsid w:val="00374622"/>
    <w:rsid w:val="0037480E"/>
    <w:rsid w:val="00374E3A"/>
    <w:rsid w:val="00374F27"/>
    <w:rsid w:val="00374FE9"/>
    <w:rsid w:val="0037539C"/>
    <w:rsid w:val="00375424"/>
    <w:rsid w:val="003754E1"/>
    <w:rsid w:val="00375597"/>
    <w:rsid w:val="00375630"/>
    <w:rsid w:val="00375BF6"/>
    <w:rsid w:val="00375E99"/>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B37"/>
    <w:rsid w:val="00377E52"/>
    <w:rsid w:val="003800DD"/>
    <w:rsid w:val="0038026E"/>
    <w:rsid w:val="0038028B"/>
    <w:rsid w:val="003805D6"/>
    <w:rsid w:val="003806E4"/>
    <w:rsid w:val="00380AC1"/>
    <w:rsid w:val="00380CFE"/>
    <w:rsid w:val="00380E9B"/>
    <w:rsid w:val="00381015"/>
    <w:rsid w:val="003814D0"/>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CB4"/>
    <w:rsid w:val="00385D1A"/>
    <w:rsid w:val="00385D43"/>
    <w:rsid w:val="00385DBC"/>
    <w:rsid w:val="00385E39"/>
    <w:rsid w:val="003861BC"/>
    <w:rsid w:val="0038630D"/>
    <w:rsid w:val="003864AE"/>
    <w:rsid w:val="003865A8"/>
    <w:rsid w:val="003868CA"/>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68C"/>
    <w:rsid w:val="00393C42"/>
    <w:rsid w:val="00393EFB"/>
    <w:rsid w:val="00394013"/>
    <w:rsid w:val="003942F1"/>
    <w:rsid w:val="00394705"/>
    <w:rsid w:val="0039480F"/>
    <w:rsid w:val="00394B28"/>
    <w:rsid w:val="00394B89"/>
    <w:rsid w:val="00395151"/>
    <w:rsid w:val="0039525E"/>
    <w:rsid w:val="003954AC"/>
    <w:rsid w:val="00395514"/>
    <w:rsid w:val="0039554E"/>
    <w:rsid w:val="003957BB"/>
    <w:rsid w:val="00395889"/>
    <w:rsid w:val="00395C25"/>
    <w:rsid w:val="00395C2B"/>
    <w:rsid w:val="00395C4B"/>
    <w:rsid w:val="00395C7A"/>
    <w:rsid w:val="00395CC6"/>
    <w:rsid w:val="00395E22"/>
    <w:rsid w:val="00395FEF"/>
    <w:rsid w:val="003961B5"/>
    <w:rsid w:val="003962D6"/>
    <w:rsid w:val="0039638D"/>
    <w:rsid w:val="003966BD"/>
    <w:rsid w:val="00396828"/>
    <w:rsid w:val="00396E02"/>
    <w:rsid w:val="00396E68"/>
    <w:rsid w:val="00397116"/>
    <w:rsid w:val="00397119"/>
    <w:rsid w:val="0039723A"/>
    <w:rsid w:val="0039752D"/>
    <w:rsid w:val="003975C0"/>
    <w:rsid w:val="003976E4"/>
    <w:rsid w:val="00397D6F"/>
    <w:rsid w:val="003A0146"/>
    <w:rsid w:val="003A03F0"/>
    <w:rsid w:val="003A0743"/>
    <w:rsid w:val="003A0C86"/>
    <w:rsid w:val="003A0EBC"/>
    <w:rsid w:val="003A193D"/>
    <w:rsid w:val="003A21D7"/>
    <w:rsid w:val="003A2335"/>
    <w:rsid w:val="003A24F9"/>
    <w:rsid w:val="003A25B0"/>
    <w:rsid w:val="003A270F"/>
    <w:rsid w:val="003A2E76"/>
    <w:rsid w:val="003A2EA3"/>
    <w:rsid w:val="003A309A"/>
    <w:rsid w:val="003A3237"/>
    <w:rsid w:val="003A3314"/>
    <w:rsid w:val="003A335C"/>
    <w:rsid w:val="003A3489"/>
    <w:rsid w:val="003A36D3"/>
    <w:rsid w:val="003A3B8F"/>
    <w:rsid w:val="003A3CAB"/>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2AC"/>
    <w:rsid w:val="003A63E1"/>
    <w:rsid w:val="003A66D7"/>
    <w:rsid w:val="003A6B58"/>
    <w:rsid w:val="003A6CDC"/>
    <w:rsid w:val="003A6E18"/>
    <w:rsid w:val="003A7265"/>
    <w:rsid w:val="003A7367"/>
    <w:rsid w:val="003A797C"/>
    <w:rsid w:val="003A7A6F"/>
    <w:rsid w:val="003A7CDD"/>
    <w:rsid w:val="003A7FF6"/>
    <w:rsid w:val="003B03F4"/>
    <w:rsid w:val="003B0413"/>
    <w:rsid w:val="003B0677"/>
    <w:rsid w:val="003B083A"/>
    <w:rsid w:val="003B0A0F"/>
    <w:rsid w:val="003B0B9C"/>
    <w:rsid w:val="003B0D40"/>
    <w:rsid w:val="003B0EC1"/>
    <w:rsid w:val="003B12DD"/>
    <w:rsid w:val="003B16D2"/>
    <w:rsid w:val="003B17F3"/>
    <w:rsid w:val="003B192B"/>
    <w:rsid w:val="003B1B21"/>
    <w:rsid w:val="003B1C17"/>
    <w:rsid w:val="003B1CB6"/>
    <w:rsid w:val="003B1DD2"/>
    <w:rsid w:val="003B202F"/>
    <w:rsid w:val="003B206D"/>
    <w:rsid w:val="003B209A"/>
    <w:rsid w:val="003B20B8"/>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47"/>
    <w:rsid w:val="003B7A53"/>
    <w:rsid w:val="003B7B24"/>
    <w:rsid w:val="003B7BB9"/>
    <w:rsid w:val="003B7BEB"/>
    <w:rsid w:val="003B7ECE"/>
    <w:rsid w:val="003C00AB"/>
    <w:rsid w:val="003C041C"/>
    <w:rsid w:val="003C0708"/>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2DB"/>
    <w:rsid w:val="003C64B5"/>
    <w:rsid w:val="003C64F7"/>
    <w:rsid w:val="003C675B"/>
    <w:rsid w:val="003C690E"/>
    <w:rsid w:val="003C6C49"/>
    <w:rsid w:val="003C6D10"/>
    <w:rsid w:val="003C6D72"/>
    <w:rsid w:val="003C6FBE"/>
    <w:rsid w:val="003C6FD0"/>
    <w:rsid w:val="003C6FFB"/>
    <w:rsid w:val="003C74C2"/>
    <w:rsid w:val="003C757F"/>
    <w:rsid w:val="003C75B1"/>
    <w:rsid w:val="003C75B4"/>
    <w:rsid w:val="003C76C0"/>
    <w:rsid w:val="003C7820"/>
    <w:rsid w:val="003C79A3"/>
    <w:rsid w:val="003D00D2"/>
    <w:rsid w:val="003D056E"/>
    <w:rsid w:val="003D0ABC"/>
    <w:rsid w:val="003D0AFB"/>
    <w:rsid w:val="003D0B4D"/>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4E8"/>
    <w:rsid w:val="003D37D4"/>
    <w:rsid w:val="003D3A0C"/>
    <w:rsid w:val="003D3E70"/>
    <w:rsid w:val="003D41F2"/>
    <w:rsid w:val="003D4347"/>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2EFF"/>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DA9"/>
    <w:rsid w:val="003E4E82"/>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C4"/>
    <w:rsid w:val="003F04C5"/>
    <w:rsid w:val="003F066F"/>
    <w:rsid w:val="003F07C3"/>
    <w:rsid w:val="003F0C9B"/>
    <w:rsid w:val="003F110B"/>
    <w:rsid w:val="003F123E"/>
    <w:rsid w:val="003F1299"/>
    <w:rsid w:val="003F1C0F"/>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3E1"/>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17A"/>
    <w:rsid w:val="003F7546"/>
    <w:rsid w:val="003F77D2"/>
    <w:rsid w:val="003F77F7"/>
    <w:rsid w:val="003F785B"/>
    <w:rsid w:val="003F78D8"/>
    <w:rsid w:val="004000F9"/>
    <w:rsid w:val="004001FC"/>
    <w:rsid w:val="00400398"/>
    <w:rsid w:val="004003A6"/>
    <w:rsid w:val="004007D0"/>
    <w:rsid w:val="0040082E"/>
    <w:rsid w:val="00400A90"/>
    <w:rsid w:val="00400B2C"/>
    <w:rsid w:val="00400D42"/>
    <w:rsid w:val="004010A5"/>
    <w:rsid w:val="004013E1"/>
    <w:rsid w:val="004016FF"/>
    <w:rsid w:val="004019EB"/>
    <w:rsid w:val="00401A04"/>
    <w:rsid w:val="00401A6B"/>
    <w:rsid w:val="00401C60"/>
    <w:rsid w:val="00401FCB"/>
    <w:rsid w:val="0040203A"/>
    <w:rsid w:val="004024A7"/>
    <w:rsid w:val="00402B30"/>
    <w:rsid w:val="00402C69"/>
    <w:rsid w:val="004030CE"/>
    <w:rsid w:val="00403424"/>
    <w:rsid w:val="004034C1"/>
    <w:rsid w:val="004034E5"/>
    <w:rsid w:val="00403504"/>
    <w:rsid w:val="00403633"/>
    <w:rsid w:val="00403812"/>
    <w:rsid w:val="00403959"/>
    <w:rsid w:val="00403B3C"/>
    <w:rsid w:val="00403DE5"/>
    <w:rsid w:val="00404053"/>
    <w:rsid w:val="00404208"/>
    <w:rsid w:val="004046CF"/>
    <w:rsid w:val="004046E0"/>
    <w:rsid w:val="00404744"/>
    <w:rsid w:val="004047F2"/>
    <w:rsid w:val="0040483C"/>
    <w:rsid w:val="004049F8"/>
    <w:rsid w:val="00404BD5"/>
    <w:rsid w:val="00404F0C"/>
    <w:rsid w:val="00404FF8"/>
    <w:rsid w:val="00405095"/>
    <w:rsid w:val="0040521E"/>
    <w:rsid w:val="00405329"/>
    <w:rsid w:val="00405517"/>
    <w:rsid w:val="00405562"/>
    <w:rsid w:val="00405961"/>
    <w:rsid w:val="004059E0"/>
    <w:rsid w:val="00405C11"/>
    <w:rsid w:val="00406009"/>
    <w:rsid w:val="004065C4"/>
    <w:rsid w:val="004066EE"/>
    <w:rsid w:val="00406765"/>
    <w:rsid w:val="00406823"/>
    <w:rsid w:val="0040693A"/>
    <w:rsid w:val="00406B99"/>
    <w:rsid w:val="00406E5B"/>
    <w:rsid w:val="00406F6F"/>
    <w:rsid w:val="004073A8"/>
    <w:rsid w:val="00407428"/>
    <w:rsid w:val="004074FF"/>
    <w:rsid w:val="004077F4"/>
    <w:rsid w:val="00407840"/>
    <w:rsid w:val="0040796E"/>
    <w:rsid w:val="004079E9"/>
    <w:rsid w:val="00407EE8"/>
    <w:rsid w:val="0041021F"/>
    <w:rsid w:val="004103F2"/>
    <w:rsid w:val="00410500"/>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20"/>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63E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3E18"/>
    <w:rsid w:val="004240E0"/>
    <w:rsid w:val="00424879"/>
    <w:rsid w:val="00424B6C"/>
    <w:rsid w:val="00424BC8"/>
    <w:rsid w:val="00424C9B"/>
    <w:rsid w:val="00424E78"/>
    <w:rsid w:val="00424F79"/>
    <w:rsid w:val="0042523D"/>
    <w:rsid w:val="0042527E"/>
    <w:rsid w:val="004252FB"/>
    <w:rsid w:val="00425683"/>
    <w:rsid w:val="004256AB"/>
    <w:rsid w:val="00425907"/>
    <w:rsid w:val="00425987"/>
    <w:rsid w:val="00425A69"/>
    <w:rsid w:val="00425B72"/>
    <w:rsid w:val="00425E08"/>
    <w:rsid w:val="00425F1B"/>
    <w:rsid w:val="004260FD"/>
    <w:rsid w:val="00426151"/>
    <w:rsid w:val="004266A3"/>
    <w:rsid w:val="004266B1"/>
    <w:rsid w:val="004275D9"/>
    <w:rsid w:val="00427696"/>
    <w:rsid w:val="00427865"/>
    <w:rsid w:val="00427876"/>
    <w:rsid w:val="004278E6"/>
    <w:rsid w:val="00427AAD"/>
    <w:rsid w:val="00430012"/>
    <w:rsid w:val="004302B7"/>
    <w:rsid w:val="0043039E"/>
    <w:rsid w:val="0043054F"/>
    <w:rsid w:val="00430567"/>
    <w:rsid w:val="004308E5"/>
    <w:rsid w:val="004309E8"/>
    <w:rsid w:val="00430B3C"/>
    <w:rsid w:val="00430DFD"/>
    <w:rsid w:val="00431096"/>
    <w:rsid w:val="00431E7C"/>
    <w:rsid w:val="004322D4"/>
    <w:rsid w:val="004323E5"/>
    <w:rsid w:val="00432570"/>
    <w:rsid w:val="0043269D"/>
    <w:rsid w:val="00432A76"/>
    <w:rsid w:val="00432F05"/>
    <w:rsid w:val="004330BC"/>
    <w:rsid w:val="00433381"/>
    <w:rsid w:val="00433783"/>
    <w:rsid w:val="0043396B"/>
    <w:rsid w:val="00433C0B"/>
    <w:rsid w:val="00434174"/>
    <w:rsid w:val="0043417D"/>
    <w:rsid w:val="00434627"/>
    <w:rsid w:val="0043479C"/>
    <w:rsid w:val="00434A59"/>
    <w:rsid w:val="00434D4B"/>
    <w:rsid w:val="00434E88"/>
    <w:rsid w:val="00435041"/>
    <w:rsid w:val="00435099"/>
    <w:rsid w:val="004350A2"/>
    <w:rsid w:val="00435101"/>
    <w:rsid w:val="00435175"/>
    <w:rsid w:val="004351AE"/>
    <w:rsid w:val="00435270"/>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33A"/>
    <w:rsid w:val="0044040B"/>
    <w:rsid w:val="00440604"/>
    <w:rsid w:val="00440A88"/>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675"/>
    <w:rsid w:val="004456CD"/>
    <w:rsid w:val="00445832"/>
    <w:rsid w:val="00445B21"/>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26E"/>
    <w:rsid w:val="0045437C"/>
    <w:rsid w:val="004543BB"/>
    <w:rsid w:val="0045453A"/>
    <w:rsid w:val="00454739"/>
    <w:rsid w:val="00454A14"/>
    <w:rsid w:val="00454A30"/>
    <w:rsid w:val="00454D6E"/>
    <w:rsid w:val="00454F63"/>
    <w:rsid w:val="00454F87"/>
    <w:rsid w:val="0045588B"/>
    <w:rsid w:val="00455D85"/>
    <w:rsid w:val="00455F9E"/>
    <w:rsid w:val="004563D6"/>
    <w:rsid w:val="00456654"/>
    <w:rsid w:val="00456C43"/>
    <w:rsid w:val="00456EC9"/>
    <w:rsid w:val="00456EF5"/>
    <w:rsid w:val="004577BF"/>
    <w:rsid w:val="0045781E"/>
    <w:rsid w:val="00457AFC"/>
    <w:rsid w:val="00457CFF"/>
    <w:rsid w:val="00457DCA"/>
    <w:rsid w:val="004600CC"/>
    <w:rsid w:val="00460494"/>
    <w:rsid w:val="004605BC"/>
    <w:rsid w:val="0046064D"/>
    <w:rsid w:val="00460985"/>
    <w:rsid w:val="00460AD1"/>
    <w:rsid w:val="00461003"/>
    <w:rsid w:val="004618B8"/>
    <w:rsid w:val="00461B72"/>
    <w:rsid w:val="00462001"/>
    <w:rsid w:val="00462117"/>
    <w:rsid w:val="00462400"/>
    <w:rsid w:val="004624B9"/>
    <w:rsid w:val="00462787"/>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5F63"/>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C45"/>
    <w:rsid w:val="00470D18"/>
    <w:rsid w:val="00470F57"/>
    <w:rsid w:val="0047102C"/>
    <w:rsid w:val="00471161"/>
    <w:rsid w:val="004711CD"/>
    <w:rsid w:val="004714E9"/>
    <w:rsid w:val="0047151E"/>
    <w:rsid w:val="00471868"/>
    <w:rsid w:val="00471A61"/>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AB1"/>
    <w:rsid w:val="00474BEC"/>
    <w:rsid w:val="00474E90"/>
    <w:rsid w:val="00474F03"/>
    <w:rsid w:val="00475053"/>
    <w:rsid w:val="004750E2"/>
    <w:rsid w:val="0047535C"/>
    <w:rsid w:val="004753C4"/>
    <w:rsid w:val="004753F4"/>
    <w:rsid w:val="00475849"/>
    <w:rsid w:val="0047592B"/>
    <w:rsid w:val="004759EC"/>
    <w:rsid w:val="00475AFC"/>
    <w:rsid w:val="00475CAF"/>
    <w:rsid w:val="00475D63"/>
    <w:rsid w:val="00475E7A"/>
    <w:rsid w:val="004762A2"/>
    <w:rsid w:val="0047635D"/>
    <w:rsid w:val="00476425"/>
    <w:rsid w:val="0047666F"/>
    <w:rsid w:val="00476711"/>
    <w:rsid w:val="004767BE"/>
    <w:rsid w:val="0047689B"/>
    <w:rsid w:val="00476AB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472"/>
    <w:rsid w:val="00487659"/>
    <w:rsid w:val="00487A90"/>
    <w:rsid w:val="00487D7A"/>
    <w:rsid w:val="00487DFF"/>
    <w:rsid w:val="00487F5F"/>
    <w:rsid w:val="00490293"/>
    <w:rsid w:val="00490383"/>
    <w:rsid w:val="004907AE"/>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54E"/>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2ED"/>
    <w:rsid w:val="004A0309"/>
    <w:rsid w:val="004A03A0"/>
    <w:rsid w:val="004A03D9"/>
    <w:rsid w:val="004A05E1"/>
    <w:rsid w:val="004A07DF"/>
    <w:rsid w:val="004A09C8"/>
    <w:rsid w:val="004A0B10"/>
    <w:rsid w:val="004A0C18"/>
    <w:rsid w:val="004A108C"/>
    <w:rsid w:val="004A12D0"/>
    <w:rsid w:val="004A13B4"/>
    <w:rsid w:val="004A15F8"/>
    <w:rsid w:val="004A162D"/>
    <w:rsid w:val="004A1826"/>
    <w:rsid w:val="004A1A6D"/>
    <w:rsid w:val="004A1D9F"/>
    <w:rsid w:val="004A1F03"/>
    <w:rsid w:val="004A1FF3"/>
    <w:rsid w:val="004A2079"/>
    <w:rsid w:val="004A21D5"/>
    <w:rsid w:val="004A22D2"/>
    <w:rsid w:val="004A22D4"/>
    <w:rsid w:val="004A2355"/>
    <w:rsid w:val="004A23F0"/>
    <w:rsid w:val="004A272C"/>
    <w:rsid w:val="004A2805"/>
    <w:rsid w:val="004A2F7C"/>
    <w:rsid w:val="004A3152"/>
    <w:rsid w:val="004A3254"/>
    <w:rsid w:val="004A3261"/>
    <w:rsid w:val="004A34F8"/>
    <w:rsid w:val="004A3878"/>
    <w:rsid w:val="004A3A7E"/>
    <w:rsid w:val="004A3DA9"/>
    <w:rsid w:val="004A3E7B"/>
    <w:rsid w:val="004A3FB2"/>
    <w:rsid w:val="004A4356"/>
    <w:rsid w:val="004A43BE"/>
    <w:rsid w:val="004A43E6"/>
    <w:rsid w:val="004A4627"/>
    <w:rsid w:val="004A4629"/>
    <w:rsid w:val="004A4774"/>
    <w:rsid w:val="004A4B32"/>
    <w:rsid w:val="004A4CFD"/>
    <w:rsid w:val="004A537E"/>
    <w:rsid w:val="004A545D"/>
    <w:rsid w:val="004A5541"/>
    <w:rsid w:val="004A5660"/>
    <w:rsid w:val="004A5DD6"/>
    <w:rsid w:val="004A5E07"/>
    <w:rsid w:val="004A5F03"/>
    <w:rsid w:val="004A5F07"/>
    <w:rsid w:val="004A60A1"/>
    <w:rsid w:val="004A6101"/>
    <w:rsid w:val="004A6334"/>
    <w:rsid w:val="004A643D"/>
    <w:rsid w:val="004A6C66"/>
    <w:rsid w:val="004A713E"/>
    <w:rsid w:val="004A72C3"/>
    <w:rsid w:val="004A73E9"/>
    <w:rsid w:val="004A7680"/>
    <w:rsid w:val="004A77AA"/>
    <w:rsid w:val="004A77B4"/>
    <w:rsid w:val="004A79E6"/>
    <w:rsid w:val="004B028E"/>
    <w:rsid w:val="004B038D"/>
    <w:rsid w:val="004B03C3"/>
    <w:rsid w:val="004B06B6"/>
    <w:rsid w:val="004B08AF"/>
    <w:rsid w:val="004B0A61"/>
    <w:rsid w:val="004B0AEA"/>
    <w:rsid w:val="004B0BD9"/>
    <w:rsid w:val="004B0E7C"/>
    <w:rsid w:val="004B105B"/>
    <w:rsid w:val="004B14A4"/>
    <w:rsid w:val="004B14E1"/>
    <w:rsid w:val="004B15AD"/>
    <w:rsid w:val="004B15F1"/>
    <w:rsid w:val="004B17CB"/>
    <w:rsid w:val="004B187E"/>
    <w:rsid w:val="004B1891"/>
    <w:rsid w:val="004B18BE"/>
    <w:rsid w:val="004B1B1F"/>
    <w:rsid w:val="004B203E"/>
    <w:rsid w:val="004B20F7"/>
    <w:rsid w:val="004B277F"/>
    <w:rsid w:val="004B28A2"/>
    <w:rsid w:val="004B2BFD"/>
    <w:rsid w:val="004B33B9"/>
    <w:rsid w:val="004B340E"/>
    <w:rsid w:val="004B3420"/>
    <w:rsid w:val="004B37E4"/>
    <w:rsid w:val="004B399F"/>
    <w:rsid w:val="004B39D5"/>
    <w:rsid w:val="004B39F4"/>
    <w:rsid w:val="004B3F7A"/>
    <w:rsid w:val="004B41DE"/>
    <w:rsid w:val="004B42FD"/>
    <w:rsid w:val="004B438E"/>
    <w:rsid w:val="004B440A"/>
    <w:rsid w:val="004B496B"/>
    <w:rsid w:val="004B4A44"/>
    <w:rsid w:val="004B4BEA"/>
    <w:rsid w:val="004B4BEE"/>
    <w:rsid w:val="004B50E8"/>
    <w:rsid w:val="004B5595"/>
    <w:rsid w:val="004B55C4"/>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3B1"/>
    <w:rsid w:val="004C1479"/>
    <w:rsid w:val="004C14A0"/>
    <w:rsid w:val="004C1697"/>
    <w:rsid w:val="004C1747"/>
    <w:rsid w:val="004C1A61"/>
    <w:rsid w:val="004C1D49"/>
    <w:rsid w:val="004C1E97"/>
    <w:rsid w:val="004C1EF5"/>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3ED8"/>
    <w:rsid w:val="004C44E0"/>
    <w:rsid w:val="004C44E5"/>
    <w:rsid w:val="004C4550"/>
    <w:rsid w:val="004C4814"/>
    <w:rsid w:val="004C48EC"/>
    <w:rsid w:val="004C4A8E"/>
    <w:rsid w:val="004C4F0A"/>
    <w:rsid w:val="004C4FC4"/>
    <w:rsid w:val="004C50E9"/>
    <w:rsid w:val="004C5230"/>
    <w:rsid w:val="004C53F2"/>
    <w:rsid w:val="004C55A3"/>
    <w:rsid w:val="004C55CC"/>
    <w:rsid w:val="004C57DB"/>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3A4"/>
    <w:rsid w:val="004C7503"/>
    <w:rsid w:val="004C764C"/>
    <w:rsid w:val="004C76F3"/>
    <w:rsid w:val="004C776E"/>
    <w:rsid w:val="004C77D9"/>
    <w:rsid w:val="004C7921"/>
    <w:rsid w:val="004C7B8C"/>
    <w:rsid w:val="004C7F3E"/>
    <w:rsid w:val="004D05F3"/>
    <w:rsid w:val="004D08BF"/>
    <w:rsid w:val="004D0B9F"/>
    <w:rsid w:val="004D0C77"/>
    <w:rsid w:val="004D0DD6"/>
    <w:rsid w:val="004D0FF1"/>
    <w:rsid w:val="004D1027"/>
    <w:rsid w:val="004D13B6"/>
    <w:rsid w:val="004D156A"/>
    <w:rsid w:val="004D1B28"/>
    <w:rsid w:val="004D1BF3"/>
    <w:rsid w:val="004D1D5E"/>
    <w:rsid w:val="004D1E00"/>
    <w:rsid w:val="004D1FEF"/>
    <w:rsid w:val="004D2285"/>
    <w:rsid w:val="004D238F"/>
    <w:rsid w:val="004D323C"/>
    <w:rsid w:val="004D35C6"/>
    <w:rsid w:val="004D378E"/>
    <w:rsid w:val="004D3797"/>
    <w:rsid w:val="004D3A2C"/>
    <w:rsid w:val="004D3B94"/>
    <w:rsid w:val="004D3BF7"/>
    <w:rsid w:val="004D3E24"/>
    <w:rsid w:val="004D3FDF"/>
    <w:rsid w:val="004D4312"/>
    <w:rsid w:val="004D4368"/>
    <w:rsid w:val="004D4544"/>
    <w:rsid w:val="004D4647"/>
    <w:rsid w:val="004D4C47"/>
    <w:rsid w:val="004D5477"/>
    <w:rsid w:val="004D5745"/>
    <w:rsid w:val="004D5CD9"/>
    <w:rsid w:val="004D5E82"/>
    <w:rsid w:val="004D5F42"/>
    <w:rsid w:val="004D602D"/>
    <w:rsid w:val="004D6687"/>
    <w:rsid w:val="004D6CF4"/>
    <w:rsid w:val="004D6E44"/>
    <w:rsid w:val="004D6EDA"/>
    <w:rsid w:val="004D6EE2"/>
    <w:rsid w:val="004D6F65"/>
    <w:rsid w:val="004D7543"/>
    <w:rsid w:val="004D76BF"/>
    <w:rsid w:val="004D771F"/>
    <w:rsid w:val="004D7841"/>
    <w:rsid w:val="004D79F3"/>
    <w:rsid w:val="004D7B81"/>
    <w:rsid w:val="004E006E"/>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7AD"/>
    <w:rsid w:val="004E39FA"/>
    <w:rsid w:val="004E3AE0"/>
    <w:rsid w:val="004E3C70"/>
    <w:rsid w:val="004E3EFB"/>
    <w:rsid w:val="004E4161"/>
    <w:rsid w:val="004E438B"/>
    <w:rsid w:val="004E443C"/>
    <w:rsid w:val="004E451A"/>
    <w:rsid w:val="004E49E3"/>
    <w:rsid w:val="004E4A26"/>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786"/>
    <w:rsid w:val="004E7B88"/>
    <w:rsid w:val="004E7CA9"/>
    <w:rsid w:val="004E7CE1"/>
    <w:rsid w:val="004E7D7E"/>
    <w:rsid w:val="004E7FA9"/>
    <w:rsid w:val="004F0057"/>
    <w:rsid w:val="004F0144"/>
    <w:rsid w:val="004F01C3"/>
    <w:rsid w:val="004F01DD"/>
    <w:rsid w:val="004F0776"/>
    <w:rsid w:val="004F0C08"/>
    <w:rsid w:val="004F0D65"/>
    <w:rsid w:val="004F0D81"/>
    <w:rsid w:val="004F10BF"/>
    <w:rsid w:val="004F1A7B"/>
    <w:rsid w:val="004F1AC2"/>
    <w:rsid w:val="004F1FAC"/>
    <w:rsid w:val="004F1FBB"/>
    <w:rsid w:val="004F1FE4"/>
    <w:rsid w:val="004F212A"/>
    <w:rsid w:val="004F217D"/>
    <w:rsid w:val="004F2B33"/>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F3E"/>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C8"/>
    <w:rsid w:val="005055E5"/>
    <w:rsid w:val="005057EA"/>
    <w:rsid w:val="00505A5D"/>
    <w:rsid w:val="00505B38"/>
    <w:rsid w:val="00505D2E"/>
    <w:rsid w:val="00505D76"/>
    <w:rsid w:val="00506037"/>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25"/>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821"/>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B2E"/>
    <w:rsid w:val="00523E19"/>
    <w:rsid w:val="00523F25"/>
    <w:rsid w:val="00524136"/>
    <w:rsid w:val="00524150"/>
    <w:rsid w:val="00524370"/>
    <w:rsid w:val="005244C5"/>
    <w:rsid w:val="00524596"/>
    <w:rsid w:val="005245BB"/>
    <w:rsid w:val="00524693"/>
    <w:rsid w:val="005246B0"/>
    <w:rsid w:val="0052474E"/>
    <w:rsid w:val="00524C6A"/>
    <w:rsid w:val="00524E7C"/>
    <w:rsid w:val="00524F60"/>
    <w:rsid w:val="005256E5"/>
    <w:rsid w:val="00525992"/>
    <w:rsid w:val="00525A0D"/>
    <w:rsid w:val="00525F61"/>
    <w:rsid w:val="005260C5"/>
    <w:rsid w:val="0052615C"/>
    <w:rsid w:val="00526293"/>
    <w:rsid w:val="0052643B"/>
    <w:rsid w:val="005264A5"/>
    <w:rsid w:val="005264C6"/>
    <w:rsid w:val="005267DC"/>
    <w:rsid w:val="00526827"/>
    <w:rsid w:val="00526BD8"/>
    <w:rsid w:val="00526CA2"/>
    <w:rsid w:val="00526CA8"/>
    <w:rsid w:val="00526CCF"/>
    <w:rsid w:val="00526D49"/>
    <w:rsid w:val="00526E1F"/>
    <w:rsid w:val="00526EBD"/>
    <w:rsid w:val="00526F0B"/>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9DA"/>
    <w:rsid w:val="00532B79"/>
    <w:rsid w:val="00532BDF"/>
    <w:rsid w:val="00532D8A"/>
    <w:rsid w:val="005332CE"/>
    <w:rsid w:val="00533353"/>
    <w:rsid w:val="005337E4"/>
    <w:rsid w:val="00533922"/>
    <w:rsid w:val="00533C3D"/>
    <w:rsid w:val="00533E9B"/>
    <w:rsid w:val="00533FA2"/>
    <w:rsid w:val="00533FA7"/>
    <w:rsid w:val="00533FDB"/>
    <w:rsid w:val="00534343"/>
    <w:rsid w:val="00534644"/>
    <w:rsid w:val="00534757"/>
    <w:rsid w:val="00534AEC"/>
    <w:rsid w:val="00535183"/>
    <w:rsid w:val="00535205"/>
    <w:rsid w:val="00535232"/>
    <w:rsid w:val="00535388"/>
    <w:rsid w:val="0053548F"/>
    <w:rsid w:val="005358B3"/>
    <w:rsid w:val="00535B25"/>
    <w:rsid w:val="00535C32"/>
    <w:rsid w:val="00535D4D"/>
    <w:rsid w:val="00535E8F"/>
    <w:rsid w:val="00536069"/>
    <w:rsid w:val="0053639C"/>
    <w:rsid w:val="005365AA"/>
    <w:rsid w:val="00536692"/>
    <w:rsid w:val="00536975"/>
    <w:rsid w:val="0053698E"/>
    <w:rsid w:val="00536B68"/>
    <w:rsid w:val="00536B76"/>
    <w:rsid w:val="00536D4D"/>
    <w:rsid w:val="00537035"/>
    <w:rsid w:val="00537468"/>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2FF6"/>
    <w:rsid w:val="00543466"/>
    <w:rsid w:val="005435DD"/>
    <w:rsid w:val="00543717"/>
    <w:rsid w:val="00543A8D"/>
    <w:rsid w:val="00543B2D"/>
    <w:rsid w:val="00543D45"/>
    <w:rsid w:val="00543F46"/>
    <w:rsid w:val="00543F92"/>
    <w:rsid w:val="00544082"/>
    <w:rsid w:val="00544248"/>
    <w:rsid w:val="005448F5"/>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100"/>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D4E"/>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2CE"/>
    <w:rsid w:val="005534DF"/>
    <w:rsid w:val="005535AA"/>
    <w:rsid w:val="0055362B"/>
    <w:rsid w:val="005536A7"/>
    <w:rsid w:val="005537A2"/>
    <w:rsid w:val="00553DAD"/>
    <w:rsid w:val="00554758"/>
    <w:rsid w:val="00554ACD"/>
    <w:rsid w:val="00554C20"/>
    <w:rsid w:val="00554D5C"/>
    <w:rsid w:val="00554D72"/>
    <w:rsid w:val="00554DAD"/>
    <w:rsid w:val="00554FA2"/>
    <w:rsid w:val="005550E6"/>
    <w:rsid w:val="0055520C"/>
    <w:rsid w:val="005554BC"/>
    <w:rsid w:val="005558D9"/>
    <w:rsid w:val="00555B72"/>
    <w:rsid w:val="00555BD7"/>
    <w:rsid w:val="00555CF6"/>
    <w:rsid w:val="00555E19"/>
    <w:rsid w:val="00556361"/>
    <w:rsid w:val="0055640E"/>
    <w:rsid w:val="005564B8"/>
    <w:rsid w:val="0055673E"/>
    <w:rsid w:val="005569FC"/>
    <w:rsid w:val="00556A21"/>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CA1"/>
    <w:rsid w:val="00560F0F"/>
    <w:rsid w:val="005610A0"/>
    <w:rsid w:val="005612D0"/>
    <w:rsid w:val="00561631"/>
    <w:rsid w:val="0056185C"/>
    <w:rsid w:val="00561D50"/>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54A"/>
    <w:rsid w:val="00564562"/>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986"/>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4F3"/>
    <w:rsid w:val="00573647"/>
    <w:rsid w:val="00573903"/>
    <w:rsid w:val="005739D7"/>
    <w:rsid w:val="00573B1A"/>
    <w:rsid w:val="00573BC0"/>
    <w:rsid w:val="00573D33"/>
    <w:rsid w:val="00573DC5"/>
    <w:rsid w:val="00574223"/>
    <w:rsid w:val="005749D2"/>
    <w:rsid w:val="00574D66"/>
    <w:rsid w:val="00574E2E"/>
    <w:rsid w:val="00574EBC"/>
    <w:rsid w:val="00575284"/>
    <w:rsid w:val="0057546D"/>
    <w:rsid w:val="0057554A"/>
    <w:rsid w:val="00575822"/>
    <w:rsid w:val="00575973"/>
    <w:rsid w:val="00575CA0"/>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42B"/>
    <w:rsid w:val="00582669"/>
    <w:rsid w:val="00582D68"/>
    <w:rsid w:val="00582E7D"/>
    <w:rsid w:val="00582E8D"/>
    <w:rsid w:val="005830F1"/>
    <w:rsid w:val="005833D3"/>
    <w:rsid w:val="00583454"/>
    <w:rsid w:val="00583944"/>
    <w:rsid w:val="00583E5F"/>
    <w:rsid w:val="00584205"/>
    <w:rsid w:val="00584757"/>
    <w:rsid w:val="00584838"/>
    <w:rsid w:val="005848B7"/>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ED5"/>
    <w:rsid w:val="00586F26"/>
    <w:rsid w:val="00587122"/>
    <w:rsid w:val="00587E8E"/>
    <w:rsid w:val="00590248"/>
    <w:rsid w:val="005903FA"/>
    <w:rsid w:val="005906DF"/>
    <w:rsid w:val="0059077C"/>
    <w:rsid w:val="00590885"/>
    <w:rsid w:val="00591000"/>
    <w:rsid w:val="0059119C"/>
    <w:rsid w:val="005911E2"/>
    <w:rsid w:val="005912BE"/>
    <w:rsid w:val="005916D5"/>
    <w:rsid w:val="005918AF"/>
    <w:rsid w:val="00591940"/>
    <w:rsid w:val="00591C6E"/>
    <w:rsid w:val="00591CC1"/>
    <w:rsid w:val="00591CC9"/>
    <w:rsid w:val="00591EF0"/>
    <w:rsid w:val="00592620"/>
    <w:rsid w:val="005926E2"/>
    <w:rsid w:val="00592AA8"/>
    <w:rsid w:val="005931F5"/>
    <w:rsid w:val="00593202"/>
    <w:rsid w:val="0059340C"/>
    <w:rsid w:val="00593546"/>
    <w:rsid w:val="005940A3"/>
    <w:rsid w:val="0059433E"/>
    <w:rsid w:val="00594376"/>
    <w:rsid w:val="00594451"/>
    <w:rsid w:val="0059465D"/>
    <w:rsid w:val="00594939"/>
    <w:rsid w:val="005949B6"/>
    <w:rsid w:val="00594A50"/>
    <w:rsid w:val="00594A8C"/>
    <w:rsid w:val="005951D7"/>
    <w:rsid w:val="0059526A"/>
    <w:rsid w:val="005958A4"/>
    <w:rsid w:val="00595993"/>
    <w:rsid w:val="00595A40"/>
    <w:rsid w:val="00595CF0"/>
    <w:rsid w:val="00595ECA"/>
    <w:rsid w:val="0059622C"/>
    <w:rsid w:val="0059629E"/>
    <w:rsid w:val="005967D4"/>
    <w:rsid w:val="0059681A"/>
    <w:rsid w:val="00596B26"/>
    <w:rsid w:val="00596B65"/>
    <w:rsid w:val="00596CA5"/>
    <w:rsid w:val="00596DEF"/>
    <w:rsid w:val="00596E2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29F"/>
    <w:rsid w:val="005A2383"/>
    <w:rsid w:val="005A2C93"/>
    <w:rsid w:val="005A2D82"/>
    <w:rsid w:val="005A2DFD"/>
    <w:rsid w:val="005A2E96"/>
    <w:rsid w:val="005A2F88"/>
    <w:rsid w:val="005A3447"/>
    <w:rsid w:val="005A3602"/>
    <w:rsid w:val="005A36B6"/>
    <w:rsid w:val="005A3C8C"/>
    <w:rsid w:val="005A3DA1"/>
    <w:rsid w:val="005A4487"/>
    <w:rsid w:val="005A4977"/>
    <w:rsid w:val="005A4A3A"/>
    <w:rsid w:val="005A4ECB"/>
    <w:rsid w:val="005A5135"/>
    <w:rsid w:val="005A54D4"/>
    <w:rsid w:val="005A5B14"/>
    <w:rsid w:val="005A5BDE"/>
    <w:rsid w:val="005A5F29"/>
    <w:rsid w:val="005A602F"/>
    <w:rsid w:val="005A60E0"/>
    <w:rsid w:val="005A633C"/>
    <w:rsid w:val="005A6A47"/>
    <w:rsid w:val="005A6BF6"/>
    <w:rsid w:val="005A6E15"/>
    <w:rsid w:val="005A6EFE"/>
    <w:rsid w:val="005A6FCF"/>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51B"/>
    <w:rsid w:val="005B18B3"/>
    <w:rsid w:val="005B1AB3"/>
    <w:rsid w:val="005B1D40"/>
    <w:rsid w:val="005B1F12"/>
    <w:rsid w:val="005B20C7"/>
    <w:rsid w:val="005B215A"/>
    <w:rsid w:val="005B248D"/>
    <w:rsid w:val="005B25EC"/>
    <w:rsid w:val="005B2820"/>
    <w:rsid w:val="005B2CBF"/>
    <w:rsid w:val="005B3005"/>
    <w:rsid w:val="005B31C8"/>
    <w:rsid w:val="005B3204"/>
    <w:rsid w:val="005B363A"/>
    <w:rsid w:val="005B3A83"/>
    <w:rsid w:val="005B466D"/>
    <w:rsid w:val="005B4BB9"/>
    <w:rsid w:val="005B4E94"/>
    <w:rsid w:val="005B4EE9"/>
    <w:rsid w:val="005B4F48"/>
    <w:rsid w:val="005B5615"/>
    <w:rsid w:val="005B56F3"/>
    <w:rsid w:val="005B5751"/>
    <w:rsid w:val="005B57A5"/>
    <w:rsid w:val="005B5BCE"/>
    <w:rsid w:val="005B5CB2"/>
    <w:rsid w:val="005B60C7"/>
    <w:rsid w:val="005B60D6"/>
    <w:rsid w:val="005B636A"/>
    <w:rsid w:val="005B640F"/>
    <w:rsid w:val="005B6763"/>
    <w:rsid w:val="005B6933"/>
    <w:rsid w:val="005B69F0"/>
    <w:rsid w:val="005B6A18"/>
    <w:rsid w:val="005B7207"/>
    <w:rsid w:val="005B780A"/>
    <w:rsid w:val="005B7E45"/>
    <w:rsid w:val="005B7F65"/>
    <w:rsid w:val="005C0039"/>
    <w:rsid w:val="005C0448"/>
    <w:rsid w:val="005C057F"/>
    <w:rsid w:val="005C0981"/>
    <w:rsid w:val="005C098F"/>
    <w:rsid w:val="005C0A8D"/>
    <w:rsid w:val="005C0BF7"/>
    <w:rsid w:val="005C0BFD"/>
    <w:rsid w:val="005C1201"/>
    <w:rsid w:val="005C131D"/>
    <w:rsid w:val="005C1634"/>
    <w:rsid w:val="005C1AC5"/>
    <w:rsid w:val="005C1B7D"/>
    <w:rsid w:val="005C22C3"/>
    <w:rsid w:val="005C2352"/>
    <w:rsid w:val="005C28BB"/>
    <w:rsid w:val="005C2956"/>
    <w:rsid w:val="005C2DD4"/>
    <w:rsid w:val="005C2E02"/>
    <w:rsid w:val="005C2E7C"/>
    <w:rsid w:val="005C2F04"/>
    <w:rsid w:val="005C2FE4"/>
    <w:rsid w:val="005C3288"/>
    <w:rsid w:val="005C33E8"/>
    <w:rsid w:val="005C389C"/>
    <w:rsid w:val="005C3A23"/>
    <w:rsid w:val="005C3B0C"/>
    <w:rsid w:val="005C3BF3"/>
    <w:rsid w:val="005C3CFC"/>
    <w:rsid w:val="005C3E80"/>
    <w:rsid w:val="005C407B"/>
    <w:rsid w:val="005C4284"/>
    <w:rsid w:val="005C43E1"/>
    <w:rsid w:val="005C43E2"/>
    <w:rsid w:val="005C469E"/>
    <w:rsid w:val="005C4877"/>
    <w:rsid w:val="005C4892"/>
    <w:rsid w:val="005C4922"/>
    <w:rsid w:val="005C4EAA"/>
    <w:rsid w:val="005C4F04"/>
    <w:rsid w:val="005C5095"/>
    <w:rsid w:val="005C53DD"/>
    <w:rsid w:val="005C58FD"/>
    <w:rsid w:val="005C5A7E"/>
    <w:rsid w:val="005C5B7B"/>
    <w:rsid w:val="005C5BE0"/>
    <w:rsid w:val="005C5DF6"/>
    <w:rsid w:val="005C5EE0"/>
    <w:rsid w:val="005C6425"/>
    <w:rsid w:val="005C65AB"/>
    <w:rsid w:val="005C65D0"/>
    <w:rsid w:val="005C684A"/>
    <w:rsid w:val="005C69BE"/>
    <w:rsid w:val="005C6A03"/>
    <w:rsid w:val="005C6ADA"/>
    <w:rsid w:val="005C6C3D"/>
    <w:rsid w:val="005C6D2E"/>
    <w:rsid w:val="005C6DDF"/>
    <w:rsid w:val="005C6ED2"/>
    <w:rsid w:val="005C71A6"/>
    <w:rsid w:val="005C71EA"/>
    <w:rsid w:val="005C730E"/>
    <w:rsid w:val="005C74DA"/>
    <w:rsid w:val="005C78FE"/>
    <w:rsid w:val="005C79AA"/>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045"/>
    <w:rsid w:val="005D3430"/>
    <w:rsid w:val="005D360C"/>
    <w:rsid w:val="005D36CE"/>
    <w:rsid w:val="005D3779"/>
    <w:rsid w:val="005D39EF"/>
    <w:rsid w:val="005D3B50"/>
    <w:rsid w:val="005D3D94"/>
    <w:rsid w:val="005D3E72"/>
    <w:rsid w:val="005D4028"/>
    <w:rsid w:val="005D4997"/>
    <w:rsid w:val="005D51F0"/>
    <w:rsid w:val="005D5298"/>
    <w:rsid w:val="005D52A1"/>
    <w:rsid w:val="005D532B"/>
    <w:rsid w:val="005D5392"/>
    <w:rsid w:val="005D54EF"/>
    <w:rsid w:val="005D5533"/>
    <w:rsid w:val="005D5556"/>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441"/>
    <w:rsid w:val="005E1480"/>
    <w:rsid w:val="005E1512"/>
    <w:rsid w:val="005E15E3"/>
    <w:rsid w:val="005E180C"/>
    <w:rsid w:val="005E1A55"/>
    <w:rsid w:val="005E1D5D"/>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C0F"/>
    <w:rsid w:val="005E3CBE"/>
    <w:rsid w:val="005E3D05"/>
    <w:rsid w:val="005E3E22"/>
    <w:rsid w:val="005E3F5B"/>
    <w:rsid w:val="005E443D"/>
    <w:rsid w:val="005E449A"/>
    <w:rsid w:val="005E45FB"/>
    <w:rsid w:val="005E4723"/>
    <w:rsid w:val="005E4E46"/>
    <w:rsid w:val="005E50AA"/>
    <w:rsid w:val="005E51EC"/>
    <w:rsid w:val="005E521A"/>
    <w:rsid w:val="005E526A"/>
    <w:rsid w:val="005E5311"/>
    <w:rsid w:val="005E565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4AA"/>
    <w:rsid w:val="005F0691"/>
    <w:rsid w:val="005F070A"/>
    <w:rsid w:val="005F09F5"/>
    <w:rsid w:val="005F0A4B"/>
    <w:rsid w:val="005F0A74"/>
    <w:rsid w:val="005F0BF7"/>
    <w:rsid w:val="005F1311"/>
    <w:rsid w:val="005F14F7"/>
    <w:rsid w:val="005F1558"/>
    <w:rsid w:val="005F188D"/>
    <w:rsid w:val="005F1D8D"/>
    <w:rsid w:val="005F21C9"/>
    <w:rsid w:val="005F241F"/>
    <w:rsid w:val="005F247D"/>
    <w:rsid w:val="005F26B1"/>
    <w:rsid w:val="005F2961"/>
    <w:rsid w:val="005F2EF6"/>
    <w:rsid w:val="005F30BF"/>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719"/>
    <w:rsid w:val="005F68A0"/>
    <w:rsid w:val="005F69B7"/>
    <w:rsid w:val="005F6AC0"/>
    <w:rsid w:val="005F6D52"/>
    <w:rsid w:val="005F73C6"/>
    <w:rsid w:val="005F7421"/>
    <w:rsid w:val="005F7DB6"/>
    <w:rsid w:val="005F7E7B"/>
    <w:rsid w:val="005F7ECA"/>
    <w:rsid w:val="0060026E"/>
    <w:rsid w:val="00600389"/>
    <w:rsid w:val="0060043C"/>
    <w:rsid w:val="00600815"/>
    <w:rsid w:val="006009AC"/>
    <w:rsid w:val="006009F3"/>
    <w:rsid w:val="00600E99"/>
    <w:rsid w:val="006011BA"/>
    <w:rsid w:val="0060138B"/>
    <w:rsid w:val="0060144C"/>
    <w:rsid w:val="00601957"/>
    <w:rsid w:val="00602081"/>
    <w:rsid w:val="00602180"/>
    <w:rsid w:val="00602383"/>
    <w:rsid w:val="006023DB"/>
    <w:rsid w:val="006026AC"/>
    <w:rsid w:val="006026E6"/>
    <w:rsid w:val="00602BEF"/>
    <w:rsid w:val="00602E57"/>
    <w:rsid w:val="00603012"/>
    <w:rsid w:val="006030BB"/>
    <w:rsid w:val="006030BD"/>
    <w:rsid w:val="0060341E"/>
    <w:rsid w:val="00603808"/>
    <w:rsid w:val="00603C02"/>
    <w:rsid w:val="00603C48"/>
    <w:rsid w:val="00604455"/>
    <w:rsid w:val="006047B1"/>
    <w:rsid w:val="006047D4"/>
    <w:rsid w:val="00604C70"/>
    <w:rsid w:val="00604DE8"/>
    <w:rsid w:val="00605261"/>
    <w:rsid w:val="00605330"/>
    <w:rsid w:val="0060548A"/>
    <w:rsid w:val="006054D2"/>
    <w:rsid w:val="006055B8"/>
    <w:rsid w:val="0060563D"/>
    <w:rsid w:val="00605890"/>
    <w:rsid w:val="00605BA1"/>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0DC"/>
    <w:rsid w:val="00610168"/>
    <w:rsid w:val="006101F7"/>
    <w:rsid w:val="0061038F"/>
    <w:rsid w:val="00610465"/>
    <w:rsid w:val="00610479"/>
    <w:rsid w:val="00610A82"/>
    <w:rsid w:val="00610A92"/>
    <w:rsid w:val="00610BAF"/>
    <w:rsid w:val="00611228"/>
    <w:rsid w:val="0061156F"/>
    <w:rsid w:val="00611990"/>
    <w:rsid w:val="00611A45"/>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B14"/>
    <w:rsid w:val="00620D96"/>
    <w:rsid w:val="00621183"/>
    <w:rsid w:val="0062190D"/>
    <w:rsid w:val="006219AD"/>
    <w:rsid w:val="00621B7A"/>
    <w:rsid w:val="00621C4D"/>
    <w:rsid w:val="00621D64"/>
    <w:rsid w:val="00621E10"/>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7AB"/>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B55"/>
    <w:rsid w:val="00631DA7"/>
    <w:rsid w:val="00631FF6"/>
    <w:rsid w:val="00632021"/>
    <w:rsid w:val="0063274C"/>
    <w:rsid w:val="00632A39"/>
    <w:rsid w:val="00632C15"/>
    <w:rsid w:val="00632EE5"/>
    <w:rsid w:val="00632F4A"/>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393"/>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DF3"/>
    <w:rsid w:val="00637E56"/>
    <w:rsid w:val="006400B3"/>
    <w:rsid w:val="00640161"/>
    <w:rsid w:val="0064022B"/>
    <w:rsid w:val="00640412"/>
    <w:rsid w:val="006405B9"/>
    <w:rsid w:val="006406E9"/>
    <w:rsid w:val="00640825"/>
    <w:rsid w:val="00640967"/>
    <w:rsid w:val="006409F4"/>
    <w:rsid w:val="00640AA9"/>
    <w:rsid w:val="00640AEF"/>
    <w:rsid w:val="00640D07"/>
    <w:rsid w:val="00641298"/>
    <w:rsid w:val="0064145C"/>
    <w:rsid w:val="00641F9C"/>
    <w:rsid w:val="0064200B"/>
    <w:rsid w:val="0064202D"/>
    <w:rsid w:val="0064226C"/>
    <w:rsid w:val="0064238B"/>
    <w:rsid w:val="00642683"/>
    <w:rsid w:val="006429DB"/>
    <w:rsid w:val="00642A43"/>
    <w:rsid w:val="00642C89"/>
    <w:rsid w:val="00642E31"/>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D67"/>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DDF"/>
    <w:rsid w:val="00647EB2"/>
    <w:rsid w:val="00647FD7"/>
    <w:rsid w:val="00647FE5"/>
    <w:rsid w:val="0065008E"/>
    <w:rsid w:val="00650091"/>
    <w:rsid w:val="00650092"/>
    <w:rsid w:val="00650313"/>
    <w:rsid w:val="006506EC"/>
    <w:rsid w:val="0065098C"/>
    <w:rsid w:val="00650D8F"/>
    <w:rsid w:val="00651340"/>
    <w:rsid w:val="006513A5"/>
    <w:rsid w:val="006513C3"/>
    <w:rsid w:val="0065154B"/>
    <w:rsid w:val="00651686"/>
    <w:rsid w:val="0065172C"/>
    <w:rsid w:val="00651740"/>
    <w:rsid w:val="0065180D"/>
    <w:rsid w:val="00651A4F"/>
    <w:rsid w:val="00651C93"/>
    <w:rsid w:val="00651CD7"/>
    <w:rsid w:val="00651E14"/>
    <w:rsid w:val="00651FF6"/>
    <w:rsid w:val="006520E3"/>
    <w:rsid w:val="006522EC"/>
    <w:rsid w:val="00652641"/>
    <w:rsid w:val="006527D6"/>
    <w:rsid w:val="00652939"/>
    <w:rsid w:val="0065299B"/>
    <w:rsid w:val="00652AA8"/>
    <w:rsid w:val="00652CC1"/>
    <w:rsid w:val="0065326D"/>
    <w:rsid w:val="0065343C"/>
    <w:rsid w:val="0065343E"/>
    <w:rsid w:val="0065373D"/>
    <w:rsid w:val="00653842"/>
    <w:rsid w:val="006539EE"/>
    <w:rsid w:val="00653DC7"/>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79"/>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D14"/>
    <w:rsid w:val="00660E89"/>
    <w:rsid w:val="00660EFE"/>
    <w:rsid w:val="00661320"/>
    <w:rsid w:val="00661804"/>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1"/>
    <w:rsid w:val="006646A5"/>
    <w:rsid w:val="0066470A"/>
    <w:rsid w:val="00664883"/>
    <w:rsid w:val="00664975"/>
    <w:rsid w:val="00664ADF"/>
    <w:rsid w:val="00664CFD"/>
    <w:rsid w:val="00665A2E"/>
    <w:rsid w:val="00665A56"/>
    <w:rsid w:val="00665AD4"/>
    <w:rsid w:val="00665C42"/>
    <w:rsid w:val="00665C96"/>
    <w:rsid w:val="00666084"/>
    <w:rsid w:val="006660BB"/>
    <w:rsid w:val="006661EA"/>
    <w:rsid w:val="00666215"/>
    <w:rsid w:val="0066623A"/>
    <w:rsid w:val="00666499"/>
    <w:rsid w:val="0066655F"/>
    <w:rsid w:val="006665CB"/>
    <w:rsid w:val="0066661F"/>
    <w:rsid w:val="00666B90"/>
    <w:rsid w:val="006675B0"/>
    <w:rsid w:val="00667961"/>
    <w:rsid w:val="00667AD8"/>
    <w:rsid w:val="00667D30"/>
    <w:rsid w:val="0067002B"/>
    <w:rsid w:val="00670147"/>
    <w:rsid w:val="0067029D"/>
    <w:rsid w:val="00670403"/>
    <w:rsid w:val="006704C3"/>
    <w:rsid w:val="00670AD2"/>
    <w:rsid w:val="00670B0C"/>
    <w:rsid w:val="00670F2F"/>
    <w:rsid w:val="00671028"/>
    <w:rsid w:val="00671299"/>
    <w:rsid w:val="006713DF"/>
    <w:rsid w:val="0067143B"/>
    <w:rsid w:val="00671487"/>
    <w:rsid w:val="006719B9"/>
    <w:rsid w:val="00671D6A"/>
    <w:rsid w:val="00672129"/>
    <w:rsid w:val="0067253E"/>
    <w:rsid w:val="00672583"/>
    <w:rsid w:val="00672736"/>
    <w:rsid w:val="006729B7"/>
    <w:rsid w:val="00672CD3"/>
    <w:rsid w:val="006732E8"/>
    <w:rsid w:val="00673401"/>
    <w:rsid w:val="00673426"/>
    <w:rsid w:val="00673482"/>
    <w:rsid w:val="0067369D"/>
    <w:rsid w:val="006737AC"/>
    <w:rsid w:val="006738FF"/>
    <w:rsid w:val="00673A9C"/>
    <w:rsid w:val="00673D17"/>
    <w:rsid w:val="00673E4F"/>
    <w:rsid w:val="00673F85"/>
    <w:rsid w:val="0067444B"/>
    <w:rsid w:val="00674684"/>
    <w:rsid w:val="006748F5"/>
    <w:rsid w:val="00674AAE"/>
    <w:rsid w:val="00674B42"/>
    <w:rsid w:val="00674BAF"/>
    <w:rsid w:val="00674F03"/>
    <w:rsid w:val="006752F2"/>
    <w:rsid w:val="00675509"/>
    <w:rsid w:val="006757AA"/>
    <w:rsid w:val="00675916"/>
    <w:rsid w:val="006759B3"/>
    <w:rsid w:val="00675AD1"/>
    <w:rsid w:val="00675C3F"/>
    <w:rsid w:val="00675CC8"/>
    <w:rsid w:val="00675F5D"/>
    <w:rsid w:val="00675FCF"/>
    <w:rsid w:val="006760AC"/>
    <w:rsid w:val="00676176"/>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3D"/>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7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5F5C"/>
    <w:rsid w:val="006861E9"/>
    <w:rsid w:val="00686313"/>
    <w:rsid w:val="0068655A"/>
    <w:rsid w:val="00686C7F"/>
    <w:rsid w:val="006874F4"/>
    <w:rsid w:val="0068775A"/>
    <w:rsid w:val="00687BC0"/>
    <w:rsid w:val="00687E54"/>
    <w:rsid w:val="00687F95"/>
    <w:rsid w:val="00690013"/>
    <w:rsid w:val="00690231"/>
    <w:rsid w:val="0069026C"/>
    <w:rsid w:val="0069071A"/>
    <w:rsid w:val="00690823"/>
    <w:rsid w:val="00690A1B"/>
    <w:rsid w:val="00690BDE"/>
    <w:rsid w:val="00690C39"/>
    <w:rsid w:val="00690D30"/>
    <w:rsid w:val="00690F7C"/>
    <w:rsid w:val="00691180"/>
    <w:rsid w:val="0069121C"/>
    <w:rsid w:val="00691460"/>
    <w:rsid w:val="0069149A"/>
    <w:rsid w:val="006915DD"/>
    <w:rsid w:val="00691935"/>
    <w:rsid w:val="00691ABB"/>
    <w:rsid w:val="00691B2F"/>
    <w:rsid w:val="00691B50"/>
    <w:rsid w:val="00691C9D"/>
    <w:rsid w:val="006920F4"/>
    <w:rsid w:val="0069258D"/>
    <w:rsid w:val="0069296B"/>
    <w:rsid w:val="00692D95"/>
    <w:rsid w:val="00693086"/>
    <w:rsid w:val="0069346F"/>
    <w:rsid w:val="0069360E"/>
    <w:rsid w:val="0069389B"/>
    <w:rsid w:val="00693943"/>
    <w:rsid w:val="00693A6B"/>
    <w:rsid w:val="00693AC5"/>
    <w:rsid w:val="00693D4E"/>
    <w:rsid w:val="00693F81"/>
    <w:rsid w:val="0069432C"/>
    <w:rsid w:val="006945B4"/>
    <w:rsid w:val="0069471C"/>
    <w:rsid w:val="00694763"/>
    <w:rsid w:val="00694833"/>
    <w:rsid w:val="00694969"/>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6F40"/>
    <w:rsid w:val="006971B0"/>
    <w:rsid w:val="006971C7"/>
    <w:rsid w:val="00697310"/>
    <w:rsid w:val="00697441"/>
    <w:rsid w:val="0069759A"/>
    <w:rsid w:val="006A01DE"/>
    <w:rsid w:val="006A01EF"/>
    <w:rsid w:val="006A024D"/>
    <w:rsid w:val="006A0927"/>
    <w:rsid w:val="006A0A0A"/>
    <w:rsid w:val="006A0C73"/>
    <w:rsid w:val="006A0D67"/>
    <w:rsid w:val="006A0F0F"/>
    <w:rsid w:val="006A114D"/>
    <w:rsid w:val="006A153A"/>
    <w:rsid w:val="006A1831"/>
    <w:rsid w:val="006A1981"/>
    <w:rsid w:val="006A1C0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8AF"/>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41D"/>
    <w:rsid w:val="006A7738"/>
    <w:rsid w:val="006A7DBE"/>
    <w:rsid w:val="006A7F52"/>
    <w:rsid w:val="006A7FF0"/>
    <w:rsid w:val="006B028F"/>
    <w:rsid w:val="006B0992"/>
    <w:rsid w:val="006B09D4"/>
    <w:rsid w:val="006B0C5B"/>
    <w:rsid w:val="006B0DB4"/>
    <w:rsid w:val="006B130E"/>
    <w:rsid w:val="006B1587"/>
    <w:rsid w:val="006B1766"/>
    <w:rsid w:val="006B17B4"/>
    <w:rsid w:val="006B17D4"/>
    <w:rsid w:val="006B1AD0"/>
    <w:rsid w:val="006B1ED2"/>
    <w:rsid w:val="006B21BB"/>
    <w:rsid w:val="006B2449"/>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CFC"/>
    <w:rsid w:val="006B3FAE"/>
    <w:rsid w:val="006B42AA"/>
    <w:rsid w:val="006B44CB"/>
    <w:rsid w:val="006B46BC"/>
    <w:rsid w:val="006B4917"/>
    <w:rsid w:val="006B49B3"/>
    <w:rsid w:val="006B49D2"/>
    <w:rsid w:val="006B4CE5"/>
    <w:rsid w:val="006B53FF"/>
    <w:rsid w:val="006B5447"/>
    <w:rsid w:val="006B565E"/>
    <w:rsid w:val="006B570A"/>
    <w:rsid w:val="006B5715"/>
    <w:rsid w:val="006B5A61"/>
    <w:rsid w:val="006B5F23"/>
    <w:rsid w:val="006B648C"/>
    <w:rsid w:val="006B6546"/>
    <w:rsid w:val="006B656F"/>
    <w:rsid w:val="006B65A0"/>
    <w:rsid w:val="006B6728"/>
    <w:rsid w:val="006B67A0"/>
    <w:rsid w:val="006B6CB7"/>
    <w:rsid w:val="006B6D0B"/>
    <w:rsid w:val="006B6ED5"/>
    <w:rsid w:val="006B6F1F"/>
    <w:rsid w:val="006B6F7D"/>
    <w:rsid w:val="006B7082"/>
    <w:rsid w:val="006B709A"/>
    <w:rsid w:val="006B7122"/>
    <w:rsid w:val="006B7254"/>
    <w:rsid w:val="006B7408"/>
    <w:rsid w:val="006B7501"/>
    <w:rsid w:val="006B7513"/>
    <w:rsid w:val="006B7577"/>
    <w:rsid w:val="006B760E"/>
    <w:rsid w:val="006B7837"/>
    <w:rsid w:val="006B785A"/>
    <w:rsid w:val="006B7910"/>
    <w:rsid w:val="006B7A59"/>
    <w:rsid w:val="006B7D98"/>
    <w:rsid w:val="006C01C8"/>
    <w:rsid w:val="006C0253"/>
    <w:rsid w:val="006C03A4"/>
    <w:rsid w:val="006C0412"/>
    <w:rsid w:val="006C0632"/>
    <w:rsid w:val="006C067E"/>
    <w:rsid w:val="006C071F"/>
    <w:rsid w:val="006C0A4C"/>
    <w:rsid w:val="006C0A54"/>
    <w:rsid w:val="006C0C90"/>
    <w:rsid w:val="006C0EE9"/>
    <w:rsid w:val="006C0FCD"/>
    <w:rsid w:val="006C12DC"/>
    <w:rsid w:val="006C13BF"/>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5D7"/>
    <w:rsid w:val="006C55E9"/>
    <w:rsid w:val="006C583D"/>
    <w:rsid w:val="006C589E"/>
    <w:rsid w:val="006C58E9"/>
    <w:rsid w:val="006C59B5"/>
    <w:rsid w:val="006C5B44"/>
    <w:rsid w:val="006C5F68"/>
    <w:rsid w:val="006C61F8"/>
    <w:rsid w:val="006C64D5"/>
    <w:rsid w:val="006C67DA"/>
    <w:rsid w:val="006C6D0C"/>
    <w:rsid w:val="006C6DE4"/>
    <w:rsid w:val="006C6E6D"/>
    <w:rsid w:val="006C7242"/>
    <w:rsid w:val="006C74DD"/>
    <w:rsid w:val="006C79A8"/>
    <w:rsid w:val="006C7AE2"/>
    <w:rsid w:val="006C7CC7"/>
    <w:rsid w:val="006D059C"/>
    <w:rsid w:val="006D077B"/>
    <w:rsid w:val="006D0974"/>
    <w:rsid w:val="006D09D2"/>
    <w:rsid w:val="006D0A72"/>
    <w:rsid w:val="006D0C8A"/>
    <w:rsid w:val="006D0D92"/>
    <w:rsid w:val="006D121E"/>
    <w:rsid w:val="006D13F9"/>
    <w:rsid w:val="006D176E"/>
    <w:rsid w:val="006D1934"/>
    <w:rsid w:val="006D19AF"/>
    <w:rsid w:val="006D1BD4"/>
    <w:rsid w:val="006D1EE5"/>
    <w:rsid w:val="006D2145"/>
    <w:rsid w:val="006D2ED4"/>
    <w:rsid w:val="006D2FF8"/>
    <w:rsid w:val="006D302A"/>
    <w:rsid w:val="006D30B2"/>
    <w:rsid w:val="006D3106"/>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4FC9"/>
    <w:rsid w:val="006D5154"/>
    <w:rsid w:val="006D517D"/>
    <w:rsid w:val="006D518F"/>
    <w:rsid w:val="006D5268"/>
    <w:rsid w:val="006D53E7"/>
    <w:rsid w:val="006D58DB"/>
    <w:rsid w:val="006D5C2B"/>
    <w:rsid w:val="006D5C96"/>
    <w:rsid w:val="006D6010"/>
    <w:rsid w:val="006D6080"/>
    <w:rsid w:val="006D61FE"/>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0AC"/>
    <w:rsid w:val="006E0258"/>
    <w:rsid w:val="006E06B3"/>
    <w:rsid w:val="006E09ED"/>
    <w:rsid w:val="006E0BB8"/>
    <w:rsid w:val="006E0D37"/>
    <w:rsid w:val="006E0FB9"/>
    <w:rsid w:val="006E14B3"/>
    <w:rsid w:val="006E175D"/>
    <w:rsid w:val="006E191C"/>
    <w:rsid w:val="006E1963"/>
    <w:rsid w:val="006E1EAC"/>
    <w:rsid w:val="006E1F52"/>
    <w:rsid w:val="006E22E1"/>
    <w:rsid w:val="006E249A"/>
    <w:rsid w:val="006E2653"/>
    <w:rsid w:val="006E270F"/>
    <w:rsid w:val="006E27DA"/>
    <w:rsid w:val="006E2875"/>
    <w:rsid w:val="006E2D3E"/>
    <w:rsid w:val="006E2D98"/>
    <w:rsid w:val="006E329A"/>
    <w:rsid w:val="006E3477"/>
    <w:rsid w:val="006E358D"/>
    <w:rsid w:val="006E3A90"/>
    <w:rsid w:val="006E3CC7"/>
    <w:rsid w:val="006E4585"/>
    <w:rsid w:val="006E4686"/>
    <w:rsid w:val="006E4900"/>
    <w:rsid w:val="006E4923"/>
    <w:rsid w:val="006E4960"/>
    <w:rsid w:val="006E4C15"/>
    <w:rsid w:val="006E4DC4"/>
    <w:rsid w:val="006E4F53"/>
    <w:rsid w:val="006E4FEC"/>
    <w:rsid w:val="006E5332"/>
    <w:rsid w:val="006E533F"/>
    <w:rsid w:val="006E53A3"/>
    <w:rsid w:val="006E5584"/>
    <w:rsid w:val="006E5696"/>
    <w:rsid w:val="006E5A9F"/>
    <w:rsid w:val="006E5BBA"/>
    <w:rsid w:val="006E6180"/>
    <w:rsid w:val="006E6338"/>
    <w:rsid w:val="006E66A7"/>
    <w:rsid w:val="006E68C1"/>
    <w:rsid w:val="006E690F"/>
    <w:rsid w:val="006E6C30"/>
    <w:rsid w:val="006E6E2E"/>
    <w:rsid w:val="006E6EAF"/>
    <w:rsid w:val="006E6F14"/>
    <w:rsid w:val="006E79B9"/>
    <w:rsid w:val="006E7BBC"/>
    <w:rsid w:val="006F007E"/>
    <w:rsid w:val="006F02FD"/>
    <w:rsid w:val="006F0D91"/>
    <w:rsid w:val="006F0DA1"/>
    <w:rsid w:val="006F0E98"/>
    <w:rsid w:val="006F14F2"/>
    <w:rsid w:val="006F1875"/>
    <w:rsid w:val="006F18BB"/>
    <w:rsid w:val="006F1A95"/>
    <w:rsid w:val="006F1B02"/>
    <w:rsid w:val="006F1BCA"/>
    <w:rsid w:val="006F1CA0"/>
    <w:rsid w:val="006F1D16"/>
    <w:rsid w:val="006F1DC8"/>
    <w:rsid w:val="006F1EFF"/>
    <w:rsid w:val="006F23EC"/>
    <w:rsid w:val="006F2578"/>
    <w:rsid w:val="006F259A"/>
    <w:rsid w:val="006F2688"/>
    <w:rsid w:val="006F2F10"/>
    <w:rsid w:val="006F3291"/>
    <w:rsid w:val="006F344B"/>
    <w:rsid w:val="006F3664"/>
    <w:rsid w:val="006F40BA"/>
    <w:rsid w:val="006F42AE"/>
    <w:rsid w:val="006F4507"/>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CBC"/>
    <w:rsid w:val="006F7E88"/>
    <w:rsid w:val="007003D9"/>
    <w:rsid w:val="0070089D"/>
    <w:rsid w:val="0070116F"/>
    <w:rsid w:val="00701369"/>
    <w:rsid w:val="007013B5"/>
    <w:rsid w:val="00701496"/>
    <w:rsid w:val="00701705"/>
    <w:rsid w:val="0070170E"/>
    <w:rsid w:val="0070191F"/>
    <w:rsid w:val="00701D18"/>
    <w:rsid w:val="00701F44"/>
    <w:rsid w:val="007027F8"/>
    <w:rsid w:val="00702AAC"/>
    <w:rsid w:val="00702C97"/>
    <w:rsid w:val="00702D7E"/>
    <w:rsid w:val="00702E1B"/>
    <w:rsid w:val="00702F43"/>
    <w:rsid w:val="007030C7"/>
    <w:rsid w:val="0070343A"/>
    <w:rsid w:val="007035D6"/>
    <w:rsid w:val="007035E8"/>
    <w:rsid w:val="007039BA"/>
    <w:rsid w:val="00703AFB"/>
    <w:rsid w:val="00703CEC"/>
    <w:rsid w:val="00703E4B"/>
    <w:rsid w:val="00703EFD"/>
    <w:rsid w:val="00703F9F"/>
    <w:rsid w:val="007040E6"/>
    <w:rsid w:val="007044BB"/>
    <w:rsid w:val="00704F73"/>
    <w:rsid w:val="007052B1"/>
    <w:rsid w:val="00705306"/>
    <w:rsid w:val="007053A6"/>
    <w:rsid w:val="007054E5"/>
    <w:rsid w:val="00705812"/>
    <w:rsid w:val="00706076"/>
    <w:rsid w:val="007060FC"/>
    <w:rsid w:val="00706625"/>
    <w:rsid w:val="0070690C"/>
    <w:rsid w:val="00706944"/>
    <w:rsid w:val="00706952"/>
    <w:rsid w:val="00706B0E"/>
    <w:rsid w:val="00706B40"/>
    <w:rsid w:val="00706C63"/>
    <w:rsid w:val="00706FC4"/>
    <w:rsid w:val="007073B1"/>
    <w:rsid w:val="0070768C"/>
    <w:rsid w:val="007076E6"/>
    <w:rsid w:val="00707D18"/>
    <w:rsid w:val="00707F91"/>
    <w:rsid w:val="00710129"/>
    <w:rsid w:val="00710736"/>
    <w:rsid w:val="0071091E"/>
    <w:rsid w:val="00710F1F"/>
    <w:rsid w:val="0071101B"/>
    <w:rsid w:val="007112F8"/>
    <w:rsid w:val="00711AB9"/>
    <w:rsid w:val="00711E02"/>
    <w:rsid w:val="0071226A"/>
    <w:rsid w:val="007122DA"/>
    <w:rsid w:val="00712475"/>
    <w:rsid w:val="0071247C"/>
    <w:rsid w:val="0071255A"/>
    <w:rsid w:val="00712622"/>
    <w:rsid w:val="007126B1"/>
    <w:rsid w:val="007127A2"/>
    <w:rsid w:val="007127A3"/>
    <w:rsid w:val="007129D9"/>
    <w:rsid w:val="00712ABF"/>
    <w:rsid w:val="00712C57"/>
    <w:rsid w:val="00712F2D"/>
    <w:rsid w:val="00713515"/>
    <w:rsid w:val="00713587"/>
    <w:rsid w:val="007135E8"/>
    <w:rsid w:val="0071385C"/>
    <w:rsid w:val="007138DE"/>
    <w:rsid w:val="00713970"/>
    <w:rsid w:val="00713A24"/>
    <w:rsid w:val="00714A31"/>
    <w:rsid w:val="00714A43"/>
    <w:rsid w:val="007150B0"/>
    <w:rsid w:val="007155A6"/>
    <w:rsid w:val="00715797"/>
    <w:rsid w:val="00715A9A"/>
    <w:rsid w:val="00715B97"/>
    <w:rsid w:val="0071619E"/>
    <w:rsid w:val="00716314"/>
    <w:rsid w:val="00716813"/>
    <w:rsid w:val="00716926"/>
    <w:rsid w:val="00716979"/>
    <w:rsid w:val="00716A08"/>
    <w:rsid w:val="00716B77"/>
    <w:rsid w:val="00716CF5"/>
    <w:rsid w:val="00717224"/>
    <w:rsid w:val="0071732C"/>
    <w:rsid w:val="00717363"/>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11"/>
    <w:rsid w:val="007254F6"/>
    <w:rsid w:val="00725838"/>
    <w:rsid w:val="00725A5A"/>
    <w:rsid w:val="00725D0B"/>
    <w:rsid w:val="00725E6B"/>
    <w:rsid w:val="007262BD"/>
    <w:rsid w:val="00726414"/>
    <w:rsid w:val="007265FA"/>
    <w:rsid w:val="00726997"/>
    <w:rsid w:val="00726A2C"/>
    <w:rsid w:val="00726F50"/>
    <w:rsid w:val="00726FA4"/>
    <w:rsid w:val="007276BE"/>
    <w:rsid w:val="00727856"/>
    <w:rsid w:val="00727AD4"/>
    <w:rsid w:val="00727BD2"/>
    <w:rsid w:val="00727F9C"/>
    <w:rsid w:val="00730186"/>
    <w:rsid w:val="00730286"/>
    <w:rsid w:val="007306DC"/>
    <w:rsid w:val="007309B3"/>
    <w:rsid w:val="00730C79"/>
    <w:rsid w:val="007312CA"/>
    <w:rsid w:val="007316F3"/>
    <w:rsid w:val="007317E5"/>
    <w:rsid w:val="0073183B"/>
    <w:rsid w:val="00731859"/>
    <w:rsid w:val="007318DD"/>
    <w:rsid w:val="00731D3E"/>
    <w:rsid w:val="00731D48"/>
    <w:rsid w:val="00731DB2"/>
    <w:rsid w:val="00732250"/>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73F"/>
    <w:rsid w:val="0073489F"/>
    <w:rsid w:val="007349EC"/>
    <w:rsid w:val="00734C92"/>
    <w:rsid w:val="00734ED8"/>
    <w:rsid w:val="007352E5"/>
    <w:rsid w:val="007352FB"/>
    <w:rsid w:val="0073538B"/>
    <w:rsid w:val="00735467"/>
    <w:rsid w:val="007354B7"/>
    <w:rsid w:val="00735528"/>
    <w:rsid w:val="007357C3"/>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6B2"/>
    <w:rsid w:val="00740B5A"/>
    <w:rsid w:val="0074107F"/>
    <w:rsid w:val="0074122F"/>
    <w:rsid w:val="007413F7"/>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2C78"/>
    <w:rsid w:val="00743169"/>
    <w:rsid w:val="0074338A"/>
    <w:rsid w:val="00743682"/>
    <w:rsid w:val="00743964"/>
    <w:rsid w:val="007439D0"/>
    <w:rsid w:val="00743A8A"/>
    <w:rsid w:val="00743B3A"/>
    <w:rsid w:val="00743EFB"/>
    <w:rsid w:val="00743FA6"/>
    <w:rsid w:val="007443AA"/>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02"/>
    <w:rsid w:val="007476F0"/>
    <w:rsid w:val="00747949"/>
    <w:rsid w:val="00747BB2"/>
    <w:rsid w:val="00747D1A"/>
    <w:rsid w:val="00747D86"/>
    <w:rsid w:val="00747DDF"/>
    <w:rsid w:val="00747E51"/>
    <w:rsid w:val="00747FE1"/>
    <w:rsid w:val="0075003C"/>
    <w:rsid w:val="00750897"/>
    <w:rsid w:val="00750981"/>
    <w:rsid w:val="00750B43"/>
    <w:rsid w:val="00750C2F"/>
    <w:rsid w:val="00750CEA"/>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34D"/>
    <w:rsid w:val="00754589"/>
    <w:rsid w:val="00754F4E"/>
    <w:rsid w:val="00754F9F"/>
    <w:rsid w:val="00755089"/>
    <w:rsid w:val="007550B4"/>
    <w:rsid w:val="00755223"/>
    <w:rsid w:val="00755262"/>
    <w:rsid w:val="007554B9"/>
    <w:rsid w:val="007555BA"/>
    <w:rsid w:val="007555DD"/>
    <w:rsid w:val="007555F5"/>
    <w:rsid w:val="0075576B"/>
    <w:rsid w:val="00755822"/>
    <w:rsid w:val="00755851"/>
    <w:rsid w:val="00755F22"/>
    <w:rsid w:val="00755FD6"/>
    <w:rsid w:val="00755FF4"/>
    <w:rsid w:val="007560B5"/>
    <w:rsid w:val="007560DC"/>
    <w:rsid w:val="00756393"/>
    <w:rsid w:val="0075695D"/>
    <w:rsid w:val="00756B24"/>
    <w:rsid w:val="00756D40"/>
    <w:rsid w:val="00756D44"/>
    <w:rsid w:val="00756D82"/>
    <w:rsid w:val="00756E5D"/>
    <w:rsid w:val="00756FC0"/>
    <w:rsid w:val="007571F0"/>
    <w:rsid w:val="0075728D"/>
    <w:rsid w:val="00757377"/>
    <w:rsid w:val="007577C1"/>
    <w:rsid w:val="007578A1"/>
    <w:rsid w:val="00757B34"/>
    <w:rsid w:val="00757D1E"/>
    <w:rsid w:val="00757ED3"/>
    <w:rsid w:val="00757EF0"/>
    <w:rsid w:val="00757FDF"/>
    <w:rsid w:val="00760136"/>
    <w:rsid w:val="0076014D"/>
    <w:rsid w:val="007602D0"/>
    <w:rsid w:val="007604D5"/>
    <w:rsid w:val="007604FB"/>
    <w:rsid w:val="007606EE"/>
    <w:rsid w:val="00760711"/>
    <w:rsid w:val="00760715"/>
    <w:rsid w:val="00760F11"/>
    <w:rsid w:val="0076101C"/>
    <w:rsid w:val="0076122F"/>
    <w:rsid w:val="0076146C"/>
    <w:rsid w:val="00761518"/>
    <w:rsid w:val="00761660"/>
    <w:rsid w:val="00761894"/>
    <w:rsid w:val="00761949"/>
    <w:rsid w:val="00761B7E"/>
    <w:rsid w:val="00761CEB"/>
    <w:rsid w:val="00762031"/>
    <w:rsid w:val="007620CF"/>
    <w:rsid w:val="0076227B"/>
    <w:rsid w:val="00762364"/>
    <w:rsid w:val="0076237E"/>
    <w:rsid w:val="0076238A"/>
    <w:rsid w:val="007623B8"/>
    <w:rsid w:val="007623FB"/>
    <w:rsid w:val="007629C0"/>
    <w:rsid w:val="00762A95"/>
    <w:rsid w:val="00762B54"/>
    <w:rsid w:val="00762D6F"/>
    <w:rsid w:val="007634E7"/>
    <w:rsid w:val="00763648"/>
    <w:rsid w:val="007636BD"/>
    <w:rsid w:val="0076395F"/>
    <w:rsid w:val="00763CB7"/>
    <w:rsid w:val="00763F2D"/>
    <w:rsid w:val="00764135"/>
    <w:rsid w:val="00764194"/>
    <w:rsid w:val="0076445A"/>
    <w:rsid w:val="0076446C"/>
    <w:rsid w:val="00764490"/>
    <w:rsid w:val="007646AC"/>
    <w:rsid w:val="00764A6D"/>
    <w:rsid w:val="00764BBE"/>
    <w:rsid w:val="00764C3D"/>
    <w:rsid w:val="00765167"/>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05B"/>
    <w:rsid w:val="007675D8"/>
    <w:rsid w:val="0076768E"/>
    <w:rsid w:val="007676E5"/>
    <w:rsid w:val="00767700"/>
    <w:rsid w:val="0076771A"/>
    <w:rsid w:val="00767D35"/>
    <w:rsid w:val="00767E15"/>
    <w:rsid w:val="00767E7C"/>
    <w:rsid w:val="00767E9D"/>
    <w:rsid w:val="00767FD9"/>
    <w:rsid w:val="007700F8"/>
    <w:rsid w:val="007703E0"/>
    <w:rsid w:val="00770D59"/>
    <w:rsid w:val="00770D71"/>
    <w:rsid w:val="007713FB"/>
    <w:rsid w:val="00771AE2"/>
    <w:rsid w:val="00771BFA"/>
    <w:rsid w:val="00771C6C"/>
    <w:rsid w:val="00771D54"/>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FF9"/>
    <w:rsid w:val="00774581"/>
    <w:rsid w:val="00774779"/>
    <w:rsid w:val="00774A0D"/>
    <w:rsid w:val="00774AAA"/>
    <w:rsid w:val="00774FCC"/>
    <w:rsid w:val="0077510C"/>
    <w:rsid w:val="00775284"/>
    <w:rsid w:val="00775886"/>
    <w:rsid w:val="00775934"/>
    <w:rsid w:val="00775974"/>
    <w:rsid w:val="00775CBC"/>
    <w:rsid w:val="00775F0A"/>
    <w:rsid w:val="00775F3F"/>
    <w:rsid w:val="00776257"/>
    <w:rsid w:val="007762E2"/>
    <w:rsid w:val="0077666B"/>
    <w:rsid w:val="00776B7F"/>
    <w:rsid w:val="00776DA5"/>
    <w:rsid w:val="00776DED"/>
    <w:rsid w:val="0077711A"/>
    <w:rsid w:val="007773AE"/>
    <w:rsid w:val="00777789"/>
    <w:rsid w:val="0077778C"/>
    <w:rsid w:val="00777CD2"/>
    <w:rsid w:val="00777D1A"/>
    <w:rsid w:val="00777E6D"/>
    <w:rsid w:val="00777FA6"/>
    <w:rsid w:val="00777FCC"/>
    <w:rsid w:val="00780084"/>
    <w:rsid w:val="007801A7"/>
    <w:rsid w:val="007802F9"/>
    <w:rsid w:val="00780541"/>
    <w:rsid w:val="00780617"/>
    <w:rsid w:val="007807F3"/>
    <w:rsid w:val="007809B8"/>
    <w:rsid w:val="007809E7"/>
    <w:rsid w:val="00780BB3"/>
    <w:rsid w:val="00780D9E"/>
    <w:rsid w:val="00780E5D"/>
    <w:rsid w:val="007813C1"/>
    <w:rsid w:val="007814AB"/>
    <w:rsid w:val="007814F2"/>
    <w:rsid w:val="00781745"/>
    <w:rsid w:val="0078189F"/>
    <w:rsid w:val="00781BEF"/>
    <w:rsid w:val="00781C13"/>
    <w:rsid w:val="00781C96"/>
    <w:rsid w:val="00781EA9"/>
    <w:rsid w:val="007820BF"/>
    <w:rsid w:val="00782305"/>
    <w:rsid w:val="007823FD"/>
    <w:rsid w:val="00782599"/>
    <w:rsid w:val="0078262A"/>
    <w:rsid w:val="00782A7E"/>
    <w:rsid w:val="00782D4D"/>
    <w:rsid w:val="00782D7F"/>
    <w:rsid w:val="00782EE3"/>
    <w:rsid w:val="00783197"/>
    <w:rsid w:val="007834F3"/>
    <w:rsid w:val="00783A1E"/>
    <w:rsid w:val="00783B53"/>
    <w:rsid w:val="00784389"/>
    <w:rsid w:val="0078463F"/>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9F"/>
    <w:rsid w:val="00794BA7"/>
    <w:rsid w:val="00794CC3"/>
    <w:rsid w:val="00794F8E"/>
    <w:rsid w:val="00795330"/>
    <w:rsid w:val="007954DA"/>
    <w:rsid w:val="007956EC"/>
    <w:rsid w:val="007959A9"/>
    <w:rsid w:val="007959D7"/>
    <w:rsid w:val="00795AC3"/>
    <w:rsid w:val="00795AD3"/>
    <w:rsid w:val="00795BEE"/>
    <w:rsid w:val="007962E0"/>
    <w:rsid w:val="00796386"/>
    <w:rsid w:val="00796495"/>
    <w:rsid w:val="007966B4"/>
    <w:rsid w:val="00796862"/>
    <w:rsid w:val="00796CFC"/>
    <w:rsid w:val="00796D4B"/>
    <w:rsid w:val="00797165"/>
    <w:rsid w:val="007974B1"/>
    <w:rsid w:val="00797545"/>
    <w:rsid w:val="007975F5"/>
    <w:rsid w:val="00797701"/>
    <w:rsid w:val="00797CF0"/>
    <w:rsid w:val="00797D93"/>
    <w:rsid w:val="00797F43"/>
    <w:rsid w:val="007A007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8B1"/>
    <w:rsid w:val="007A3CC4"/>
    <w:rsid w:val="007A3D28"/>
    <w:rsid w:val="007A3D8D"/>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1DD"/>
    <w:rsid w:val="007A64CF"/>
    <w:rsid w:val="007A6708"/>
    <w:rsid w:val="007A685F"/>
    <w:rsid w:val="007A6ED6"/>
    <w:rsid w:val="007A71D7"/>
    <w:rsid w:val="007A7600"/>
    <w:rsid w:val="007A7960"/>
    <w:rsid w:val="007B0002"/>
    <w:rsid w:val="007B017D"/>
    <w:rsid w:val="007B01AF"/>
    <w:rsid w:val="007B05E9"/>
    <w:rsid w:val="007B075C"/>
    <w:rsid w:val="007B083D"/>
    <w:rsid w:val="007B09B4"/>
    <w:rsid w:val="007B09D1"/>
    <w:rsid w:val="007B0DCD"/>
    <w:rsid w:val="007B1265"/>
    <w:rsid w:val="007B13E0"/>
    <w:rsid w:val="007B1A21"/>
    <w:rsid w:val="007B1ACD"/>
    <w:rsid w:val="007B1DF1"/>
    <w:rsid w:val="007B21B1"/>
    <w:rsid w:val="007B234D"/>
    <w:rsid w:val="007B2840"/>
    <w:rsid w:val="007B28B4"/>
    <w:rsid w:val="007B2980"/>
    <w:rsid w:val="007B2E6D"/>
    <w:rsid w:val="007B2E7A"/>
    <w:rsid w:val="007B2FDF"/>
    <w:rsid w:val="007B30EA"/>
    <w:rsid w:val="007B33D2"/>
    <w:rsid w:val="007B354B"/>
    <w:rsid w:val="007B3A6F"/>
    <w:rsid w:val="007B3A86"/>
    <w:rsid w:val="007B3DE7"/>
    <w:rsid w:val="007B4246"/>
    <w:rsid w:val="007B43A1"/>
    <w:rsid w:val="007B4499"/>
    <w:rsid w:val="007B473D"/>
    <w:rsid w:val="007B4BFD"/>
    <w:rsid w:val="007B4D6D"/>
    <w:rsid w:val="007B5366"/>
    <w:rsid w:val="007B5419"/>
    <w:rsid w:val="007B544B"/>
    <w:rsid w:val="007B55D0"/>
    <w:rsid w:val="007B58B3"/>
    <w:rsid w:val="007B5B06"/>
    <w:rsid w:val="007B5D23"/>
    <w:rsid w:val="007B5E6F"/>
    <w:rsid w:val="007B5F7A"/>
    <w:rsid w:val="007B6199"/>
    <w:rsid w:val="007B63AE"/>
    <w:rsid w:val="007B677E"/>
    <w:rsid w:val="007B67D1"/>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B41"/>
    <w:rsid w:val="007C2DEB"/>
    <w:rsid w:val="007C34BA"/>
    <w:rsid w:val="007C3946"/>
    <w:rsid w:val="007C3A53"/>
    <w:rsid w:val="007C3A83"/>
    <w:rsid w:val="007C3C2C"/>
    <w:rsid w:val="007C4201"/>
    <w:rsid w:val="007C463C"/>
    <w:rsid w:val="007C46BA"/>
    <w:rsid w:val="007C4ABD"/>
    <w:rsid w:val="007C4B44"/>
    <w:rsid w:val="007C4DE5"/>
    <w:rsid w:val="007C5273"/>
    <w:rsid w:val="007C5648"/>
    <w:rsid w:val="007C59EB"/>
    <w:rsid w:val="007C5A14"/>
    <w:rsid w:val="007C5C83"/>
    <w:rsid w:val="007C5D8A"/>
    <w:rsid w:val="007C6321"/>
    <w:rsid w:val="007C63D9"/>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711"/>
    <w:rsid w:val="007D1A42"/>
    <w:rsid w:val="007D1A5A"/>
    <w:rsid w:val="007D1AFC"/>
    <w:rsid w:val="007D1DE9"/>
    <w:rsid w:val="007D221D"/>
    <w:rsid w:val="007D22E6"/>
    <w:rsid w:val="007D269C"/>
    <w:rsid w:val="007D26D0"/>
    <w:rsid w:val="007D2B58"/>
    <w:rsid w:val="007D2B94"/>
    <w:rsid w:val="007D2CAF"/>
    <w:rsid w:val="007D2F6E"/>
    <w:rsid w:val="007D31A0"/>
    <w:rsid w:val="007D34B9"/>
    <w:rsid w:val="007D35B2"/>
    <w:rsid w:val="007D3AEC"/>
    <w:rsid w:val="007D3D25"/>
    <w:rsid w:val="007D3FD8"/>
    <w:rsid w:val="007D442E"/>
    <w:rsid w:val="007D4C07"/>
    <w:rsid w:val="007D4DC3"/>
    <w:rsid w:val="007D50FE"/>
    <w:rsid w:val="007D5181"/>
    <w:rsid w:val="007D5317"/>
    <w:rsid w:val="007D5450"/>
    <w:rsid w:val="007D573B"/>
    <w:rsid w:val="007D5786"/>
    <w:rsid w:val="007D57F6"/>
    <w:rsid w:val="007D5967"/>
    <w:rsid w:val="007D5E26"/>
    <w:rsid w:val="007D5F56"/>
    <w:rsid w:val="007D602B"/>
    <w:rsid w:val="007D608D"/>
    <w:rsid w:val="007D61E4"/>
    <w:rsid w:val="007D628A"/>
    <w:rsid w:val="007D62B4"/>
    <w:rsid w:val="007D64D8"/>
    <w:rsid w:val="007D67A4"/>
    <w:rsid w:val="007D69BC"/>
    <w:rsid w:val="007D6AFB"/>
    <w:rsid w:val="007D6BAA"/>
    <w:rsid w:val="007D6D8F"/>
    <w:rsid w:val="007D6FC8"/>
    <w:rsid w:val="007D7175"/>
    <w:rsid w:val="007D73E1"/>
    <w:rsid w:val="007D769B"/>
    <w:rsid w:val="007D76AE"/>
    <w:rsid w:val="007D77C7"/>
    <w:rsid w:val="007D7CC8"/>
    <w:rsid w:val="007E0349"/>
    <w:rsid w:val="007E0432"/>
    <w:rsid w:val="007E0597"/>
    <w:rsid w:val="007E069D"/>
    <w:rsid w:val="007E0BC4"/>
    <w:rsid w:val="007E0F92"/>
    <w:rsid w:val="007E120D"/>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C9F"/>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CC3"/>
    <w:rsid w:val="007E7D0D"/>
    <w:rsid w:val="007E7E1C"/>
    <w:rsid w:val="007F01DA"/>
    <w:rsid w:val="007F0776"/>
    <w:rsid w:val="007F07F4"/>
    <w:rsid w:val="007F07FD"/>
    <w:rsid w:val="007F0BF6"/>
    <w:rsid w:val="007F0CB8"/>
    <w:rsid w:val="007F0FD2"/>
    <w:rsid w:val="007F10FC"/>
    <w:rsid w:val="007F142B"/>
    <w:rsid w:val="007F190C"/>
    <w:rsid w:val="007F1911"/>
    <w:rsid w:val="007F19AA"/>
    <w:rsid w:val="007F2272"/>
    <w:rsid w:val="007F2306"/>
    <w:rsid w:val="007F26DB"/>
    <w:rsid w:val="007F2C18"/>
    <w:rsid w:val="007F2DF4"/>
    <w:rsid w:val="007F2F43"/>
    <w:rsid w:val="007F2F4D"/>
    <w:rsid w:val="007F31D0"/>
    <w:rsid w:val="007F37AD"/>
    <w:rsid w:val="007F38D3"/>
    <w:rsid w:val="007F3C73"/>
    <w:rsid w:val="007F42CF"/>
    <w:rsid w:val="007F4331"/>
    <w:rsid w:val="007F4364"/>
    <w:rsid w:val="007F48BB"/>
    <w:rsid w:val="007F48ED"/>
    <w:rsid w:val="007F4D56"/>
    <w:rsid w:val="007F4D74"/>
    <w:rsid w:val="007F4F16"/>
    <w:rsid w:val="007F53A9"/>
    <w:rsid w:val="007F53B7"/>
    <w:rsid w:val="007F55F1"/>
    <w:rsid w:val="007F5C43"/>
    <w:rsid w:val="007F5D52"/>
    <w:rsid w:val="007F5E4A"/>
    <w:rsid w:val="007F5EAD"/>
    <w:rsid w:val="007F5F33"/>
    <w:rsid w:val="007F5F3E"/>
    <w:rsid w:val="007F665F"/>
    <w:rsid w:val="007F67A9"/>
    <w:rsid w:val="007F685F"/>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CEA"/>
    <w:rsid w:val="00800FC4"/>
    <w:rsid w:val="00801189"/>
    <w:rsid w:val="00801548"/>
    <w:rsid w:val="00801586"/>
    <w:rsid w:val="0080159E"/>
    <w:rsid w:val="008019DF"/>
    <w:rsid w:val="00801A3A"/>
    <w:rsid w:val="00801AF6"/>
    <w:rsid w:val="00801E69"/>
    <w:rsid w:val="00801EB5"/>
    <w:rsid w:val="00802385"/>
    <w:rsid w:val="0080240A"/>
    <w:rsid w:val="008026E5"/>
    <w:rsid w:val="0080298A"/>
    <w:rsid w:val="0080298B"/>
    <w:rsid w:val="00802A07"/>
    <w:rsid w:val="00802C75"/>
    <w:rsid w:val="00802D02"/>
    <w:rsid w:val="00802DA5"/>
    <w:rsid w:val="00803046"/>
    <w:rsid w:val="008033C1"/>
    <w:rsid w:val="00803776"/>
    <w:rsid w:val="008037DB"/>
    <w:rsid w:val="008039AB"/>
    <w:rsid w:val="00803B4B"/>
    <w:rsid w:val="008040B3"/>
    <w:rsid w:val="008040BC"/>
    <w:rsid w:val="008040E8"/>
    <w:rsid w:val="0080435B"/>
    <w:rsid w:val="00804470"/>
    <w:rsid w:val="008045AD"/>
    <w:rsid w:val="008048AD"/>
    <w:rsid w:val="00804913"/>
    <w:rsid w:val="00804ABA"/>
    <w:rsid w:val="00804B84"/>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7252"/>
    <w:rsid w:val="00807383"/>
    <w:rsid w:val="00807419"/>
    <w:rsid w:val="008076A5"/>
    <w:rsid w:val="008077B2"/>
    <w:rsid w:val="0080780B"/>
    <w:rsid w:val="00807824"/>
    <w:rsid w:val="008078B7"/>
    <w:rsid w:val="00807A51"/>
    <w:rsid w:val="00807AE7"/>
    <w:rsid w:val="00807CE2"/>
    <w:rsid w:val="00807CE5"/>
    <w:rsid w:val="008111F2"/>
    <w:rsid w:val="00811200"/>
    <w:rsid w:val="0081147E"/>
    <w:rsid w:val="00811517"/>
    <w:rsid w:val="008117E8"/>
    <w:rsid w:val="00811B90"/>
    <w:rsid w:val="00812128"/>
    <w:rsid w:val="00812176"/>
    <w:rsid w:val="00812AF2"/>
    <w:rsid w:val="00812D5C"/>
    <w:rsid w:val="00812E06"/>
    <w:rsid w:val="00813274"/>
    <w:rsid w:val="00813288"/>
    <w:rsid w:val="00813315"/>
    <w:rsid w:val="008133B2"/>
    <w:rsid w:val="008136B2"/>
    <w:rsid w:val="00813804"/>
    <w:rsid w:val="00813855"/>
    <w:rsid w:val="00813888"/>
    <w:rsid w:val="00813B05"/>
    <w:rsid w:val="00813C93"/>
    <w:rsid w:val="008141D2"/>
    <w:rsid w:val="0081445E"/>
    <w:rsid w:val="0081457A"/>
    <w:rsid w:val="008145BC"/>
    <w:rsid w:val="008146F8"/>
    <w:rsid w:val="00814855"/>
    <w:rsid w:val="008148FF"/>
    <w:rsid w:val="00814AC5"/>
    <w:rsid w:val="00814AF0"/>
    <w:rsid w:val="00814D42"/>
    <w:rsid w:val="00814EE1"/>
    <w:rsid w:val="00814F0E"/>
    <w:rsid w:val="00815556"/>
    <w:rsid w:val="00815A27"/>
    <w:rsid w:val="00816359"/>
    <w:rsid w:val="00816442"/>
    <w:rsid w:val="008164CF"/>
    <w:rsid w:val="0081656D"/>
    <w:rsid w:val="0081659C"/>
    <w:rsid w:val="00816884"/>
    <w:rsid w:val="00816F05"/>
    <w:rsid w:val="00817166"/>
    <w:rsid w:val="00817408"/>
    <w:rsid w:val="00817469"/>
    <w:rsid w:val="008174E0"/>
    <w:rsid w:val="008175D8"/>
    <w:rsid w:val="008177C2"/>
    <w:rsid w:val="00817A33"/>
    <w:rsid w:val="00817C17"/>
    <w:rsid w:val="008200F6"/>
    <w:rsid w:val="0082043D"/>
    <w:rsid w:val="008204D5"/>
    <w:rsid w:val="008206A5"/>
    <w:rsid w:val="008208ED"/>
    <w:rsid w:val="00820953"/>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3FCE"/>
    <w:rsid w:val="00824055"/>
    <w:rsid w:val="0082405D"/>
    <w:rsid w:val="0082425C"/>
    <w:rsid w:val="008242B4"/>
    <w:rsid w:val="008243D5"/>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219"/>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8BA"/>
    <w:rsid w:val="00830920"/>
    <w:rsid w:val="00830AC8"/>
    <w:rsid w:val="00830C21"/>
    <w:rsid w:val="00830C27"/>
    <w:rsid w:val="00830C30"/>
    <w:rsid w:val="008313BB"/>
    <w:rsid w:val="00831943"/>
    <w:rsid w:val="00831B63"/>
    <w:rsid w:val="00831BD2"/>
    <w:rsid w:val="00831DED"/>
    <w:rsid w:val="00831E69"/>
    <w:rsid w:val="00831EFF"/>
    <w:rsid w:val="00831F1E"/>
    <w:rsid w:val="0083219B"/>
    <w:rsid w:val="0083247A"/>
    <w:rsid w:val="00832DA5"/>
    <w:rsid w:val="008331E9"/>
    <w:rsid w:val="008332FE"/>
    <w:rsid w:val="0083339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946"/>
    <w:rsid w:val="00835B17"/>
    <w:rsid w:val="00835CCC"/>
    <w:rsid w:val="00835FCE"/>
    <w:rsid w:val="0083602B"/>
    <w:rsid w:val="00836126"/>
    <w:rsid w:val="00836715"/>
    <w:rsid w:val="00836E03"/>
    <w:rsid w:val="00836F2C"/>
    <w:rsid w:val="00837848"/>
    <w:rsid w:val="008379C8"/>
    <w:rsid w:val="00837D08"/>
    <w:rsid w:val="00840136"/>
    <w:rsid w:val="00840853"/>
    <w:rsid w:val="0084097C"/>
    <w:rsid w:val="00840AAC"/>
    <w:rsid w:val="00840B80"/>
    <w:rsid w:val="00840DCF"/>
    <w:rsid w:val="00841076"/>
    <w:rsid w:val="008416C0"/>
    <w:rsid w:val="008416F2"/>
    <w:rsid w:val="008418B1"/>
    <w:rsid w:val="008418F3"/>
    <w:rsid w:val="00841985"/>
    <w:rsid w:val="008419C5"/>
    <w:rsid w:val="00841BFE"/>
    <w:rsid w:val="00841C7E"/>
    <w:rsid w:val="00841F59"/>
    <w:rsid w:val="00841F66"/>
    <w:rsid w:val="0084226A"/>
    <w:rsid w:val="00842BB3"/>
    <w:rsid w:val="00842F90"/>
    <w:rsid w:val="0084348B"/>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EF0"/>
    <w:rsid w:val="00846069"/>
    <w:rsid w:val="008460AE"/>
    <w:rsid w:val="008462C7"/>
    <w:rsid w:val="0084644F"/>
    <w:rsid w:val="008464D2"/>
    <w:rsid w:val="008465E1"/>
    <w:rsid w:val="008465E6"/>
    <w:rsid w:val="00846905"/>
    <w:rsid w:val="00846A7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57"/>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0A4"/>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9AA"/>
    <w:rsid w:val="00856A09"/>
    <w:rsid w:val="00856AA3"/>
    <w:rsid w:val="00857DEE"/>
    <w:rsid w:val="00857DF4"/>
    <w:rsid w:val="008607F2"/>
    <w:rsid w:val="00860AD4"/>
    <w:rsid w:val="00860C63"/>
    <w:rsid w:val="00860DB7"/>
    <w:rsid w:val="00860DD6"/>
    <w:rsid w:val="00860F8F"/>
    <w:rsid w:val="00860F9B"/>
    <w:rsid w:val="00861183"/>
    <w:rsid w:val="00861272"/>
    <w:rsid w:val="0086145B"/>
    <w:rsid w:val="00861477"/>
    <w:rsid w:val="008614CA"/>
    <w:rsid w:val="0086179E"/>
    <w:rsid w:val="00861D75"/>
    <w:rsid w:val="00862226"/>
    <w:rsid w:val="0086236E"/>
    <w:rsid w:val="00862902"/>
    <w:rsid w:val="00862C4F"/>
    <w:rsid w:val="00862CD3"/>
    <w:rsid w:val="00862DAC"/>
    <w:rsid w:val="00862F25"/>
    <w:rsid w:val="00863378"/>
    <w:rsid w:val="008637E9"/>
    <w:rsid w:val="00863958"/>
    <w:rsid w:val="00863D7C"/>
    <w:rsid w:val="00863DF7"/>
    <w:rsid w:val="00863E90"/>
    <w:rsid w:val="00863EF6"/>
    <w:rsid w:val="0086409B"/>
    <w:rsid w:val="00864560"/>
    <w:rsid w:val="00864660"/>
    <w:rsid w:val="00864B33"/>
    <w:rsid w:val="00864B88"/>
    <w:rsid w:val="0086511E"/>
    <w:rsid w:val="0086530E"/>
    <w:rsid w:val="008654CA"/>
    <w:rsid w:val="00865506"/>
    <w:rsid w:val="0086566F"/>
    <w:rsid w:val="008656F8"/>
    <w:rsid w:val="008658AA"/>
    <w:rsid w:val="00865D6C"/>
    <w:rsid w:val="00865DC7"/>
    <w:rsid w:val="00865E1F"/>
    <w:rsid w:val="00865FE9"/>
    <w:rsid w:val="00866341"/>
    <w:rsid w:val="00866B94"/>
    <w:rsid w:val="00866E42"/>
    <w:rsid w:val="00866EB5"/>
    <w:rsid w:val="00866EEF"/>
    <w:rsid w:val="00867014"/>
    <w:rsid w:val="0086728B"/>
    <w:rsid w:val="00867290"/>
    <w:rsid w:val="008672FE"/>
    <w:rsid w:val="00867459"/>
    <w:rsid w:val="00867703"/>
    <w:rsid w:val="00867833"/>
    <w:rsid w:val="00867B6F"/>
    <w:rsid w:val="00867CE1"/>
    <w:rsid w:val="00867DA2"/>
    <w:rsid w:val="00867E4D"/>
    <w:rsid w:val="00867F26"/>
    <w:rsid w:val="00867F43"/>
    <w:rsid w:val="00867FFE"/>
    <w:rsid w:val="0087007B"/>
    <w:rsid w:val="0087008C"/>
    <w:rsid w:val="008700CA"/>
    <w:rsid w:val="008701E7"/>
    <w:rsid w:val="00870295"/>
    <w:rsid w:val="008703C3"/>
    <w:rsid w:val="00870508"/>
    <w:rsid w:val="00870722"/>
    <w:rsid w:val="008709A1"/>
    <w:rsid w:val="00870B54"/>
    <w:rsid w:val="00870C6F"/>
    <w:rsid w:val="00870C8B"/>
    <w:rsid w:val="00870C99"/>
    <w:rsid w:val="00870CFB"/>
    <w:rsid w:val="00871095"/>
    <w:rsid w:val="008714E6"/>
    <w:rsid w:val="0087151E"/>
    <w:rsid w:val="00871A9E"/>
    <w:rsid w:val="00871AF3"/>
    <w:rsid w:val="00871B95"/>
    <w:rsid w:val="00872461"/>
    <w:rsid w:val="008724E3"/>
    <w:rsid w:val="0087271B"/>
    <w:rsid w:val="00872DB3"/>
    <w:rsid w:val="00873001"/>
    <w:rsid w:val="00873068"/>
    <w:rsid w:val="0087326F"/>
    <w:rsid w:val="008732F4"/>
    <w:rsid w:val="00873530"/>
    <w:rsid w:val="008735DD"/>
    <w:rsid w:val="008737CC"/>
    <w:rsid w:val="00873986"/>
    <w:rsid w:val="00873CDB"/>
    <w:rsid w:val="00873E43"/>
    <w:rsid w:val="00874389"/>
    <w:rsid w:val="00874609"/>
    <w:rsid w:val="0087490F"/>
    <w:rsid w:val="00874991"/>
    <w:rsid w:val="008749BE"/>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D6E"/>
    <w:rsid w:val="00876E8B"/>
    <w:rsid w:val="008773C5"/>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1D"/>
    <w:rsid w:val="008822D5"/>
    <w:rsid w:val="00882364"/>
    <w:rsid w:val="008823A3"/>
    <w:rsid w:val="008824F9"/>
    <w:rsid w:val="008826DC"/>
    <w:rsid w:val="00882967"/>
    <w:rsid w:val="00882BE0"/>
    <w:rsid w:val="00882C14"/>
    <w:rsid w:val="00882E4B"/>
    <w:rsid w:val="00883483"/>
    <w:rsid w:val="008839E4"/>
    <w:rsid w:val="00883BDA"/>
    <w:rsid w:val="00883C21"/>
    <w:rsid w:val="00883CA2"/>
    <w:rsid w:val="00883D38"/>
    <w:rsid w:val="00883E17"/>
    <w:rsid w:val="00884163"/>
    <w:rsid w:val="008842DF"/>
    <w:rsid w:val="00884465"/>
    <w:rsid w:val="0088477C"/>
    <w:rsid w:val="0088484D"/>
    <w:rsid w:val="00884CE8"/>
    <w:rsid w:val="00884EF2"/>
    <w:rsid w:val="008850B5"/>
    <w:rsid w:val="008852A4"/>
    <w:rsid w:val="008852AB"/>
    <w:rsid w:val="008852D2"/>
    <w:rsid w:val="0088545A"/>
    <w:rsid w:val="00885671"/>
    <w:rsid w:val="00885D54"/>
    <w:rsid w:val="00885E17"/>
    <w:rsid w:val="0088615C"/>
    <w:rsid w:val="008863A6"/>
    <w:rsid w:val="008864A8"/>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1E68"/>
    <w:rsid w:val="00892250"/>
    <w:rsid w:val="008922AC"/>
    <w:rsid w:val="008922E2"/>
    <w:rsid w:val="00892413"/>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5C8"/>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0D22"/>
    <w:rsid w:val="008A0D44"/>
    <w:rsid w:val="008A1609"/>
    <w:rsid w:val="008A17F1"/>
    <w:rsid w:val="008A1BAA"/>
    <w:rsid w:val="008A1BC1"/>
    <w:rsid w:val="008A1E72"/>
    <w:rsid w:val="008A207B"/>
    <w:rsid w:val="008A2413"/>
    <w:rsid w:val="008A25A6"/>
    <w:rsid w:val="008A2886"/>
    <w:rsid w:val="008A2904"/>
    <w:rsid w:val="008A291F"/>
    <w:rsid w:val="008A2E0C"/>
    <w:rsid w:val="008A34E0"/>
    <w:rsid w:val="008A368E"/>
    <w:rsid w:val="008A36F0"/>
    <w:rsid w:val="008A37E5"/>
    <w:rsid w:val="008A37E6"/>
    <w:rsid w:val="008A401D"/>
    <w:rsid w:val="008A4256"/>
    <w:rsid w:val="008A451C"/>
    <w:rsid w:val="008A45AE"/>
    <w:rsid w:val="008A47AA"/>
    <w:rsid w:val="008A47DC"/>
    <w:rsid w:val="008A4824"/>
    <w:rsid w:val="008A4945"/>
    <w:rsid w:val="008A49B1"/>
    <w:rsid w:val="008A4F1E"/>
    <w:rsid w:val="008A529E"/>
    <w:rsid w:val="008A56DC"/>
    <w:rsid w:val="008A5771"/>
    <w:rsid w:val="008A5E33"/>
    <w:rsid w:val="008A5ED4"/>
    <w:rsid w:val="008A63B0"/>
    <w:rsid w:val="008A65AB"/>
    <w:rsid w:val="008A6623"/>
    <w:rsid w:val="008A663D"/>
    <w:rsid w:val="008A680F"/>
    <w:rsid w:val="008A6A40"/>
    <w:rsid w:val="008A70DF"/>
    <w:rsid w:val="008A728F"/>
    <w:rsid w:val="008A73C1"/>
    <w:rsid w:val="008A74D2"/>
    <w:rsid w:val="008A76A5"/>
    <w:rsid w:val="008B007B"/>
    <w:rsid w:val="008B03AE"/>
    <w:rsid w:val="008B052D"/>
    <w:rsid w:val="008B0B57"/>
    <w:rsid w:val="008B0CB1"/>
    <w:rsid w:val="008B1089"/>
    <w:rsid w:val="008B1146"/>
    <w:rsid w:val="008B114F"/>
    <w:rsid w:val="008B1150"/>
    <w:rsid w:val="008B1161"/>
    <w:rsid w:val="008B1293"/>
    <w:rsid w:val="008B13DE"/>
    <w:rsid w:val="008B1813"/>
    <w:rsid w:val="008B1870"/>
    <w:rsid w:val="008B1F3E"/>
    <w:rsid w:val="008B21B6"/>
    <w:rsid w:val="008B2236"/>
    <w:rsid w:val="008B226B"/>
    <w:rsid w:val="008B22DB"/>
    <w:rsid w:val="008B297A"/>
    <w:rsid w:val="008B2FAB"/>
    <w:rsid w:val="008B31D5"/>
    <w:rsid w:val="008B32D5"/>
    <w:rsid w:val="008B3482"/>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01"/>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3A2"/>
    <w:rsid w:val="008C0597"/>
    <w:rsid w:val="008C081E"/>
    <w:rsid w:val="008C0BCD"/>
    <w:rsid w:val="008C0E6B"/>
    <w:rsid w:val="008C1B2E"/>
    <w:rsid w:val="008C1B54"/>
    <w:rsid w:val="008C1D85"/>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A89"/>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0F1D"/>
    <w:rsid w:val="008D115B"/>
    <w:rsid w:val="008D122C"/>
    <w:rsid w:val="008D1351"/>
    <w:rsid w:val="008D1B09"/>
    <w:rsid w:val="008D1B67"/>
    <w:rsid w:val="008D1DA5"/>
    <w:rsid w:val="008D204F"/>
    <w:rsid w:val="008D20E2"/>
    <w:rsid w:val="008D2521"/>
    <w:rsid w:val="008D2C41"/>
    <w:rsid w:val="008D3068"/>
    <w:rsid w:val="008D3301"/>
    <w:rsid w:val="008D3347"/>
    <w:rsid w:val="008D345D"/>
    <w:rsid w:val="008D394B"/>
    <w:rsid w:val="008D3AC8"/>
    <w:rsid w:val="008D45E7"/>
    <w:rsid w:val="008D48E9"/>
    <w:rsid w:val="008D4C3B"/>
    <w:rsid w:val="008D4E81"/>
    <w:rsid w:val="008D4F44"/>
    <w:rsid w:val="008D5053"/>
    <w:rsid w:val="008D51EC"/>
    <w:rsid w:val="008D5326"/>
    <w:rsid w:val="008D53DC"/>
    <w:rsid w:val="008D5517"/>
    <w:rsid w:val="008D5530"/>
    <w:rsid w:val="008D582A"/>
    <w:rsid w:val="008D5960"/>
    <w:rsid w:val="008D5A82"/>
    <w:rsid w:val="008D5C19"/>
    <w:rsid w:val="008D5C2B"/>
    <w:rsid w:val="008D6132"/>
    <w:rsid w:val="008D6163"/>
    <w:rsid w:val="008D64F3"/>
    <w:rsid w:val="008D6627"/>
    <w:rsid w:val="008D675A"/>
    <w:rsid w:val="008D684F"/>
    <w:rsid w:val="008D6996"/>
    <w:rsid w:val="008D6B42"/>
    <w:rsid w:val="008D6B6B"/>
    <w:rsid w:val="008D6C57"/>
    <w:rsid w:val="008D6CA4"/>
    <w:rsid w:val="008D6CCB"/>
    <w:rsid w:val="008D6EF6"/>
    <w:rsid w:val="008D71C6"/>
    <w:rsid w:val="008D754B"/>
    <w:rsid w:val="008D7579"/>
    <w:rsid w:val="008D7731"/>
    <w:rsid w:val="008D77CB"/>
    <w:rsid w:val="008D7B61"/>
    <w:rsid w:val="008D7FB4"/>
    <w:rsid w:val="008E023B"/>
    <w:rsid w:val="008E05F9"/>
    <w:rsid w:val="008E0629"/>
    <w:rsid w:val="008E06C1"/>
    <w:rsid w:val="008E089A"/>
    <w:rsid w:val="008E0967"/>
    <w:rsid w:val="008E0AE2"/>
    <w:rsid w:val="008E0E79"/>
    <w:rsid w:val="008E0F86"/>
    <w:rsid w:val="008E116D"/>
    <w:rsid w:val="008E12FD"/>
    <w:rsid w:val="008E14A9"/>
    <w:rsid w:val="008E1615"/>
    <w:rsid w:val="008E171E"/>
    <w:rsid w:val="008E17AF"/>
    <w:rsid w:val="008E1816"/>
    <w:rsid w:val="008E19C4"/>
    <w:rsid w:val="008E1A26"/>
    <w:rsid w:val="008E1CA0"/>
    <w:rsid w:val="008E2799"/>
    <w:rsid w:val="008E2A23"/>
    <w:rsid w:val="008E2ABF"/>
    <w:rsid w:val="008E2C87"/>
    <w:rsid w:val="008E2FC4"/>
    <w:rsid w:val="008E3275"/>
    <w:rsid w:val="008E37BC"/>
    <w:rsid w:val="008E3A51"/>
    <w:rsid w:val="008E3D95"/>
    <w:rsid w:val="008E3EDB"/>
    <w:rsid w:val="008E3FEB"/>
    <w:rsid w:val="008E4256"/>
    <w:rsid w:val="008E4550"/>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D6"/>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411"/>
    <w:rsid w:val="008F55E8"/>
    <w:rsid w:val="008F56EA"/>
    <w:rsid w:val="008F596E"/>
    <w:rsid w:val="008F5F8F"/>
    <w:rsid w:val="008F644C"/>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619"/>
    <w:rsid w:val="00901EF1"/>
    <w:rsid w:val="009020C2"/>
    <w:rsid w:val="0090280E"/>
    <w:rsid w:val="0090287A"/>
    <w:rsid w:val="00902C4B"/>
    <w:rsid w:val="00902E36"/>
    <w:rsid w:val="00902E73"/>
    <w:rsid w:val="00902FFC"/>
    <w:rsid w:val="009030C4"/>
    <w:rsid w:val="00903532"/>
    <w:rsid w:val="0090365E"/>
    <w:rsid w:val="00903906"/>
    <w:rsid w:val="00903914"/>
    <w:rsid w:val="00903B72"/>
    <w:rsid w:val="00903BF8"/>
    <w:rsid w:val="009040B5"/>
    <w:rsid w:val="0090452E"/>
    <w:rsid w:val="009046B5"/>
    <w:rsid w:val="00904891"/>
    <w:rsid w:val="009050CD"/>
    <w:rsid w:val="00905201"/>
    <w:rsid w:val="0090524D"/>
    <w:rsid w:val="00905396"/>
    <w:rsid w:val="009054A3"/>
    <w:rsid w:val="00905775"/>
    <w:rsid w:val="00905939"/>
    <w:rsid w:val="0090594B"/>
    <w:rsid w:val="009059C1"/>
    <w:rsid w:val="00905A22"/>
    <w:rsid w:val="00905DB4"/>
    <w:rsid w:val="0090607A"/>
    <w:rsid w:val="00906310"/>
    <w:rsid w:val="009064A7"/>
    <w:rsid w:val="00906817"/>
    <w:rsid w:val="009069DA"/>
    <w:rsid w:val="00906C6F"/>
    <w:rsid w:val="009070A1"/>
    <w:rsid w:val="00907123"/>
    <w:rsid w:val="00907197"/>
    <w:rsid w:val="009073ED"/>
    <w:rsid w:val="00907516"/>
    <w:rsid w:val="00907604"/>
    <w:rsid w:val="00907AC2"/>
    <w:rsid w:val="00907B27"/>
    <w:rsid w:val="00907BBE"/>
    <w:rsid w:val="00907E9A"/>
    <w:rsid w:val="00910259"/>
    <w:rsid w:val="00910422"/>
    <w:rsid w:val="00910455"/>
    <w:rsid w:val="00910581"/>
    <w:rsid w:val="009107F5"/>
    <w:rsid w:val="00910832"/>
    <w:rsid w:val="00910A32"/>
    <w:rsid w:val="00910CED"/>
    <w:rsid w:val="00910EE8"/>
    <w:rsid w:val="00910F83"/>
    <w:rsid w:val="00911278"/>
    <w:rsid w:val="00911288"/>
    <w:rsid w:val="009115BB"/>
    <w:rsid w:val="00911639"/>
    <w:rsid w:val="009117C6"/>
    <w:rsid w:val="00911A9D"/>
    <w:rsid w:val="00911BBF"/>
    <w:rsid w:val="0091259A"/>
    <w:rsid w:val="0091292C"/>
    <w:rsid w:val="00912BDE"/>
    <w:rsid w:val="00912EEE"/>
    <w:rsid w:val="00912F51"/>
    <w:rsid w:val="009131EC"/>
    <w:rsid w:val="0091324D"/>
    <w:rsid w:val="00913445"/>
    <w:rsid w:val="009136B4"/>
    <w:rsid w:val="009136CA"/>
    <w:rsid w:val="00913DCF"/>
    <w:rsid w:val="009141B2"/>
    <w:rsid w:val="009142AD"/>
    <w:rsid w:val="0091432D"/>
    <w:rsid w:val="00914BD1"/>
    <w:rsid w:val="00914C52"/>
    <w:rsid w:val="00914CD0"/>
    <w:rsid w:val="00914DC0"/>
    <w:rsid w:val="00914F65"/>
    <w:rsid w:val="009152FC"/>
    <w:rsid w:val="0091541B"/>
    <w:rsid w:val="009154B0"/>
    <w:rsid w:val="009157B2"/>
    <w:rsid w:val="00915A63"/>
    <w:rsid w:val="00915E53"/>
    <w:rsid w:val="00915EF3"/>
    <w:rsid w:val="00915FC6"/>
    <w:rsid w:val="009168D4"/>
    <w:rsid w:val="00916953"/>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98D"/>
    <w:rsid w:val="00921CAD"/>
    <w:rsid w:val="00922481"/>
    <w:rsid w:val="009226FB"/>
    <w:rsid w:val="00922AEE"/>
    <w:rsid w:val="00922ECF"/>
    <w:rsid w:val="00923092"/>
    <w:rsid w:val="009231BC"/>
    <w:rsid w:val="009231DC"/>
    <w:rsid w:val="0092330D"/>
    <w:rsid w:val="009234A1"/>
    <w:rsid w:val="00923881"/>
    <w:rsid w:val="00923A7F"/>
    <w:rsid w:val="00923B39"/>
    <w:rsid w:val="00923CAC"/>
    <w:rsid w:val="00923D1C"/>
    <w:rsid w:val="00923D7C"/>
    <w:rsid w:val="00924208"/>
    <w:rsid w:val="009243E0"/>
    <w:rsid w:val="00924498"/>
    <w:rsid w:val="009246EF"/>
    <w:rsid w:val="00924761"/>
    <w:rsid w:val="0092498B"/>
    <w:rsid w:val="009249A3"/>
    <w:rsid w:val="00924D43"/>
    <w:rsid w:val="00924F9A"/>
    <w:rsid w:val="009250CF"/>
    <w:rsid w:val="0092510C"/>
    <w:rsid w:val="009251E1"/>
    <w:rsid w:val="009252F0"/>
    <w:rsid w:val="00925364"/>
    <w:rsid w:val="00925946"/>
    <w:rsid w:val="00925AD5"/>
    <w:rsid w:val="00925F7C"/>
    <w:rsid w:val="00925FBF"/>
    <w:rsid w:val="0092606F"/>
    <w:rsid w:val="009263BA"/>
    <w:rsid w:val="009263F1"/>
    <w:rsid w:val="0092657E"/>
    <w:rsid w:val="00926837"/>
    <w:rsid w:val="00926A86"/>
    <w:rsid w:val="00927126"/>
    <w:rsid w:val="009276B5"/>
    <w:rsid w:val="00927913"/>
    <w:rsid w:val="00927987"/>
    <w:rsid w:val="00927B2F"/>
    <w:rsid w:val="00927C30"/>
    <w:rsid w:val="00927C80"/>
    <w:rsid w:val="00927F58"/>
    <w:rsid w:val="00930063"/>
    <w:rsid w:val="009301E2"/>
    <w:rsid w:val="009305F1"/>
    <w:rsid w:val="0093065A"/>
    <w:rsid w:val="00930D85"/>
    <w:rsid w:val="00930F3E"/>
    <w:rsid w:val="00930F86"/>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643"/>
    <w:rsid w:val="00935B2B"/>
    <w:rsid w:val="00935B74"/>
    <w:rsid w:val="00935F85"/>
    <w:rsid w:val="00936658"/>
    <w:rsid w:val="00936925"/>
    <w:rsid w:val="00936CCE"/>
    <w:rsid w:val="00936CF4"/>
    <w:rsid w:val="00936D6F"/>
    <w:rsid w:val="00936E80"/>
    <w:rsid w:val="009370A1"/>
    <w:rsid w:val="00937175"/>
    <w:rsid w:val="00937418"/>
    <w:rsid w:val="00937760"/>
    <w:rsid w:val="009377E4"/>
    <w:rsid w:val="00937974"/>
    <w:rsid w:val="00937B00"/>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C27"/>
    <w:rsid w:val="00943DCF"/>
    <w:rsid w:val="00943DE2"/>
    <w:rsid w:val="00943E9A"/>
    <w:rsid w:val="009441E4"/>
    <w:rsid w:val="009441F5"/>
    <w:rsid w:val="0094423D"/>
    <w:rsid w:val="009442FA"/>
    <w:rsid w:val="00944375"/>
    <w:rsid w:val="009446FA"/>
    <w:rsid w:val="00944845"/>
    <w:rsid w:val="00944B9C"/>
    <w:rsid w:val="00944E0B"/>
    <w:rsid w:val="00944E96"/>
    <w:rsid w:val="009451C8"/>
    <w:rsid w:val="0094538B"/>
    <w:rsid w:val="009455B1"/>
    <w:rsid w:val="00945742"/>
    <w:rsid w:val="00945824"/>
    <w:rsid w:val="00945988"/>
    <w:rsid w:val="00945A6B"/>
    <w:rsid w:val="00945C6C"/>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870"/>
    <w:rsid w:val="00950937"/>
    <w:rsid w:val="00950AD0"/>
    <w:rsid w:val="00950AEF"/>
    <w:rsid w:val="009510C4"/>
    <w:rsid w:val="0095114E"/>
    <w:rsid w:val="0095147A"/>
    <w:rsid w:val="009516C4"/>
    <w:rsid w:val="009519AD"/>
    <w:rsid w:val="009519DA"/>
    <w:rsid w:val="00951B64"/>
    <w:rsid w:val="00951CE5"/>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4FD3"/>
    <w:rsid w:val="009552EA"/>
    <w:rsid w:val="0095582B"/>
    <w:rsid w:val="009559B6"/>
    <w:rsid w:val="00955DDE"/>
    <w:rsid w:val="00956525"/>
    <w:rsid w:val="00956793"/>
    <w:rsid w:val="00956827"/>
    <w:rsid w:val="009568F4"/>
    <w:rsid w:val="00956C96"/>
    <w:rsid w:val="00956E87"/>
    <w:rsid w:val="00956FD3"/>
    <w:rsid w:val="009571A6"/>
    <w:rsid w:val="009579B4"/>
    <w:rsid w:val="00957C78"/>
    <w:rsid w:val="00957CEF"/>
    <w:rsid w:val="00957E04"/>
    <w:rsid w:val="0096018A"/>
    <w:rsid w:val="0096027D"/>
    <w:rsid w:val="0096034D"/>
    <w:rsid w:val="009603BD"/>
    <w:rsid w:val="00960559"/>
    <w:rsid w:val="009606F6"/>
    <w:rsid w:val="00960972"/>
    <w:rsid w:val="00960A6A"/>
    <w:rsid w:val="00960C62"/>
    <w:rsid w:val="00960C9C"/>
    <w:rsid w:val="00960FEE"/>
    <w:rsid w:val="0096140B"/>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1C"/>
    <w:rsid w:val="00962F80"/>
    <w:rsid w:val="00963025"/>
    <w:rsid w:val="00963187"/>
    <w:rsid w:val="009635A6"/>
    <w:rsid w:val="00963885"/>
    <w:rsid w:val="00963AC8"/>
    <w:rsid w:val="00963EAB"/>
    <w:rsid w:val="00963EC6"/>
    <w:rsid w:val="00964119"/>
    <w:rsid w:val="0096417C"/>
    <w:rsid w:val="009645D2"/>
    <w:rsid w:val="00964834"/>
    <w:rsid w:val="00964EA4"/>
    <w:rsid w:val="00964F50"/>
    <w:rsid w:val="00965064"/>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ED"/>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0CD"/>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63"/>
    <w:rsid w:val="00975DB5"/>
    <w:rsid w:val="00976045"/>
    <w:rsid w:val="00976088"/>
    <w:rsid w:val="0097626D"/>
    <w:rsid w:val="00976338"/>
    <w:rsid w:val="00976442"/>
    <w:rsid w:val="00976A05"/>
    <w:rsid w:val="00976A8A"/>
    <w:rsid w:val="00976AD9"/>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23"/>
    <w:rsid w:val="009818A8"/>
    <w:rsid w:val="00981C16"/>
    <w:rsid w:val="00981D00"/>
    <w:rsid w:val="00981D20"/>
    <w:rsid w:val="00981E6F"/>
    <w:rsid w:val="009822C0"/>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874"/>
    <w:rsid w:val="0099095D"/>
    <w:rsid w:val="00990A5D"/>
    <w:rsid w:val="00990BE4"/>
    <w:rsid w:val="00990C06"/>
    <w:rsid w:val="00990C54"/>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884"/>
    <w:rsid w:val="00993A2A"/>
    <w:rsid w:val="00993B08"/>
    <w:rsid w:val="00993B7C"/>
    <w:rsid w:val="00993CC2"/>
    <w:rsid w:val="00993DF8"/>
    <w:rsid w:val="00993E6D"/>
    <w:rsid w:val="0099414F"/>
    <w:rsid w:val="00994284"/>
    <w:rsid w:val="0099453A"/>
    <w:rsid w:val="009945D8"/>
    <w:rsid w:val="0099470F"/>
    <w:rsid w:val="00994959"/>
    <w:rsid w:val="00994B76"/>
    <w:rsid w:val="00994DDC"/>
    <w:rsid w:val="00995104"/>
    <w:rsid w:val="009951D8"/>
    <w:rsid w:val="00995295"/>
    <w:rsid w:val="00995AC7"/>
    <w:rsid w:val="00995D14"/>
    <w:rsid w:val="00995D18"/>
    <w:rsid w:val="00995E52"/>
    <w:rsid w:val="00995E56"/>
    <w:rsid w:val="009960AC"/>
    <w:rsid w:val="009965FE"/>
    <w:rsid w:val="009966BA"/>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462"/>
    <w:rsid w:val="009A0582"/>
    <w:rsid w:val="009A05E5"/>
    <w:rsid w:val="009A0696"/>
    <w:rsid w:val="009A07BE"/>
    <w:rsid w:val="009A07FB"/>
    <w:rsid w:val="009A0922"/>
    <w:rsid w:val="009A0AE7"/>
    <w:rsid w:val="009A0CE2"/>
    <w:rsid w:val="009A0D05"/>
    <w:rsid w:val="009A0DD2"/>
    <w:rsid w:val="009A0E0E"/>
    <w:rsid w:val="009A11FA"/>
    <w:rsid w:val="009A133C"/>
    <w:rsid w:val="009A15CF"/>
    <w:rsid w:val="009A174C"/>
    <w:rsid w:val="009A1896"/>
    <w:rsid w:val="009A1C15"/>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B54"/>
    <w:rsid w:val="009A3DA0"/>
    <w:rsid w:val="009A3EA8"/>
    <w:rsid w:val="009A3EB5"/>
    <w:rsid w:val="009A402B"/>
    <w:rsid w:val="009A41F0"/>
    <w:rsid w:val="009A4321"/>
    <w:rsid w:val="009A46B9"/>
    <w:rsid w:val="009A4892"/>
    <w:rsid w:val="009A4A04"/>
    <w:rsid w:val="009A4A94"/>
    <w:rsid w:val="009A4CD7"/>
    <w:rsid w:val="009A4D3E"/>
    <w:rsid w:val="009A4F66"/>
    <w:rsid w:val="009A50A4"/>
    <w:rsid w:val="009A592E"/>
    <w:rsid w:val="009A597B"/>
    <w:rsid w:val="009A5CB0"/>
    <w:rsid w:val="009A60B8"/>
    <w:rsid w:val="009A6382"/>
    <w:rsid w:val="009A6925"/>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06"/>
    <w:rsid w:val="009A7C10"/>
    <w:rsid w:val="009B000F"/>
    <w:rsid w:val="009B010F"/>
    <w:rsid w:val="009B018C"/>
    <w:rsid w:val="009B02D2"/>
    <w:rsid w:val="009B094D"/>
    <w:rsid w:val="009B09D9"/>
    <w:rsid w:val="009B0A3C"/>
    <w:rsid w:val="009B0A72"/>
    <w:rsid w:val="009B0CA1"/>
    <w:rsid w:val="009B0F4B"/>
    <w:rsid w:val="009B106D"/>
    <w:rsid w:val="009B1547"/>
    <w:rsid w:val="009B1561"/>
    <w:rsid w:val="009B15F1"/>
    <w:rsid w:val="009B172E"/>
    <w:rsid w:val="009B1742"/>
    <w:rsid w:val="009B1BCA"/>
    <w:rsid w:val="009B1CD1"/>
    <w:rsid w:val="009B1E2D"/>
    <w:rsid w:val="009B296B"/>
    <w:rsid w:val="009B2B38"/>
    <w:rsid w:val="009B2EA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B9C5F"/>
    <w:rsid w:val="009C056C"/>
    <w:rsid w:val="009C0732"/>
    <w:rsid w:val="009C0A90"/>
    <w:rsid w:val="009C0BE8"/>
    <w:rsid w:val="009C11F9"/>
    <w:rsid w:val="009C123D"/>
    <w:rsid w:val="009C1250"/>
    <w:rsid w:val="009C1251"/>
    <w:rsid w:val="009C1551"/>
    <w:rsid w:val="009C1694"/>
    <w:rsid w:val="009C17BC"/>
    <w:rsid w:val="009C181E"/>
    <w:rsid w:val="009C18C4"/>
    <w:rsid w:val="009C1A28"/>
    <w:rsid w:val="009C1CDC"/>
    <w:rsid w:val="009C1D89"/>
    <w:rsid w:val="009C1E4E"/>
    <w:rsid w:val="009C20FD"/>
    <w:rsid w:val="009C22B2"/>
    <w:rsid w:val="009C22E7"/>
    <w:rsid w:val="009C235B"/>
    <w:rsid w:val="009C28FD"/>
    <w:rsid w:val="009C2CBE"/>
    <w:rsid w:val="009C2E33"/>
    <w:rsid w:val="009C2F12"/>
    <w:rsid w:val="009C31B2"/>
    <w:rsid w:val="009C3222"/>
    <w:rsid w:val="009C33D9"/>
    <w:rsid w:val="009C34D0"/>
    <w:rsid w:val="009C3526"/>
    <w:rsid w:val="009C3623"/>
    <w:rsid w:val="009C3A20"/>
    <w:rsid w:val="009C3A59"/>
    <w:rsid w:val="009C3CD6"/>
    <w:rsid w:val="009C3E2F"/>
    <w:rsid w:val="009C3E4E"/>
    <w:rsid w:val="009C3E87"/>
    <w:rsid w:val="009C40AA"/>
    <w:rsid w:val="009C40EF"/>
    <w:rsid w:val="009C43CB"/>
    <w:rsid w:val="009C46AC"/>
    <w:rsid w:val="009C4B49"/>
    <w:rsid w:val="009C4BBB"/>
    <w:rsid w:val="009C4C6C"/>
    <w:rsid w:val="009C5039"/>
    <w:rsid w:val="009C5067"/>
    <w:rsid w:val="009C50A7"/>
    <w:rsid w:val="009C541D"/>
    <w:rsid w:val="009C55B8"/>
    <w:rsid w:val="009C5634"/>
    <w:rsid w:val="009C565D"/>
    <w:rsid w:val="009C56E0"/>
    <w:rsid w:val="009C57B3"/>
    <w:rsid w:val="009C5864"/>
    <w:rsid w:val="009C5B31"/>
    <w:rsid w:val="009C5D3E"/>
    <w:rsid w:val="009C5DE1"/>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B01"/>
    <w:rsid w:val="009D1F0C"/>
    <w:rsid w:val="009D1F29"/>
    <w:rsid w:val="009D203F"/>
    <w:rsid w:val="009D2108"/>
    <w:rsid w:val="009D268F"/>
    <w:rsid w:val="009D2740"/>
    <w:rsid w:val="009D2B9C"/>
    <w:rsid w:val="009D2BD0"/>
    <w:rsid w:val="009D2DE3"/>
    <w:rsid w:val="009D38C0"/>
    <w:rsid w:val="009D3A3D"/>
    <w:rsid w:val="009D3B39"/>
    <w:rsid w:val="009D3C12"/>
    <w:rsid w:val="009D3D3F"/>
    <w:rsid w:val="009D3D89"/>
    <w:rsid w:val="009D4016"/>
    <w:rsid w:val="009D4291"/>
    <w:rsid w:val="009D4778"/>
    <w:rsid w:val="009D4DEF"/>
    <w:rsid w:val="009D51AA"/>
    <w:rsid w:val="009D5417"/>
    <w:rsid w:val="009D5471"/>
    <w:rsid w:val="009D569C"/>
    <w:rsid w:val="009D579A"/>
    <w:rsid w:val="009D58F8"/>
    <w:rsid w:val="009D5941"/>
    <w:rsid w:val="009D5C71"/>
    <w:rsid w:val="009D5E2A"/>
    <w:rsid w:val="009D6122"/>
    <w:rsid w:val="009D6277"/>
    <w:rsid w:val="009D6468"/>
    <w:rsid w:val="009D676E"/>
    <w:rsid w:val="009D691F"/>
    <w:rsid w:val="009D69AC"/>
    <w:rsid w:val="009D69C4"/>
    <w:rsid w:val="009D6A99"/>
    <w:rsid w:val="009D6DDE"/>
    <w:rsid w:val="009D704A"/>
    <w:rsid w:val="009D7112"/>
    <w:rsid w:val="009D72DF"/>
    <w:rsid w:val="009D755F"/>
    <w:rsid w:val="009D7797"/>
    <w:rsid w:val="009D7B15"/>
    <w:rsid w:val="009D7E7F"/>
    <w:rsid w:val="009E05A7"/>
    <w:rsid w:val="009E0625"/>
    <w:rsid w:val="009E0768"/>
    <w:rsid w:val="009E07CF"/>
    <w:rsid w:val="009E0978"/>
    <w:rsid w:val="009E0AD2"/>
    <w:rsid w:val="009E0B18"/>
    <w:rsid w:val="009E0BD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54C"/>
    <w:rsid w:val="009E48EE"/>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5F77"/>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5E3"/>
    <w:rsid w:val="009F27B5"/>
    <w:rsid w:val="009F28B5"/>
    <w:rsid w:val="009F2E5F"/>
    <w:rsid w:val="009F2F2C"/>
    <w:rsid w:val="009F3077"/>
    <w:rsid w:val="009F30A9"/>
    <w:rsid w:val="009F3420"/>
    <w:rsid w:val="009F3435"/>
    <w:rsid w:val="009F3581"/>
    <w:rsid w:val="009F3A71"/>
    <w:rsid w:val="009F3C90"/>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7BB"/>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D7F"/>
    <w:rsid w:val="00A073CF"/>
    <w:rsid w:val="00A0752A"/>
    <w:rsid w:val="00A07789"/>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5B6"/>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AE9"/>
    <w:rsid w:val="00A21B58"/>
    <w:rsid w:val="00A2222A"/>
    <w:rsid w:val="00A22320"/>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440"/>
    <w:rsid w:val="00A2569A"/>
    <w:rsid w:val="00A25A78"/>
    <w:rsid w:val="00A25ACB"/>
    <w:rsid w:val="00A25B9E"/>
    <w:rsid w:val="00A2642F"/>
    <w:rsid w:val="00A266B3"/>
    <w:rsid w:val="00A26B77"/>
    <w:rsid w:val="00A26E28"/>
    <w:rsid w:val="00A26E31"/>
    <w:rsid w:val="00A272CE"/>
    <w:rsid w:val="00A2750B"/>
    <w:rsid w:val="00A2758D"/>
    <w:rsid w:val="00A275C3"/>
    <w:rsid w:val="00A276B9"/>
    <w:rsid w:val="00A2774B"/>
    <w:rsid w:val="00A27A5F"/>
    <w:rsid w:val="00A27B69"/>
    <w:rsid w:val="00A27D4B"/>
    <w:rsid w:val="00A27EB5"/>
    <w:rsid w:val="00A3002C"/>
    <w:rsid w:val="00A3022B"/>
    <w:rsid w:val="00A30338"/>
    <w:rsid w:val="00A303BB"/>
    <w:rsid w:val="00A30715"/>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5EE5"/>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D8A"/>
    <w:rsid w:val="00A37EE1"/>
    <w:rsid w:val="00A403D4"/>
    <w:rsid w:val="00A4047C"/>
    <w:rsid w:val="00A40516"/>
    <w:rsid w:val="00A406E3"/>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8C8"/>
    <w:rsid w:val="00A4398F"/>
    <w:rsid w:val="00A439D1"/>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69E"/>
    <w:rsid w:val="00A45893"/>
    <w:rsid w:val="00A45AAE"/>
    <w:rsid w:val="00A45CF3"/>
    <w:rsid w:val="00A45D05"/>
    <w:rsid w:val="00A45D78"/>
    <w:rsid w:val="00A45E1D"/>
    <w:rsid w:val="00A46189"/>
    <w:rsid w:val="00A46772"/>
    <w:rsid w:val="00A467B3"/>
    <w:rsid w:val="00A46FB6"/>
    <w:rsid w:val="00A4708A"/>
    <w:rsid w:val="00A4723A"/>
    <w:rsid w:val="00A47B6C"/>
    <w:rsid w:val="00A47CB5"/>
    <w:rsid w:val="00A47E64"/>
    <w:rsid w:val="00A47F6D"/>
    <w:rsid w:val="00A500A7"/>
    <w:rsid w:val="00A50335"/>
    <w:rsid w:val="00A511D6"/>
    <w:rsid w:val="00A51476"/>
    <w:rsid w:val="00A516D5"/>
    <w:rsid w:val="00A5191C"/>
    <w:rsid w:val="00A51C53"/>
    <w:rsid w:val="00A520B6"/>
    <w:rsid w:val="00A5217E"/>
    <w:rsid w:val="00A522FF"/>
    <w:rsid w:val="00A523E0"/>
    <w:rsid w:val="00A52402"/>
    <w:rsid w:val="00A52580"/>
    <w:rsid w:val="00A525D8"/>
    <w:rsid w:val="00A528BA"/>
    <w:rsid w:val="00A52901"/>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4E"/>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83F"/>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1F0"/>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767"/>
    <w:rsid w:val="00A63DD5"/>
    <w:rsid w:val="00A63FA6"/>
    <w:rsid w:val="00A6400E"/>
    <w:rsid w:val="00A6433D"/>
    <w:rsid w:val="00A64370"/>
    <w:rsid w:val="00A64432"/>
    <w:rsid w:val="00A64892"/>
    <w:rsid w:val="00A648EF"/>
    <w:rsid w:val="00A64A2F"/>
    <w:rsid w:val="00A64A63"/>
    <w:rsid w:val="00A64D7C"/>
    <w:rsid w:val="00A64FEF"/>
    <w:rsid w:val="00A65018"/>
    <w:rsid w:val="00A6507A"/>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527"/>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35"/>
    <w:rsid w:val="00A766FF"/>
    <w:rsid w:val="00A768BE"/>
    <w:rsid w:val="00A76B4A"/>
    <w:rsid w:val="00A76E00"/>
    <w:rsid w:val="00A76EE9"/>
    <w:rsid w:val="00A7700E"/>
    <w:rsid w:val="00A77131"/>
    <w:rsid w:val="00A773DF"/>
    <w:rsid w:val="00A7746B"/>
    <w:rsid w:val="00A77620"/>
    <w:rsid w:val="00A77845"/>
    <w:rsid w:val="00A77B53"/>
    <w:rsid w:val="00A77C7B"/>
    <w:rsid w:val="00A77D15"/>
    <w:rsid w:val="00A77D45"/>
    <w:rsid w:val="00A77E99"/>
    <w:rsid w:val="00A8050B"/>
    <w:rsid w:val="00A80624"/>
    <w:rsid w:val="00A8094A"/>
    <w:rsid w:val="00A80A31"/>
    <w:rsid w:val="00A80B7B"/>
    <w:rsid w:val="00A80C47"/>
    <w:rsid w:val="00A80FCE"/>
    <w:rsid w:val="00A81089"/>
    <w:rsid w:val="00A8111C"/>
    <w:rsid w:val="00A813B1"/>
    <w:rsid w:val="00A81D11"/>
    <w:rsid w:val="00A81EFB"/>
    <w:rsid w:val="00A8210E"/>
    <w:rsid w:val="00A8212E"/>
    <w:rsid w:val="00A8236D"/>
    <w:rsid w:val="00A823E1"/>
    <w:rsid w:val="00A824B4"/>
    <w:rsid w:val="00A824E0"/>
    <w:rsid w:val="00A82730"/>
    <w:rsid w:val="00A82770"/>
    <w:rsid w:val="00A82D2E"/>
    <w:rsid w:val="00A82D76"/>
    <w:rsid w:val="00A82E0C"/>
    <w:rsid w:val="00A830E7"/>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800"/>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7D9"/>
    <w:rsid w:val="00A90944"/>
    <w:rsid w:val="00A90A7F"/>
    <w:rsid w:val="00A90AAD"/>
    <w:rsid w:val="00A90B82"/>
    <w:rsid w:val="00A91051"/>
    <w:rsid w:val="00A91215"/>
    <w:rsid w:val="00A9132A"/>
    <w:rsid w:val="00A9134F"/>
    <w:rsid w:val="00A913B8"/>
    <w:rsid w:val="00A91BCE"/>
    <w:rsid w:val="00A91E60"/>
    <w:rsid w:val="00A9216C"/>
    <w:rsid w:val="00A92480"/>
    <w:rsid w:val="00A928CC"/>
    <w:rsid w:val="00A92A4D"/>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AA7"/>
    <w:rsid w:val="00AA1B55"/>
    <w:rsid w:val="00AA2221"/>
    <w:rsid w:val="00AA2801"/>
    <w:rsid w:val="00AA29BD"/>
    <w:rsid w:val="00AA2BE2"/>
    <w:rsid w:val="00AA32B9"/>
    <w:rsid w:val="00AA3671"/>
    <w:rsid w:val="00AA3A33"/>
    <w:rsid w:val="00AA3AFC"/>
    <w:rsid w:val="00AA3B16"/>
    <w:rsid w:val="00AA3CC0"/>
    <w:rsid w:val="00AA3EF2"/>
    <w:rsid w:val="00AA42AC"/>
    <w:rsid w:val="00AA450F"/>
    <w:rsid w:val="00AA467D"/>
    <w:rsid w:val="00AA47BA"/>
    <w:rsid w:val="00AA4802"/>
    <w:rsid w:val="00AA4A95"/>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582"/>
    <w:rsid w:val="00AA6616"/>
    <w:rsid w:val="00AA667E"/>
    <w:rsid w:val="00AA68D2"/>
    <w:rsid w:val="00AA6AC1"/>
    <w:rsid w:val="00AA6AE7"/>
    <w:rsid w:val="00AA6B65"/>
    <w:rsid w:val="00AA6DD4"/>
    <w:rsid w:val="00AA6EDA"/>
    <w:rsid w:val="00AA6FB6"/>
    <w:rsid w:val="00AA7090"/>
    <w:rsid w:val="00AA719F"/>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37"/>
    <w:rsid w:val="00AB1950"/>
    <w:rsid w:val="00AB1AD7"/>
    <w:rsid w:val="00AB1D8F"/>
    <w:rsid w:val="00AB1DC2"/>
    <w:rsid w:val="00AB1EF6"/>
    <w:rsid w:val="00AB221A"/>
    <w:rsid w:val="00AB2456"/>
    <w:rsid w:val="00AB2569"/>
    <w:rsid w:val="00AB261F"/>
    <w:rsid w:val="00AB289F"/>
    <w:rsid w:val="00AB2959"/>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5E2"/>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4F5"/>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0AB0"/>
    <w:rsid w:val="00AD101C"/>
    <w:rsid w:val="00AD1295"/>
    <w:rsid w:val="00AD14C1"/>
    <w:rsid w:val="00AD16FC"/>
    <w:rsid w:val="00AD1A5C"/>
    <w:rsid w:val="00AD1A5D"/>
    <w:rsid w:val="00AD1C9D"/>
    <w:rsid w:val="00AD1E58"/>
    <w:rsid w:val="00AD1F54"/>
    <w:rsid w:val="00AD2058"/>
    <w:rsid w:val="00AD2113"/>
    <w:rsid w:val="00AD212F"/>
    <w:rsid w:val="00AD22EF"/>
    <w:rsid w:val="00AD2556"/>
    <w:rsid w:val="00AD2DAC"/>
    <w:rsid w:val="00AD2E1C"/>
    <w:rsid w:val="00AD2E79"/>
    <w:rsid w:val="00AD2EC5"/>
    <w:rsid w:val="00AD2EDC"/>
    <w:rsid w:val="00AD323C"/>
    <w:rsid w:val="00AD3585"/>
    <w:rsid w:val="00AD36E0"/>
    <w:rsid w:val="00AD38A2"/>
    <w:rsid w:val="00AD38EF"/>
    <w:rsid w:val="00AD3A52"/>
    <w:rsid w:val="00AD3A59"/>
    <w:rsid w:val="00AD3F62"/>
    <w:rsid w:val="00AD4012"/>
    <w:rsid w:val="00AD4035"/>
    <w:rsid w:val="00AD44DE"/>
    <w:rsid w:val="00AD4872"/>
    <w:rsid w:val="00AD4DB2"/>
    <w:rsid w:val="00AD500B"/>
    <w:rsid w:val="00AD51AB"/>
    <w:rsid w:val="00AD5205"/>
    <w:rsid w:val="00AD5708"/>
    <w:rsid w:val="00AD5852"/>
    <w:rsid w:val="00AD598B"/>
    <w:rsid w:val="00AD5E0C"/>
    <w:rsid w:val="00AD5EBA"/>
    <w:rsid w:val="00AD6123"/>
    <w:rsid w:val="00AD65F2"/>
    <w:rsid w:val="00AD6845"/>
    <w:rsid w:val="00AD68C1"/>
    <w:rsid w:val="00AD6C00"/>
    <w:rsid w:val="00AD6C74"/>
    <w:rsid w:val="00AD6CFF"/>
    <w:rsid w:val="00AD7053"/>
    <w:rsid w:val="00AD748B"/>
    <w:rsid w:val="00AD7659"/>
    <w:rsid w:val="00AD7895"/>
    <w:rsid w:val="00AD79F1"/>
    <w:rsid w:val="00AD79F4"/>
    <w:rsid w:val="00AD7B8E"/>
    <w:rsid w:val="00AE00E2"/>
    <w:rsid w:val="00AE01CF"/>
    <w:rsid w:val="00AE01E4"/>
    <w:rsid w:val="00AE05C9"/>
    <w:rsid w:val="00AE0677"/>
    <w:rsid w:val="00AE0A3A"/>
    <w:rsid w:val="00AE0C87"/>
    <w:rsid w:val="00AE0DCC"/>
    <w:rsid w:val="00AE1315"/>
    <w:rsid w:val="00AE1646"/>
    <w:rsid w:val="00AE1842"/>
    <w:rsid w:val="00AE1C39"/>
    <w:rsid w:val="00AE2025"/>
    <w:rsid w:val="00AE2421"/>
    <w:rsid w:val="00AE26DD"/>
    <w:rsid w:val="00AE2A19"/>
    <w:rsid w:val="00AE2E4E"/>
    <w:rsid w:val="00AE2EA0"/>
    <w:rsid w:val="00AE368F"/>
    <w:rsid w:val="00AE386E"/>
    <w:rsid w:val="00AE41B1"/>
    <w:rsid w:val="00AE4240"/>
    <w:rsid w:val="00AE43E9"/>
    <w:rsid w:val="00AE45D5"/>
    <w:rsid w:val="00AE46C8"/>
    <w:rsid w:val="00AE4955"/>
    <w:rsid w:val="00AE4BA6"/>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BE5"/>
    <w:rsid w:val="00AE7C82"/>
    <w:rsid w:val="00AE7D10"/>
    <w:rsid w:val="00AE7DA8"/>
    <w:rsid w:val="00AF025C"/>
    <w:rsid w:val="00AF043A"/>
    <w:rsid w:val="00AF05B0"/>
    <w:rsid w:val="00AF0E17"/>
    <w:rsid w:val="00AF0EAD"/>
    <w:rsid w:val="00AF10B2"/>
    <w:rsid w:val="00AF112A"/>
    <w:rsid w:val="00AF11C4"/>
    <w:rsid w:val="00AF120A"/>
    <w:rsid w:val="00AF12A8"/>
    <w:rsid w:val="00AF18E7"/>
    <w:rsid w:val="00AF1A78"/>
    <w:rsid w:val="00AF1BE6"/>
    <w:rsid w:val="00AF1C90"/>
    <w:rsid w:val="00AF1D41"/>
    <w:rsid w:val="00AF1F1A"/>
    <w:rsid w:val="00AF2181"/>
    <w:rsid w:val="00AF238E"/>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81"/>
    <w:rsid w:val="00AF49DD"/>
    <w:rsid w:val="00AF4F9C"/>
    <w:rsid w:val="00AF512D"/>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8ED"/>
    <w:rsid w:val="00B00938"/>
    <w:rsid w:val="00B00C29"/>
    <w:rsid w:val="00B00D80"/>
    <w:rsid w:val="00B012CA"/>
    <w:rsid w:val="00B0130E"/>
    <w:rsid w:val="00B01369"/>
    <w:rsid w:val="00B01879"/>
    <w:rsid w:val="00B01AD2"/>
    <w:rsid w:val="00B01D56"/>
    <w:rsid w:val="00B01E3F"/>
    <w:rsid w:val="00B0206B"/>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83B"/>
    <w:rsid w:val="00B05D68"/>
    <w:rsid w:val="00B05FEC"/>
    <w:rsid w:val="00B06248"/>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1E"/>
    <w:rsid w:val="00B10B4E"/>
    <w:rsid w:val="00B10CD5"/>
    <w:rsid w:val="00B110CA"/>
    <w:rsid w:val="00B110F5"/>
    <w:rsid w:val="00B1119D"/>
    <w:rsid w:val="00B11322"/>
    <w:rsid w:val="00B11430"/>
    <w:rsid w:val="00B118D1"/>
    <w:rsid w:val="00B11B5F"/>
    <w:rsid w:val="00B11BD3"/>
    <w:rsid w:val="00B11F81"/>
    <w:rsid w:val="00B121CA"/>
    <w:rsid w:val="00B12279"/>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BBD"/>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2C9"/>
    <w:rsid w:val="00B16354"/>
    <w:rsid w:val="00B164F0"/>
    <w:rsid w:val="00B16548"/>
    <w:rsid w:val="00B16819"/>
    <w:rsid w:val="00B16982"/>
    <w:rsid w:val="00B169DB"/>
    <w:rsid w:val="00B169F0"/>
    <w:rsid w:val="00B16AEC"/>
    <w:rsid w:val="00B16C1E"/>
    <w:rsid w:val="00B16C7D"/>
    <w:rsid w:val="00B16EFC"/>
    <w:rsid w:val="00B17225"/>
    <w:rsid w:val="00B17232"/>
    <w:rsid w:val="00B17491"/>
    <w:rsid w:val="00B175D2"/>
    <w:rsid w:val="00B17AFB"/>
    <w:rsid w:val="00B17E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EE"/>
    <w:rsid w:val="00B21CF3"/>
    <w:rsid w:val="00B21D69"/>
    <w:rsid w:val="00B21F61"/>
    <w:rsid w:val="00B21F71"/>
    <w:rsid w:val="00B220CC"/>
    <w:rsid w:val="00B2217D"/>
    <w:rsid w:val="00B223A1"/>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2B"/>
    <w:rsid w:val="00B24238"/>
    <w:rsid w:val="00B24CD7"/>
    <w:rsid w:val="00B24F22"/>
    <w:rsid w:val="00B24F96"/>
    <w:rsid w:val="00B25579"/>
    <w:rsid w:val="00B25871"/>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6FC3"/>
    <w:rsid w:val="00B27104"/>
    <w:rsid w:val="00B2748A"/>
    <w:rsid w:val="00B27560"/>
    <w:rsid w:val="00B275FA"/>
    <w:rsid w:val="00B276E7"/>
    <w:rsid w:val="00B2779E"/>
    <w:rsid w:val="00B27937"/>
    <w:rsid w:val="00B27B06"/>
    <w:rsid w:val="00B27BC2"/>
    <w:rsid w:val="00B27BD5"/>
    <w:rsid w:val="00B27D92"/>
    <w:rsid w:val="00B27EAF"/>
    <w:rsid w:val="00B302C1"/>
    <w:rsid w:val="00B302ED"/>
    <w:rsid w:val="00B3049E"/>
    <w:rsid w:val="00B305A8"/>
    <w:rsid w:val="00B3087F"/>
    <w:rsid w:val="00B30929"/>
    <w:rsid w:val="00B3114C"/>
    <w:rsid w:val="00B31308"/>
    <w:rsid w:val="00B31441"/>
    <w:rsid w:val="00B31560"/>
    <w:rsid w:val="00B31669"/>
    <w:rsid w:val="00B317FA"/>
    <w:rsid w:val="00B3191D"/>
    <w:rsid w:val="00B32277"/>
    <w:rsid w:val="00B32343"/>
    <w:rsid w:val="00B3274B"/>
    <w:rsid w:val="00B32D73"/>
    <w:rsid w:val="00B32F05"/>
    <w:rsid w:val="00B32FAD"/>
    <w:rsid w:val="00B330EE"/>
    <w:rsid w:val="00B331E1"/>
    <w:rsid w:val="00B332B4"/>
    <w:rsid w:val="00B332CB"/>
    <w:rsid w:val="00B33406"/>
    <w:rsid w:val="00B33494"/>
    <w:rsid w:val="00B334FA"/>
    <w:rsid w:val="00B336BF"/>
    <w:rsid w:val="00B3391A"/>
    <w:rsid w:val="00B33B86"/>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39"/>
    <w:rsid w:val="00B40ECA"/>
    <w:rsid w:val="00B4135A"/>
    <w:rsid w:val="00B4141A"/>
    <w:rsid w:val="00B41471"/>
    <w:rsid w:val="00B414BD"/>
    <w:rsid w:val="00B4159C"/>
    <w:rsid w:val="00B416EA"/>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7F"/>
    <w:rsid w:val="00B443C1"/>
    <w:rsid w:val="00B44410"/>
    <w:rsid w:val="00B44422"/>
    <w:rsid w:val="00B44674"/>
    <w:rsid w:val="00B44858"/>
    <w:rsid w:val="00B44915"/>
    <w:rsid w:val="00B44C24"/>
    <w:rsid w:val="00B44F9B"/>
    <w:rsid w:val="00B45079"/>
    <w:rsid w:val="00B4556A"/>
    <w:rsid w:val="00B45626"/>
    <w:rsid w:val="00B45AF9"/>
    <w:rsid w:val="00B45B79"/>
    <w:rsid w:val="00B45B7A"/>
    <w:rsid w:val="00B463A3"/>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DD0"/>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88"/>
    <w:rsid w:val="00B569A4"/>
    <w:rsid w:val="00B569B8"/>
    <w:rsid w:val="00B570F1"/>
    <w:rsid w:val="00B57DC9"/>
    <w:rsid w:val="00B57E2F"/>
    <w:rsid w:val="00B6018C"/>
    <w:rsid w:val="00B601AA"/>
    <w:rsid w:val="00B60321"/>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ABE"/>
    <w:rsid w:val="00B62DAF"/>
    <w:rsid w:val="00B62E1E"/>
    <w:rsid w:val="00B62FE1"/>
    <w:rsid w:val="00B63417"/>
    <w:rsid w:val="00B636F8"/>
    <w:rsid w:val="00B6392E"/>
    <w:rsid w:val="00B63BA9"/>
    <w:rsid w:val="00B63C03"/>
    <w:rsid w:val="00B640AD"/>
    <w:rsid w:val="00B64103"/>
    <w:rsid w:val="00B641A2"/>
    <w:rsid w:val="00B6425D"/>
    <w:rsid w:val="00B6429C"/>
    <w:rsid w:val="00B64AB2"/>
    <w:rsid w:val="00B651B0"/>
    <w:rsid w:val="00B651FC"/>
    <w:rsid w:val="00B65207"/>
    <w:rsid w:val="00B6522F"/>
    <w:rsid w:val="00B65343"/>
    <w:rsid w:val="00B6536A"/>
    <w:rsid w:val="00B654FC"/>
    <w:rsid w:val="00B65927"/>
    <w:rsid w:val="00B65BE0"/>
    <w:rsid w:val="00B65BE6"/>
    <w:rsid w:val="00B65C8F"/>
    <w:rsid w:val="00B65DF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301"/>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B0"/>
    <w:rsid w:val="00B73A00"/>
    <w:rsid w:val="00B73AAF"/>
    <w:rsid w:val="00B73D1B"/>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47"/>
    <w:rsid w:val="00B81052"/>
    <w:rsid w:val="00B810CB"/>
    <w:rsid w:val="00B81156"/>
    <w:rsid w:val="00B811C3"/>
    <w:rsid w:val="00B812BD"/>
    <w:rsid w:val="00B815B0"/>
    <w:rsid w:val="00B81879"/>
    <w:rsid w:val="00B81A78"/>
    <w:rsid w:val="00B81B6B"/>
    <w:rsid w:val="00B81C89"/>
    <w:rsid w:val="00B81E3E"/>
    <w:rsid w:val="00B82082"/>
    <w:rsid w:val="00B82321"/>
    <w:rsid w:val="00B82346"/>
    <w:rsid w:val="00B823B2"/>
    <w:rsid w:val="00B8255F"/>
    <w:rsid w:val="00B825B0"/>
    <w:rsid w:val="00B82A7D"/>
    <w:rsid w:val="00B82C01"/>
    <w:rsid w:val="00B82C1F"/>
    <w:rsid w:val="00B82E52"/>
    <w:rsid w:val="00B8304C"/>
    <w:rsid w:val="00B83381"/>
    <w:rsid w:val="00B835A3"/>
    <w:rsid w:val="00B838D9"/>
    <w:rsid w:val="00B83E46"/>
    <w:rsid w:val="00B843B6"/>
    <w:rsid w:val="00B84689"/>
    <w:rsid w:val="00B849C9"/>
    <w:rsid w:val="00B84A5C"/>
    <w:rsid w:val="00B84A62"/>
    <w:rsid w:val="00B84ED3"/>
    <w:rsid w:val="00B84F34"/>
    <w:rsid w:val="00B84F7F"/>
    <w:rsid w:val="00B853C7"/>
    <w:rsid w:val="00B85414"/>
    <w:rsid w:val="00B85465"/>
    <w:rsid w:val="00B85747"/>
    <w:rsid w:val="00B85901"/>
    <w:rsid w:val="00B85D09"/>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04"/>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ACB"/>
    <w:rsid w:val="00B95D4B"/>
    <w:rsid w:val="00B95D73"/>
    <w:rsid w:val="00B95F6C"/>
    <w:rsid w:val="00B96316"/>
    <w:rsid w:val="00B963DB"/>
    <w:rsid w:val="00B964E1"/>
    <w:rsid w:val="00B9652D"/>
    <w:rsid w:val="00B965FD"/>
    <w:rsid w:val="00B96766"/>
    <w:rsid w:val="00B96A23"/>
    <w:rsid w:val="00B96C77"/>
    <w:rsid w:val="00B96C7F"/>
    <w:rsid w:val="00B96E51"/>
    <w:rsid w:val="00B96FD0"/>
    <w:rsid w:val="00B970A0"/>
    <w:rsid w:val="00B97189"/>
    <w:rsid w:val="00B972C6"/>
    <w:rsid w:val="00B972E1"/>
    <w:rsid w:val="00B972F6"/>
    <w:rsid w:val="00B973EA"/>
    <w:rsid w:val="00B97429"/>
    <w:rsid w:val="00B977E4"/>
    <w:rsid w:val="00B97A18"/>
    <w:rsid w:val="00B97A8F"/>
    <w:rsid w:val="00B97B3D"/>
    <w:rsid w:val="00BA015D"/>
    <w:rsid w:val="00BA01FD"/>
    <w:rsid w:val="00BA0229"/>
    <w:rsid w:val="00BA0860"/>
    <w:rsid w:val="00BA0A8E"/>
    <w:rsid w:val="00BA0ECC"/>
    <w:rsid w:val="00BA139E"/>
    <w:rsid w:val="00BA17E4"/>
    <w:rsid w:val="00BA1A10"/>
    <w:rsid w:val="00BA1B35"/>
    <w:rsid w:val="00BA1B99"/>
    <w:rsid w:val="00BA1C72"/>
    <w:rsid w:val="00BA2337"/>
    <w:rsid w:val="00BA2652"/>
    <w:rsid w:val="00BA2859"/>
    <w:rsid w:val="00BA2914"/>
    <w:rsid w:val="00BA2B6F"/>
    <w:rsid w:val="00BA2DD7"/>
    <w:rsid w:val="00BA3072"/>
    <w:rsid w:val="00BA30C7"/>
    <w:rsid w:val="00BA35C5"/>
    <w:rsid w:val="00BA3857"/>
    <w:rsid w:val="00BA3A00"/>
    <w:rsid w:val="00BA3CB8"/>
    <w:rsid w:val="00BA3CFD"/>
    <w:rsid w:val="00BA3D37"/>
    <w:rsid w:val="00BA3D55"/>
    <w:rsid w:val="00BA3FF5"/>
    <w:rsid w:val="00BA4183"/>
    <w:rsid w:val="00BA449D"/>
    <w:rsid w:val="00BA45D8"/>
    <w:rsid w:val="00BA49E4"/>
    <w:rsid w:val="00BA4C82"/>
    <w:rsid w:val="00BA4F48"/>
    <w:rsid w:val="00BA5251"/>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A7FD1"/>
    <w:rsid w:val="00BB0E11"/>
    <w:rsid w:val="00BB0F25"/>
    <w:rsid w:val="00BB0F4D"/>
    <w:rsid w:val="00BB14BF"/>
    <w:rsid w:val="00BB1628"/>
    <w:rsid w:val="00BB1803"/>
    <w:rsid w:val="00BB1837"/>
    <w:rsid w:val="00BB1857"/>
    <w:rsid w:val="00BB18C4"/>
    <w:rsid w:val="00BB1BE0"/>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39A"/>
    <w:rsid w:val="00BB7410"/>
    <w:rsid w:val="00BB761A"/>
    <w:rsid w:val="00BB788E"/>
    <w:rsid w:val="00BB78D1"/>
    <w:rsid w:val="00BB7EA1"/>
    <w:rsid w:val="00BC0455"/>
    <w:rsid w:val="00BC0974"/>
    <w:rsid w:val="00BC0C75"/>
    <w:rsid w:val="00BC0E32"/>
    <w:rsid w:val="00BC0E33"/>
    <w:rsid w:val="00BC0F7E"/>
    <w:rsid w:val="00BC1049"/>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C9A"/>
    <w:rsid w:val="00BC2D2B"/>
    <w:rsid w:val="00BC2DB1"/>
    <w:rsid w:val="00BC2DD0"/>
    <w:rsid w:val="00BC2FD4"/>
    <w:rsid w:val="00BC33CF"/>
    <w:rsid w:val="00BC35A6"/>
    <w:rsid w:val="00BC38CE"/>
    <w:rsid w:val="00BC3991"/>
    <w:rsid w:val="00BC3B87"/>
    <w:rsid w:val="00BC3FD0"/>
    <w:rsid w:val="00BC4609"/>
    <w:rsid w:val="00BC473C"/>
    <w:rsid w:val="00BC4B45"/>
    <w:rsid w:val="00BC4B70"/>
    <w:rsid w:val="00BC555E"/>
    <w:rsid w:val="00BC575C"/>
    <w:rsid w:val="00BC5923"/>
    <w:rsid w:val="00BC5A95"/>
    <w:rsid w:val="00BC5AD6"/>
    <w:rsid w:val="00BC60AE"/>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0AE"/>
    <w:rsid w:val="00BD1838"/>
    <w:rsid w:val="00BD1BAB"/>
    <w:rsid w:val="00BD1CFD"/>
    <w:rsid w:val="00BD20C3"/>
    <w:rsid w:val="00BD216D"/>
    <w:rsid w:val="00BD2740"/>
    <w:rsid w:val="00BD2902"/>
    <w:rsid w:val="00BD2C72"/>
    <w:rsid w:val="00BD2CF3"/>
    <w:rsid w:val="00BD2D2B"/>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D775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2EE7"/>
    <w:rsid w:val="00BE3137"/>
    <w:rsid w:val="00BE3459"/>
    <w:rsid w:val="00BE3651"/>
    <w:rsid w:val="00BE37FF"/>
    <w:rsid w:val="00BE39B4"/>
    <w:rsid w:val="00BE39DE"/>
    <w:rsid w:val="00BE3AD1"/>
    <w:rsid w:val="00BE3D57"/>
    <w:rsid w:val="00BE3DBE"/>
    <w:rsid w:val="00BE3E6B"/>
    <w:rsid w:val="00BE3FDD"/>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095"/>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36"/>
    <w:rsid w:val="00BF3B82"/>
    <w:rsid w:val="00BF3C2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EB6"/>
    <w:rsid w:val="00BF6FD1"/>
    <w:rsid w:val="00BF73DC"/>
    <w:rsid w:val="00BF7598"/>
    <w:rsid w:val="00BF76F6"/>
    <w:rsid w:val="00BF7886"/>
    <w:rsid w:val="00C000A3"/>
    <w:rsid w:val="00C0042E"/>
    <w:rsid w:val="00C006A0"/>
    <w:rsid w:val="00C008E5"/>
    <w:rsid w:val="00C00E0A"/>
    <w:rsid w:val="00C00EDF"/>
    <w:rsid w:val="00C01169"/>
    <w:rsid w:val="00C012AF"/>
    <w:rsid w:val="00C0170F"/>
    <w:rsid w:val="00C01844"/>
    <w:rsid w:val="00C01876"/>
    <w:rsid w:val="00C018AE"/>
    <w:rsid w:val="00C01A18"/>
    <w:rsid w:val="00C01B16"/>
    <w:rsid w:val="00C01FE0"/>
    <w:rsid w:val="00C0218B"/>
    <w:rsid w:val="00C024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AF1"/>
    <w:rsid w:val="00C04B73"/>
    <w:rsid w:val="00C04DD1"/>
    <w:rsid w:val="00C0502A"/>
    <w:rsid w:val="00C05037"/>
    <w:rsid w:val="00C05121"/>
    <w:rsid w:val="00C05248"/>
    <w:rsid w:val="00C056C9"/>
    <w:rsid w:val="00C057EB"/>
    <w:rsid w:val="00C05900"/>
    <w:rsid w:val="00C05AE7"/>
    <w:rsid w:val="00C05C9D"/>
    <w:rsid w:val="00C05EFF"/>
    <w:rsid w:val="00C05FFB"/>
    <w:rsid w:val="00C06179"/>
    <w:rsid w:val="00C06186"/>
    <w:rsid w:val="00C0645D"/>
    <w:rsid w:val="00C067EF"/>
    <w:rsid w:val="00C0691E"/>
    <w:rsid w:val="00C069F1"/>
    <w:rsid w:val="00C06BCE"/>
    <w:rsid w:val="00C06BF9"/>
    <w:rsid w:val="00C06DB4"/>
    <w:rsid w:val="00C06F28"/>
    <w:rsid w:val="00C06FD0"/>
    <w:rsid w:val="00C0707C"/>
    <w:rsid w:val="00C07267"/>
    <w:rsid w:val="00C0747B"/>
    <w:rsid w:val="00C076C2"/>
    <w:rsid w:val="00C07972"/>
    <w:rsid w:val="00C07E81"/>
    <w:rsid w:val="00C07ED2"/>
    <w:rsid w:val="00C10448"/>
    <w:rsid w:val="00C105C2"/>
    <w:rsid w:val="00C109CB"/>
    <w:rsid w:val="00C10C39"/>
    <w:rsid w:val="00C10C9B"/>
    <w:rsid w:val="00C10CC1"/>
    <w:rsid w:val="00C10F6E"/>
    <w:rsid w:val="00C10F78"/>
    <w:rsid w:val="00C114D4"/>
    <w:rsid w:val="00C11561"/>
    <w:rsid w:val="00C11688"/>
    <w:rsid w:val="00C117BA"/>
    <w:rsid w:val="00C1200C"/>
    <w:rsid w:val="00C1249E"/>
    <w:rsid w:val="00C124C9"/>
    <w:rsid w:val="00C12554"/>
    <w:rsid w:val="00C1256A"/>
    <w:rsid w:val="00C127B6"/>
    <w:rsid w:val="00C12A64"/>
    <w:rsid w:val="00C12DD6"/>
    <w:rsid w:val="00C13350"/>
    <w:rsid w:val="00C138AF"/>
    <w:rsid w:val="00C13C42"/>
    <w:rsid w:val="00C14A19"/>
    <w:rsid w:val="00C14C63"/>
    <w:rsid w:val="00C14F48"/>
    <w:rsid w:val="00C151E3"/>
    <w:rsid w:val="00C152E3"/>
    <w:rsid w:val="00C15379"/>
    <w:rsid w:val="00C154CD"/>
    <w:rsid w:val="00C15507"/>
    <w:rsid w:val="00C15671"/>
    <w:rsid w:val="00C158D3"/>
    <w:rsid w:val="00C158DA"/>
    <w:rsid w:val="00C160CD"/>
    <w:rsid w:val="00C165B2"/>
    <w:rsid w:val="00C16703"/>
    <w:rsid w:val="00C16A3C"/>
    <w:rsid w:val="00C16AB2"/>
    <w:rsid w:val="00C16C05"/>
    <w:rsid w:val="00C17036"/>
    <w:rsid w:val="00C17215"/>
    <w:rsid w:val="00C173AD"/>
    <w:rsid w:val="00C1751E"/>
    <w:rsid w:val="00C1758F"/>
    <w:rsid w:val="00C176CB"/>
    <w:rsid w:val="00C17B66"/>
    <w:rsid w:val="00C17DE5"/>
    <w:rsid w:val="00C17E68"/>
    <w:rsid w:val="00C17F3E"/>
    <w:rsid w:val="00C20880"/>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77B"/>
    <w:rsid w:val="00C22D7F"/>
    <w:rsid w:val="00C22EDF"/>
    <w:rsid w:val="00C23005"/>
    <w:rsid w:val="00C230B7"/>
    <w:rsid w:val="00C2346D"/>
    <w:rsid w:val="00C236F1"/>
    <w:rsid w:val="00C2374B"/>
    <w:rsid w:val="00C23AB0"/>
    <w:rsid w:val="00C23C8C"/>
    <w:rsid w:val="00C23EC1"/>
    <w:rsid w:val="00C240BF"/>
    <w:rsid w:val="00C24245"/>
    <w:rsid w:val="00C2436B"/>
    <w:rsid w:val="00C24621"/>
    <w:rsid w:val="00C2479D"/>
    <w:rsid w:val="00C247BF"/>
    <w:rsid w:val="00C24BE2"/>
    <w:rsid w:val="00C24ED1"/>
    <w:rsid w:val="00C24F1D"/>
    <w:rsid w:val="00C24F6C"/>
    <w:rsid w:val="00C25159"/>
    <w:rsid w:val="00C253E2"/>
    <w:rsid w:val="00C25D5F"/>
    <w:rsid w:val="00C26040"/>
    <w:rsid w:val="00C2662E"/>
    <w:rsid w:val="00C267C6"/>
    <w:rsid w:val="00C26B0B"/>
    <w:rsid w:val="00C26CC7"/>
    <w:rsid w:val="00C27030"/>
    <w:rsid w:val="00C271E2"/>
    <w:rsid w:val="00C2734C"/>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83"/>
    <w:rsid w:val="00C318E5"/>
    <w:rsid w:val="00C31D95"/>
    <w:rsid w:val="00C31DE4"/>
    <w:rsid w:val="00C31FBA"/>
    <w:rsid w:val="00C323D1"/>
    <w:rsid w:val="00C32576"/>
    <w:rsid w:val="00C325F9"/>
    <w:rsid w:val="00C32AFA"/>
    <w:rsid w:val="00C32C12"/>
    <w:rsid w:val="00C32C39"/>
    <w:rsid w:val="00C32E32"/>
    <w:rsid w:val="00C334C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9C7"/>
    <w:rsid w:val="00C36B06"/>
    <w:rsid w:val="00C36C89"/>
    <w:rsid w:val="00C36FA9"/>
    <w:rsid w:val="00C3708F"/>
    <w:rsid w:val="00C3727A"/>
    <w:rsid w:val="00C3728B"/>
    <w:rsid w:val="00C373CB"/>
    <w:rsid w:val="00C378EA"/>
    <w:rsid w:val="00C37BC1"/>
    <w:rsid w:val="00C37C88"/>
    <w:rsid w:val="00C37DE9"/>
    <w:rsid w:val="00C37FB8"/>
    <w:rsid w:val="00C401D1"/>
    <w:rsid w:val="00C40483"/>
    <w:rsid w:val="00C407AB"/>
    <w:rsid w:val="00C40AAF"/>
    <w:rsid w:val="00C40C50"/>
    <w:rsid w:val="00C40CDB"/>
    <w:rsid w:val="00C40EA8"/>
    <w:rsid w:val="00C40F89"/>
    <w:rsid w:val="00C41695"/>
    <w:rsid w:val="00C4197B"/>
    <w:rsid w:val="00C41B04"/>
    <w:rsid w:val="00C41D69"/>
    <w:rsid w:val="00C41D86"/>
    <w:rsid w:val="00C41F7A"/>
    <w:rsid w:val="00C42042"/>
    <w:rsid w:val="00C423DB"/>
    <w:rsid w:val="00C4265D"/>
    <w:rsid w:val="00C42674"/>
    <w:rsid w:val="00C428A6"/>
    <w:rsid w:val="00C42BC9"/>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135"/>
    <w:rsid w:val="00C50676"/>
    <w:rsid w:val="00C50778"/>
    <w:rsid w:val="00C50A03"/>
    <w:rsid w:val="00C5100D"/>
    <w:rsid w:val="00C51307"/>
    <w:rsid w:val="00C51415"/>
    <w:rsid w:val="00C5156D"/>
    <w:rsid w:val="00C517CA"/>
    <w:rsid w:val="00C51864"/>
    <w:rsid w:val="00C51878"/>
    <w:rsid w:val="00C51A6C"/>
    <w:rsid w:val="00C51DBA"/>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0BD"/>
    <w:rsid w:val="00C5723C"/>
    <w:rsid w:val="00C576C3"/>
    <w:rsid w:val="00C576E5"/>
    <w:rsid w:val="00C57ADB"/>
    <w:rsid w:val="00C57B31"/>
    <w:rsid w:val="00C57BC4"/>
    <w:rsid w:val="00C57C19"/>
    <w:rsid w:val="00C57D9A"/>
    <w:rsid w:val="00C60337"/>
    <w:rsid w:val="00C60372"/>
    <w:rsid w:val="00C6054F"/>
    <w:rsid w:val="00C60659"/>
    <w:rsid w:val="00C6066C"/>
    <w:rsid w:val="00C606D0"/>
    <w:rsid w:val="00C606E8"/>
    <w:rsid w:val="00C60743"/>
    <w:rsid w:val="00C607C3"/>
    <w:rsid w:val="00C60C67"/>
    <w:rsid w:val="00C60C90"/>
    <w:rsid w:val="00C61257"/>
    <w:rsid w:val="00C612E0"/>
    <w:rsid w:val="00C61516"/>
    <w:rsid w:val="00C61646"/>
    <w:rsid w:val="00C616E3"/>
    <w:rsid w:val="00C61856"/>
    <w:rsid w:val="00C618C3"/>
    <w:rsid w:val="00C61916"/>
    <w:rsid w:val="00C6196B"/>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218"/>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48"/>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9E5"/>
    <w:rsid w:val="00C70A1C"/>
    <w:rsid w:val="00C70ADE"/>
    <w:rsid w:val="00C70BC1"/>
    <w:rsid w:val="00C70ED2"/>
    <w:rsid w:val="00C70EE7"/>
    <w:rsid w:val="00C71189"/>
    <w:rsid w:val="00C712CC"/>
    <w:rsid w:val="00C71824"/>
    <w:rsid w:val="00C71889"/>
    <w:rsid w:val="00C7198A"/>
    <w:rsid w:val="00C71EDA"/>
    <w:rsid w:val="00C72074"/>
    <w:rsid w:val="00C7217C"/>
    <w:rsid w:val="00C7233C"/>
    <w:rsid w:val="00C72406"/>
    <w:rsid w:val="00C72447"/>
    <w:rsid w:val="00C7288A"/>
    <w:rsid w:val="00C72BA9"/>
    <w:rsid w:val="00C72C42"/>
    <w:rsid w:val="00C732CF"/>
    <w:rsid w:val="00C737F5"/>
    <w:rsid w:val="00C73805"/>
    <w:rsid w:val="00C738CF"/>
    <w:rsid w:val="00C73A42"/>
    <w:rsid w:val="00C73DD4"/>
    <w:rsid w:val="00C74147"/>
    <w:rsid w:val="00C74327"/>
    <w:rsid w:val="00C74619"/>
    <w:rsid w:val="00C753B6"/>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360"/>
    <w:rsid w:val="00C805D9"/>
    <w:rsid w:val="00C80950"/>
    <w:rsid w:val="00C80A72"/>
    <w:rsid w:val="00C80AF3"/>
    <w:rsid w:val="00C8110D"/>
    <w:rsid w:val="00C81331"/>
    <w:rsid w:val="00C81975"/>
    <w:rsid w:val="00C81BF0"/>
    <w:rsid w:val="00C820E9"/>
    <w:rsid w:val="00C82166"/>
    <w:rsid w:val="00C82540"/>
    <w:rsid w:val="00C82624"/>
    <w:rsid w:val="00C82799"/>
    <w:rsid w:val="00C82EBF"/>
    <w:rsid w:val="00C82ED3"/>
    <w:rsid w:val="00C82FB5"/>
    <w:rsid w:val="00C83405"/>
    <w:rsid w:val="00C83613"/>
    <w:rsid w:val="00C83958"/>
    <w:rsid w:val="00C83F9A"/>
    <w:rsid w:val="00C83FEA"/>
    <w:rsid w:val="00C84324"/>
    <w:rsid w:val="00C8434D"/>
    <w:rsid w:val="00C84869"/>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A7C"/>
    <w:rsid w:val="00C86D7B"/>
    <w:rsid w:val="00C86EEC"/>
    <w:rsid w:val="00C87318"/>
    <w:rsid w:val="00C875F0"/>
    <w:rsid w:val="00C8771A"/>
    <w:rsid w:val="00C87B08"/>
    <w:rsid w:val="00C9029A"/>
    <w:rsid w:val="00C903C2"/>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C"/>
    <w:rsid w:val="00C9268D"/>
    <w:rsid w:val="00C926C3"/>
    <w:rsid w:val="00C92957"/>
    <w:rsid w:val="00C92C0C"/>
    <w:rsid w:val="00C92CFA"/>
    <w:rsid w:val="00C92F0A"/>
    <w:rsid w:val="00C92F77"/>
    <w:rsid w:val="00C93579"/>
    <w:rsid w:val="00C937E9"/>
    <w:rsid w:val="00C93A91"/>
    <w:rsid w:val="00C93CB0"/>
    <w:rsid w:val="00C941E2"/>
    <w:rsid w:val="00C942CD"/>
    <w:rsid w:val="00C943AB"/>
    <w:rsid w:val="00C945E1"/>
    <w:rsid w:val="00C95083"/>
    <w:rsid w:val="00C953CB"/>
    <w:rsid w:val="00C95456"/>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97F96"/>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1EE4"/>
    <w:rsid w:val="00CA23ED"/>
    <w:rsid w:val="00CA24D9"/>
    <w:rsid w:val="00CA2EE2"/>
    <w:rsid w:val="00CA326D"/>
    <w:rsid w:val="00CA3AD1"/>
    <w:rsid w:val="00CA3CDD"/>
    <w:rsid w:val="00CA3DCC"/>
    <w:rsid w:val="00CA403F"/>
    <w:rsid w:val="00CA404F"/>
    <w:rsid w:val="00CA463C"/>
    <w:rsid w:val="00CA474B"/>
    <w:rsid w:val="00CA4760"/>
    <w:rsid w:val="00CA4863"/>
    <w:rsid w:val="00CA4C2D"/>
    <w:rsid w:val="00CA4C6A"/>
    <w:rsid w:val="00CA4DDD"/>
    <w:rsid w:val="00CA51C3"/>
    <w:rsid w:val="00CA5B28"/>
    <w:rsid w:val="00CA5C35"/>
    <w:rsid w:val="00CA5CEA"/>
    <w:rsid w:val="00CA5D19"/>
    <w:rsid w:val="00CA5EBA"/>
    <w:rsid w:val="00CA633D"/>
    <w:rsid w:val="00CA63D9"/>
    <w:rsid w:val="00CA6423"/>
    <w:rsid w:val="00CA6759"/>
    <w:rsid w:val="00CA6CB0"/>
    <w:rsid w:val="00CA7290"/>
    <w:rsid w:val="00CA76F9"/>
    <w:rsid w:val="00CA7700"/>
    <w:rsid w:val="00CA7755"/>
    <w:rsid w:val="00CA776B"/>
    <w:rsid w:val="00CA7792"/>
    <w:rsid w:val="00CA7A40"/>
    <w:rsid w:val="00CA7AA0"/>
    <w:rsid w:val="00CA7BAC"/>
    <w:rsid w:val="00CA7EE7"/>
    <w:rsid w:val="00CB0237"/>
    <w:rsid w:val="00CB0447"/>
    <w:rsid w:val="00CB053B"/>
    <w:rsid w:val="00CB071E"/>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2D6"/>
    <w:rsid w:val="00CB6733"/>
    <w:rsid w:val="00CB6737"/>
    <w:rsid w:val="00CB67F5"/>
    <w:rsid w:val="00CB6A01"/>
    <w:rsid w:val="00CB6AEB"/>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CA9"/>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C59"/>
    <w:rsid w:val="00CC4C5A"/>
    <w:rsid w:val="00CC4FFC"/>
    <w:rsid w:val="00CC50F1"/>
    <w:rsid w:val="00CC5105"/>
    <w:rsid w:val="00CC5180"/>
    <w:rsid w:val="00CC51D6"/>
    <w:rsid w:val="00CC5280"/>
    <w:rsid w:val="00CC52A6"/>
    <w:rsid w:val="00CC554A"/>
    <w:rsid w:val="00CC5C70"/>
    <w:rsid w:val="00CC5DBC"/>
    <w:rsid w:val="00CC5F8A"/>
    <w:rsid w:val="00CC6139"/>
    <w:rsid w:val="00CC6282"/>
    <w:rsid w:val="00CC67AF"/>
    <w:rsid w:val="00CC6897"/>
    <w:rsid w:val="00CC68DC"/>
    <w:rsid w:val="00CC6A7E"/>
    <w:rsid w:val="00CC6B5E"/>
    <w:rsid w:val="00CC6F8F"/>
    <w:rsid w:val="00CC745A"/>
    <w:rsid w:val="00CC7832"/>
    <w:rsid w:val="00CC783C"/>
    <w:rsid w:val="00CC7A2A"/>
    <w:rsid w:val="00CC7E1E"/>
    <w:rsid w:val="00CC7E5C"/>
    <w:rsid w:val="00CC7FD7"/>
    <w:rsid w:val="00CD0113"/>
    <w:rsid w:val="00CD0127"/>
    <w:rsid w:val="00CD028A"/>
    <w:rsid w:val="00CD052F"/>
    <w:rsid w:val="00CD05A1"/>
    <w:rsid w:val="00CD0667"/>
    <w:rsid w:val="00CD06E4"/>
    <w:rsid w:val="00CD076C"/>
    <w:rsid w:val="00CD07A1"/>
    <w:rsid w:val="00CD087F"/>
    <w:rsid w:val="00CD0919"/>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8F9"/>
    <w:rsid w:val="00CD2912"/>
    <w:rsid w:val="00CD291D"/>
    <w:rsid w:val="00CD2E1F"/>
    <w:rsid w:val="00CD2EB3"/>
    <w:rsid w:val="00CD30ED"/>
    <w:rsid w:val="00CD3197"/>
    <w:rsid w:val="00CD34DD"/>
    <w:rsid w:val="00CD34FA"/>
    <w:rsid w:val="00CD3544"/>
    <w:rsid w:val="00CD3A97"/>
    <w:rsid w:val="00CD3E8B"/>
    <w:rsid w:val="00CD3FDB"/>
    <w:rsid w:val="00CD41DD"/>
    <w:rsid w:val="00CD47F2"/>
    <w:rsid w:val="00CD4C5F"/>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38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0BEC"/>
    <w:rsid w:val="00CE1128"/>
    <w:rsid w:val="00CE1253"/>
    <w:rsid w:val="00CE1636"/>
    <w:rsid w:val="00CE185B"/>
    <w:rsid w:val="00CE19D8"/>
    <w:rsid w:val="00CE1A6A"/>
    <w:rsid w:val="00CE1BFB"/>
    <w:rsid w:val="00CE1EF2"/>
    <w:rsid w:val="00CE1FA2"/>
    <w:rsid w:val="00CE1FBD"/>
    <w:rsid w:val="00CE2001"/>
    <w:rsid w:val="00CE20D4"/>
    <w:rsid w:val="00CE2C4C"/>
    <w:rsid w:val="00CE2D50"/>
    <w:rsid w:val="00CE2FEC"/>
    <w:rsid w:val="00CE3343"/>
    <w:rsid w:val="00CE347D"/>
    <w:rsid w:val="00CE3589"/>
    <w:rsid w:val="00CE359D"/>
    <w:rsid w:val="00CE3C8A"/>
    <w:rsid w:val="00CE3D1A"/>
    <w:rsid w:val="00CE3D2A"/>
    <w:rsid w:val="00CE3F66"/>
    <w:rsid w:val="00CE436D"/>
    <w:rsid w:val="00CE44A8"/>
    <w:rsid w:val="00CE48FA"/>
    <w:rsid w:val="00CE495C"/>
    <w:rsid w:val="00CE5216"/>
    <w:rsid w:val="00CE52E3"/>
    <w:rsid w:val="00CE5986"/>
    <w:rsid w:val="00CE5DD1"/>
    <w:rsid w:val="00CE5E30"/>
    <w:rsid w:val="00CE5E85"/>
    <w:rsid w:val="00CE5FAA"/>
    <w:rsid w:val="00CE63FA"/>
    <w:rsid w:val="00CE6607"/>
    <w:rsid w:val="00CE6EC3"/>
    <w:rsid w:val="00CE6EEE"/>
    <w:rsid w:val="00CE7412"/>
    <w:rsid w:val="00CE7572"/>
    <w:rsid w:val="00CE76EE"/>
    <w:rsid w:val="00CE7B52"/>
    <w:rsid w:val="00CE7D64"/>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3E"/>
    <w:rsid w:val="00CF29EB"/>
    <w:rsid w:val="00CF2D06"/>
    <w:rsid w:val="00CF3014"/>
    <w:rsid w:val="00CF3506"/>
    <w:rsid w:val="00CF36BD"/>
    <w:rsid w:val="00CF3769"/>
    <w:rsid w:val="00CF3C30"/>
    <w:rsid w:val="00CF3DDA"/>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569"/>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76"/>
    <w:rsid w:val="00D00CA9"/>
    <w:rsid w:val="00D00DC1"/>
    <w:rsid w:val="00D0114A"/>
    <w:rsid w:val="00D01508"/>
    <w:rsid w:val="00D015EF"/>
    <w:rsid w:val="00D01688"/>
    <w:rsid w:val="00D016DD"/>
    <w:rsid w:val="00D01865"/>
    <w:rsid w:val="00D01AD7"/>
    <w:rsid w:val="00D01DEF"/>
    <w:rsid w:val="00D01E2C"/>
    <w:rsid w:val="00D01E95"/>
    <w:rsid w:val="00D01F9A"/>
    <w:rsid w:val="00D02198"/>
    <w:rsid w:val="00D0238E"/>
    <w:rsid w:val="00D0239F"/>
    <w:rsid w:val="00D0325B"/>
    <w:rsid w:val="00D03749"/>
    <w:rsid w:val="00D03C56"/>
    <w:rsid w:val="00D03E0C"/>
    <w:rsid w:val="00D03E40"/>
    <w:rsid w:val="00D04064"/>
    <w:rsid w:val="00D04154"/>
    <w:rsid w:val="00D04509"/>
    <w:rsid w:val="00D04ABA"/>
    <w:rsid w:val="00D04AD2"/>
    <w:rsid w:val="00D04AEC"/>
    <w:rsid w:val="00D05038"/>
    <w:rsid w:val="00D050ED"/>
    <w:rsid w:val="00D05236"/>
    <w:rsid w:val="00D05591"/>
    <w:rsid w:val="00D055E1"/>
    <w:rsid w:val="00D0579D"/>
    <w:rsid w:val="00D057AE"/>
    <w:rsid w:val="00D05F13"/>
    <w:rsid w:val="00D05F34"/>
    <w:rsid w:val="00D062BC"/>
    <w:rsid w:val="00D0659A"/>
    <w:rsid w:val="00D065A0"/>
    <w:rsid w:val="00D06B77"/>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DFE"/>
    <w:rsid w:val="00D10E13"/>
    <w:rsid w:val="00D10EBE"/>
    <w:rsid w:val="00D110A2"/>
    <w:rsid w:val="00D1136C"/>
    <w:rsid w:val="00D118DD"/>
    <w:rsid w:val="00D11A1C"/>
    <w:rsid w:val="00D11BF4"/>
    <w:rsid w:val="00D11F64"/>
    <w:rsid w:val="00D12070"/>
    <w:rsid w:val="00D1221A"/>
    <w:rsid w:val="00D1221D"/>
    <w:rsid w:val="00D123A9"/>
    <w:rsid w:val="00D123EC"/>
    <w:rsid w:val="00D12697"/>
    <w:rsid w:val="00D127AE"/>
    <w:rsid w:val="00D1284A"/>
    <w:rsid w:val="00D12B64"/>
    <w:rsid w:val="00D12B78"/>
    <w:rsid w:val="00D13352"/>
    <w:rsid w:val="00D13416"/>
    <w:rsid w:val="00D1366E"/>
    <w:rsid w:val="00D13839"/>
    <w:rsid w:val="00D13B8E"/>
    <w:rsid w:val="00D13CA8"/>
    <w:rsid w:val="00D13D6E"/>
    <w:rsid w:val="00D13FA5"/>
    <w:rsid w:val="00D14003"/>
    <w:rsid w:val="00D14040"/>
    <w:rsid w:val="00D14131"/>
    <w:rsid w:val="00D1414C"/>
    <w:rsid w:val="00D141AF"/>
    <w:rsid w:val="00D142FA"/>
    <w:rsid w:val="00D148DD"/>
    <w:rsid w:val="00D14A9E"/>
    <w:rsid w:val="00D14E4A"/>
    <w:rsid w:val="00D1520E"/>
    <w:rsid w:val="00D153E1"/>
    <w:rsid w:val="00D154B4"/>
    <w:rsid w:val="00D15578"/>
    <w:rsid w:val="00D158A2"/>
    <w:rsid w:val="00D15E75"/>
    <w:rsid w:val="00D160C6"/>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04"/>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938"/>
    <w:rsid w:val="00D24D69"/>
    <w:rsid w:val="00D24F74"/>
    <w:rsid w:val="00D25094"/>
    <w:rsid w:val="00D2509C"/>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093"/>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6B3"/>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0B"/>
    <w:rsid w:val="00D35223"/>
    <w:rsid w:val="00D3540D"/>
    <w:rsid w:val="00D3552E"/>
    <w:rsid w:val="00D3553D"/>
    <w:rsid w:val="00D3576B"/>
    <w:rsid w:val="00D35ACF"/>
    <w:rsid w:val="00D35B03"/>
    <w:rsid w:val="00D35C4C"/>
    <w:rsid w:val="00D35FD5"/>
    <w:rsid w:val="00D361A7"/>
    <w:rsid w:val="00D366CD"/>
    <w:rsid w:val="00D36A01"/>
    <w:rsid w:val="00D36A0C"/>
    <w:rsid w:val="00D36ADA"/>
    <w:rsid w:val="00D36E44"/>
    <w:rsid w:val="00D36F14"/>
    <w:rsid w:val="00D3736D"/>
    <w:rsid w:val="00D37550"/>
    <w:rsid w:val="00D376ED"/>
    <w:rsid w:val="00D37715"/>
    <w:rsid w:val="00D37B46"/>
    <w:rsid w:val="00D400B0"/>
    <w:rsid w:val="00D403C0"/>
    <w:rsid w:val="00D4075C"/>
    <w:rsid w:val="00D40770"/>
    <w:rsid w:val="00D4094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60"/>
    <w:rsid w:val="00D42FF7"/>
    <w:rsid w:val="00D43123"/>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1B0"/>
    <w:rsid w:val="00D4543F"/>
    <w:rsid w:val="00D45502"/>
    <w:rsid w:val="00D45508"/>
    <w:rsid w:val="00D4589B"/>
    <w:rsid w:val="00D45EFB"/>
    <w:rsid w:val="00D45F73"/>
    <w:rsid w:val="00D460EB"/>
    <w:rsid w:val="00D463E2"/>
    <w:rsid w:val="00D4659C"/>
    <w:rsid w:val="00D46635"/>
    <w:rsid w:val="00D467A9"/>
    <w:rsid w:val="00D468D0"/>
    <w:rsid w:val="00D46AE2"/>
    <w:rsid w:val="00D46C8F"/>
    <w:rsid w:val="00D47073"/>
    <w:rsid w:val="00D479E4"/>
    <w:rsid w:val="00D47AEB"/>
    <w:rsid w:val="00D47CBD"/>
    <w:rsid w:val="00D47FFE"/>
    <w:rsid w:val="00D502A6"/>
    <w:rsid w:val="00D502C1"/>
    <w:rsid w:val="00D502DD"/>
    <w:rsid w:val="00D50373"/>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8A5"/>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49C"/>
    <w:rsid w:val="00D57696"/>
    <w:rsid w:val="00D576BC"/>
    <w:rsid w:val="00D579A6"/>
    <w:rsid w:val="00D579CC"/>
    <w:rsid w:val="00D57A73"/>
    <w:rsid w:val="00D57AEA"/>
    <w:rsid w:val="00D57D22"/>
    <w:rsid w:val="00D60235"/>
    <w:rsid w:val="00D60339"/>
    <w:rsid w:val="00D6035A"/>
    <w:rsid w:val="00D6053E"/>
    <w:rsid w:val="00D60564"/>
    <w:rsid w:val="00D6083C"/>
    <w:rsid w:val="00D60870"/>
    <w:rsid w:val="00D6088B"/>
    <w:rsid w:val="00D60C5B"/>
    <w:rsid w:val="00D60EED"/>
    <w:rsid w:val="00D60F21"/>
    <w:rsid w:val="00D615AD"/>
    <w:rsid w:val="00D61742"/>
    <w:rsid w:val="00D617CC"/>
    <w:rsid w:val="00D6183D"/>
    <w:rsid w:val="00D61A02"/>
    <w:rsid w:val="00D62208"/>
    <w:rsid w:val="00D625F2"/>
    <w:rsid w:val="00D62AAF"/>
    <w:rsid w:val="00D62B8A"/>
    <w:rsid w:val="00D62EF3"/>
    <w:rsid w:val="00D634A7"/>
    <w:rsid w:val="00D634E9"/>
    <w:rsid w:val="00D636AA"/>
    <w:rsid w:val="00D63CDA"/>
    <w:rsid w:val="00D643C5"/>
    <w:rsid w:val="00D64791"/>
    <w:rsid w:val="00D649EE"/>
    <w:rsid w:val="00D64A46"/>
    <w:rsid w:val="00D64B5A"/>
    <w:rsid w:val="00D64CE8"/>
    <w:rsid w:val="00D64F53"/>
    <w:rsid w:val="00D65064"/>
    <w:rsid w:val="00D65231"/>
    <w:rsid w:val="00D6563A"/>
    <w:rsid w:val="00D656B9"/>
    <w:rsid w:val="00D656E0"/>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22F"/>
    <w:rsid w:val="00D724E2"/>
    <w:rsid w:val="00D72500"/>
    <w:rsid w:val="00D72826"/>
    <w:rsid w:val="00D728E2"/>
    <w:rsid w:val="00D729DC"/>
    <w:rsid w:val="00D72B1F"/>
    <w:rsid w:val="00D72D1D"/>
    <w:rsid w:val="00D72D8B"/>
    <w:rsid w:val="00D73108"/>
    <w:rsid w:val="00D731EB"/>
    <w:rsid w:val="00D734F5"/>
    <w:rsid w:val="00D7358E"/>
    <w:rsid w:val="00D7392E"/>
    <w:rsid w:val="00D740D6"/>
    <w:rsid w:val="00D740DB"/>
    <w:rsid w:val="00D7476D"/>
    <w:rsid w:val="00D74933"/>
    <w:rsid w:val="00D749DD"/>
    <w:rsid w:val="00D74A63"/>
    <w:rsid w:val="00D74AF0"/>
    <w:rsid w:val="00D74BDE"/>
    <w:rsid w:val="00D74D0C"/>
    <w:rsid w:val="00D750BA"/>
    <w:rsid w:val="00D75160"/>
    <w:rsid w:val="00D7521C"/>
    <w:rsid w:val="00D755E7"/>
    <w:rsid w:val="00D756AA"/>
    <w:rsid w:val="00D757BD"/>
    <w:rsid w:val="00D75843"/>
    <w:rsid w:val="00D75DE5"/>
    <w:rsid w:val="00D75FA2"/>
    <w:rsid w:val="00D76097"/>
    <w:rsid w:val="00D76557"/>
    <w:rsid w:val="00D765A0"/>
    <w:rsid w:val="00D765D0"/>
    <w:rsid w:val="00D76709"/>
    <w:rsid w:val="00D767A0"/>
    <w:rsid w:val="00D7682A"/>
    <w:rsid w:val="00D76E51"/>
    <w:rsid w:val="00D77004"/>
    <w:rsid w:val="00D7703D"/>
    <w:rsid w:val="00D776D4"/>
    <w:rsid w:val="00D77800"/>
    <w:rsid w:val="00D77958"/>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10"/>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A51"/>
    <w:rsid w:val="00D85B61"/>
    <w:rsid w:val="00D85FDD"/>
    <w:rsid w:val="00D862D7"/>
    <w:rsid w:val="00D866CC"/>
    <w:rsid w:val="00D86929"/>
    <w:rsid w:val="00D869CB"/>
    <w:rsid w:val="00D86AF6"/>
    <w:rsid w:val="00D86B2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C95"/>
    <w:rsid w:val="00D91D74"/>
    <w:rsid w:val="00D91E68"/>
    <w:rsid w:val="00D9201D"/>
    <w:rsid w:val="00D925AB"/>
    <w:rsid w:val="00D92877"/>
    <w:rsid w:val="00D9294C"/>
    <w:rsid w:val="00D92A24"/>
    <w:rsid w:val="00D92AB6"/>
    <w:rsid w:val="00D92BFF"/>
    <w:rsid w:val="00D92DE5"/>
    <w:rsid w:val="00D92F09"/>
    <w:rsid w:val="00D930B9"/>
    <w:rsid w:val="00D9329A"/>
    <w:rsid w:val="00D93630"/>
    <w:rsid w:val="00D937F1"/>
    <w:rsid w:val="00D9392D"/>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DDD"/>
    <w:rsid w:val="00D96EA9"/>
    <w:rsid w:val="00D96EC1"/>
    <w:rsid w:val="00D97320"/>
    <w:rsid w:val="00D9784A"/>
    <w:rsid w:val="00D978E5"/>
    <w:rsid w:val="00D97D00"/>
    <w:rsid w:val="00D97EFE"/>
    <w:rsid w:val="00DA008F"/>
    <w:rsid w:val="00DA01BF"/>
    <w:rsid w:val="00DA0815"/>
    <w:rsid w:val="00DA0890"/>
    <w:rsid w:val="00DA08BB"/>
    <w:rsid w:val="00DA09AF"/>
    <w:rsid w:val="00DA09D2"/>
    <w:rsid w:val="00DA0B44"/>
    <w:rsid w:val="00DA10CD"/>
    <w:rsid w:val="00DA11A4"/>
    <w:rsid w:val="00DA14F6"/>
    <w:rsid w:val="00DA1801"/>
    <w:rsid w:val="00DA1803"/>
    <w:rsid w:val="00DA1F2D"/>
    <w:rsid w:val="00DA1F83"/>
    <w:rsid w:val="00DA2176"/>
    <w:rsid w:val="00DA2223"/>
    <w:rsid w:val="00DA22ED"/>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0A"/>
    <w:rsid w:val="00DA48EF"/>
    <w:rsid w:val="00DA49CA"/>
    <w:rsid w:val="00DA49CF"/>
    <w:rsid w:val="00DA5446"/>
    <w:rsid w:val="00DA5E4B"/>
    <w:rsid w:val="00DA6189"/>
    <w:rsid w:val="00DA68A8"/>
    <w:rsid w:val="00DA6A3D"/>
    <w:rsid w:val="00DA7613"/>
    <w:rsid w:val="00DA7622"/>
    <w:rsid w:val="00DA7637"/>
    <w:rsid w:val="00DA77EB"/>
    <w:rsid w:val="00DA7BE9"/>
    <w:rsid w:val="00DA7C43"/>
    <w:rsid w:val="00DA7D70"/>
    <w:rsid w:val="00DA7E37"/>
    <w:rsid w:val="00DA7FD7"/>
    <w:rsid w:val="00DB0180"/>
    <w:rsid w:val="00DB0259"/>
    <w:rsid w:val="00DB0511"/>
    <w:rsid w:val="00DB05CB"/>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028"/>
    <w:rsid w:val="00DB3507"/>
    <w:rsid w:val="00DB37CD"/>
    <w:rsid w:val="00DB39D1"/>
    <w:rsid w:val="00DB3F0A"/>
    <w:rsid w:val="00DB41AD"/>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50"/>
    <w:rsid w:val="00DB68DD"/>
    <w:rsid w:val="00DB6958"/>
    <w:rsid w:val="00DB6B9B"/>
    <w:rsid w:val="00DB6BDA"/>
    <w:rsid w:val="00DB6E0A"/>
    <w:rsid w:val="00DB6F45"/>
    <w:rsid w:val="00DB7168"/>
    <w:rsid w:val="00DB76E4"/>
    <w:rsid w:val="00DB7A6D"/>
    <w:rsid w:val="00DB7B0B"/>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3A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90E"/>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33D"/>
    <w:rsid w:val="00DC742E"/>
    <w:rsid w:val="00DC78B7"/>
    <w:rsid w:val="00DC7FD6"/>
    <w:rsid w:val="00DD0135"/>
    <w:rsid w:val="00DD0234"/>
    <w:rsid w:val="00DD0249"/>
    <w:rsid w:val="00DD042F"/>
    <w:rsid w:val="00DD05DC"/>
    <w:rsid w:val="00DD061A"/>
    <w:rsid w:val="00DD0948"/>
    <w:rsid w:val="00DD0A7A"/>
    <w:rsid w:val="00DD0B37"/>
    <w:rsid w:val="00DD0B43"/>
    <w:rsid w:val="00DD0B6E"/>
    <w:rsid w:val="00DD0E62"/>
    <w:rsid w:val="00DD1017"/>
    <w:rsid w:val="00DD1042"/>
    <w:rsid w:val="00DD1105"/>
    <w:rsid w:val="00DD1213"/>
    <w:rsid w:val="00DD12B1"/>
    <w:rsid w:val="00DD14EB"/>
    <w:rsid w:val="00DD1511"/>
    <w:rsid w:val="00DD168F"/>
    <w:rsid w:val="00DD16DB"/>
    <w:rsid w:val="00DD17AC"/>
    <w:rsid w:val="00DD1A95"/>
    <w:rsid w:val="00DD1B07"/>
    <w:rsid w:val="00DD1CDB"/>
    <w:rsid w:val="00DD247B"/>
    <w:rsid w:val="00DD255F"/>
    <w:rsid w:val="00DD270C"/>
    <w:rsid w:val="00DD274B"/>
    <w:rsid w:val="00DD277A"/>
    <w:rsid w:val="00DD2A72"/>
    <w:rsid w:val="00DD2AAB"/>
    <w:rsid w:val="00DD2BF7"/>
    <w:rsid w:val="00DD2F61"/>
    <w:rsid w:val="00DD30B6"/>
    <w:rsid w:val="00DD3386"/>
    <w:rsid w:val="00DD3534"/>
    <w:rsid w:val="00DD38C7"/>
    <w:rsid w:val="00DD3AB4"/>
    <w:rsid w:val="00DD3AEB"/>
    <w:rsid w:val="00DD3C15"/>
    <w:rsid w:val="00DD3C23"/>
    <w:rsid w:val="00DD3D86"/>
    <w:rsid w:val="00DD4022"/>
    <w:rsid w:val="00DD419B"/>
    <w:rsid w:val="00DD42BA"/>
    <w:rsid w:val="00DD453D"/>
    <w:rsid w:val="00DD4556"/>
    <w:rsid w:val="00DD473F"/>
    <w:rsid w:val="00DD478F"/>
    <w:rsid w:val="00DD4901"/>
    <w:rsid w:val="00DD4999"/>
    <w:rsid w:val="00DD49C0"/>
    <w:rsid w:val="00DD49E2"/>
    <w:rsid w:val="00DD4BE6"/>
    <w:rsid w:val="00DD513E"/>
    <w:rsid w:val="00DD5458"/>
    <w:rsid w:val="00DD55DE"/>
    <w:rsid w:val="00DD577E"/>
    <w:rsid w:val="00DD5812"/>
    <w:rsid w:val="00DD58DE"/>
    <w:rsid w:val="00DD59C0"/>
    <w:rsid w:val="00DD5ABC"/>
    <w:rsid w:val="00DD60CD"/>
    <w:rsid w:val="00DD6C24"/>
    <w:rsid w:val="00DD70F4"/>
    <w:rsid w:val="00DD786C"/>
    <w:rsid w:val="00DE0041"/>
    <w:rsid w:val="00DE0556"/>
    <w:rsid w:val="00DE074F"/>
    <w:rsid w:val="00DE0957"/>
    <w:rsid w:val="00DE0B91"/>
    <w:rsid w:val="00DE0CD8"/>
    <w:rsid w:val="00DE0EA8"/>
    <w:rsid w:val="00DE110E"/>
    <w:rsid w:val="00DE12F3"/>
    <w:rsid w:val="00DE1911"/>
    <w:rsid w:val="00DE1B4F"/>
    <w:rsid w:val="00DE1D2D"/>
    <w:rsid w:val="00DE1D7C"/>
    <w:rsid w:val="00DE2066"/>
    <w:rsid w:val="00DE2851"/>
    <w:rsid w:val="00DE28F2"/>
    <w:rsid w:val="00DE291A"/>
    <w:rsid w:val="00DE2C38"/>
    <w:rsid w:val="00DE305A"/>
    <w:rsid w:val="00DE30C2"/>
    <w:rsid w:val="00DE33E1"/>
    <w:rsid w:val="00DE352E"/>
    <w:rsid w:val="00DE354E"/>
    <w:rsid w:val="00DE35B6"/>
    <w:rsid w:val="00DE3600"/>
    <w:rsid w:val="00DE3658"/>
    <w:rsid w:val="00DE3660"/>
    <w:rsid w:val="00DE36C6"/>
    <w:rsid w:val="00DE3740"/>
    <w:rsid w:val="00DE3825"/>
    <w:rsid w:val="00DE4462"/>
    <w:rsid w:val="00DE4561"/>
    <w:rsid w:val="00DE4976"/>
    <w:rsid w:val="00DE4C64"/>
    <w:rsid w:val="00DE4D79"/>
    <w:rsid w:val="00DE4ED8"/>
    <w:rsid w:val="00DE5337"/>
    <w:rsid w:val="00DE534B"/>
    <w:rsid w:val="00DE58C1"/>
    <w:rsid w:val="00DE5DAE"/>
    <w:rsid w:val="00DE5F9A"/>
    <w:rsid w:val="00DE6364"/>
    <w:rsid w:val="00DE63B4"/>
    <w:rsid w:val="00DE6412"/>
    <w:rsid w:val="00DE6922"/>
    <w:rsid w:val="00DE6C82"/>
    <w:rsid w:val="00DE6CE1"/>
    <w:rsid w:val="00DE6F9C"/>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34F"/>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76D"/>
    <w:rsid w:val="00E0095A"/>
    <w:rsid w:val="00E00A7F"/>
    <w:rsid w:val="00E00BAB"/>
    <w:rsid w:val="00E00CA8"/>
    <w:rsid w:val="00E01174"/>
    <w:rsid w:val="00E01404"/>
    <w:rsid w:val="00E01609"/>
    <w:rsid w:val="00E017F5"/>
    <w:rsid w:val="00E019FC"/>
    <w:rsid w:val="00E01A90"/>
    <w:rsid w:val="00E0209A"/>
    <w:rsid w:val="00E02147"/>
    <w:rsid w:val="00E02795"/>
    <w:rsid w:val="00E02814"/>
    <w:rsid w:val="00E02815"/>
    <w:rsid w:val="00E0316F"/>
    <w:rsid w:val="00E03549"/>
    <w:rsid w:val="00E03709"/>
    <w:rsid w:val="00E0370A"/>
    <w:rsid w:val="00E03898"/>
    <w:rsid w:val="00E038F6"/>
    <w:rsid w:val="00E03AC2"/>
    <w:rsid w:val="00E04144"/>
    <w:rsid w:val="00E044A6"/>
    <w:rsid w:val="00E0470E"/>
    <w:rsid w:val="00E04B9E"/>
    <w:rsid w:val="00E04B9F"/>
    <w:rsid w:val="00E04BAE"/>
    <w:rsid w:val="00E04E00"/>
    <w:rsid w:val="00E04FAA"/>
    <w:rsid w:val="00E05046"/>
    <w:rsid w:val="00E05097"/>
    <w:rsid w:val="00E0513D"/>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90"/>
    <w:rsid w:val="00E063E2"/>
    <w:rsid w:val="00E06454"/>
    <w:rsid w:val="00E06ADF"/>
    <w:rsid w:val="00E06E26"/>
    <w:rsid w:val="00E0712A"/>
    <w:rsid w:val="00E07179"/>
    <w:rsid w:val="00E07511"/>
    <w:rsid w:val="00E07955"/>
    <w:rsid w:val="00E07B62"/>
    <w:rsid w:val="00E07C2D"/>
    <w:rsid w:val="00E07DD8"/>
    <w:rsid w:val="00E07E9C"/>
    <w:rsid w:val="00E07EB8"/>
    <w:rsid w:val="00E07F78"/>
    <w:rsid w:val="00E1015B"/>
    <w:rsid w:val="00E10385"/>
    <w:rsid w:val="00E103F8"/>
    <w:rsid w:val="00E105CC"/>
    <w:rsid w:val="00E109BD"/>
    <w:rsid w:val="00E10DDF"/>
    <w:rsid w:val="00E10F5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7F"/>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1F0"/>
    <w:rsid w:val="00E1524E"/>
    <w:rsid w:val="00E152EE"/>
    <w:rsid w:val="00E15474"/>
    <w:rsid w:val="00E15572"/>
    <w:rsid w:val="00E15616"/>
    <w:rsid w:val="00E159CE"/>
    <w:rsid w:val="00E15A95"/>
    <w:rsid w:val="00E15B88"/>
    <w:rsid w:val="00E15E01"/>
    <w:rsid w:val="00E15FE0"/>
    <w:rsid w:val="00E163A6"/>
    <w:rsid w:val="00E16E02"/>
    <w:rsid w:val="00E16EA2"/>
    <w:rsid w:val="00E16EC0"/>
    <w:rsid w:val="00E16F85"/>
    <w:rsid w:val="00E171B5"/>
    <w:rsid w:val="00E172CA"/>
    <w:rsid w:val="00E1738E"/>
    <w:rsid w:val="00E174D6"/>
    <w:rsid w:val="00E174E5"/>
    <w:rsid w:val="00E17545"/>
    <w:rsid w:val="00E17A6E"/>
    <w:rsid w:val="00E20190"/>
    <w:rsid w:val="00E2034C"/>
    <w:rsid w:val="00E20392"/>
    <w:rsid w:val="00E20402"/>
    <w:rsid w:val="00E204FE"/>
    <w:rsid w:val="00E206C3"/>
    <w:rsid w:val="00E20AA7"/>
    <w:rsid w:val="00E20B39"/>
    <w:rsid w:val="00E20DF1"/>
    <w:rsid w:val="00E20E9D"/>
    <w:rsid w:val="00E20FCC"/>
    <w:rsid w:val="00E211C5"/>
    <w:rsid w:val="00E21364"/>
    <w:rsid w:val="00E21697"/>
    <w:rsid w:val="00E21823"/>
    <w:rsid w:val="00E21A01"/>
    <w:rsid w:val="00E21A7E"/>
    <w:rsid w:val="00E21BC5"/>
    <w:rsid w:val="00E21E37"/>
    <w:rsid w:val="00E21E5E"/>
    <w:rsid w:val="00E22096"/>
    <w:rsid w:val="00E221B9"/>
    <w:rsid w:val="00E22335"/>
    <w:rsid w:val="00E2251F"/>
    <w:rsid w:val="00E228E5"/>
    <w:rsid w:val="00E22B6E"/>
    <w:rsid w:val="00E22C48"/>
    <w:rsid w:val="00E22C52"/>
    <w:rsid w:val="00E22D99"/>
    <w:rsid w:val="00E23082"/>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03E"/>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4D7"/>
    <w:rsid w:val="00E3081B"/>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4DC9"/>
    <w:rsid w:val="00E34F56"/>
    <w:rsid w:val="00E34FB5"/>
    <w:rsid w:val="00E3507E"/>
    <w:rsid w:val="00E350FC"/>
    <w:rsid w:val="00E351A5"/>
    <w:rsid w:val="00E351F9"/>
    <w:rsid w:val="00E35384"/>
    <w:rsid w:val="00E35390"/>
    <w:rsid w:val="00E3556F"/>
    <w:rsid w:val="00E35629"/>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6D"/>
    <w:rsid w:val="00E37F75"/>
    <w:rsid w:val="00E37FD7"/>
    <w:rsid w:val="00E4019B"/>
    <w:rsid w:val="00E4081E"/>
    <w:rsid w:val="00E409A3"/>
    <w:rsid w:val="00E40AEB"/>
    <w:rsid w:val="00E40F6D"/>
    <w:rsid w:val="00E410A5"/>
    <w:rsid w:val="00E413E9"/>
    <w:rsid w:val="00E41728"/>
    <w:rsid w:val="00E418F5"/>
    <w:rsid w:val="00E4198A"/>
    <w:rsid w:val="00E41D3D"/>
    <w:rsid w:val="00E42218"/>
    <w:rsid w:val="00E422FC"/>
    <w:rsid w:val="00E42357"/>
    <w:rsid w:val="00E424A4"/>
    <w:rsid w:val="00E42525"/>
    <w:rsid w:val="00E4269E"/>
    <w:rsid w:val="00E426F9"/>
    <w:rsid w:val="00E427CE"/>
    <w:rsid w:val="00E429DB"/>
    <w:rsid w:val="00E42A67"/>
    <w:rsid w:val="00E42D92"/>
    <w:rsid w:val="00E42D96"/>
    <w:rsid w:val="00E431E9"/>
    <w:rsid w:val="00E43322"/>
    <w:rsid w:val="00E43453"/>
    <w:rsid w:val="00E4360F"/>
    <w:rsid w:val="00E4361F"/>
    <w:rsid w:val="00E43844"/>
    <w:rsid w:val="00E438F9"/>
    <w:rsid w:val="00E43F06"/>
    <w:rsid w:val="00E4420B"/>
    <w:rsid w:val="00E44212"/>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9A0"/>
    <w:rsid w:val="00E47A00"/>
    <w:rsid w:val="00E47B48"/>
    <w:rsid w:val="00E47F05"/>
    <w:rsid w:val="00E500A1"/>
    <w:rsid w:val="00E5019D"/>
    <w:rsid w:val="00E501CA"/>
    <w:rsid w:val="00E502F0"/>
    <w:rsid w:val="00E50475"/>
    <w:rsid w:val="00E508AD"/>
    <w:rsid w:val="00E509AB"/>
    <w:rsid w:val="00E509DF"/>
    <w:rsid w:val="00E50C13"/>
    <w:rsid w:val="00E50CEC"/>
    <w:rsid w:val="00E50EF3"/>
    <w:rsid w:val="00E5199E"/>
    <w:rsid w:val="00E51B67"/>
    <w:rsid w:val="00E51B6C"/>
    <w:rsid w:val="00E51E55"/>
    <w:rsid w:val="00E52166"/>
    <w:rsid w:val="00E52544"/>
    <w:rsid w:val="00E52569"/>
    <w:rsid w:val="00E53101"/>
    <w:rsid w:val="00E53182"/>
    <w:rsid w:val="00E533B0"/>
    <w:rsid w:val="00E53404"/>
    <w:rsid w:val="00E53541"/>
    <w:rsid w:val="00E53810"/>
    <w:rsid w:val="00E539B9"/>
    <w:rsid w:val="00E53C2E"/>
    <w:rsid w:val="00E53CFF"/>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6C9"/>
    <w:rsid w:val="00E55794"/>
    <w:rsid w:val="00E557BF"/>
    <w:rsid w:val="00E55F2E"/>
    <w:rsid w:val="00E561B5"/>
    <w:rsid w:val="00E5640A"/>
    <w:rsid w:val="00E56475"/>
    <w:rsid w:val="00E56599"/>
    <w:rsid w:val="00E568A7"/>
    <w:rsid w:val="00E56AE8"/>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80C"/>
    <w:rsid w:val="00E63810"/>
    <w:rsid w:val="00E63C1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020"/>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CA5"/>
    <w:rsid w:val="00E67E01"/>
    <w:rsid w:val="00E67F44"/>
    <w:rsid w:val="00E70014"/>
    <w:rsid w:val="00E701EB"/>
    <w:rsid w:val="00E7034D"/>
    <w:rsid w:val="00E705A6"/>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DDD"/>
    <w:rsid w:val="00E72ECE"/>
    <w:rsid w:val="00E72F7C"/>
    <w:rsid w:val="00E73082"/>
    <w:rsid w:val="00E7337C"/>
    <w:rsid w:val="00E735EA"/>
    <w:rsid w:val="00E73745"/>
    <w:rsid w:val="00E73865"/>
    <w:rsid w:val="00E73A7D"/>
    <w:rsid w:val="00E73BF9"/>
    <w:rsid w:val="00E74064"/>
    <w:rsid w:val="00E740BA"/>
    <w:rsid w:val="00E74148"/>
    <w:rsid w:val="00E74228"/>
    <w:rsid w:val="00E74BA6"/>
    <w:rsid w:val="00E74ED0"/>
    <w:rsid w:val="00E750C5"/>
    <w:rsid w:val="00E7510B"/>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676A"/>
    <w:rsid w:val="00E7696F"/>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BED"/>
    <w:rsid w:val="00E84F79"/>
    <w:rsid w:val="00E8511A"/>
    <w:rsid w:val="00E853C8"/>
    <w:rsid w:val="00E853F5"/>
    <w:rsid w:val="00E85449"/>
    <w:rsid w:val="00E85836"/>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D35"/>
    <w:rsid w:val="00E91E00"/>
    <w:rsid w:val="00E920D3"/>
    <w:rsid w:val="00E921DD"/>
    <w:rsid w:val="00E922BF"/>
    <w:rsid w:val="00E9259F"/>
    <w:rsid w:val="00E926C9"/>
    <w:rsid w:val="00E92755"/>
    <w:rsid w:val="00E92762"/>
    <w:rsid w:val="00E92A6B"/>
    <w:rsid w:val="00E92AE7"/>
    <w:rsid w:val="00E92AEE"/>
    <w:rsid w:val="00E92CAE"/>
    <w:rsid w:val="00E93126"/>
    <w:rsid w:val="00E9316B"/>
    <w:rsid w:val="00E93279"/>
    <w:rsid w:val="00E932FF"/>
    <w:rsid w:val="00E93799"/>
    <w:rsid w:val="00E93B66"/>
    <w:rsid w:val="00E93D4E"/>
    <w:rsid w:val="00E93FE0"/>
    <w:rsid w:val="00E940B2"/>
    <w:rsid w:val="00E946BB"/>
    <w:rsid w:val="00E9543D"/>
    <w:rsid w:val="00E95626"/>
    <w:rsid w:val="00E95723"/>
    <w:rsid w:val="00E95859"/>
    <w:rsid w:val="00E95AE1"/>
    <w:rsid w:val="00E95B16"/>
    <w:rsid w:val="00E95BA7"/>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97EF4"/>
    <w:rsid w:val="00EA021E"/>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1FF8"/>
    <w:rsid w:val="00EA2194"/>
    <w:rsid w:val="00EA2267"/>
    <w:rsid w:val="00EA2441"/>
    <w:rsid w:val="00EA2903"/>
    <w:rsid w:val="00EA298F"/>
    <w:rsid w:val="00EA2B7A"/>
    <w:rsid w:val="00EA2F75"/>
    <w:rsid w:val="00EA2FE5"/>
    <w:rsid w:val="00EA3018"/>
    <w:rsid w:val="00EA3324"/>
    <w:rsid w:val="00EA33A6"/>
    <w:rsid w:val="00EA3E2B"/>
    <w:rsid w:val="00EA405A"/>
    <w:rsid w:val="00EA4240"/>
    <w:rsid w:val="00EA42F1"/>
    <w:rsid w:val="00EA4682"/>
    <w:rsid w:val="00EA4794"/>
    <w:rsid w:val="00EA487F"/>
    <w:rsid w:val="00EA49CD"/>
    <w:rsid w:val="00EA4A6D"/>
    <w:rsid w:val="00EA4AAC"/>
    <w:rsid w:val="00EA4C4D"/>
    <w:rsid w:val="00EA4EA4"/>
    <w:rsid w:val="00EA4EA8"/>
    <w:rsid w:val="00EA50D8"/>
    <w:rsid w:val="00EA522B"/>
    <w:rsid w:val="00EA5A22"/>
    <w:rsid w:val="00EA5A4F"/>
    <w:rsid w:val="00EA5AFA"/>
    <w:rsid w:val="00EA5B6F"/>
    <w:rsid w:val="00EA6217"/>
    <w:rsid w:val="00EA6602"/>
    <w:rsid w:val="00EA69A0"/>
    <w:rsid w:val="00EA6ECA"/>
    <w:rsid w:val="00EA7007"/>
    <w:rsid w:val="00EA73A2"/>
    <w:rsid w:val="00EA7553"/>
    <w:rsid w:val="00EA75DC"/>
    <w:rsid w:val="00EA7828"/>
    <w:rsid w:val="00EA7941"/>
    <w:rsid w:val="00EA7A72"/>
    <w:rsid w:val="00EA7C4C"/>
    <w:rsid w:val="00EB0340"/>
    <w:rsid w:val="00EB077B"/>
    <w:rsid w:val="00EB0B6C"/>
    <w:rsid w:val="00EB0EB9"/>
    <w:rsid w:val="00EB0EEC"/>
    <w:rsid w:val="00EB12EB"/>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170"/>
    <w:rsid w:val="00EB3664"/>
    <w:rsid w:val="00EB38AC"/>
    <w:rsid w:val="00EB3DA5"/>
    <w:rsid w:val="00EB3F1C"/>
    <w:rsid w:val="00EB416E"/>
    <w:rsid w:val="00EB4A71"/>
    <w:rsid w:val="00EB4D0F"/>
    <w:rsid w:val="00EB50F7"/>
    <w:rsid w:val="00EB534E"/>
    <w:rsid w:val="00EB5353"/>
    <w:rsid w:val="00EB53C2"/>
    <w:rsid w:val="00EB59CA"/>
    <w:rsid w:val="00EB5B9D"/>
    <w:rsid w:val="00EB673C"/>
    <w:rsid w:val="00EB68EF"/>
    <w:rsid w:val="00EB6B54"/>
    <w:rsid w:val="00EB6BB7"/>
    <w:rsid w:val="00EB6BF9"/>
    <w:rsid w:val="00EB6E0F"/>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8F7"/>
    <w:rsid w:val="00ED0CB4"/>
    <w:rsid w:val="00ED1353"/>
    <w:rsid w:val="00ED1686"/>
    <w:rsid w:val="00ED1CD0"/>
    <w:rsid w:val="00ED20C8"/>
    <w:rsid w:val="00ED21AB"/>
    <w:rsid w:val="00ED2824"/>
    <w:rsid w:val="00ED2A1C"/>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C87"/>
    <w:rsid w:val="00EE1E5C"/>
    <w:rsid w:val="00EE204E"/>
    <w:rsid w:val="00EE21AE"/>
    <w:rsid w:val="00EE272B"/>
    <w:rsid w:val="00EE27E9"/>
    <w:rsid w:val="00EE281B"/>
    <w:rsid w:val="00EE29B5"/>
    <w:rsid w:val="00EE2AAE"/>
    <w:rsid w:val="00EE2D67"/>
    <w:rsid w:val="00EE2DB3"/>
    <w:rsid w:val="00EE3073"/>
    <w:rsid w:val="00EE3153"/>
    <w:rsid w:val="00EE3257"/>
    <w:rsid w:val="00EE355D"/>
    <w:rsid w:val="00EE3916"/>
    <w:rsid w:val="00EE3964"/>
    <w:rsid w:val="00EE3B00"/>
    <w:rsid w:val="00EE442F"/>
    <w:rsid w:val="00EE4465"/>
    <w:rsid w:val="00EE45B8"/>
    <w:rsid w:val="00EE4A2C"/>
    <w:rsid w:val="00EE4AA2"/>
    <w:rsid w:val="00EE4BBF"/>
    <w:rsid w:val="00EE4EC1"/>
    <w:rsid w:val="00EE5154"/>
    <w:rsid w:val="00EE52C7"/>
    <w:rsid w:val="00EE56C9"/>
    <w:rsid w:val="00EE5ADD"/>
    <w:rsid w:val="00EE5D24"/>
    <w:rsid w:val="00EE5F0D"/>
    <w:rsid w:val="00EE623A"/>
    <w:rsid w:val="00EE664D"/>
    <w:rsid w:val="00EE67DD"/>
    <w:rsid w:val="00EE68BF"/>
    <w:rsid w:val="00EE6C68"/>
    <w:rsid w:val="00EE6F30"/>
    <w:rsid w:val="00EE72D1"/>
    <w:rsid w:val="00EE72E4"/>
    <w:rsid w:val="00EE7551"/>
    <w:rsid w:val="00EE7572"/>
    <w:rsid w:val="00EE75D7"/>
    <w:rsid w:val="00EE77A2"/>
    <w:rsid w:val="00EF004A"/>
    <w:rsid w:val="00EF03FF"/>
    <w:rsid w:val="00EF04B5"/>
    <w:rsid w:val="00EF05E4"/>
    <w:rsid w:val="00EF0973"/>
    <w:rsid w:val="00EF0F78"/>
    <w:rsid w:val="00EF1002"/>
    <w:rsid w:val="00EF1305"/>
    <w:rsid w:val="00EF14EB"/>
    <w:rsid w:val="00EF1613"/>
    <w:rsid w:val="00EF1786"/>
    <w:rsid w:val="00EF18CA"/>
    <w:rsid w:val="00EF199A"/>
    <w:rsid w:val="00EF1BB1"/>
    <w:rsid w:val="00EF1CA6"/>
    <w:rsid w:val="00EF22CA"/>
    <w:rsid w:val="00EF24BE"/>
    <w:rsid w:val="00EF25F1"/>
    <w:rsid w:val="00EF273C"/>
    <w:rsid w:val="00EF274C"/>
    <w:rsid w:val="00EF2AC5"/>
    <w:rsid w:val="00EF2AFF"/>
    <w:rsid w:val="00EF2E62"/>
    <w:rsid w:val="00EF3023"/>
    <w:rsid w:val="00EF3111"/>
    <w:rsid w:val="00EF3252"/>
    <w:rsid w:val="00EF34C5"/>
    <w:rsid w:val="00EF353B"/>
    <w:rsid w:val="00EF3593"/>
    <w:rsid w:val="00EF365C"/>
    <w:rsid w:val="00EF3823"/>
    <w:rsid w:val="00EF398C"/>
    <w:rsid w:val="00EF3BA0"/>
    <w:rsid w:val="00EF3D6D"/>
    <w:rsid w:val="00EF3DFF"/>
    <w:rsid w:val="00EF3F50"/>
    <w:rsid w:val="00EF42D1"/>
    <w:rsid w:val="00EF4656"/>
    <w:rsid w:val="00EF4699"/>
    <w:rsid w:val="00EF46A9"/>
    <w:rsid w:val="00EF46CC"/>
    <w:rsid w:val="00EF4C3A"/>
    <w:rsid w:val="00EF4C8D"/>
    <w:rsid w:val="00EF4DCA"/>
    <w:rsid w:val="00EF5120"/>
    <w:rsid w:val="00EF526B"/>
    <w:rsid w:val="00EF5C68"/>
    <w:rsid w:val="00EF60FE"/>
    <w:rsid w:val="00EF6153"/>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8E"/>
    <w:rsid w:val="00F00ABB"/>
    <w:rsid w:val="00F00AD5"/>
    <w:rsid w:val="00F00B17"/>
    <w:rsid w:val="00F00CAF"/>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42E"/>
    <w:rsid w:val="00F06830"/>
    <w:rsid w:val="00F06A6B"/>
    <w:rsid w:val="00F06D2A"/>
    <w:rsid w:val="00F06E36"/>
    <w:rsid w:val="00F073FE"/>
    <w:rsid w:val="00F07501"/>
    <w:rsid w:val="00F07789"/>
    <w:rsid w:val="00F07BFB"/>
    <w:rsid w:val="00F102C5"/>
    <w:rsid w:val="00F104E1"/>
    <w:rsid w:val="00F10541"/>
    <w:rsid w:val="00F109AA"/>
    <w:rsid w:val="00F10DA5"/>
    <w:rsid w:val="00F10DD7"/>
    <w:rsid w:val="00F110EE"/>
    <w:rsid w:val="00F11159"/>
    <w:rsid w:val="00F11195"/>
    <w:rsid w:val="00F11230"/>
    <w:rsid w:val="00F11A18"/>
    <w:rsid w:val="00F11B9C"/>
    <w:rsid w:val="00F11C38"/>
    <w:rsid w:val="00F11F62"/>
    <w:rsid w:val="00F12941"/>
    <w:rsid w:val="00F12BFC"/>
    <w:rsid w:val="00F13051"/>
    <w:rsid w:val="00F1310D"/>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116"/>
    <w:rsid w:val="00F1680A"/>
    <w:rsid w:val="00F16886"/>
    <w:rsid w:val="00F16C62"/>
    <w:rsid w:val="00F16DD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962"/>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96D"/>
    <w:rsid w:val="00F24A48"/>
    <w:rsid w:val="00F24A59"/>
    <w:rsid w:val="00F24B4D"/>
    <w:rsid w:val="00F25012"/>
    <w:rsid w:val="00F2531B"/>
    <w:rsid w:val="00F25485"/>
    <w:rsid w:val="00F25E1A"/>
    <w:rsid w:val="00F26131"/>
    <w:rsid w:val="00F262FC"/>
    <w:rsid w:val="00F26331"/>
    <w:rsid w:val="00F26516"/>
    <w:rsid w:val="00F2658D"/>
    <w:rsid w:val="00F26666"/>
    <w:rsid w:val="00F26668"/>
    <w:rsid w:val="00F26984"/>
    <w:rsid w:val="00F26E9E"/>
    <w:rsid w:val="00F26F51"/>
    <w:rsid w:val="00F26F8E"/>
    <w:rsid w:val="00F2708E"/>
    <w:rsid w:val="00F270A8"/>
    <w:rsid w:val="00F271CD"/>
    <w:rsid w:val="00F276C5"/>
    <w:rsid w:val="00F277CB"/>
    <w:rsid w:val="00F27890"/>
    <w:rsid w:val="00F279D3"/>
    <w:rsid w:val="00F27AAF"/>
    <w:rsid w:val="00F27AC7"/>
    <w:rsid w:val="00F27B03"/>
    <w:rsid w:val="00F27F89"/>
    <w:rsid w:val="00F30122"/>
    <w:rsid w:val="00F3080B"/>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7F"/>
    <w:rsid w:val="00F338BB"/>
    <w:rsid w:val="00F33B7B"/>
    <w:rsid w:val="00F33BD4"/>
    <w:rsid w:val="00F33C75"/>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DD6"/>
    <w:rsid w:val="00F37EB0"/>
    <w:rsid w:val="00F4010B"/>
    <w:rsid w:val="00F40286"/>
    <w:rsid w:val="00F40309"/>
    <w:rsid w:val="00F4089B"/>
    <w:rsid w:val="00F40ABB"/>
    <w:rsid w:val="00F40ADA"/>
    <w:rsid w:val="00F40AED"/>
    <w:rsid w:val="00F40B8A"/>
    <w:rsid w:val="00F40F7E"/>
    <w:rsid w:val="00F4126D"/>
    <w:rsid w:val="00F412CE"/>
    <w:rsid w:val="00F412F8"/>
    <w:rsid w:val="00F41608"/>
    <w:rsid w:val="00F41658"/>
    <w:rsid w:val="00F416BA"/>
    <w:rsid w:val="00F41724"/>
    <w:rsid w:val="00F41895"/>
    <w:rsid w:val="00F418EC"/>
    <w:rsid w:val="00F41971"/>
    <w:rsid w:val="00F419A1"/>
    <w:rsid w:val="00F419BB"/>
    <w:rsid w:val="00F41A96"/>
    <w:rsid w:val="00F41C8E"/>
    <w:rsid w:val="00F42490"/>
    <w:rsid w:val="00F426B7"/>
    <w:rsid w:val="00F42C82"/>
    <w:rsid w:val="00F43066"/>
    <w:rsid w:val="00F4309B"/>
    <w:rsid w:val="00F430BF"/>
    <w:rsid w:val="00F4339C"/>
    <w:rsid w:val="00F435A9"/>
    <w:rsid w:val="00F436A4"/>
    <w:rsid w:val="00F43882"/>
    <w:rsid w:val="00F43ABF"/>
    <w:rsid w:val="00F43B13"/>
    <w:rsid w:val="00F43C91"/>
    <w:rsid w:val="00F43E2F"/>
    <w:rsid w:val="00F43EB1"/>
    <w:rsid w:val="00F44238"/>
    <w:rsid w:val="00F44506"/>
    <w:rsid w:val="00F445B7"/>
    <w:rsid w:val="00F44ABA"/>
    <w:rsid w:val="00F4512D"/>
    <w:rsid w:val="00F45818"/>
    <w:rsid w:val="00F4587C"/>
    <w:rsid w:val="00F45B75"/>
    <w:rsid w:val="00F45C13"/>
    <w:rsid w:val="00F45EAC"/>
    <w:rsid w:val="00F46129"/>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120"/>
    <w:rsid w:val="00F47291"/>
    <w:rsid w:val="00F4744F"/>
    <w:rsid w:val="00F47518"/>
    <w:rsid w:val="00F47762"/>
    <w:rsid w:val="00F47793"/>
    <w:rsid w:val="00F479B4"/>
    <w:rsid w:val="00F47A07"/>
    <w:rsid w:val="00F47B73"/>
    <w:rsid w:val="00F47DD1"/>
    <w:rsid w:val="00F47DF7"/>
    <w:rsid w:val="00F47F9F"/>
    <w:rsid w:val="00F50051"/>
    <w:rsid w:val="00F50186"/>
    <w:rsid w:val="00F50453"/>
    <w:rsid w:val="00F506CE"/>
    <w:rsid w:val="00F50DDB"/>
    <w:rsid w:val="00F50E6C"/>
    <w:rsid w:val="00F512B8"/>
    <w:rsid w:val="00F51513"/>
    <w:rsid w:val="00F516B8"/>
    <w:rsid w:val="00F517FF"/>
    <w:rsid w:val="00F51838"/>
    <w:rsid w:val="00F51956"/>
    <w:rsid w:val="00F51AA0"/>
    <w:rsid w:val="00F51AC4"/>
    <w:rsid w:val="00F51B82"/>
    <w:rsid w:val="00F51D19"/>
    <w:rsid w:val="00F51F71"/>
    <w:rsid w:val="00F520FD"/>
    <w:rsid w:val="00F52154"/>
    <w:rsid w:val="00F52641"/>
    <w:rsid w:val="00F526B3"/>
    <w:rsid w:val="00F526F2"/>
    <w:rsid w:val="00F52808"/>
    <w:rsid w:val="00F5297C"/>
    <w:rsid w:val="00F52AFE"/>
    <w:rsid w:val="00F52D02"/>
    <w:rsid w:val="00F52D1C"/>
    <w:rsid w:val="00F52D5B"/>
    <w:rsid w:val="00F53154"/>
    <w:rsid w:val="00F53502"/>
    <w:rsid w:val="00F53543"/>
    <w:rsid w:val="00F535E0"/>
    <w:rsid w:val="00F535EC"/>
    <w:rsid w:val="00F536E1"/>
    <w:rsid w:val="00F5375B"/>
    <w:rsid w:val="00F53979"/>
    <w:rsid w:val="00F53D3A"/>
    <w:rsid w:val="00F53DC6"/>
    <w:rsid w:val="00F5413B"/>
    <w:rsid w:val="00F541BF"/>
    <w:rsid w:val="00F542DE"/>
    <w:rsid w:val="00F54301"/>
    <w:rsid w:val="00F54368"/>
    <w:rsid w:val="00F543A3"/>
    <w:rsid w:val="00F545CD"/>
    <w:rsid w:val="00F5467C"/>
    <w:rsid w:val="00F54A3F"/>
    <w:rsid w:val="00F54B3B"/>
    <w:rsid w:val="00F54CF1"/>
    <w:rsid w:val="00F54DDD"/>
    <w:rsid w:val="00F54E47"/>
    <w:rsid w:val="00F5510A"/>
    <w:rsid w:val="00F551C8"/>
    <w:rsid w:val="00F551F5"/>
    <w:rsid w:val="00F5538A"/>
    <w:rsid w:val="00F5554B"/>
    <w:rsid w:val="00F55630"/>
    <w:rsid w:val="00F556A9"/>
    <w:rsid w:val="00F556DF"/>
    <w:rsid w:val="00F55773"/>
    <w:rsid w:val="00F55D7B"/>
    <w:rsid w:val="00F560EB"/>
    <w:rsid w:val="00F56159"/>
    <w:rsid w:val="00F562DA"/>
    <w:rsid w:val="00F564A3"/>
    <w:rsid w:val="00F564A4"/>
    <w:rsid w:val="00F56655"/>
    <w:rsid w:val="00F566D5"/>
    <w:rsid w:val="00F56A6A"/>
    <w:rsid w:val="00F56B2A"/>
    <w:rsid w:val="00F56CFC"/>
    <w:rsid w:val="00F56E21"/>
    <w:rsid w:val="00F571FA"/>
    <w:rsid w:val="00F5741C"/>
    <w:rsid w:val="00F575D2"/>
    <w:rsid w:val="00F575E0"/>
    <w:rsid w:val="00F578FC"/>
    <w:rsid w:val="00F57AA8"/>
    <w:rsid w:val="00F57ADE"/>
    <w:rsid w:val="00F57AF8"/>
    <w:rsid w:val="00F57C34"/>
    <w:rsid w:val="00F60108"/>
    <w:rsid w:val="00F60127"/>
    <w:rsid w:val="00F603BA"/>
    <w:rsid w:val="00F612E0"/>
    <w:rsid w:val="00F61502"/>
    <w:rsid w:val="00F61505"/>
    <w:rsid w:val="00F619A9"/>
    <w:rsid w:val="00F61CC0"/>
    <w:rsid w:val="00F61D5F"/>
    <w:rsid w:val="00F61DDA"/>
    <w:rsid w:val="00F62114"/>
    <w:rsid w:val="00F623A6"/>
    <w:rsid w:val="00F623D5"/>
    <w:rsid w:val="00F624BA"/>
    <w:rsid w:val="00F62577"/>
    <w:rsid w:val="00F62583"/>
    <w:rsid w:val="00F62898"/>
    <w:rsid w:val="00F62986"/>
    <w:rsid w:val="00F62A20"/>
    <w:rsid w:val="00F62CC8"/>
    <w:rsid w:val="00F632D9"/>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0EA"/>
    <w:rsid w:val="00F66117"/>
    <w:rsid w:val="00F661DC"/>
    <w:rsid w:val="00F664DE"/>
    <w:rsid w:val="00F66AFB"/>
    <w:rsid w:val="00F670CE"/>
    <w:rsid w:val="00F673B6"/>
    <w:rsid w:val="00F6759E"/>
    <w:rsid w:val="00F67603"/>
    <w:rsid w:val="00F6765F"/>
    <w:rsid w:val="00F677CE"/>
    <w:rsid w:val="00F6796C"/>
    <w:rsid w:val="00F67AA3"/>
    <w:rsid w:val="00F67BC2"/>
    <w:rsid w:val="00F67E5B"/>
    <w:rsid w:val="00F67F9C"/>
    <w:rsid w:val="00F7018C"/>
    <w:rsid w:val="00F701D2"/>
    <w:rsid w:val="00F70381"/>
    <w:rsid w:val="00F70448"/>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0C7"/>
    <w:rsid w:val="00F7615F"/>
    <w:rsid w:val="00F762ED"/>
    <w:rsid w:val="00F76562"/>
    <w:rsid w:val="00F765D2"/>
    <w:rsid w:val="00F76BDA"/>
    <w:rsid w:val="00F76D01"/>
    <w:rsid w:val="00F76F72"/>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026"/>
    <w:rsid w:val="00F82192"/>
    <w:rsid w:val="00F821B5"/>
    <w:rsid w:val="00F821B7"/>
    <w:rsid w:val="00F822A0"/>
    <w:rsid w:val="00F823C3"/>
    <w:rsid w:val="00F825BB"/>
    <w:rsid w:val="00F825ED"/>
    <w:rsid w:val="00F82643"/>
    <w:rsid w:val="00F8269D"/>
    <w:rsid w:val="00F826E7"/>
    <w:rsid w:val="00F82BA1"/>
    <w:rsid w:val="00F82F93"/>
    <w:rsid w:val="00F834DC"/>
    <w:rsid w:val="00F835CA"/>
    <w:rsid w:val="00F83BAB"/>
    <w:rsid w:val="00F83C68"/>
    <w:rsid w:val="00F840B5"/>
    <w:rsid w:val="00F8419D"/>
    <w:rsid w:val="00F842E1"/>
    <w:rsid w:val="00F84406"/>
    <w:rsid w:val="00F84779"/>
    <w:rsid w:val="00F849A2"/>
    <w:rsid w:val="00F84D8D"/>
    <w:rsid w:val="00F84E62"/>
    <w:rsid w:val="00F84EA8"/>
    <w:rsid w:val="00F84EF1"/>
    <w:rsid w:val="00F85069"/>
    <w:rsid w:val="00F8553A"/>
    <w:rsid w:val="00F858E4"/>
    <w:rsid w:val="00F859E6"/>
    <w:rsid w:val="00F85D02"/>
    <w:rsid w:val="00F85F33"/>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E11"/>
    <w:rsid w:val="00F94395"/>
    <w:rsid w:val="00F945E0"/>
    <w:rsid w:val="00F94837"/>
    <w:rsid w:val="00F9484E"/>
    <w:rsid w:val="00F94972"/>
    <w:rsid w:val="00F94BDC"/>
    <w:rsid w:val="00F950B8"/>
    <w:rsid w:val="00F954AB"/>
    <w:rsid w:val="00F95689"/>
    <w:rsid w:val="00F956F3"/>
    <w:rsid w:val="00F95A4D"/>
    <w:rsid w:val="00F95BB5"/>
    <w:rsid w:val="00F95C96"/>
    <w:rsid w:val="00F95D78"/>
    <w:rsid w:val="00F96289"/>
    <w:rsid w:val="00F96435"/>
    <w:rsid w:val="00F9651A"/>
    <w:rsid w:val="00F96752"/>
    <w:rsid w:val="00F968F9"/>
    <w:rsid w:val="00F96AD5"/>
    <w:rsid w:val="00F96C3F"/>
    <w:rsid w:val="00F96E2C"/>
    <w:rsid w:val="00F97088"/>
    <w:rsid w:val="00F970CB"/>
    <w:rsid w:val="00F976C0"/>
    <w:rsid w:val="00F97836"/>
    <w:rsid w:val="00FA04D6"/>
    <w:rsid w:val="00FA04EF"/>
    <w:rsid w:val="00FA0795"/>
    <w:rsid w:val="00FA08C2"/>
    <w:rsid w:val="00FA0986"/>
    <w:rsid w:val="00FA0BD0"/>
    <w:rsid w:val="00FA0DA2"/>
    <w:rsid w:val="00FA0E2B"/>
    <w:rsid w:val="00FA104D"/>
    <w:rsid w:val="00FA10D3"/>
    <w:rsid w:val="00FA113C"/>
    <w:rsid w:val="00FA120B"/>
    <w:rsid w:val="00FA162C"/>
    <w:rsid w:val="00FA17F0"/>
    <w:rsid w:val="00FA1933"/>
    <w:rsid w:val="00FA1A59"/>
    <w:rsid w:val="00FA1B8D"/>
    <w:rsid w:val="00FA1E72"/>
    <w:rsid w:val="00FA2708"/>
    <w:rsid w:val="00FA2727"/>
    <w:rsid w:val="00FA2771"/>
    <w:rsid w:val="00FA28AA"/>
    <w:rsid w:val="00FA2A3D"/>
    <w:rsid w:val="00FA2B96"/>
    <w:rsid w:val="00FA2D50"/>
    <w:rsid w:val="00FA2E23"/>
    <w:rsid w:val="00FA31E3"/>
    <w:rsid w:val="00FA347C"/>
    <w:rsid w:val="00FA35E8"/>
    <w:rsid w:val="00FA37E5"/>
    <w:rsid w:val="00FA3A0A"/>
    <w:rsid w:val="00FA4329"/>
    <w:rsid w:val="00FA47DA"/>
    <w:rsid w:val="00FA4906"/>
    <w:rsid w:val="00FA4A2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546"/>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345"/>
    <w:rsid w:val="00FB242F"/>
    <w:rsid w:val="00FB2508"/>
    <w:rsid w:val="00FB27B9"/>
    <w:rsid w:val="00FB27C1"/>
    <w:rsid w:val="00FB2BAD"/>
    <w:rsid w:val="00FB3151"/>
    <w:rsid w:val="00FB33EF"/>
    <w:rsid w:val="00FB3ED3"/>
    <w:rsid w:val="00FB4279"/>
    <w:rsid w:val="00FB42AB"/>
    <w:rsid w:val="00FB45B7"/>
    <w:rsid w:val="00FB477C"/>
    <w:rsid w:val="00FB4942"/>
    <w:rsid w:val="00FB4967"/>
    <w:rsid w:val="00FB49AF"/>
    <w:rsid w:val="00FB4D53"/>
    <w:rsid w:val="00FB5182"/>
    <w:rsid w:val="00FB53E3"/>
    <w:rsid w:val="00FB566D"/>
    <w:rsid w:val="00FB56F1"/>
    <w:rsid w:val="00FB587D"/>
    <w:rsid w:val="00FB5B40"/>
    <w:rsid w:val="00FB5D16"/>
    <w:rsid w:val="00FB5E9C"/>
    <w:rsid w:val="00FB5F51"/>
    <w:rsid w:val="00FB60DF"/>
    <w:rsid w:val="00FB6449"/>
    <w:rsid w:val="00FB6504"/>
    <w:rsid w:val="00FB6773"/>
    <w:rsid w:val="00FB69CF"/>
    <w:rsid w:val="00FB69E5"/>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91C"/>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32E"/>
    <w:rsid w:val="00FC592E"/>
    <w:rsid w:val="00FC5937"/>
    <w:rsid w:val="00FC5FD2"/>
    <w:rsid w:val="00FC608D"/>
    <w:rsid w:val="00FC60A5"/>
    <w:rsid w:val="00FC617F"/>
    <w:rsid w:val="00FC6372"/>
    <w:rsid w:val="00FC63C2"/>
    <w:rsid w:val="00FC64F6"/>
    <w:rsid w:val="00FC656F"/>
    <w:rsid w:val="00FC672F"/>
    <w:rsid w:val="00FC69BF"/>
    <w:rsid w:val="00FC6C6D"/>
    <w:rsid w:val="00FC6C8E"/>
    <w:rsid w:val="00FC6CCF"/>
    <w:rsid w:val="00FC71C6"/>
    <w:rsid w:val="00FC720C"/>
    <w:rsid w:val="00FC73EB"/>
    <w:rsid w:val="00FC7921"/>
    <w:rsid w:val="00FD08F9"/>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815"/>
    <w:rsid w:val="00FD28BF"/>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00"/>
    <w:rsid w:val="00FD604E"/>
    <w:rsid w:val="00FD60B3"/>
    <w:rsid w:val="00FD61DA"/>
    <w:rsid w:val="00FD6381"/>
    <w:rsid w:val="00FD6503"/>
    <w:rsid w:val="00FD6584"/>
    <w:rsid w:val="00FD65A8"/>
    <w:rsid w:val="00FD6700"/>
    <w:rsid w:val="00FD6833"/>
    <w:rsid w:val="00FD6CE6"/>
    <w:rsid w:val="00FD6EEB"/>
    <w:rsid w:val="00FD6F5F"/>
    <w:rsid w:val="00FD6F78"/>
    <w:rsid w:val="00FD71B9"/>
    <w:rsid w:val="00FD7445"/>
    <w:rsid w:val="00FD7AF4"/>
    <w:rsid w:val="00FD7B19"/>
    <w:rsid w:val="00FD7FD1"/>
    <w:rsid w:val="00FE004F"/>
    <w:rsid w:val="00FE00A5"/>
    <w:rsid w:val="00FE00B6"/>
    <w:rsid w:val="00FE00BC"/>
    <w:rsid w:val="00FE03DB"/>
    <w:rsid w:val="00FE04B8"/>
    <w:rsid w:val="00FE0523"/>
    <w:rsid w:val="00FE08F9"/>
    <w:rsid w:val="00FE1077"/>
    <w:rsid w:val="00FE1136"/>
    <w:rsid w:val="00FE1212"/>
    <w:rsid w:val="00FE127C"/>
    <w:rsid w:val="00FE12BF"/>
    <w:rsid w:val="00FE1773"/>
    <w:rsid w:val="00FE1813"/>
    <w:rsid w:val="00FE1AEA"/>
    <w:rsid w:val="00FE1F1C"/>
    <w:rsid w:val="00FE21BD"/>
    <w:rsid w:val="00FE2297"/>
    <w:rsid w:val="00FE2839"/>
    <w:rsid w:val="00FE2AD3"/>
    <w:rsid w:val="00FE2BDA"/>
    <w:rsid w:val="00FE313D"/>
    <w:rsid w:val="00FE315A"/>
    <w:rsid w:val="00FE32E0"/>
    <w:rsid w:val="00FE35A4"/>
    <w:rsid w:val="00FE39B7"/>
    <w:rsid w:val="00FE3A18"/>
    <w:rsid w:val="00FE3E10"/>
    <w:rsid w:val="00FE4123"/>
    <w:rsid w:val="00FE413C"/>
    <w:rsid w:val="00FE4623"/>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994"/>
    <w:rsid w:val="00FE7B92"/>
    <w:rsid w:val="00FE7E8F"/>
    <w:rsid w:val="00FF0004"/>
    <w:rsid w:val="00FF0140"/>
    <w:rsid w:val="00FF0264"/>
    <w:rsid w:val="00FF037E"/>
    <w:rsid w:val="00FF03EA"/>
    <w:rsid w:val="00FF04A0"/>
    <w:rsid w:val="00FF057F"/>
    <w:rsid w:val="00FF05B2"/>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D84"/>
    <w:rsid w:val="00FF524E"/>
    <w:rsid w:val="00FF52B6"/>
    <w:rsid w:val="00FF5398"/>
    <w:rsid w:val="00FF562A"/>
    <w:rsid w:val="00FF57D9"/>
    <w:rsid w:val="00FF585E"/>
    <w:rsid w:val="00FF5975"/>
    <w:rsid w:val="00FF5B6B"/>
    <w:rsid w:val="00FF5C2A"/>
    <w:rsid w:val="00FF5EEB"/>
    <w:rsid w:val="00FF6037"/>
    <w:rsid w:val="00FF6664"/>
    <w:rsid w:val="00FF667D"/>
    <w:rsid w:val="00FF6832"/>
    <w:rsid w:val="00FF6A9D"/>
    <w:rsid w:val="00FF6BB9"/>
    <w:rsid w:val="00FF6F78"/>
    <w:rsid w:val="00FF6FBA"/>
    <w:rsid w:val="00FF7211"/>
    <w:rsid w:val="00FF7E98"/>
    <w:rsid w:val="0127CC5D"/>
    <w:rsid w:val="0156F46F"/>
    <w:rsid w:val="01C33A15"/>
    <w:rsid w:val="020C6C66"/>
    <w:rsid w:val="0253E9C3"/>
    <w:rsid w:val="02832627"/>
    <w:rsid w:val="0331271E"/>
    <w:rsid w:val="03393DD6"/>
    <w:rsid w:val="034078C1"/>
    <w:rsid w:val="039795CD"/>
    <w:rsid w:val="03BB0479"/>
    <w:rsid w:val="03D17B09"/>
    <w:rsid w:val="03E3E444"/>
    <w:rsid w:val="041C0763"/>
    <w:rsid w:val="04731F5C"/>
    <w:rsid w:val="04E4EF3E"/>
    <w:rsid w:val="04EF8765"/>
    <w:rsid w:val="0531FE03"/>
    <w:rsid w:val="06BEA5C8"/>
    <w:rsid w:val="0802DC1E"/>
    <w:rsid w:val="0A111B55"/>
    <w:rsid w:val="0AF77B2C"/>
    <w:rsid w:val="0B183EE8"/>
    <w:rsid w:val="0BA8D034"/>
    <w:rsid w:val="0C3E0ACA"/>
    <w:rsid w:val="0CB7A28D"/>
    <w:rsid w:val="0CFEA6AD"/>
    <w:rsid w:val="0D8733F7"/>
    <w:rsid w:val="0DA86D9B"/>
    <w:rsid w:val="0E2601FF"/>
    <w:rsid w:val="0E2F6CC5"/>
    <w:rsid w:val="0E5FC54E"/>
    <w:rsid w:val="0EABBDE7"/>
    <w:rsid w:val="0EDD4C1B"/>
    <w:rsid w:val="0EEF77EE"/>
    <w:rsid w:val="0F4B6A3E"/>
    <w:rsid w:val="0F763DE4"/>
    <w:rsid w:val="10159E52"/>
    <w:rsid w:val="1041034E"/>
    <w:rsid w:val="118B1E36"/>
    <w:rsid w:val="11C9AD67"/>
    <w:rsid w:val="11D3504F"/>
    <w:rsid w:val="120BAD7B"/>
    <w:rsid w:val="127F027C"/>
    <w:rsid w:val="136412E5"/>
    <w:rsid w:val="13F59BD1"/>
    <w:rsid w:val="1403FCC8"/>
    <w:rsid w:val="1443F580"/>
    <w:rsid w:val="1473C7EE"/>
    <w:rsid w:val="14D7E94F"/>
    <w:rsid w:val="14DA54D3"/>
    <w:rsid w:val="15ADD184"/>
    <w:rsid w:val="16DF6885"/>
    <w:rsid w:val="16F000E9"/>
    <w:rsid w:val="174E3779"/>
    <w:rsid w:val="17612978"/>
    <w:rsid w:val="180289B8"/>
    <w:rsid w:val="187E2D6D"/>
    <w:rsid w:val="1928E195"/>
    <w:rsid w:val="1983B9C0"/>
    <w:rsid w:val="19B95D67"/>
    <w:rsid w:val="19DE2E22"/>
    <w:rsid w:val="1A24A4A1"/>
    <w:rsid w:val="1A4F35C2"/>
    <w:rsid w:val="1B12C4C3"/>
    <w:rsid w:val="1B1E53C2"/>
    <w:rsid w:val="1B43320A"/>
    <w:rsid w:val="1C2125D8"/>
    <w:rsid w:val="1C21CD39"/>
    <w:rsid w:val="1C4909AE"/>
    <w:rsid w:val="1C5C0C03"/>
    <w:rsid w:val="1CB09007"/>
    <w:rsid w:val="1CF0BEAA"/>
    <w:rsid w:val="1E19EB8B"/>
    <w:rsid w:val="1E36ACB6"/>
    <w:rsid w:val="1EEDBFD2"/>
    <w:rsid w:val="1F88CE85"/>
    <w:rsid w:val="1FB7FDFA"/>
    <w:rsid w:val="1FF680BB"/>
    <w:rsid w:val="206DDE26"/>
    <w:rsid w:val="207AD3BD"/>
    <w:rsid w:val="20A96FB3"/>
    <w:rsid w:val="20E348C1"/>
    <w:rsid w:val="20F8122A"/>
    <w:rsid w:val="2174E867"/>
    <w:rsid w:val="2182D022"/>
    <w:rsid w:val="21BC10C1"/>
    <w:rsid w:val="21BC2F28"/>
    <w:rsid w:val="21D4B9F9"/>
    <w:rsid w:val="226DDD0B"/>
    <w:rsid w:val="229A1651"/>
    <w:rsid w:val="233AE1A9"/>
    <w:rsid w:val="24127B60"/>
    <w:rsid w:val="24D49FFD"/>
    <w:rsid w:val="24FD4392"/>
    <w:rsid w:val="25EA9154"/>
    <w:rsid w:val="2684A987"/>
    <w:rsid w:val="26C796DB"/>
    <w:rsid w:val="27051F4D"/>
    <w:rsid w:val="280151DB"/>
    <w:rsid w:val="2838C107"/>
    <w:rsid w:val="284008F6"/>
    <w:rsid w:val="28515D31"/>
    <w:rsid w:val="2909470C"/>
    <w:rsid w:val="298E4FC3"/>
    <w:rsid w:val="29D79F11"/>
    <w:rsid w:val="2A4AEA40"/>
    <w:rsid w:val="2BF8AB4C"/>
    <w:rsid w:val="2C0899C8"/>
    <w:rsid w:val="2C1FFE48"/>
    <w:rsid w:val="2CE86902"/>
    <w:rsid w:val="2D6CDEFF"/>
    <w:rsid w:val="2D6CF9ED"/>
    <w:rsid w:val="2E1727F7"/>
    <w:rsid w:val="2E52C940"/>
    <w:rsid w:val="2E6A2DC5"/>
    <w:rsid w:val="2F2727EB"/>
    <w:rsid w:val="2F583A67"/>
    <w:rsid w:val="3094C727"/>
    <w:rsid w:val="313EC710"/>
    <w:rsid w:val="3163E192"/>
    <w:rsid w:val="31B1BE8B"/>
    <w:rsid w:val="324C2AF7"/>
    <w:rsid w:val="324F1B5A"/>
    <w:rsid w:val="3268CED2"/>
    <w:rsid w:val="3270CA2D"/>
    <w:rsid w:val="328F0417"/>
    <w:rsid w:val="32AA91F6"/>
    <w:rsid w:val="32D552B9"/>
    <w:rsid w:val="32DF8D6D"/>
    <w:rsid w:val="334AFDBE"/>
    <w:rsid w:val="337CDE9B"/>
    <w:rsid w:val="339756FD"/>
    <w:rsid w:val="33E604A6"/>
    <w:rsid w:val="33EE528A"/>
    <w:rsid w:val="348102F7"/>
    <w:rsid w:val="34C2FE9B"/>
    <w:rsid w:val="358A3739"/>
    <w:rsid w:val="359EED06"/>
    <w:rsid w:val="363C387B"/>
    <w:rsid w:val="36526EAD"/>
    <w:rsid w:val="366DF61F"/>
    <w:rsid w:val="3689273A"/>
    <w:rsid w:val="36E9CC70"/>
    <w:rsid w:val="36F4E137"/>
    <w:rsid w:val="370EF095"/>
    <w:rsid w:val="37788217"/>
    <w:rsid w:val="380F7292"/>
    <w:rsid w:val="381BB3CC"/>
    <w:rsid w:val="3823FC5E"/>
    <w:rsid w:val="38332966"/>
    <w:rsid w:val="389E7D7F"/>
    <w:rsid w:val="39269985"/>
    <w:rsid w:val="39987987"/>
    <w:rsid w:val="39ADDD43"/>
    <w:rsid w:val="39E285D9"/>
    <w:rsid w:val="3A948662"/>
    <w:rsid w:val="3AB67058"/>
    <w:rsid w:val="3ABE782F"/>
    <w:rsid w:val="3AC7CF2C"/>
    <w:rsid w:val="3AEA3E63"/>
    <w:rsid w:val="3AFBB6C0"/>
    <w:rsid w:val="3B2BEB57"/>
    <w:rsid w:val="3C71C06F"/>
    <w:rsid w:val="3CA18755"/>
    <w:rsid w:val="3CC08D1B"/>
    <w:rsid w:val="3D01A2EB"/>
    <w:rsid w:val="3D2C697D"/>
    <w:rsid w:val="3DDB3CE2"/>
    <w:rsid w:val="3E34A844"/>
    <w:rsid w:val="3E75A24B"/>
    <w:rsid w:val="3F642179"/>
    <w:rsid w:val="3FE9C1E7"/>
    <w:rsid w:val="402052F3"/>
    <w:rsid w:val="40523056"/>
    <w:rsid w:val="40FD4B23"/>
    <w:rsid w:val="417EEE4D"/>
    <w:rsid w:val="41958D57"/>
    <w:rsid w:val="41B1188C"/>
    <w:rsid w:val="4261161E"/>
    <w:rsid w:val="42C3D1E2"/>
    <w:rsid w:val="43199F08"/>
    <w:rsid w:val="4385B1C6"/>
    <w:rsid w:val="439966E4"/>
    <w:rsid w:val="445E2716"/>
    <w:rsid w:val="44FB92BE"/>
    <w:rsid w:val="45A1ED47"/>
    <w:rsid w:val="46735574"/>
    <w:rsid w:val="468A0927"/>
    <w:rsid w:val="4699B7EA"/>
    <w:rsid w:val="47651105"/>
    <w:rsid w:val="478F735A"/>
    <w:rsid w:val="4858AC48"/>
    <w:rsid w:val="48D0FF4D"/>
    <w:rsid w:val="48EEE4E7"/>
    <w:rsid w:val="4911D20A"/>
    <w:rsid w:val="49528EE6"/>
    <w:rsid w:val="49999684"/>
    <w:rsid w:val="49AAF553"/>
    <w:rsid w:val="49D05052"/>
    <w:rsid w:val="49FA5225"/>
    <w:rsid w:val="4A5A28D3"/>
    <w:rsid w:val="4A707264"/>
    <w:rsid w:val="4AB5D4C7"/>
    <w:rsid w:val="4C7F41F1"/>
    <w:rsid w:val="4CF056A4"/>
    <w:rsid w:val="4D1AFB91"/>
    <w:rsid w:val="4D710D65"/>
    <w:rsid w:val="4DF29D6F"/>
    <w:rsid w:val="4E7BA630"/>
    <w:rsid w:val="4E9DF992"/>
    <w:rsid w:val="4EC7707F"/>
    <w:rsid w:val="4F27D069"/>
    <w:rsid w:val="4F998728"/>
    <w:rsid w:val="501BC8A3"/>
    <w:rsid w:val="5047F4C5"/>
    <w:rsid w:val="50976C03"/>
    <w:rsid w:val="50BE3379"/>
    <w:rsid w:val="51C2F87F"/>
    <w:rsid w:val="51D79069"/>
    <w:rsid w:val="51E1E011"/>
    <w:rsid w:val="51E3EFEC"/>
    <w:rsid w:val="520A4741"/>
    <w:rsid w:val="524159AD"/>
    <w:rsid w:val="52462BEA"/>
    <w:rsid w:val="5271EF1A"/>
    <w:rsid w:val="5293CEC5"/>
    <w:rsid w:val="53437BEE"/>
    <w:rsid w:val="536E98AB"/>
    <w:rsid w:val="54680773"/>
    <w:rsid w:val="548E2AD2"/>
    <w:rsid w:val="54B028F3"/>
    <w:rsid w:val="54C474F5"/>
    <w:rsid w:val="5511A683"/>
    <w:rsid w:val="5512B8FF"/>
    <w:rsid w:val="551B1F88"/>
    <w:rsid w:val="55404F47"/>
    <w:rsid w:val="55B5E4A0"/>
    <w:rsid w:val="55C2762B"/>
    <w:rsid w:val="55E20FB5"/>
    <w:rsid w:val="566C29AE"/>
    <w:rsid w:val="568D2895"/>
    <w:rsid w:val="5751B3CD"/>
    <w:rsid w:val="575EAB9C"/>
    <w:rsid w:val="58FAC1F6"/>
    <w:rsid w:val="594CC541"/>
    <w:rsid w:val="59A3F821"/>
    <w:rsid w:val="59C87388"/>
    <w:rsid w:val="5BCE9E19"/>
    <w:rsid w:val="5CF03C8C"/>
    <w:rsid w:val="5D4ACAD2"/>
    <w:rsid w:val="5D695EAC"/>
    <w:rsid w:val="5DAC633A"/>
    <w:rsid w:val="5E3EF330"/>
    <w:rsid w:val="5EB890A5"/>
    <w:rsid w:val="5EDFF09B"/>
    <w:rsid w:val="5F8FBF76"/>
    <w:rsid w:val="5FCD3B6C"/>
    <w:rsid w:val="5FF76A00"/>
    <w:rsid w:val="600D04FB"/>
    <w:rsid w:val="608EFE16"/>
    <w:rsid w:val="60954F72"/>
    <w:rsid w:val="60969233"/>
    <w:rsid w:val="609DF811"/>
    <w:rsid w:val="60AD5733"/>
    <w:rsid w:val="60BEC97B"/>
    <w:rsid w:val="60DF93B6"/>
    <w:rsid w:val="613F3D95"/>
    <w:rsid w:val="617986A9"/>
    <w:rsid w:val="62488F87"/>
    <w:rsid w:val="627BB950"/>
    <w:rsid w:val="62A04BA0"/>
    <w:rsid w:val="6314A593"/>
    <w:rsid w:val="6316CA94"/>
    <w:rsid w:val="631DBBD4"/>
    <w:rsid w:val="63FF95FD"/>
    <w:rsid w:val="6435E6D1"/>
    <w:rsid w:val="64CE5017"/>
    <w:rsid w:val="64F960B2"/>
    <w:rsid w:val="65013A08"/>
    <w:rsid w:val="650D3DC0"/>
    <w:rsid w:val="6563EE38"/>
    <w:rsid w:val="657695E3"/>
    <w:rsid w:val="65FABA75"/>
    <w:rsid w:val="6601DFB1"/>
    <w:rsid w:val="6686B07B"/>
    <w:rsid w:val="6693E615"/>
    <w:rsid w:val="66AF265F"/>
    <w:rsid w:val="67DF5DD4"/>
    <w:rsid w:val="680B8C44"/>
    <w:rsid w:val="682FB075"/>
    <w:rsid w:val="68565BC5"/>
    <w:rsid w:val="686215FF"/>
    <w:rsid w:val="68F5ABA9"/>
    <w:rsid w:val="69D1960C"/>
    <w:rsid w:val="69EB4A09"/>
    <w:rsid w:val="6A10ACA8"/>
    <w:rsid w:val="6A4907D0"/>
    <w:rsid w:val="6AA7E8E0"/>
    <w:rsid w:val="6AEB6490"/>
    <w:rsid w:val="6B52D90E"/>
    <w:rsid w:val="6B671EA8"/>
    <w:rsid w:val="6B6D6EDA"/>
    <w:rsid w:val="6C1A26B0"/>
    <w:rsid w:val="6C52A76E"/>
    <w:rsid w:val="6D52FF5A"/>
    <w:rsid w:val="6DC04731"/>
    <w:rsid w:val="6E28ABE4"/>
    <w:rsid w:val="6E715E93"/>
    <w:rsid w:val="6EA538F7"/>
    <w:rsid w:val="6EC62887"/>
    <w:rsid w:val="6F066DAD"/>
    <w:rsid w:val="6F0F1322"/>
    <w:rsid w:val="6F579222"/>
    <w:rsid w:val="6FB8A028"/>
    <w:rsid w:val="70EBAC47"/>
    <w:rsid w:val="71294BDE"/>
    <w:rsid w:val="71F03BE5"/>
    <w:rsid w:val="730E4080"/>
    <w:rsid w:val="73340CE8"/>
    <w:rsid w:val="73A22B75"/>
    <w:rsid w:val="73B9DC11"/>
    <w:rsid w:val="7416076C"/>
    <w:rsid w:val="7445A894"/>
    <w:rsid w:val="74D1A266"/>
    <w:rsid w:val="759EEFF8"/>
    <w:rsid w:val="75CB9741"/>
    <w:rsid w:val="75CD72D9"/>
    <w:rsid w:val="75CDCD61"/>
    <w:rsid w:val="75DBD2A6"/>
    <w:rsid w:val="768AD9C2"/>
    <w:rsid w:val="77D9F734"/>
    <w:rsid w:val="78592E6C"/>
    <w:rsid w:val="78616405"/>
    <w:rsid w:val="78A68364"/>
    <w:rsid w:val="78DDEE9B"/>
    <w:rsid w:val="7919C9A7"/>
    <w:rsid w:val="794939B1"/>
    <w:rsid w:val="797FEE96"/>
    <w:rsid w:val="7A5C849E"/>
    <w:rsid w:val="7A95F71D"/>
    <w:rsid w:val="7ADD00BA"/>
    <w:rsid w:val="7AE1F90A"/>
    <w:rsid w:val="7B168EA6"/>
    <w:rsid w:val="7B2DB531"/>
    <w:rsid w:val="7C5A9080"/>
    <w:rsid w:val="7CB1D4A5"/>
    <w:rsid w:val="7CDB115F"/>
    <w:rsid w:val="7CFD4DDE"/>
    <w:rsid w:val="7D5B3E41"/>
    <w:rsid w:val="7DC92C4E"/>
    <w:rsid w:val="7DFB3E09"/>
    <w:rsid w:val="7E4A9C15"/>
    <w:rsid w:val="7EE34883"/>
    <w:rsid w:val="7EF0113E"/>
    <w:rsid w:val="7F0ECF59"/>
    <w:rsid w:val="7FA96D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0FEAE"/>
  <w15:docId w15:val="{13B02BA1-8FE3-478E-90C8-7ABB3D32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2"/>
      </w:numPr>
      <w:spacing w:before="240"/>
      <w:outlineLvl w:val="0"/>
    </w:pPr>
    <w:rPr>
      <w:b/>
      <w:smallCaps/>
    </w:rPr>
  </w:style>
  <w:style w:type="paragraph" w:styleId="Heading2">
    <w:name w:val="heading 2"/>
    <w:basedOn w:val="Normal"/>
    <w:next w:val="Text2"/>
    <w:qFormat/>
    <w:pPr>
      <w:keepNext/>
      <w:numPr>
        <w:ilvl w:val="1"/>
        <w:numId w:val="2"/>
      </w:numPr>
      <w:outlineLvl w:val="1"/>
    </w:pPr>
    <w:rPr>
      <w:b/>
    </w:rPr>
  </w:style>
  <w:style w:type="paragraph" w:styleId="Heading3">
    <w:name w:val="heading 3"/>
    <w:basedOn w:val="Normal"/>
    <w:next w:val="Text3"/>
    <w:link w:val="Heading3Char"/>
    <w:qFormat/>
    <w:pPr>
      <w:keepNext/>
      <w:numPr>
        <w:ilvl w:val="2"/>
        <w:numId w:val="2"/>
      </w:numPr>
      <w:outlineLvl w:val="2"/>
    </w:pPr>
    <w:rPr>
      <w:i/>
    </w:rPr>
  </w:style>
  <w:style w:type="paragraph" w:styleId="Heading4">
    <w:name w:val="heading 4"/>
    <w:basedOn w:val="Normal"/>
    <w:next w:val="Text4"/>
    <w:qFormat/>
    <w:pPr>
      <w:keepNext/>
      <w:numPr>
        <w:ilvl w:val="3"/>
        <w:numId w:val="2"/>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3"/>
      </w:numPr>
    </w:pPr>
  </w:style>
  <w:style w:type="paragraph" w:styleId="ListBullet2">
    <w:name w:val="List Bullet 2"/>
    <w:basedOn w:val="Text2"/>
    <w:uiPriority w:val="99"/>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2"/>
      </w:numPr>
    </w:pPr>
    <w:rPr>
      <w:rFonts w:ascii="Times New Roman" w:hAnsi="Times New Roman"/>
    </w:rPr>
  </w:style>
  <w:style w:type="paragraph" w:styleId="ListNumber2">
    <w:name w:val="List Number 2"/>
    <w:basedOn w:val="Text2"/>
    <w:pPr>
      <w:numPr>
        <w:numId w:val="14"/>
      </w:numPr>
      <w:tabs>
        <w:tab w:val="clear" w:pos="2160"/>
      </w:tabs>
    </w:pPr>
  </w:style>
  <w:style w:type="paragraph" w:styleId="ListNumber3">
    <w:name w:val="List Number 3"/>
    <w:basedOn w:val="Text3"/>
    <w:pPr>
      <w:numPr>
        <w:numId w:val="15"/>
      </w:numPr>
      <w:tabs>
        <w:tab w:val="clear" w:pos="2302"/>
      </w:tabs>
    </w:pPr>
  </w:style>
  <w:style w:type="paragraph" w:styleId="ListNumber4">
    <w:name w:val="List Number 4"/>
    <w:basedOn w:val="Text4"/>
    <w:pPr>
      <w:numPr>
        <w:numId w:val="16"/>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4"/>
      </w:numPr>
    </w:pPr>
  </w:style>
  <w:style w:type="paragraph" w:customStyle="1" w:styleId="ListDash">
    <w:name w:val="List Dash"/>
    <w:basedOn w:val="Normal"/>
    <w:link w:val="ListDashChar"/>
    <w:pPr>
      <w:numPr>
        <w:numId w:val="19"/>
      </w:numPr>
    </w:pPr>
  </w:style>
  <w:style w:type="paragraph" w:customStyle="1" w:styleId="ListDash1">
    <w:name w:val="List Dash 1"/>
    <w:basedOn w:val="Text1"/>
    <w:pPr>
      <w:numPr>
        <w:numId w:val="8"/>
      </w:numPr>
    </w:pPr>
  </w:style>
  <w:style w:type="paragraph" w:customStyle="1" w:styleId="ListDash2">
    <w:name w:val="List Dash 2"/>
    <w:basedOn w:val="Text2"/>
    <w:pPr>
      <w:numPr>
        <w:numId w:val="9"/>
      </w:numPr>
      <w:tabs>
        <w:tab w:val="clear" w:pos="2160"/>
      </w:tabs>
    </w:pPr>
  </w:style>
  <w:style w:type="paragraph" w:customStyle="1" w:styleId="ListDash3">
    <w:name w:val="List Dash 3"/>
    <w:basedOn w:val="Text3"/>
    <w:pPr>
      <w:numPr>
        <w:numId w:val="10"/>
      </w:numPr>
      <w:tabs>
        <w:tab w:val="clear" w:pos="2302"/>
      </w:tabs>
    </w:pPr>
  </w:style>
  <w:style w:type="paragraph" w:customStyle="1" w:styleId="ListDash4">
    <w:name w:val="List Dash 4"/>
    <w:basedOn w:val="Text4"/>
    <w:pPr>
      <w:numPr>
        <w:numId w:val="11"/>
      </w:numPr>
    </w:pPr>
  </w:style>
  <w:style w:type="paragraph" w:customStyle="1" w:styleId="ListNumberLevel2">
    <w:name w:val="List Number (Level 2)"/>
    <w:basedOn w:val="Normal"/>
    <w:pPr>
      <w:numPr>
        <w:ilvl w:val="1"/>
        <w:numId w:val="12"/>
      </w:numPr>
    </w:pPr>
  </w:style>
  <w:style w:type="paragraph" w:customStyle="1" w:styleId="ListNumberLevel3">
    <w:name w:val="List Number (Level 3)"/>
    <w:basedOn w:val="Normal"/>
    <w:pPr>
      <w:numPr>
        <w:ilvl w:val="2"/>
        <w:numId w:val="12"/>
      </w:numPr>
    </w:pPr>
  </w:style>
  <w:style w:type="paragraph" w:customStyle="1" w:styleId="ListNumberLevel4">
    <w:name w:val="List Number (Level 4)"/>
    <w:basedOn w:val="Normal"/>
    <w:pPr>
      <w:numPr>
        <w:ilvl w:val="3"/>
        <w:numId w:val="12"/>
      </w:numPr>
    </w:pPr>
  </w:style>
  <w:style w:type="paragraph" w:customStyle="1" w:styleId="ListNumber1">
    <w:name w:val="List Number 1"/>
    <w:basedOn w:val="Text1"/>
    <w:pPr>
      <w:numPr>
        <w:numId w:val="13"/>
      </w:numPr>
    </w:pPr>
  </w:style>
  <w:style w:type="paragraph" w:customStyle="1" w:styleId="ListNumber1Level2">
    <w:name w:val="List Number 1 (Level 2)"/>
    <w:basedOn w:val="Text1"/>
    <w:pPr>
      <w:numPr>
        <w:ilvl w:val="1"/>
        <w:numId w:val="13"/>
      </w:numPr>
    </w:pPr>
  </w:style>
  <w:style w:type="paragraph" w:customStyle="1" w:styleId="ListNumber1Level3">
    <w:name w:val="List Number 1 (Level 3)"/>
    <w:basedOn w:val="Text1"/>
    <w:pPr>
      <w:numPr>
        <w:ilvl w:val="2"/>
        <w:numId w:val="13"/>
      </w:numPr>
    </w:pPr>
  </w:style>
  <w:style w:type="paragraph" w:customStyle="1" w:styleId="ListNumber1Level4">
    <w:name w:val="List Number 1 (Level 4)"/>
    <w:basedOn w:val="Text1"/>
    <w:pPr>
      <w:numPr>
        <w:ilvl w:val="3"/>
        <w:numId w:val="13"/>
      </w:numPr>
    </w:pPr>
  </w:style>
  <w:style w:type="paragraph" w:customStyle="1" w:styleId="ListNumber2Level2">
    <w:name w:val="List Number 2 (Level 2)"/>
    <w:basedOn w:val="Text2"/>
    <w:pPr>
      <w:numPr>
        <w:ilvl w:val="1"/>
        <w:numId w:val="14"/>
      </w:numPr>
      <w:tabs>
        <w:tab w:val="clear" w:pos="2160"/>
      </w:tabs>
    </w:pPr>
  </w:style>
  <w:style w:type="paragraph" w:customStyle="1" w:styleId="ListNumber2Level3">
    <w:name w:val="List Number 2 (Level 3)"/>
    <w:basedOn w:val="Text2"/>
    <w:pPr>
      <w:numPr>
        <w:ilvl w:val="2"/>
        <w:numId w:val="14"/>
      </w:numPr>
      <w:tabs>
        <w:tab w:val="clear" w:pos="2160"/>
      </w:tabs>
    </w:pPr>
  </w:style>
  <w:style w:type="paragraph" w:customStyle="1" w:styleId="ListNumber2Level4">
    <w:name w:val="List Number 2 (Level 4)"/>
    <w:basedOn w:val="Text2"/>
    <w:pPr>
      <w:numPr>
        <w:ilvl w:val="3"/>
        <w:numId w:val="14"/>
      </w:numPr>
      <w:tabs>
        <w:tab w:val="clear" w:pos="2160"/>
      </w:tabs>
    </w:pPr>
  </w:style>
  <w:style w:type="paragraph" w:customStyle="1" w:styleId="ListNumber3Level2">
    <w:name w:val="List Number 3 (Level 2)"/>
    <w:basedOn w:val="Text3"/>
    <w:pPr>
      <w:numPr>
        <w:ilvl w:val="1"/>
        <w:numId w:val="15"/>
      </w:numPr>
      <w:tabs>
        <w:tab w:val="clear" w:pos="2302"/>
      </w:tabs>
    </w:pPr>
  </w:style>
  <w:style w:type="paragraph" w:customStyle="1" w:styleId="ListNumber3Level3">
    <w:name w:val="List Number 3 (Level 3)"/>
    <w:basedOn w:val="Text3"/>
    <w:pPr>
      <w:numPr>
        <w:ilvl w:val="2"/>
        <w:numId w:val="15"/>
      </w:numPr>
      <w:tabs>
        <w:tab w:val="clear" w:pos="2302"/>
      </w:tabs>
    </w:pPr>
  </w:style>
  <w:style w:type="paragraph" w:customStyle="1" w:styleId="ListNumber3Level4">
    <w:name w:val="List Number 3 (Level 4)"/>
    <w:basedOn w:val="Text3"/>
    <w:pPr>
      <w:numPr>
        <w:ilvl w:val="3"/>
        <w:numId w:val="15"/>
      </w:numPr>
      <w:tabs>
        <w:tab w:val="clear" w:pos="2302"/>
      </w:tabs>
    </w:pPr>
  </w:style>
  <w:style w:type="paragraph" w:customStyle="1" w:styleId="ListNumber4Level2">
    <w:name w:val="List Number 4 (Level 2)"/>
    <w:basedOn w:val="Text4"/>
    <w:pPr>
      <w:numPr>
        <w:ilvl w:val="1"/>
        <w:numId w:val="16"/>
      </w:numPr>
    </w:pPr>
  </w:style>
  <w:style w:type="paragraph" w:customStyle="1" w:styleId="ListNumber4Level3">
    <w:name w:val="List Number 4 (Level 3)"/>
    <w:basedOn w:val="Text4"/>
    <w:pPr>
      <w:numPr>
        <w:ilvl w:val="2"/>
        <w:numId w:val="16"/>
      </w:numPr>
    </w:pPr>
  </w:style>
  <w:style w:type="paragraph" w:customStyle="1" w:styleId="ListNumber4Level4">
    <w:name w:val="List Number 4 (Level 4)"/>
    <w:basedOn w:val="Text4"/>
    <w:pPr>
      <w:numPr>
        <w:ilvl w:val="3"/>
        <w:numId w:val="16"/>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7"/>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8"/>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Bullet List,FooterText,List Paragraph1,numbered,Paragraphe de liste1,Bulletr List Paragraph,列 出 段 落,列 出 段 落 1,List Paragraph2,List Paragraph21,Parágrafo da Lista1,リ ス ト 段 落 1,List Paragraph11,Listeafsnit1,F,列 ?出"/>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20"/>
      </w:numPr>
      <w:spacing w:before="120" w:after="120"/>
    </w:pPr>
    <w:rPr>
      <w:rFonts w:ascii="Times New Roman" w:hAnsi="Times New Roman"/>
      <w:lang w:eastAsia="zh-CN"/>
    </w:rPr>
  </w:style>
  <w:style w:type="table" w:styleId="TableGrid1">
    <w:name w:val="Table Grid 1"/>
    <w:basedOn w:val="TableNormal"/>
    <w:rsid w:val="009D1A01"/>
    <w:tblPr/>
    <w:tblStylePr w:type="lastRow">
      <w:rPr>
        <w:i/>
        <w:iCs/>
      </w:rPr>
    </w:tblStylePr>
    <w:tblStylePr w:type="lastCol">
      <w:rPr>
        <w:i/>
        <w:iCs/>
      </w:r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1"/>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link w:val="Briefinglist1Char"/>
    <w:qFormat/>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2"/>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3"/>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character" w:styleId="UnresolvedMention">
    <w:name w:val="Unresolved Mention"/>
    <w:uiPriority w:val="99"/>
    <w:semiHidden/>
    <w:unhideWhenUsed/>
    <w:rsid w:val="00694763"/>
    <w:rPr>
      <w:color w:val="605E5C"/>
      <w:shd w:val="clear" w:color="auto" w:fill="E1DFDD"/>
    </w:rPr>
  </w:style>
  <w:style w:type="character" w:styleId="Mention">
    <w:name w:val="Mention"/>
    <w:uiPriority w:val="99"/>
    <w:unhideWhenUsed/>
    <w:rsid w:val="00070633"/>
    <w:rPr>
      <w:color w:val="2B579A"/>
      <w:shd w:val="clear" w:color="auto" w:fill="E1DFDD"/>
    </w:rPr>
  </w:style>
  <w:style w:type="character" w:customStyle="1" w:styleId="ListParagraphChar">
    <w:name w:val="List Paragraph Char"/>
    <w:aliases w:val="Bullet List Char,FooterText Char,List Paragraph1 Char,numbered Char,Paragraphe de liste1 Char,Bulletr List Paragraph Char,列 出 段 落 Char,列 出 段 落 1 Char,List Paragraph2 Char,List Paragraph21 Char,Parágrafo da Lista1 Char,F Char"/>
    <w:link w:val="ListParagraph"/>
    <w:uiPriority w:val="34"/>
    <w:qFormat/>
    <w:locked/>
    <w:rsid w:val="00C80360"/>
    <w:rPr>
      <w:rFonts w:ascii="Calibri" w:eastAsia="Calibri" w:hAnsi="Calibri"/>
      <w:sz w:val="22"/>
      <w:szCs w:val="22"/>
      <w:lang w:val="en-US" w:eastAsia="en-US"/>
    </w:rPr>
  </w:style>
  <w:style w:type="character" w:customStyle="1" w:styleId="Briefinglist1Char">
    <w:name w:val="Briefing list 1 Char"/>
    <w:link w:val="Briefinglist1"/>
    <w:qFormat/>
    <w:rsid w:val="0086236E"/>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5931">
      <w:bodyDiv w:val="1"/>
      <w:marLeft w:val="0"/>
      <w:marRight w:val="0"/>
      <w:marTop w:val="0"/>
      <w:marBottom w:val="0"/>
      <w:divBdr>
        <w:top w:val="none" w:sz="0" w:space="0" w:color="auto"/>
        <w:left w:val="none" w:sz="0" w:space="0" w:color="auto"/>
        <w:bottom w:val="none" w:sz="0" w:space="0" w:color="auto"/>
        <w:right w:val="none" w:sz="0" w:space="0" w:color="auto"/>
      </w:divBdr>
    </w:div>
    <w:div w:id="121313998">
      <w:bodyDiv w:val="1"/>
      <w:marLeft w:val="0"/>
      <w:marRight w:val="0"/>
      <w:marTop w:val="0"/>
      <w:marBottom w:val="0"/>
      <w:divBdr>
        <w:top w:val="none" w:sz="0" w:space="0" w:color="auto"/>
        <w:left w:val="none" w:sz="0" w:space="0" w:color="auto"/>
        <w:bottom w:val="none" w:sz="0" w:space="0" w:color="auto"/>
        <w:right w:val="none" w:sz="0" w:space="0" w:color="auto"/>
      </w:divBdr>
    </w:div>
    <w:div w:id="146746151">
      <w:bodyDiv w:val="1"/>
      <w:marLeft w:val="0"/>
      <w:marRight w:val="0"/>
      <w:marTop w:val="0"/>
      <w:marBottom w:val="0"/>
      <w:divBdr>
        <w:top w:val="none" w:sz="0" w:space="0" w:color="auto"/>
        <w:left w:val="none" w:sz="0" w:space="0" w:color="auto"/>
        <w:bottom w:val="none" w:sz="0" w:space="0" w:color="auto"/>
        <w:right w:val="none" w:sz="0" w:space="0" w:color="auto"/>
      </w:divBdr>
      <w:divsChild>
        <w:div w:id="1855529790">
          <w:marLeft w:val="0"/>
          <w:marRight w:val="0"/>
          <w:marTop w:val="0"/>
          <w:marBottom w:val="0"/>
          <w:divBdr>
            <w:top w:val="none" w:sz="0" w:space="0" w:color="auto"/>
            <w:left w:val="none" w:sz="0" w:space="0" w:color="auto"/>
            <w:bottom w:val="none" w:sz="0" w:space="0" w:color="auto"/>
            <w:right w:val="none" w:sz="0" w:space="0" w:color="auto"/>
          </w:divBdr>
          <w:divsChild>
            <w:div w:id="164324886">
              <w:marLeft w:val="0"/>
              <w:marRight w:val="0"/>
              <w:marTop w:val="0"/>
              <w:marBottom w:val="0"/>
              <w:divBdr>
                <w:top w:val="none" w:sz="0" w:space="0" w:color="auto"/>
                <w:left w:val="none" w:sz="0" w:space="0" w:color="auto"/>
                <w:bottom w:val="none" w:sz="0" w:space="0" w:color="auto"/>
                <w:right w:val="none" w:sz="0" w:space="0" w:color="auto"/>
              </w:divBdr>
              <w:divsChild>
                <w:div w:id="1296989229">
                  <w:marLeft w:val="0"/>
                  <w:marRight w:val="0"/>
                  <w:marTop w:val="0"/>
                  <w:marBottom w:val="0"/>
                  <w:divBdr>
                    <w:top w:val="none" w:sz="0" w:space="0" w:color="auto"/>
                    <w:left w:val="none" w:sz="0" w:space="0" w:color="auto"/>
                    <w:bottom w:val="none" w:sz="0" w:space="0" w:color="auto"/>
                    <w:right w:val="none" w:sz="0" w:space="0" w:color="auto"/>
                  </w:divBdr>
                  <w:divsChild>
                    <w:div w:id="1786535621">
                      <w:marLeft w:val="0"/>
                      <w:marRight w:val="0"/>
                      <w:marTop w:val="0"/>
                      <w:marBottom w:val="0"/>
                      <w:divBdr>
                        <w:top w:val="none" w:sz="0" w:space="0" w:color="auto"/>
                        <w:left w:val="none" w:sz="0" w:space="0" w:color="auto"/>
                        <w:bottom w:val="none" w:sz="0" w:space="0" w:color="auto"/>
                        <w:right w:val="none" w:sz="0" w:space="0" w:color="auto"/>
                      </w:divBdr>
                      <w:divsChild>
                        <w:div w:id="804733025">
                          <w:marLeft w:val="0"/>
                          <w:marRight w:val="0"/>
                          <w:marTop w:val="0"/>
                          <w:marBottom w:val="0"/>
                          <w:divBdr>
                            <w:top w:val="none" w:sz="0" w:space="0" w:color="auto"/>
                            <w:left w:val="none" w:sz="0" w:space="0" w:color="auto"/>
                            <w:bottom w:val="none" w:sz="0" w:space="0" w:color="auto"/>
                            <w:right w:val="none" w:sz="0" w:space="0" w:color="auto"/>
                          </w:divBdr>
                          <w:divsChild>
                            <w:div w:id="174406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76611">
      <w:bodyDiv w:val="1"/>
      <w:marLeft w:val="0"/>
      <w:marRight w:val="0"/>
      <w:marTop w:val="0"/>
      <w:marBottom w:val="0"/>
      <w:divBdr>
        <w:top w:val="none" w:sz="0" w:space="0" w:color="auto"/>
        <w:left w:val="none" w:sz="0" w:space="0" w:color="auto"/>
        <w:bottom w:val="none" w:sz="0" w:space="0" w:color="auto"/>
        <w:right w:val="none" w:sz="0" w:space="0" w:color="auto"/>
      </w:divBdr>
    </w:div>
    <w:div w:id="251738402">
      <w:bodyDiv w:val="1"/>
      <w:marLeft w:val="0"/>
      <w:marRight w:val="0"/>
      <w:marTop w:val="0"/>
      <w:marBottom w:val="0"/>
      <w:divBdr>
        <w:top w:val="none" w:sz="0" w:space="0" w:color="auto"/>
        <w:left w:val="none" w:sz="0" w:space="0" w:color="auto"/>
        <w:bottom w:val="none" w:sz="0" w:space="0" w:color="auto"/>
        <w:right w:val="none" w:sz="0" w:space="0" w:color="auto"/>
      </w:divBdr>
    </w:div>
    <w:div w:id="572859130">
      <w:bodyDiv w:val="1"/>
      <w:marLeft w:val="0"/>
      <w:marRight w:val="0"/>
      <w:marTop w:val="0"/>
      <w:marBottom w:val="0"/>
      <w:divBdr>
        <w:top w:val="none" w:sz="0" w:space="0" w:color="auto"/>
        <w:left w:val="none" w:sz="0" w:space="0" w:color="auto"/>
        <w:bottom w:val="none" w:sz="0" w:space="0" w:color="auto"/>
        <w:right w:val="none" w:sz="0" w:space="0" w:color="auto"/>
      </w:divBdr>
    </w:div>
    <w:div w:id="598609563">
      <w:bodyDiv w:val="1"/>
      <w:marLeft w:val="0"/>
      <w:marRight w:val="0"/>
      <w:marTop w:val="0"/>
      <w:marBottom w:val="0"/>
      <w:divBdr>
        <w:top w:val="none" w:sz="0" w:space="0" w:color="auto"/>
        <w:left w:val="none" w:sz="0" w:space="0" w:color="auto"/>
        <w:bottom w:val="none" w:sz="0" w:space="0" w:color="auto"/>
        <w:right w:val="none" w:sz="0" w:space="0" w:color="auto"/>
      </w:divBdr>
    </w:div>
    <w:div w:id="612177401">
      <w:bodyDiv w:val="1"/>
      <w:marLeft w:val="0"/>
      <w:marRight w:val="0"/>
      <w:marTop w:val="0"/>
      <w:marBottom w:val="0"/>
      <w:divBdr>
        <w:top w:val="none" w:sz="0" w:space="0" w:color="auto"/>
        <w:left w:val="none" w:sz="0" w:space="0" w:color="auto"/>
        <w:bottom w:val="none" w:sz="0" w:space="0" w:color="auto"/>
        <w:right w:val="none" w:sz="0" w:space="0" w:color="auto"/>
      </w:divBdr>
    </w:div>
    <w:div w:id="653340622">
      <w:bodyDiv w:val="1"/>
      <w:marLeft w:val="0"/>
      <w:marRight w:val="0"/>
      <w:marTop w:val="0"/>
      <w:marBottom w:val="0"/>
      <w:divBdr>
        <w:top w:val="none" w:sz="0" w:space="0" w:color="auto"/>
        <w:left w:val="none" w:sz="0" w:space="0" w:color="auto"/>
        <w:bottom w:val="none" w:sz="0" w:space="0" w:color="auto"/>
        <w:right w:val="none" w:sz="0" w:space="0" w:color="auto"/>
      </w:divBdr>
    </w:div>
    <w:div w:id="702168537">
      <w:bodyDiv w:val="1"/>
      <w:marLeft w:val="0"/>
      <w:marRight w:val="0"/>
      <w:marTop w:val="0"/>
      <w:marBottom w:val="0"/>
      <w:divBdr>
        <w:top w:val="none" w:sz="0" w:space="0" w:color="auto"/>
        <w:left w:val="none" w:sz="0" w:space="0" w:color="auto"/>
        <w:bottom w:val="none" w:sz="0" w:space="0" w:color="auto"/>
        <w:right w:val="none" w:sz="0" w:space="0" w:color="auto"/>
      </w:divBdr>
    </w:div>
    <w:div w:id="731657117">
      <w:bodyDiv w:val="1"/>
      <w:marLeft w:val="0"/>
      <w:marRight w:val="0"/>
      <w:marTop w:val="0"/>
      <w:marBottom w:val="0"/>
      <w:divBdr>
        <w:top w:val="none" w:sz="0" w:space="0" w:color="auto"/>
        <w:left w:val="none" w:sz="0" w:space="0" w:color="auto"/>
        <w:bottom w:val="none" w:sz="0" w:space="0" w:color="auto"/>
        <w:right w:val="none" w:sz="0" w:space="0" w:color="auto"/>
      </w:divBdr>
    </w:div>
    <w:div w:id="1054159183">
      <w:bodyDiv w:val="1"/>
      <w:marLeft w:val="0"/>
      <w:marRight w:val="0"/>
      <w:marTop w:val="0"/>
      <w:marBottom w:val="0"/>
      <w:divBdr>
        <w:top w:val="none" w:sz="0" w:space="0" w:color="auto"/>
        <w:left w:val="none" w:sz="0" w:space="0" w:color="auto"/>
        <w:bottom w:val="none" w:sz="0" w:space="0" w:color="auto"/>
        <w:right w:val="none" w:sz="0" w:space="0" w:color="auto"/>
      </w:divBdr>
    </w:div>
    <w:div w:id="1167668323">
      <w:bodyDiv w:val="1"/>
      <w:marLeft w:val="0"/>
      <w:marRight w:val="0"/>
      <w:marTop w:val="0"/>
      <w:marBottom w:val="0"/>
      <w:divBdr>
        <w:top w:val="none" w:sz="0" w:space="0" w:color="auto"/>
        <w:left w:val="none" w:sz="0" w:space="0" w:color="auto"/>
        <w:bottom w:val="none" w:sz="0" w:space="0" w:color="auto"/>
        <w:right w:val="none" w:sz="0" w:space="0" w:color="auto"/>
      </w:divBdr>
    </w:div>
    <w:div w:id="1231380501">
      <w:bodyDiv w:val="1"/>
      <w:marLeft w:val="0"/>
      <w:marRight w:val="0"/>
      <w:marTop w:val="0"/>
      <w:marBottom w:val="0"/>
      <w:divBdr>
        <w:top w:val="none" w:sz="0" w:space="0" w:color="auto"/>
        <w:left w:val="none" w:sz="0" w:space="0" w:color="auto"/>
        <w:bottom w:val="none" w:sz="0" w:space="0" w:color="auto"/>
        <w:right w:val="none" w:sz="0" w:space="0" w:color="auto"/>
      </w:divBdr>
    </w:div>
    <w:div w:id="1310742412">
      <w:bodyDiv w:val="1"/>
      <w:marLeft w:val="0"/>
      <w:marRight w:val="0"/>
      <w:marTop w:val="0"/>
      <w:marBottom w:val="0"/>
      <w:divBdr>
        <w:top w:val="none" w:sz="0" w:space="0" w:color="auto"/>
        <w:left w:val="none" w:sz="0" w:space="0" w:color="auto"/>
        <w:bottom w:val="none" w:sz="0" w:space="0" w:color="auto"/>
        <w:right w:val="none" w:sz="0" w:space="0" w:color="auto"/>
      </w:divBdr>
    </w:div>
    <w:div w:id="1354763139">
      <w:bodyDiv w:val="1"/>
      <w:marLeft w:val="0"/>
      <w:marRight w:val="0"/>
      <w:marTop w:val="0"/>
      <w:marBottom w:val="0"/>
      <w:divBdr>
        <w:top w:val="none" w:sz="0" w:space="0" w:color="auto"/>
        <w:left w:val="none" w:sz="0" w:space="0" w:color="auto"/>
        <w:bottom w:val="none" w:sz="0" w:space="0" w:color="auto"/>
        <w:right w:val="none" w:sz="0" w:space="0" w:color="auto"/>
      </w:divBdr>
    </w:div>
    <w:div w:id="1497264839">
      <w:bodyDiv w:val="1"/>
      <w:marLeft w:val="0"/>
      <w:marRight w:val="0"/>
      <w:marTop w:val="0"/>
      <w:marBottom w:val="0"/>
      <w:divBdr>
        <w:top w:val="none" w:sz="0" w:space="0" w:color="auto"/>
        <w:left w:val="none" w:sz="0" w:space="0" w:color="auto"/>
        <w:bottom w:val="none" w:sz="0" w:space="0" w:color="auto"/>
        <w:right w:val="none" w:sz="0" w:space="0" w:color="auto"/>
      </w:divBdr>
    </w:div>
    <w:div w:id="1508902341">
      <w:bodyDiv w:val="1"/>
      <w:marLeft w:val="0"/>
      <w:marRight w:val="0"/>
      <w:marTop w:val="0"/>
      <w:marBottom w:val="0"/>
      <w:divBdr>
        <w:top w:val="none" w:sz="0" w:space="0" w:color="auto"/>
        <w:left w:val="none" w:sz="0" w:space="0" w:color="auto"/>
        <w:bottom w:val="none" w:sz="0" w:space="0" w:color="auto"/>
        <w:right w:val="none" w:sz="0" w:space="0" w:color="auto"/>
      </w:divBdr>
    </w:div>
    <w:div w:id="1663780159">
      <w:bodyDiv w:val="1"/>
      <w:marLeft w:val="0"/>
      <w:marRight w:val="0"/>
      <w:marTop w:val="0"/>
      <w:marBottom w:val="0"/>
      <w:divBdr>
        <w:top w:val="none" w:sz="0" w:space="0" w:color="auto"/>
        <w:left w:val="none" w:sz="0" w:space="0" w:color="auto"/>
        <w:bottom w:val="none" w:sz="0" w:space="0" w:color="auto"/>
        <w:right w:val="none" w:sz="0" w:space="0" w:color="auto"/>
      </w:divBdr>
    </w:div>
    <w:div w:id="2058973439">
      <w:bodyDiv w:val="1"/>
      <w:marLeft w:val="0"/>
      <w:marRight w:val="0"/>
      <w:marTop w:val="0"/>
      <w:marBottom w:val="0"/>
      <w:divBdr>
        <w:top w:val="none" w:sz="0" w:space="0" w:color="auto"/>
        <w:left w:val="none" w:sz="0" w:space="0" w:color="auto"/>
        <w:bottom w:val="none" w:sz="0" w:space="0" w:color="auto"/>
        <w:right w:val="none" w:sz="0" w:space="0" w:color="auto"/>
      </w:divBdr>
    </w:div>
    <w:div w:id="210942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mployment-social-affairs.ec.europa.eu/news/first-eu-anti-poverty-strategy-enters-public-consultation-phase-2025-07-28_en" TargetMode="External"/><Relationship Id="rId18" Type="http://schemas.openxmlformats.org/officeDocument/2006/relationships/hyperlink" Target="https://eur-lex.europa.eu/legal-content/EN/TXT/?uri=celex:52025DC0088"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limate.ec.europa.eu/eu-action/adaptation-and-resilience-climate-change/european-climate-resilience-and-risk-management-integrated-framework_en" TargetMode="External"/><Relationship Id="rId7" Type="http://schemas.openxmlformats.org/officeDocument/2006/relationships/settings" Target="settings.xml"/><Relationship Id="rId12" Type="http://schemas.openxmlformats.org/officeDocument/2006/relationships/hyperlink" Target="https://employment-social-affairs.ec.europa.eu/policies-and-activities/european-pillar-social-rights-building-fairer-and-more-inclusive-european-union/european-pillar-social-rights-action-plan_en" TargetMode="External"/><Relationship Id="rId17" Type="http://schemas.openxmlformats.org/officeDocument/2006/relationships/hyperlink" Target="https://eur-lex.europa.eu/legal-content/EN/TXT/?uri=celex:52025DC009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lex.europa.eu/eli/dir/2024/1385/oj/eng" TargetMode="External"/><Relationship Id="rId20" Type="http://schemas.openxmlformats.org/officeDocument/2006/relationships/hyperlink" Target="https://employment-social-affairs.ec.europa.eu/news/european-care-strategy-caregivers-and-care-receivers-2022-09-07_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arl.europa.eu/sides/getDoc.do?type=REPORT&amp;mode=XML&amp;reference=A8-2016-0345&amp;language=EN" TargetMode="External"/><Relationship Id="rId24" Type="http://schemas.openxmlformats.org/officeDocument/2006/relationships/hyperlink" Target="https://socialinnovationplus.eu/about/?gpwid=gpw-container" TargetMode="External"/><Relationship Id="rId5" Type="http://schemas.openxmlformats.org/officeDocument/2006/relationships/numbering" Target="numbering.xml"/><Relationship Id="rId15" Type="http://schemas.openxmlformats.org/officeDocument/2006/relationships/hyperlink" Target="https://international-partnerships.ec.europa.eu/policies/global-gateway_en" TargetMode="External"/><Relationship Id="rId23" Type="http://schemas.openxmlformats.org/officeDocument/2006/relationships/hyperlink" Target="https://www.europarl.europa.eu/legislative-train/theme-an-economy-that-works-for-people/file-developing-social-economy-framework-condition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EN/TXT/?uri=celex:52025DC008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imate.ec.europa.eu/eu-action/carbon-markets/social-climate-fund_en" TargetMode="External"/><Relationship Id="rId22" Type="http://schemas.openxmlformats.org/officeDocument/2006/relationships/hyperlink" Target="https://osha.europa.eu/en/publications/heat-work-guidance-workplaces"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D4D76292-0FA6-45E1-B267-6027DC266F05}">
  <ds:schemaRefs>
    <ds:schemaRef ds:uri="http://schemas.microsoft.com/sharepoint/v3/contenttype/forms"/>
  </ds:schemaRefs>
</ds:datastoreItem>
</file>

<file path=customXml/itemProps2.xml><?xml version="1.0" encoding="utf-8"?>
<ds:datastoreItem xmlns:ds="http://schemas.openxmlformats.org/officeDocument/2006/customXml" ds:itemID="{E3DB60B2-D038-4572-9AC9-B8CEAC83986C}"/>
</file>

<file path=customXml/itemProps3.xml><?xml version="1.0" encoding="utf-8"?>
<ds:datastoreItem xmlns:ds="http://schemas.openxmlformats.org/officeDocument/2006/customXml" ds:itemID="{44DEAACB-59B4-4214-B149-5090E3DC30E3}">
  <ds:schemaRefs>
    <ds:schemaRef ds:uri="http://schemas.openxmlformats.org/officeDocument/2006/bibliography"/>
  </ds:schemaRefs>
</ds:datastoreItem>
</file>

<file path=customXml/itemProps4.xml><?xml version="1.0" encoding="utf-8"?>
<ds:datastoreItem xmlns:ds="http://schemas.openxmlformats.org/officeDocument/2006/customXml" ds:itemID="{87FB227B-992D-4541-849B-158134705C0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7</Pages>
  <Words>3134</Words>
  <Characters>20200</Characters>
  <Application>Microsoft Office Word</Application>
  <DocSecurity>0</DocSecurity>
  <PresentationFormat>Microsoft Word 8.0b</PresentationFormat>
  <Lines>320</Lines>
  <Paragraphs>68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2017-11-28T23:32:00Z</cp:lastPrinted>
  <dcterms:created xsi:type="dcterms:W3CDTF">2026-01-13T10:50:00Z</dcterms:created>
  <dcterms:modified xsi:type="dcterms:W3CDTF">2026-01-13T10:50:00Z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2023-02-09T16:17:08Z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0cc34465-c23b-45ab-a16d-3a3b8e9cf5a9</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