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7327" w14:textId="77777777" w:rsidR="0097657D" w:rsidRDefault="0097657D" w:rsidP="002D31FE">
      <w:pPr>
        <w:spacing w:line="240" w:lineRule="auto"/>
        <w:jc w:val="both"/>
        <w:rPr>
          <w:i/>
          <w:iCs/>
          <w:lang w:val="en-IE"/>
        </w:rPr>
      </w:pPr>
    </w:p>
    <w:p w14:paraId="54B81867" w14:textId="77777777" w:rsidR="0097657D" w:rsidRPr="0097657D" w:rsidRDefault="0097657D" w:rsidP="0097657D">
      <w:pPr>
        <w:spacing w:line="240" w:lineRule="auto"/>
        <w:ind w:left="720"/>
        <w:jc w:val="both"/>
        <w:rPr>
          <w:i/>
          <w:iCs/>
          <w:lang w:val="en-IE"/>
        </w:rPr>
      </w:pPr>
    </w:p>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0DF02277" w:rsidR="00DC568A" w:rsidRPr="0019232D"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9736C" w:rsidRPr="00D9736C">
        <w:rPr>
          <w:b/>
          <w:bCs/>
          <w:szCs w:val="24"/>
          <w:lang w:val="en-GB"/>
        </w:rPr>
        <w:t>on the proposal for a regulation of the European Parliament and of the Council amending Regulations (EU)</w:t>
      </w:r>
      <w:r w:rsidR="001B3AF1">
        <w:rPr>
          <w:b/>
          <w:bCs/>
          <w:szCs w:val="24"/>
          <w:lang w:val="en-GB"/>
        </w:rPr>
        <w:t> </w:t>
      </w:r>
      <w:r w:rsidR="00D9736C" w:rsidRPr="00D9736C">
        <w:rPr>
          <w:b/>
          <w:bCs/>
          <w:szCs w:val="24"/>
          <w:lang w:val="en-GB"/>
        </w:rPr>
        <w:t>2021/694, (EU) 2021/695, (EU) 2021/697, (EU) 2021/1153, (EU)</w:t>
      </w:r>
      <w:r w:rsidR="00247F35">
        <w:rPr>
          <w:b/>
          <w:bCs/>
          <w:szCs w:val="24"/>
          <w:lang w:val="en-GB"/>
        </w:rPr>
        <w:t> </w:t>
      </w:r>
      <w:r w:rsidR="00D9736C" w:rsidRPr="00D9736C">
        <w:rPr>
          <w:b/>
          <w:bCs/>
          <w:szCs w:val="24"/>
          <w:lang w:val="en-GB"/>
        </w:rPr>
        <w:t xml:space="preserve">2023/1525 and 2024/795, as regards incentivising defence-related investments in the EU budget to implement the ReArm Europe Plan </w:t>
      </w:r>
    </w:p>
    <w:p w14:paraId="5481E768" w14:textId="4FA6AB73" w:rsidR="002B7441" w:rsidRPr="002D31FE" w:rsidRDefault="002B7441" w:rsidP="00D05171">
      <w:pPr>
        <w:spacing w:after="240"/>
        <w:ind w:left="567" w:hanging="567"/>
        <w:rPr>
          <w:lang w:val="fr-FR"/>
        </w:rPr>
      </w:pPr>
      <w:r w:rsidRPr="002D31FE">
        <w:rPr>
          <w:b/>
          <w:lang w:val="fr-FR"/>
        </w:rPr>
        <w:t>1.</w:t>
      </w:r>
      <w:r w:rsidRPr="002D31FE">
        <w:rPr>
          <w:b/>
          <w:lang w:val="fr-FR"/>
        </w:rPr>
        <w:tab/>
        <w:t>Rapporteur:</w:t>
      </w:r>
      <w:r w:rsidR="00AC6F72" w:rsidRPr="002D31FE">
        <w:rPr>
          <w:b/>
          <w:lang w:val="fr-FR"/>
        </w:rPr>
        <w:t xml:space="preserve"> </w:t>
      </w:r>
      <w:r w:rsidR="002D31FE" w:rsidRPr="002D31FE">
        <w:rPr>
          <w:bCs/>
          <w:lang w:val="fr-FR"/>
        </w:rPr>
        <w:t>Rihards K</w:t>
      </w:r>
      <w:r w:rsidR="00800269">
        <w:rPr>
          <w:bCs/>
          <w:lang w:val="fr-FR"/>
        </w:rPr>
        <w:t>OLS</w:t>
      </w:r>
      <w:r w:rsidR="00D6407D" w:rsidRPr="002D31FE">
        <w:rPr>
          <w:bCs/>
          <w:lang w:val="fr-FR"/>
        </w:rPr>
        <w:t xml:space="preserve"> </w:t>
      </w:r>
      <w:r w:rsidR="00FF0C02" w:rsidRPr="002D31FE">
        <w:rPr>
          <w:bCs/>
          <w:lang w:val="fr-FR"/>
        </w:rPr>
        <w:t>(</w:t>
      </w:r>
      <w:r w:rsidR="002D31FE" w:rsidRPr="002D31FE">
        <w:rPr>
          <w:bCs/>
          <w:lang w:val="fr-FR"/>
        </w:rPr>
        <w:t>ECR</w:t>
      </w:r>
      <w:r w:rsidR="00FF0C02" w:rsidRPr="002D31FE">
        <w:rPr>
          <w:bCs/>
          <w:lang w:val="fr-FR"/>
        </w:rPr>
        <w:t xml:space="preserve"> / </w:t>
      </w:r>
      <w:r w:rsidR="002D31FE" w:rsidRPr="002D31FE">
        <w:rPr>
          <w:bCs/>
          <w:lang w:val="fr-FR"/>
        </w:rPr>
        <w:t>LV</w:t>
      </w:r>
      <w:r w:rsidR="00153310" w:rsidRPr="002D31FE">
        <w:rPr>
          <w:bCs/>
          <w:lang w:val="fr-FR"/>
        </w:rPr>
        <w:t>)</w:t>
      </w:r>
    </w:p>
    <w:p w14:paraId="61D6E453" w14:textId="734C1E64" w:rsidR="00605133" w:rsidRPr="00300027" w:rsidRDefault="002B7441" w:rsidP="002D31FE">
      <w:pPr>
        <w:spacing w:after="240"/>
        <w:ind w:left="567" w:hanging="567"/>
        <w:rPr>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00D81695" w:rsidRPr="0097657D">
        <w:rPr>
          <w:i/>
          <w:lang w:val="en-GB"/>
        </w:rPr>
        <w:t xml:space="preserve"> </w:t>
      </w:r>
      <w:hyperlink r:id="rId11" w:history="1">
        <w:hyperlink r:id="rId12" w:history="1">
          <w:r w:rsidR="002D31FE" w:rsidRPr="002D31FE">
            <w:rPr>
              <w:rFonts w:eastAsia="Calibri"/>
              <w:lang w:val="en-IE" w:eastAsia="en-US"/>
            </w:rPr>
            <w:t>20</w:t>
          </w:r>
          <w:r w:rsidR="002D31FE">
            <w:rPr>
              <w:rFonts w:eastAsia="Calibri"/>
              <w:lang w:val="en-IE" w:eastAsia="en-US"/>
            </w:rPr>
            <w:t>25</w:t>
          </w:r>
          <w:r w:rsidR="0019232D" w:rsidRPr="00606ED3">
            <w:rPr>
              <w:rFonts w:eastAsia="Calibri"/>
              <w:lang w:val="en-GB" w:eastAsia="en-US"/>
            </w:rPr>
            <w:t>/</w:t>
          </w:r>
          <w:r w:rsidR="002D31FE">
            <w:rPr>
              <w:rFonts w:eastAsia="Calibri"/>
              <w:lang w:val="en-GB" w:eastAsia="en-US"/>
            </w:rPr>
            <w:t>0103</w:t>
          </w:r>
          <w:r w:rsidR="00175CEF" w:rsidRPr="00606ED3">
            <w:rPr>
              <w:rFonts w:eastAsia="Calibri"/>
              <w:lang w:val="en-GB" w:eastAsia="en-US"/>
            </w:rPr>
            <w:t>(COD</w:t>
          </w:r>
        </w:hyperlink>
      </w:hyperlink>
      <w:r w:rsidR="00C60C16" w:rsidRPr="00606ED3">
        <w:rPr>
          <w:lang w:val="en-GB"/>
        </w:rPr>
        <w:t>)</w:t>
      </w:r>
      <w:r w:rsidR="00654CC7">
        <w:rPr>
          <w:lang w:val="en-GB"/>
        </w:rPr>
        <w:t xml:space="preserve"> /</w:t>
      </w:r>
      <w:r w:rsidR="00601DA8" w:rsidRPr="0097657D">
        <w:rPr>
          <w:i/>
          <w:lang w:val="en-GB"/>
        </w:rPr>
        <w:t xml:space="preserve"> </w:t>
      </w:r>
      <w:r w:rsidR="002D31FE" w:rsidRPr="002D31FE">
        <w:rPr>
          <w:lang w:val="en-IE"/>
        </w:rPr>
        <w:t>A10-0172/2025</w:t>
      </w:r>
      <w:r w:rsidR="0019232D" w:rsidRPr="00D10A5A">
        <w:rPr>
          <w:lang w:val="en-GB"/>
        </w:rPr>
        <w:t xml:space="preserve"> / P</w:t>
      </w:r>
      <w:r w:rsidR="002064BF" w:rsidRPr="00D10A5A">
        <w:rPr>
          <w:lang w:val="en-GB"/>
        </w:rPr>
        <w:t>10</w:t>
      </w:r>
      <w:r w:rsidR="0019232D" w:rsidRPr="00D10A5A">
        <w:rPr>
          <w:lang w:val="en-GB"/>
        </w:rPr>
        <w:t>_TA</w:t>
      </w:r>
      <w:r w:rsidR="002D31FE" w:rsidRPr="002D31FE">
        <w:rPr>
          <w:lang w:val="en-GB"/>
        </w:rPr>
        <w:t>(2025)032</w:t>
      </w:r>
      <w:r w:rsidR="002D31FE">
        <w:rPr>
          <w:lang w:val="en-GB"/>
        </w:rPr>
        <w:t>0</w:t>
      </w:r>
    </w:p>
    <w:p w14:paraId="474B79A2" w14:textId="343E1608"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2D31FE" w:rsidRPr="00654CC7">
        <w:rPr>
          <w:bCs/>
          <w:lang w:val="en-IE"/>
        </w:rPr>
        <w:t>16 December 2025</w:t>
      </w:r>
      <w:r w:rsidR="002D31FE">
        <w:rPr>
          <w:i/>
          <w:szCs w:val="24"/>
          <w:lang w:val="en-IE"/>
        </w:rPr>
        <w:t xml:space="preserve"> </w:t>
      </w:r>
    </w:p>
    <w:p w14:paraId="35860E93" w14:textId="1A2B41F7" w:rsidR="002B7441" w:rsidRPr="00D9736C" w:rsidRDefault="002B7441" w:rsidP="00D05171">
      <w:pPr>
        <w:spacing w:after="240"/>
        <w:ind w:left="567" w:hanging="567"/>
        <w:jc w:val="both"/>
        <w:rPr>
          <w:lang w:val="en-IE"/>
        </w:rPr>
      </w:pPr>
      <w:r w:rsidRPr="002B7441">
        <w:rPr>
          <w:b/>
          <w:lang w:val="en-GB"/>
        </w:rPr>
        <w:t>4.</w:t>
      </w:r>
      <w:r w:rsidRPr="002B7441">
        <w:rPr>
          <w:b/>
          <w:lang w:val="en-GB"/>
        </w:rPr>
        <w:tab/>
        <w:t xml:space="preserve">Legal basis: </w:t>
      </w:r>
      <w:r w:rsidR="00D9736C" w:rsidRPr="00D9736C">
        <w:rPr>
          <w:bCs/>
          <w:lang w:val="en-IE"/>
        </w:rPr>
        <w:t xml:space="preserve">Articles  </w:t>
      </w:r>
      <w:r w:rsidR="00380611" w:rsidRPr="001A0FEC">
        <w:rPr>
          <w:bCs/>
          <w:lang w:val="en-GB"/>
        </w:rPr>
        <w:t>114, 164, 172, 173, Article 175, third paragraph, Articles 176, 177 and 178, 182, 183, 188, 192(1)</w:t>
      </w:r>
      <w:r w:rsidR="00380611">
        <w:rPr>
          <w:bCs/>
          <w:lang w:val="en-IE"/>
        </w:rPr>
        <w:t xml:space="preserve"> </w:t>
      </w:r>
      <w:r w:rsidR="00D9736C" w:rsidRPr="00D9736C">
        <w:rPr>
          <w:bCs/>
          <w:lang w:val="en-IE"/>
        </w:rPr>
        <w:t>of</w:t>
      </w:r>
      <w:r w:rsidR="00D9736C">
        <w:rPr>
          <w:bCs/>
          <w:lang w:val="en-IE"/>
        </w:rPr>
        <w:t xml:space="preserve"> the Treat</w:t>
      </w:r>
      <w:r w:rsidR="00881BD9">
        <w:rPr>
          <w:bCs/>
          <w:lang w:val="en-IE"/>
        </w:rPr>
        <w:t xml:space="preserve">y </w:t>
      </w:r>
      <w:r w:rsidR="00D9736C">
        <w:rPr>
          <w:bCs/>
          <w:lang w:val="en-IE"/>
        </w:rPr>
        <w:t>on the Functioning of the European Union</w:t>
      </w:r>
      <w:r w:rsidR="008F1CC7">
        <w:rPr>
          <w:bCs/>
          <w:lang w:val="en-IE"/>
        </w:rPr>
        <w:t xml:space="preserve"> (TFEU)</w:t>
      </w:r>
    </w:p>
    <w:p w14:paraId="5DE3F035" w14:textId="0265E2D6" w:rsidR="00DE04F8" w:rsidRPr="00D9736C" w:rsidRDefault="002B7441" w:rsidP="00DE04F8">
      <w:pPr>
        <w:spacing w:after="240"/>
        <w:ind w:left="567" w:hanging="567"/>
        <w:jc w:val="both"/>
        <w:rPr>
          <w:iCs/>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Committee on</w:t>
      </w:r>
      <w:r w:rsidR="0019232D" w:rsidRPr="0019232D">
        <w:rPr>
          <w:i/>
          <w:szCs w:val="24"/>
          <w:lang w:val="en-IE"/>
        </w:rPr>
        <w:t xml:space="preserve"> </w:t>
      </w:r>
      <w:r w:rsidR="00D9736C" w:rsidRPr="00D9736C">
        <w:rPr>
          <w:iCs/>
          <w:szCs w:val="24"/>
          <w:lang w:val="en-IE"/>
        </w:rPr>
        <w:t>Industry, Research and Energy (ITRE)</w:t>
      </w:r>
    </w:p>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3"/>
      <w:headerReference w:type="default" r:id="rId14"/>
      <w:footerReference w:type="even" r:id="rId15"/>
      <w:footerReference w:type="default" r:id="rId16"/>
      <w:headerReference w:type="first" r:id="rId17"/>
      <w:footerReference w:type="first" r:id="rId18"/>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3CE1" w14:textId="77777777" w:rsidR="006B2FEE" w:rsidRDefault="006B2FEE">
      <w:pPr>
        <w:spacing w:line="240" w:lineRule="auto"/>
      </w:pPr>
      <w:r>
        <w:separator/>
      </w:r>
    </w:p>
  </w:endnote>
  <w:endnote w:type="continuationSeparator" w:id="0">
    <w:p w14:paraId="3E8421B7" w14:textId="77777777" w:rsidR="006B2FEE" w:rsidRDefault="006B2FEE">
      <w:pPr>
        <w:spacing w:line="240" w:lineRule="auto"/>
      </w:pPr>
      <w:r>
        <w:continuationSeparator/>
      </w:r>
    </w:p>
  </w:endnote>
  <w:endnote w:type="continuationNotice" w:id="1">
    <w:p w14:paraId="33E61636" w14:textId="77777777" w:rsidR="006B2FEE" w:rsidRDefault="006B2F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7888" w14:textId="77777777" w:rsidR="006B2FEE" w:rsidRDefault="006B2FEE">
      <w:pPr>
        <w:spacing w:line="240" w:lineRule="auto"/>
      </w:pPr>
      <w:r>
        <w:separator/>
      </w:r>
    </w:p>
  </w:footnote>
  <w:footnote w:type="continuationSeparator" w:id="0">
    <w:p w14:paraId="276259B6" w14:textId="77777777" w:rsidR="006B2FEE" w:rsidRDefault="006B2FEE">
      <w:pPr>
        <w:spacing w:line="240" w:lineRule="auto"/>
      </w:pPr>
      <w:r>
        <w:continuationSeparator/>
      </w:r>
    </w:p>
  </w:footnote>
  <w:footnote w:type="continuationNotice" w:id="1">
    <w:p w14:paraId="5B0C9B08" w14:textId="77777777" w:rsidR="006B2FEE" w:rsidRDefault="006B2F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6A9"/>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04BA"/>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37983"/>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0E28"/>
    <w:rsid w:val="001A0FEC"/>
    <w:rsid w:val="001A295A"/>
    <w:rsid w:val="001A2C75"/>
    <w:rsid w:val="001A3A27"/>
    <w:rsid w:val="001A5F28"/>
    <w:rsid w:val="001A645C"/>
    <w:rsid w:val="001A6761"/>
    <w:rsid w:val="001A7A13"/>
    <w:rsid w:val="001B1799"/>
    <w:rsid w:val="001B3239"/>
    <w:rsid w:val="001B3562"/>
    <w:rsid w:val="001B3AF1"/>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47F35"/>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31F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2E26"/>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11"/>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28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47B7"/>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0C32"/>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CC7"/>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2FEE"/>
    <w:rsid w:val="006B40C2"/>
    <w:rsid w:val="006B64F3"/>
    <w:rsid w:val="006C05B6"/>
    <w:rsid w:val="006C080F"/>
    <w:rsid w:val="006C0DAC"/>
    <w:rsid w:val="006C1834"/>
    <w:rsid w:val="006C26CD"/>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0269"/>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1BD9"/>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1CC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6C5F"/>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1EB"/>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0B50"/>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17"/>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36C"/>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0357"/>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D5B"/>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4C41"/>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227A"/>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arl.europa.eu/oeil/popups/ficheprocedure.do?lang=en&amp;reference=2016/2891(R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759B8198-86C3-4710-9ECF-C467179CE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743</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865</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2026-02-02T09:36:00Z</dcterms:created>
  <dcterms:modified xsi:type="dcterms:W3CDTF">2026-02-02T09:36:00Z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0x010100E3D77D7153D0034F9A346A47455832EB</vt:lpwstr>
  </property>
  <property fmtid="{D5CDD505-2E9C-101B-9397-08002B2CF9AE}" pid="10" name="MediaServiceImageTags">
    <vt:lpwstr/>
  </property>
  <property fmtid="{D5CDD505-2E9C-101B-9397-08002B2CF9AE}" pid="11" name="APP0">
    <vt:lpwstr>28</vt:lpwstr>
  </property>
</Properties>
</file>