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8C4D" w14:textId="7957B15C" w:rsidR="001C1DB6" w:rsidRPr="00331DB9" w:rsidRDefault="001C1DB6" w:rsidP="2353172D">
      <w:pPr>
        <w:jc w:val="center"/>
        <w:rPr>
          <w:rFonts w:ascii="Times New Roman" w:hAnsi="Times New Roman"/>
          <w:b/>
          <w:bCs/>
        </w:rPr>
      </w:pPr>
      <w:r>
        <w:rPr>
          <w:rFonts w:ascii="Times New Roman" w:hAnsi="Times New Roman"/>
          <w:b/>
        </w:rPr>
        <w:t>Suite donnée à la résolution non législative du Parlement européen sur la proposition de décision du Conseil relative à la conclusion de l’accord entre l’Union européenne et la République de Singapour sur le commerce numérique</w:t>
      </w:r>
      <w:r>
        <w:t xml:space="preserve"> </w:t>
      </w:r>
      <w:r>
        <w:br/>
      </w:r>
    </w:p>
    <w:p w14:paraId="518A4714" w14:textId="5B3514BE" w:rsidR="001C1DB6" w:rsidRPr="00737344" w:rsidRDefault="0033369F" w:rsidP="2353172D">
      <w:pPr>
        <w:numPr>
          <w:ilvl w:val="0"/>
          <w:numId w:val="1"/>
        </w:numPr>
        <w:ind w:left="567" w:hanging="567"/>
        <w:rPr>
          <w:rFonts w:ascii="Times New Roman" w:hAnsi="Times New Roman"/>
          <w:b/>
          <w:bCs/>
          <w:i/>
          <w:iCs/>
        </w:rPr>
      </w:pPr>
      <w:r>
        <w:rPr>
          <w:rFonts w:ascii="Times New Roman" w:hAnsi="Times New Roman"/>
          <w:b/>
        </w:rPr>
        <w:t xml:space="preserve">Rapporteure: </w:t>
      </w:r>
      <w:r>
        <w:rPr>
          <w:rFonts w:ascii="Times New Roman" w:hAnsi="Times New Roman"/>
        </w:rPr>
        <w:t xml:space="preserve">Svenja HAHN (Renew/DE) </w:t>
      </w:r>
    </w:p>
    <w:p w14:paraId="40D5B3B1" w14:textId="153302F4" w:rsidR="001C1DB6" w:rsidRPr="00737344" w:rsidRDefault="001C1DB6" w:rsidP="2353172D">
      <w:pPr>
        <w:numPr>
          <w:ilvl w:val="0"/>
          <w:numId w:val="1"/>
        </w:numPr>
        <w:ind w:left="567" w:hanging="567"/>
        <w:rPr>
          <w:rFonts w:ascii="Times New Roman" w:hAnsi="Times New Roman"/>
          <w:i/>
          <w:iCs/>
        </w:rPr>
      </w:pPr>
      <w:r>
        <w:rPr>
          <w:rFonts w:ascii="Times New Roman" w:hAnsi="Times New Roman"/>
          <w:b/>
        </w:rPr>
        <w:t xml:space="preserve">Références: </w:t>
      </w:r>
      <w:r>
        <w:rPr>
          <w:rFonts w:ascii="Times New Roman" w:hAnsi="Times New Roman"/>
        </w:rPr>
        <w:t>2025/0009M(NLE) / A10-0190/2025 / P10_TA(2025)0267</w:t>
      </w:r>
    </w:p>
    <w:p w14:paraId="615B5694" w14:textId="77777777" w:rsidR="001C1DB6" w:rsidRPr="00E07C2D" w:rsidRDefault="001C1DB6" w:rsidP="001C1DB6">
      <w:pPr>
        <w:numPr>
          <w:ilvl w:val="0"/>
          <w:numId w:val="1"/>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13 novembre 2025</w:t>
      </w:r>
      <w:r>
        <w:rPr>
          <w:rFonts w:ascii="Times New Roman" w:hAnsi="Times New Roman"/>
          <w:b/>
        </w:rPr>
        <w:t xml:space="preserve"> </w:t>
      </w:r>
    </w:p>
    <w:p w14:paraId="08155E56" w14:textId="7A47494D" w:rsidR="001C1DB6" w:rsidRPr="00B127A9" w:rsidRDefault="001C1DB6" w:rsidP="2353172D">
      <w:pPr>
        <w:numPr>
          <w:ilvl w:val="0"/>
          <w:numId w:val="1"/>
        </w:numPr>
        <w:ind w:left="567" w:hanging="567"/>
        <w:rPr>
          <w:rFonts w:ascii="Times New Roman" w:hAnsi="Times New Roman"/>
        </w:rPr>
      </w:pPr>
      <w:r>
        <w:rPr>
          <w:rFonts w:ascii="Times New Roman" w:hAnsi="Times New Roman"/>
          <w:b/>
        </w:rPr>
        <w:t>Commission parlementaire compétente</w:t>
      </w:r>
      <w:r>
        <w:rPr>
          <w:b/>
        </w:rPr>
        <w:t xml:space="preserve">: </w:t>
      </w:r>
      <w:r>
        <w:rPr>
          <w:rFonts w:ascii="Times New Roman" w:hAnsi="Times New Roman"/>
        </w:rPr>
        <w:t xml:space="preserve">Commerce international (INTA) </w:t>
      </w:r>
    </w:p>
    <w:p w14:paraId="36D0B24E" w14:textId="77777777" w:rsidR="001C1DB6" w:rsidRDefault="001C1DB6" w:rsidP="001C1DB6">
      <w:pPr>
        <w:widowControl w:val="0"/>
        <w:numPr>
          <w:ilvl w:val="0"/>
          <w:numId w:val="1"/>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7F55227D" w14:textId="23E9DCC6" w:rsidR="001C1DB6" w:rsidRPr="006E2E51" w:rsidRDefault="001C1DB6" w:rsidP="2353172D">
      <w:pPr>
        <w:spacing w:before="100" w:beforeAutospacing="1" w:after="100" w:afterAutospacing="1"/>
        <w:rPr>
          <w:rFonts w:ascii="Times New Roman" w:hAnsi="Times New Roman"/>
        </w:rPr>
      </w:pPr>
      <w:r>
        <w:rPr>
          <w:rFonts w:ascii="Times New Roman" w:hAnsi="Times New Roman"/>
        </w:rPr>
        <w:t>Dans sa résolution, le Parlement se félicite de la signature de l’accord entre l’Union européenne (UE) et Singapour sur le commerce numérique, premier accord autonome sur le commerce numérique conclu par l’UE. Le Parlement reconnaît le rôle de l’accord sur le commerce numérique pour ce qui est de renforcer les relations commerciales bilatérales, de garantir la prévisibilité et la sécurité juridique pour les entreprises pratiquant le commerce numérique et de relever le niveau d’ambition des règles encadrant le commerce numérique à l’échelle mondiale. Dans le même temps, le Parlement dit craindre que certaines dispositions de l’accord ne limitent la capacité des régulateurs à appliquer les règles numériques de l’UE et à faire dûment respecter les normes strictes de l’UE en matière de protection des données à caractère personnel et de la vie privée.</w:t>
      </w:r>
    </w:p>
    <w:p w14:paraId="0019128B" w14:textId="1455E9F4" w:rsidR="001C1DB6" w:rsidRPr="009A101F" w:rsidRDefault="001C1DB6" w:rsidP="001C1DB6">
      <w:pPr>
        <w:spacing w:before="100" w:beforeAutospacing="1" w:after="100" w:afterAutospacing="1"/>
        <w:rPr>
          <w:rFonts w:ascii="Times New Roman" w:hAnsi="Times New Roman"/>
          <w:szCs w:val="24"/>
        </w:rPr>
      </w:pPr>
      <w:r w:rsidRPr="009A101F">
        <w:rPr>
          <w:rFonts w:ascii="Times New Roman" w:hAnsi="Times New Roman"/>
        </w:rPr>
        <w:t>Le Parlement appelle la Commission à prendre des mesures spécifiques, notamment en mettant en œuvre les recommandations du Contrôleur européen de la protection des données (CEPD) quant à la formulation précise de l’accord sur le commerce numérique en ce qui concerne les données à caractère personnel et la vie privée, ainsi qu’en menant une évaluation ex post ciblée de l’incidence des dispositions de cet accord sur l’espace réglementaire de l’Union. Dans sa résolution, le Parlement souligne également la nécessité d’élaborer une politique solide en matière de commerce numérique et invite la Commission à étudier les possibilités de conclure des accords sur le commerce numérique avec d’autres partenaires.</w:t>
      </w:r>
    </w:p>
    <w:p w14:paraId="5CE91F28" w14:textId="77777777" w:rsidR="001C1DB6" w:rsidRPr="00C4648D" w:rsidRDefault="001C1DB6" w:rsidP="001C1DB6">
      <w:pPr>
        <w:spacing w:before="100" w:beforeAutospacing="1" w:after="100" w:afterAutospacing="1"/>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765D385E" w14:textId="73F830EC" w:rsidR="001C1DB6" w:rsidRPr="000E3DB9" w:rsidRDefault="001C1DB6" w:rsidP="001C1DB6">
      <w:pPr>
        <w:pStyle w:val="Briefinglist1"/>
        <w:keepLines/>
        <w:spacing w:after="120"/>
        <w:jc w:val="both"/>
      </w:pPr>
      <w:r>
        <w:t>La Commission salue la contribution du Parlement européen concernant l’accord entre l’Union européenne et la République de Singapour sur le commerce numérique. La Commission partage l’avis du Parlement européen selon lequel l’accord sur le commerce numérique renforcera encore les relations commerciales bilatérales entre l’UE et Singapour, accroîtra la confiance des consommateurs et garantira la prévisibilité et la sécurité juridique pour les entreprises pratiquant le commerce numérique. L’accord sur le commerce numérique constitue une avancée historique dans les relations commerciales numériques entre l’UE et Singapour, qui témoigne de notre partenariat stratégique, et envoie un message clair quant à l’engagement commun en faveur d’économies numériques ouvertes, compétitives et équitables. Compte tenu du rôle clé joué par Singapour dans la région, l’accord sur le commerce numérique conclu avec Singapour sert d’exemple en matière de normes relatives au commerce numérique avec d’autres pays de la région.</w:t>
      </w:r>
    </w:p>
    <w:p w14:paraId="714858C5" w14:textId="3F64A19B" w:rsidR="001C1DB6" w:rsidRPr="004C7E9E" w:rsidRDefault="001C1DB6" w:rsidP="001C1DB6">
      <w:pPr>
        <w:widowControl w:val="0"/>
        <w:rPr>
          <w:rFonts w:ascii="Times New Roman" w:hAnsi="Times New Roman"/>
          <w:bCs/>
          <w:szCs w:val="24"/>
        </w:rPr>
      </w:pPr>
      <w:r>
        <w:rPr>
          <w:rFonts w:ascii="Times New Roman" w:hAnsi="Times New Roman"/>
          <w:b/>
        </w:rPr>
        <w:t>Paragraphes 1 à 4:</w:t>
      </w:r>
      <w:r>
        <w:rPr>
          <w:rFonts w:ascii="Times New Roman" w:hAnsi="Times New Roman"/>
        </w:rPr>
        <w:t xml:space="preserve"> L’accord établit des règles juridiquement contraignantes en matière de commerce numérique, au bénéfice des consommateurs, des entreprises, en particulier </w:t>
      </w:r>
      <w:r>
        <w:rPr>
          <w:rFonts w:ascii="Times New Roman" w:hAnsi="Times New Roman"/>
        </w:rPr>
        <w:lastRenderedPageBreak/>
        <w:t xml:space="preserve">des petites et moyennes entreprises (PME), et de la société dans son ensemble. Il garantit un environnement en ligne sécurisé au moyen de mesures concernant la protection des consommateurs en ligne, la cybersécurité, le respect de la vie privée, ainsi que la protection contre les messages électroniques non sollicités. Il offre la sécurité juridique aux entreprises au moyen de mesures ciblées, telles que celles visant à garantir la validité des signatures et contrats électroniques et à promouvoir le commerce dématérialisé et la facturation électronique. L’accord protège contre les pratiques protectionnistes et suscite la confiance dans les économies numériques, en interdisant la localisation injustifiée des données et les transferts forcés de codes source. Dans le même temps, l’accord sur le commerce numérique suit une approche équilibrée, en autorisant expressément l’UE et Singapour à conserver une marge de manœuvre politique pour mettre en œuvre des mesures visant à protéger les données à caractère personnel et la vie privée, ainsi qu’à réglementer l’économie numérique. </w:t>
      </w:r>
    </w:p>
    <w:p w14:paraId="7F8269AF" w14:textId="27AAEB6B" w:rsidR="001C1DB6" w:rsidRDefault="001C1DB6" w:rsidP="001C1DB6">
      <w:pPr>
        <w:widowControl w:val="0"/>
        <w:rPr>
          <w:rFonts w:ascii="Times New Roman" w:hAnsi="Times New Roman"/>
          <w:bCs/>
          <w:szCs w:val="24"/>
        </w:rPr>
      </w:pPr>
      <w:r>
        <w:rPr>
          <w:rFonts w:ascii="Times New Roman" w:hAnsi="Times New Roman"/>
          <w:b/>
        </w:rPr>
        <w:t>Paragraphe 5:</w:t>
      </w:r>
      <w:r>
        <w:rPr>
          <w:rFonts w:ascii="Times New Roman" w:hAnsi="Times New Roman"/>
        </w:rPr>
        <w:t xml:space="preserve"> La Commission partage l’avis du Parlement selon lequel la protection des données à caractère personnel ne saurait faire l’objet d’aucune négociation. Elle veille à ce que le résultat négocié préserve pleinement l’autonomie réglementaire de l’UE en matière de protection des données à caractère personnel et de la vie privée. La Commission souligne, à cet égard, que le résultat de l’accord sur le commerce numérique préserve tous les éléments des dispositions horizontales de 2018 relatives aux flux transfrontières de données. L’UE peut ainsi adopter toute mesure qu’elle juge appropriée pour assurer un niveau élevé de protection des données et de la vie privée. </w:t>
      </w:r>
    </w:p>
    <w:p w14:paraId="491D62F9" w14:textId="6080308E" w:rsidR="001C1DB6" w:rsidRPr="00447EEA" w:rsidRDefault="001C1DB6" w:rsidP="001C1DB6">
      <w:pPr>
        <w:widowControl w:val="0"/>
        <w:rPr>
          <w:rFonts w:ascii="Times New Roman" w:hAnsi="Times New Roman"/>
          <w:bCs/>
          <w:szCs w:val="24"/>
        </w:rPr>
      </w:pPr>
      <w:r>
        <w:rPr>
          <w:rFonts w:ascii="Times New Roman" w:hAnsi="Times New Roman"/>
          <w:b/>
        </w:rPr>
        <w:t>Paragraphes 6 et 7:</w:t>
      </w:r>
      <w:r>
        <w:rPr>
          <w:rFonts w:ascii="Times New Roman" w:hAnsi="Times New Roman"/>
        </w:rPr>
        <w:t xml:space="preserve"> La Commission partage l’avis du Parlement selon lequel l’accord sur le commerce numérique procurera des avantages considérables aux consommateurs ainsi qu’aux entreprises pratiquant le commerce numérique. L’accord sur le commerce numérique permettra aux entreprises de l’UE opérant à Singapour de réaliser des transactions en ligne plus facilement et de manière plus économique en levant les obstacles au commerce numérique et en garantissant une concurrence loyale. À cet égard, par exemple, l’accord interdit les exigences en matière de localisation des données, ce qui permet aux entreprises d’utiliser leurs propres centres de données pour les flux transfrontières de données. En outre, l’accord protège les consommateurs de l’UE contre les pratiques frauduleuses et les messages électroniques non sollicités. </w:t>
      </w:r>
      <w:bookmarkStart w:id="0" w:name="_Hlk215491399"/>
      <w:r>
        <w:rPr>
          <w:rFonts w:ascii="Times New Roman" w:hAnsi="Times New Roman"/>
        </w:rPr>
        <w:t>La Commission prend acte de la suggestion du Parlement européen d’élargir la définition des messages électroniques non sollicités à caractère commercial (pourriel) en y incluant toutes les communications, ce qui pérenniserait la disposition concernée de l’accord face aux technologies émergentes. Durant les négociations relatives à l’accord sur le commerce numérique, la Commission s’est efforcée de promouvoir un niveau d’ambition plus élevé</w:t>
      </w:r>
      <w:bookmarkEnd w:id="0"/>
      <w:r>
        <w:rPr>
          <w:rFonts w:ascii="Times New Roman" w:hAnsi="Times New Roman"/>
        </w:rPr>
        <w:t>, dans les limites de la législation de l’UE. Le résultat négocié veille tout particulièrement à l’équilibre entre ces objectifs et les contraintes juridiques des partenaires.</w:t>
      </w:r>
    </w:p>
    <w:p w14:paraId="076AC2CD" w14:textId="4437A501" w:rsidR="001C1DB6" w:rsidRDefault="001C1DB6" w:rsidP="001C1DB6">
      <w:pPr>
        <w:widowControl w:val="0"/>
        <w:rPr>
          <w:rFonts w:ascii="Times New Roman" w:hAnsi="Times New Roman"/>
          <w:bCs/>
          <w:szCs w:val="24"/>
        </w:rPr>
      </w:pPr>
      <w:r>
        <w:rPr>
          <w:rFonts w:ascii="Times New Roman" w:hAnsi="Times New Roman"/>
          <w:b/>
        </w:rPr>
        <w:t>Paragraphe 8:</w:t>
      </w:r>
      <w:r>
        <w:rPr>
          <w:rFonts w:ascii="Times New Roman" w:hAnsi="Times New Roman"/>
        </w:rPr>
        <w:t xml:space="preserve"> La Commission partage l’avis du Parlement selon lequel l’accord sur le commerce numérique ne doit pas affaiblir la capacité de l’UE à protéger les données à caractère personnel et la vie privée, ainsi qu’à réglementer la protection des consommateurs et l’économie numérique. L’article 3 de l’accord affirme le droit des parties de réglementer sur leurs territoires respectifs. De plus, les exceptions figurant dans l’accord sur le commerce numérique, soigneusement négociées, préservent intégralement la marge de manœuvre politique dont disposent les régulateurs de l’UE pour prendre des mesures protégeant les données à caractère personnel et la vie privée, ainsi que pour mettre en œuvre et faire respecter l’acquis de l’Union dans le domaine du numérique et des données. En ce qui concerne plus particulièrement la protection des données à caractère personnel et de la vie privée, l’article 6 introduit une exception horizontale qui autorise à </w:t>
      </w:r>
      <w:r>
        <w:rPr>
          <w:rFonts w:ascii="Times New Roman" w:hAnsi="Times New Roman"/>
        </w:rPr>
        <w:lastRenderedPageBreak/>
        <w:t xml:space="preserve">la fois l’Union et Singapour à adopter ou maintenir des garde-fous pour protéger les données à caractère personnel et la vie privée. Cette exception a pour effet que l’UE peut, par dérogation aux règles convenues, prendre toute mesure qu’elle juge appropriée pour protéger les données à caractère personnel et la vie privée. La Commission partage également l’avis du Parlement sur l’importance de protéger les PME et les start-up contre les transferts de technologie forcés et souligne que l’article 11 offre une protection claire et solide contre les transferts forcés de codes source en interdisant à l’une ou l’autre partie d’exiger, par la loi ou de manière informelle, d’une personne physique ou morale de l’autre partie qu’elle transfère son code source, sous réserve des exceptions qui garantissent le droit des parties de demander le code source de logiciels pour des objectifs légitimes de politique publique. </w:t>
      </w:r>
    </w:p>
    <w:p w14:paraId="25BFEBDF" w14:textId="0A3FFF1A" w:rsidR="001C1DB6" w:rsidRDefault="001C1DB6" w:rsidP="001C1DB6">
      <w:pPr>
        <w:widowControl w:val="0"/>
        <w:rPr>
          <w:rFonts w:ascii="Times New Roman" w:hAnsi="Times New Roman"/>
          <w:bCs/>
          <w:szCs w:val="24"/>
        </w:rPr>
      </w:pPr>
      <w:r>
        <w:rPr>
          <w:rFonts w:ascii="Times New Roman" w:hAnsi="Times New Roman"/>
          <w:b/>
        </w:rPr>
        <w:t>Paragraphes 9 et 10:</w:t>
      </w:r>
      <w:r>
        <w:rPr>
          <w:rFonts w:ascii="Times New Roman" w:hAnsi="Times New Roman"/>
        </w:rPr>
        <w:t xml:space="preserve"> La Commission réaffirme que la disposition relative aux flux transfrontières de données (article 5) de l’accord sur le commerce numérique s’applique à tous les secteurs de l’économie. Conformément aux dispositions horizontales de 2018 sur les flux transfrontières de données, le texte prévoit une liste exhaustive des restrictions interdites en matière de localisation des données, qui peuvent être réexaminées et mises à jour par les parties. La Commission souligne que le libellé convenu permet à l’UE d’adopter ou de maintenir, en vertu de son cadre juridique, des mesures visant à protéger les données à caractère personnel des personnes physiques. Dans ces conditions, et comme indiqué ci-dessus</w:t>
      </w:r>
      <w:bookmarkStart w:id="1" w:name="_Hlk215471759"/>
      <w:r>
        <w:rPr>
          <w:rFonts w:ascii="Times New Roman" w:hAnsi="Times New Roman"/>
        </w:rPr>
        <w:t>, l’UE peut, par dérogation aux règles convenues, prendre toute mesure qu’elle juge appropriée pour protéger les données à caractère personnel et la vie privée, y compris, mais sans s’y limiter, les flux de données.</w:t>
      </w:r>
    </w:p>
    <w:bookmarkEnd w:id="1"/>
    <w:p w14:paraId="4EC882BB" w14:textId="4E74B97A" w:rsidR="001C1DB6" w:rsidRPr="00447EEA" w:rsidRDefault="001C1DB6" w:rsidP="001C1DB6">
      <w:pPr>
        <w:widowControl w:val="0"/>
        <w:rPr>
          <w:rFonts w:ascii="Times New Roman" w:hAnsi="Times New Roman"/>
          <w:bCs/>
          <w:szCs w:val="24"/>
        </w:rPr>
      </w:pPr>
      <w:r>
        <w:rPr>
          <w:rFonts w:ascii="Times New Roman" w:hAnsi="Times New Roman"/>
          <w:b/>
        </w:rPr>
        <w:t>Paragraphe 11:</w:t>
      </w:r>
      <w:r>
        <w:rPr>
          <w:rFonts w:ascii="Times New Roman" w:hAnsi="Times New Roman"/>
        </w:rPr>
        <w:t xml:space="preserve"> La Commission partage l’avis du Parlement européen selon lequel l’engagement ferme en faveur de la protection du code source dans l’accord sur le commerce numérique offrira une protection vitale aux PME et aux start-up contre les transferts de technologie forcés. La Commission souligne que les règles de l’UE en matière de code source, ainsi que l’accord dans son ensemble, ne compromettent ni la marge de manœuvre politique ni la surveillance réglementaire de l’UE. Premièrement, les accès légitimes au code source restent possibles. Les régulateurs, les organismes d’évaluation de la conformité et les autorités de concurrence peuvent y avoir accès à des fins de sécurité, de sûreté et de conformité. Deuxièmement, la règle s’accompagne d’exceptions plus larges, notamment en matière de respect de la vie privée, de mesures prudentielles et de sécurité. Grâce à ces garanties, les règles de l’UE en matière de commerce numérique préservent pleinement le droit de réglementer l’intelligence artificielle et d’autres technologies émergentes, lequel droit est réaffirmé à l’article 3 de l’accord sur le commerce numérique.</w:t>
      </w:r>
    </w:p>
    <w:p w14:paraId="7D4C2D07" w14:textId="58E99697" w:rsidR="001C1DB6" w:rsidRPr="00447EEA" w:rsidRDefault="001C1DB6" w:rsidP="2353172D">
      <w:pPr>
        <w:widowControl w:val="0"/>
        <w:rPr>
          <w:rFonts w:ascii="Times New Roman" w:hAnsi="Times New Roman"/>
        </w:rPr>
      </w:pPr>
      <w:r>
        <w:rPr>
          <w:rFonts w:ascii="Times New Roman" w:hAnsi="Times New Roman"/>
          <w:b/>
        </w:rPr>
        <w:t xml:space="preserve">Paragraphes 12 et 13: </w:t>
      </w:r>
      <w:r>
        <w:rPr>
          <w:rFonts w:ascii="Times New Roman" w:hAnsi="Times New Roman"/>
        </w:rPr>
        <w:t xml:space="preserve">La Commission partage pleinement l’avis du Parlement selon lequel l’UE devrait jouer le rôle d’organisme mondial de normalisation en matière de gouvernance numérique fondée sur les droits. Par des engagements juridiquement contraignants en matière de commerce numérique, l’UE promeut un commerce fondé sur des règles face au protectionnisme croissant. L’accord sur le commerce numérique concourt à la compétitivité et à la sécurité économique de l’UE, en ouvrant la voie au commerce numérique bilatéral et en atténuant les risques liés aux dépendances et aux vulnérabilités. Dans le même temps, compte tenu du rôle clé joué par Singapour dans la région, l’accord sur le commerce numérique conclu avec ce pays servira de modèle pour promouvoir des règles et des normes similaires en matière de commerce numérique avec d’autres pays de l’ASEAN et de l’ensemble de la région. </w:t>
      </w:r>
    </w:p>
    <w:p w14:paraId="6E68515D" w14:textId="02ECA49A" w:rsidR="001C1DB6" w:rsidRPr="00447EEA" w:rsidRDefault="001C1DB6" w:rsidP="001C1DB6">
      <w:pPr>
        <w:widowControl w:val="0"/>
        <w:rPr>
          <w:rFonts w:ascii="Times New Roman" w:hAnsi="Times New Roman"/>
          <w:bCs/>
          <w:szCs w:val="24"/>
        </w:rPr>
      </w:pPr>
      <w:r>
        <w:rPr>
          <w:rFonts w:ascii="Times New Roman" w:hAnsi="Times New Roman"/>
          <w:b/>
        </w:rPr>
        <w:t>Paragraphe 14:</w:t>
      </w:r>
      <w:r>
        <w:rPr>
          <w:rFonts w:ascii="Times New Roman" w:hAnsi="Times New Roman"/>
        </w:rPr>
        <w:t xml:space="preserve"> L’UE a inclus des chapitres à la pointe du progrès sur le commerce </w:t>
      </w:r>
      <w:r>
        <w:rPr>
          <w:rFonts w:ascii="Times New Roman" w:hAnsi="Times New Roman"/>
        </w:rPr>
        <w:lastRenderedPageBreak/>
        <w:t>numérique dans les ALE avec le Royaume-Uni, le Chili, le Japon, la Nouvelle-Zélande et l’Indonésie. Des négociations sont en cours en vue d’introduire les mêmes chapitres dans les ALE qui seront conclus avec l’Australie, l’Inde, la Thaïlande, les Philippines, la Malaisie et les Émirats arabes unis. En outre, l’UE a conclu des négociations relatives à des accords autonomes sur le commerce numérique avec Singapour et la République de Corée et entame le processus de négociation d’un accord sur le commerce numérique avec le Canada. Ces accords sur le commerce numérique permettront à l’UE d’être connectée aux principaux pôles numériques de la région indo-pacifique et au-delà. La Commission évaluera, dans le futur, s’il est possible d’ouvrir des négociations visant à conclure un accord sur le commerce numérique avec d’autres pays et s’il existe un intérêt politique à le faire.</w:t>
      </w:r>
    </w:p>
    <w:p w14:paraId="33064550" w14:textId="53E5ED29" w:rsidR="001C1DB6" w:rsidRDefault="001C1DB6" w:rsidP="001C1DB6">
      <w:pPr>
        <w:widowControl w:val="0"/>
        <w:rPr>
          <w:rFonts w:ascii="Times New Roman" w:hAnsi="Times New Roman"/>
          <w:bCs/>
          <w:szCs w:val="24"/>
        </w:rPr>
      </w:pPr>
      <w:r>
        <w:rPr>
          <w:rFonts w:ascii="Times New Roman" w:hAnsi="Times New Roman"/>
          <w:b/>
        </w:rPr>
        <w:t>Paragraphe 15:</w:t>
      </w:r>
      <w:r>
        <w:rPr>
          <w:rFonts w:ascii="Times New Roman" w:hAnsi="Times New Roman"/>
        </w:rPr>
        <w:t xml:space="preserve"> La Commission se félicite de la position </w:t>
      </w:r>
      <w:bookmarkStart w:id="2" w:name="_Hlk215472274"/>
      <w:r>
        <w:rPr>
          <w:rFonts w:ascii="Times New Roman" w:hAnsi="Times New Roman"/>
        </w:rPr>
        <w:t>du</w:t>
      </w:r>
      <w:bookmarkEnd w:id="2"/>
      <w:r>
        <w:rPr>
          <w:rFonts w:ascii="Times New Roman" w:hAnsi="Times New Roman"/>
        </w:rPr>
        <w:t xml:space="preserve"> CEPD sur l’accord sur le commerce numérique. La Commission tient à souligner qu’elle place la protection des données à caractère personnel et de la vie privée au cœur de l’élaboration des politiques de l’UE, y compris dans sa dimension extérieure. La Commission convient pleinement que la protection du droit fondamental au respect de la vie privée est d’une importance capitale. Les points de vue du CEPD ont donc été pris en compte tout au long des négociations. L’objectif de la Commission a été de préserver tous les éléments des dispositions horizontales du 18 mai 2018 relatives aux flux transfrontières de données et à la protection des données à caractère personnel. Selon le résultat négocié, l’UE peut adopter toute mesure qu’elle juge appropriée pour servir les objectifs de protection des données et de la vie privée. L’espace réglementaire pertinent reste ainsi libre de toute contrainte. </w:t>
      </w:r>
    </w:p>
    <w:p w14:paraId="129DD087" w14:textId="021D19AF" w:rsidR="001C1DB6" w:rsidRDefault="001C1DB6" w:rsidP="001C1DB6">
      <w:pPr>
        <w:widowControl w:val="0"/>
        <w:rPr>
          <w:rFonts w:ascii="Times New Roman" w:hAnsi="Times New Roman"/>
          <w:bCs/>
          <w:szCs w:val="24"/>
        </w:rPr>
      </w:pPr>
      <w:r>
        <w:rPr>
          <w:rFonts w:ascii="Times New Roman" w:hAnsi="Times New Roman"/>
          <w:b/>
        </w:rPr>
        <w:t xml:space="preserve">Paragraphe 16: </w:t>
      </w:r>
      <w:r>
        <w:rPr>
          <w:rFonts w:ascii="Times New Roman" w:hAnsi="Times New Roman"/>
        </w:rPr>
        <w:t>La Commission s’est engagée à veiller à ce que l’accord sur le commerce numérique serve les intérêts des consommateurs, des entreprises, en particulier des PME, et de la société dans son ensemble. Dès que l’accord UE-Singapour sur le commerce numérique sera entré en vigueur, le comité «Commerce des services, investissements et marchés publics» institué en vertu dudit accord contrôlera la bonne mise en œuvre des engagements souscrits. Conformément à l’engagement en faveur d’une politique commerciale et d’investissements transparente et inclusive, la Commission publie les ordres du jour (lorsqu’ils sont disponibles), ainsi que des rapports et d’autres documents, qui fourniront des informations sur les différentes étapes du processus de mise en œuvre. La Commission informera le Parlement européen de toute évaluation prévue de l’accord sur le commerce numérique après son entrée en vigueur.</w:t>
      </w:r>
    </w:p>
    <w:p w14:paraId="05714492" w14:textId="416D7C2F" w:rsidR="00E27376" w:rsidRPr="001C1DB6" w:rsidRDefault="001C1DB6" w:rsidP="001C1DB6">
      <w:pPr>
        <w:widowControl w:val="0"/>
        <w:rPr>
          <w:rFonts w:ascii="Times New Roman" w:hAnsi="Times New Roman"/>
          <w:bCs/>
          <w:szCs w:val="24"/>
        </w:rPr>
      </w:pPr>
      <w:r>
        <w:rPr>
          <w:rFonts w:ascii="Times New Roman" w:hAnsi="Times New Roman"/>
          <w:b/>
        </w:rPr>
        <w:t>Paragraphe 17:</w:t>
      </w:r>
      <w:r>
        <w:rPr>
          <w:rFonts w:ascii="Times New Roman" w:hAnsi="Times New Roman"/>
        </w:rPr>
        <w:t xml:space="preserve"> La Commission considère que le commerce numérique est essentiel à la croissance économique et à la résilience de l’UE. Le maintien de l’ouverture du marché intérieur et la connexion de l’économie de l’UE aux pôles de croissance mondiaux contribuent à l’innovation et à la compétitivité. En plus d’ouvrir des perspectives économiques, le commerce numérique offre l’occasion de promouvoir l’approche réglementaire de l’UE concernant la politique numérique et la politique en matière de données à l’échelle mondiale. Dans le même temps, son approche en matière de commerce numérique garantit à l’UE de pouvoir continuer à élaborer et à mettre en œuvre les politiques nécessaires pour relever les nouveaux défis posés par l’économie numérique.</w:t>
      </w:r>
    </w:p>
    <w:sectPr w:rsidR="00E27376" w:rsidRPr="001C1DB6" w:rsidSect="001C1DB6">
      <w:headerReference w:type="default" r:id="rId11"/>
      <w:footerReference w:type="even" r:id="rId12"/>
      <w:footerReference w:type="default" r:id="rId13"/>
      <w:footerReference w:type="first" r:id="rId14"/>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88A6" w14:textId="77777777" w:rsidR="00EB4FCE" w:rsidRDefault="00EB4FCE">
      <w:pPr>
        <w:spacing w:after="0"/>
      </w:pPr>
      <w:r>
        <w:separator/>
      </w:r>
    </w:p>
    <w:p w14:paraId="63AA12DB" w14:textId="77777777" w:rsidR="00EB4FCE" w:rsidRDefault="00EB4FCE"/>
  </w:endnote>
  <w:endnote w:type="continuationSeparator" w:id="0">
    <w:p w14:paraId="041D4B3C" w14:textId="77777777" w:rsidR="00EB4FCE" w:rsidRDefault="00EB4FCE">
      <w:pPr>
        <w:spacing w:after="0"/>
      </w:pPr>
      <w:r>
        <w:continuationSeparator/>
      </w:r>
    </w:p>
    <w:p w14:paraId="72DBE4F5" w14:textId="77777777" w:rsidR="00EB4FCE" w:rsidRDefault="00EB4FCE"/>
  </w:endnote>
  <w:endnote w:type="continuationNotice" w:id="1">
    <w:p w14:paraId="7B996C6B" w14:textId="77777777" w:rsidR="00EB4FCE" w:rsidRDefault="00EB4F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1E5C" w14:textId="77777777" w:rsidR="001C1DB6" w:rsidRDefault="001C1DB6"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02D27BDA" w14:textId="77777777" w:rsidR="001C1DB6" w:rsidRDefault="001C1DB6">
    <w:pPr>
      <w:pStyle w:val="Footer"/>
    </w:pPr>
  </w:p>
  <w:p w14:paraId="4043C579" w14:textId="77777777" w:rsidR="00CF559F" w:rsidRDefault="00CF55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BF0E" w14:textId="77777777" w:rsidR="001C1DB6" w:rsidRDefault="001C1DB6"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5763449E" w14:textId="77777777" w:rsidR="001C1DB6" w:rsidRPr="008A6623" w:rsidRDefault="001C1DB6" w:rsidP="008A6623">
    <w:pPr>
      <w:pStyle w:val="Footer"/>
      <w:rPr>
        <w:rFonts w:ascii="Times New Roman" w:hAnsi="Times New Roman"/>
      </w:rPr>
    </w:pPr>
  </w:p>
  <w:p w14:paraId="4A288C2A" w14:textId="77777777" w:rsidR="00CF559F" w:rsidRDefault="00CF55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037" w14:textId="77777777" w:rsidR="001C1DB6" w:rsidRDefault="001C1DB6" w:rsidP="00442B2E">
    <w:pPr>
      <w:pStyle w:val="Footer"/>
    </w:pPr>
    <w:r>
      <w:t>Commission européenne, 1049 Bruxelles – BELGIQUE Tél.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39EC" w14:textId="77777777" w:rsidR="00EB4FCE" w:rsidRDefault="00EB4FCE">
      <w:pPr>
        <w:spacing w:after="0"/>
      </w:pPr>
      <w:r>
        <w:separator/>
      </w:r>
    </w:p>
    <w:p w14:paraId="7EF8F9FB" w14:textId="77777777" w:rsidR="00EB4FCE" w:rsidRDefault="00EB4FCE"/>
  </w:footnote>
  <w:footnote w:type="continuationSeparator" w:id="0">
    <w:p w14:paraId="49D7DDCC" w14:textId="77777777" w:rsidR="00EB4FCE" w:rsidRDefault="00EB4FCE">
      <w:pPr>
        <w:spacing w:after="0"/>
      </w:pPr>
      <w:r>
        <w:continuationSeparator/>
      </w:r>
    </w:p>
    <w:p w14:paraId="7964A6A2" w14:textId="77777777" w:rsidR="00EB4FCE" w:rsidRDefault="00EB4FCE"/>
  </w:footnote>
  <w:footnote w:type="continuationNotice" w:id="1">
    <w:p w14:paraId="7942059F" w14:textId="77777777" w:rsidR="00EB4FCE" w:rsidRDefault="00EB4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4C7F" w14:textId="77777777" w:rsidR="00290637" w:rsidRDefault="0029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48774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C1DB6"/>
    <w:rsid w:val="000762F6"/>
    <w:rsid w:val="000A02FC"/>
    <w:rsid w:val="000B7055"/>
    <w:rsid w:val="000C1ACF"/>
    <w:rsid w:val="000C4DF1"/>
    <w:rsid w:val="000D2EE8"/>
    <w:rsid w:val="00113D3F"/>
    <w:rsid w:val="00137E67"/>
    <w:rsid w:val="0019046A"/>
    <w:rsid w:val="001B03F1"/>
    <w:rsid w:val="001C1DB6"/>
    <w:rsid w:val="001C547E"/>
    <w:rsid w:val="001E056F"/>
    <w:rsid w:val="001E123A"/>
    <w:rsid w:val="001E5FD1"/>
    <w:rsid w:val="002520EF"/>
    <w:rsid w:val="00290637"/>
    <w:rsid w:val="002B6331"/>
    <w:rsid w:val="002F022A"/>
    <w:rsid w:val="00311480"/>
    <w:rsid w:val="0033369F"/>
    <w:rsid w:val="00334BF2"/>
    <w:rsid w:val="00344FEC"/>
    <w:rsid w:val="00356BA8"/>
    <w:rsid w:val="003A4438"/>
    <w:rsid w:val="003B264D"/>
    <w:rsid w:val="003C0CA4"/>
    <w:rsid w:val="003D5B1B"/>
    <w:rsid w:val="003E34AC"/>
    <w:rsid w:val="003E4AF5"/>
    <w:rsid w:val="003E694B"/>
    <w:rsid w:val="003F68BD"/>
    <w:rsid w:val="004414BF"/>
    <w:rsid w:val="0044793E"/>
    <w:rsid w:val="00453338"/>
    <w:rsid w:val="00460DB5"/>
    <w:rsid w:val="004A6088"/>
    <w:rsid w:val="004D05F7"/>
    <w:rsid w:val="004F19DA"/>
    <w:rsid w:val="00523F78"/>
    <w:rsid w:val="00595F63"/>
    <w:rsid w:val="005B37E8"/>
    <w:rsid w:val="005C752B"/>
    <w:rsid w:val="005F13FF"/>
    <w:rsid w:val="00607119"/>
    <w:rsid w:val="00640097"/>
    <w:rsid w:val="006436EE"/>
    <w:rsid w:val="006553B2"/>
    <w:rsid w:val="006E3393"/>
    <w:rsid w:val="006F2966"/>
    <w:rsid w:val="007036DD"/>
    <w:rsid w:val="00735EE8"/>
    <w:rsid w:val="00737344"/>
    <w:rsid w:val="00760469"/>
    <w:rsid w:val="0078373C"/>
    <w:rsid w:val="007B231A"/>
    <w:rsid w:val="007B4829"/>
    <w:rsid w:val="008149AD"/>
    <w:rsid w:val="008A3CB0"/>
    <w:rsid w:val="008B19A0"/>
    <w:rsid w:val="008B6FA6"/>
    <w:rsid w:val="008D359A"/>
    <w:rsid w:val="008E47EA"/>
    <w:rsid w:val="008E6860"/>
    <w:rsid w:val="0092628C"/>
    <w:rsid w:val="00943018"/>
    <w:rsid w:val="00973DD1"/>
    <w:rsid w:val="00991805"/>
    <w:rsid w:val="009A101F"/>
    <w:rsid w:val="009A681A"/>
    <w:rsid w:val="009C2434"/>
    <w:rsid w:val="009D012E"/>
    <w:rsid w:val="009D0EF5"/>
    <w:rsid w:val="00A231F7"/>
    <w:rsid w:val="00A250E3"/>
    <w:rsid w:val="00A62A46"/>
    <w:rsid w:val="00A63035"/>
    <w:rsid w:val="00A95083"/>
    <w:rsid w:val="00AA76E4"/>
    <w:rsid w:val="00AB1A5C"/>
    <w:rsid w:val="00AD4D28"/>
    <w:rsid w:val="00B41ECD"/>
    <w:rsid w:val="00B544F8"/>
    <w:rsid w:val="00B85C73"/>
    <w:rsid w:val="00C37CC1"/>
    <w:rsid w:val="00CB1309"/>
    <w:rsid w:val="00CB7AD0"/>
    <w:rsid w:val="00CC4D35"/>
    <w:rsid w:val="00CF559F"/>
    <w:rsid w:val="00D0113E"/>
    <w:rsid w:val="00D01DD4"/>
    <w:rsid w:val="00D330AC"/>
    <w:rsid w:val="00D613ED"/>
    <w:rsid w:val="00D614DC"/>
    <w:rsid w:val="00DA5E17"/>
    <w:rsid w:val="00DD2E63"/>
    <w:rsid w:val="00DE6C37"/>
    <w:rsid w:val="00E0769A"/>
    <w:rsid w:val="00E246D4"/>
    <w:rsid w:val="00E25184"/>
    <w:rsid w:val="00E27376"/>
    <w:rsid w:val="00E437D9"/>
    <w:rsid w:val="00E574AC"/>
    <w:rsid w:val="00E618B6"/>
    <w:rsid w:val="00EB034B"/>
    <w:rsid w:val="00EB4FCE"/>
    <w:rsid w:val="00EE47FB"/>
    <w:rsid w:val="00F10806"/>
    <w:rsid w:val="00F20674"/>
    <w:rsid w:val="00F55147"/>
    <w:rsid w:val="00F605AD"/>
    <w:rsid w:val="00F605B3"/>
    <w:rsid w:val="00F96F12"/>
    <w:rsid w:val="00FD4100"/>
    <w:rsid w:val="2353172D"/>
    <w:rsid w:val="2885B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EB3F"/>
  <w15:chartTrackingRefBased/>
  <w15:docId w15:val="{C367744F-FA29-4670-A53F-E3D68CC8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B6"/>
    <w:pPr>
      <w:spacing w:after="240" w:line="240" w:lineRule="auto"/>
      <w:jc w:val="both"/>
    </w:pPr>
    <w:rPr>
      <w:rFonts w:ascii="Courier New" w:eastAsia="Times New Roman" w:hAnsi="Courier New" w:cs="Times New Roman"/>
      <w:kern w:val="0"/>
      <w:sz w:val="24"/>
      <w:szCs w:val="20"/>
      <w14:ligatures w14:val="none"/>
    </w:rPr>
  </w:style>
  <w:style w:type="paragraph" w:styleId="Heading1">
    <w:name w:val="heading 1"/>
    <w:basedOn w:val="Normal"/>
    <w:next w:val="Normal"/>
    <w:link w:val="Heading1Char"/>
    <w:uiPriority w:val="9"/>
    <w:qFormat/>
    <w:rsid w:val="001C1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DB6"/>
    <w:rPr>
      <w:rFonts w:eastAsiaTheme="majorEastAsia" w:cstheme="majorBidi"/>
      <w:color w:val="272727" w:themeColor="text1" w:themeTint="D8"/>
    </w:rPr>
  </w:style>
  <w:style w:type="paragraph" w:styleId="Title">
    <w:name w:val="Title"/>
    <w:basedOn w:val="Normal"/>
    <w:next w:val="Normal"/>
    <w:link w:val="TitleChar"/>
    <w:uiPriority w:val="10"/>
    <w:qFormat/>
    <w:rsid w:val="001C1D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DB6"/>
    <w:pPr>
      <w:spacing w:before="160"/>
      <w:jc w:val="center"/>
    </w:pPr>
    <w:rPr>
      <w:i/>
      <w:iCs/>
      <w:color w:val="404040" w:themeColor="text1" w:themeTint="BF"/>
    </w:rPr>
  </w:style>
  <w:style w:type="character" w:customStyle="1" w:styleId="QuoteChar">
    <w:name w:val="Quote Char"/>
    <w:basedOn w:val="DefaultParagraphFont"/>
    <w:link w:val="Quote"/>
    <w:uiPriority w:val="29"/>
    <w:rsid w:val="001C1DB6"/>
    <w:rPr>
      <w:i/>
      <w:iCs/>
      <w:color w:val="404040" w:themeColor="text1" w:themeTint="BF"/>
    </w:rPr>
  </w:style>
  <w:style w:type="paragraph" w:styleId="ListParagraph">
    <w:name w:val="List Paragraph"/>
    <w:basedOn w:val="Normal"/>
    <w:uiPriority w:val="34"/>
    <w:qFormat/>
    <w:rsid w:val="001C1DB6"/>
    <w:pPr>
      <w:ind w:left="720"/>
      <w:contextualSpacing/>
    </w:pPr>
  </w:style>
  <w:style w:type="character" w:styleId="IntenseEmphasis">
    <w:name w:val="Intense Emphasis"/>
    <w:basedOn w:val="DefaultParagraphFont"/>
    <w:uiPriority w:val="21"/>
    <w:qFormat/>
    <w:rsid w:val="001C1DB6"/>
    <w:rPr>
      <w:i/>
      <w:iCs/>
      <w:color w:val="0F4761" w:themeColor="accent1" w:themeShade="BF"/>
    </w:rPr>
  </w:style>
  <w:style w:type="paragraph" w:styleId="IntenseQuote">
    <w:name w:val="Intense Quote"/>
    <w:basedOn w:val="Normal"/>
    <w:next w:val="Normal"/>
    <w:link w:val="IntenseQuoteChar"/>
    <w:uiPriority w:val="30"/>
    <w:qFormat/>
    <w:rsid w:val="001C1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DB6"/>
    <w:rPr>
      <w:i/>
      <w:iCs/>
      <w:color w:val="0F4761" w:themeColor="accent1" w:themeShade="BF"/>
    </w:rPr>
  </w:style>
  <w:style w:type="character" w:styleId="IntenseReference">
    <w:name w:val="Intense Reference"/>
    <w:basedOn w:val="DefaultParagraphFont"/>
    <w:uiPriority w:val="32"/>
    <w:qFormat/>
    <w:rsid w:val="001C1DB6"/>
    <w:rPr>
      <w:b/>
      <w:bCs/>
      <w:smallCaps/>
      <w:color w:val="0F4761" w:themeColor="accent1" w:themeShade="BF"/>
      <w:spacing w:val="5"/>
    </w:rPr>
  </w:style>
  <w:style w:type="paragraph" w:styleId="Footer">
    <w:name w:val="footer"/>
    <w:basedOn w:val="Normal"/>
    <w:link w:val="FooterChar"/>
    <w:rsid w:val="001C1DB6"/>
    <w:pPr>
      <w:spacing w:after="0"/>
      <w:ind w:right="-567"/>
      <w:jc w:val="left"/>
    </w:pPr>
    <w:rPr>
      <w:rFonts w:ascii="Arial" w:hAnsi="Arial"/>
      <w:sz w:val="16"/>
    </w:rPr>
  </w:style>
  <w:style w:type="character" w:customStyle="1" w:styleId="FooterChar">
    <w:name w:val="Footer Char"/>
    <w:basedOn w:val="DefaultParagraphFont"/>
    <w:link w:val="Footer"/>
    <w:rsid w:val="001C1DB6"/>
    <w:rPr>
      <w:rFonts w:ascii="Arial" w:eastAsia="Times New Roman" w:hAnsi="Arial" w:cs="Times New Roman"/>
      <w:kern w:val="0"/>
      <w:sz w:val="16"/>
      <w:szCs w:val="20"/>
      <w14:ligatures w14:val="none"/>
    </w:rPr>
  </w:style>
  <w:style w:type="character" w:styleId="PageNumber">
    <w:name w:val="page number"/>
    <w:basedOn w:val="DefaultParagraphFont"/>
    <w:rsid w:val="001C1DB6"/>
  </w:style>
  <w:style w:type="paragraph" w:customStyle="1" w:styleId="Briefinglist1">
    <w:name w:val="Briefing list 1"/>
    <w:basedOn w:val="Normal"/>
    <w:link w:val="Briefinglist1Char"/>
    <w:rsid w:val="001C1DB6"/>
    <w:pPr>
      <w:spacing w:after="0"/>
      <w:jc w:val="left"/>
    </w:pPr>
    <w:rPr>
      <w:rFonts w:ascii="Times New Roman" w:hAnsi="Times New Roman"/>
      <w:szCs w:val="24"/>
    </w:rPr>
  </w:style>
  <w:style w:type="paragraph" w:customStyle="1" w:styleId="ZnakZnak">
    <w:name w:val="Znak Znak"/>
    <w:basedOn w:val="Normal"/>
    <w:rsid w:val="001C1DB6"/>
    <w:pPr>
      <w:spacing w:after="0" w:line="360" w:lineRule="auto"/>
    </w:pPr>
    <w:rPr>
      <w:rFonts w:ascii="Verdana" w:hAnsi="Verdana"/>
      <w:sz w:val="20"/>
      <w:lang w:eastAsia="pl-PL"/>
    </w:rPr>
  </w:style>
  <w:style w:type="character" w:customStyle="1" w:styleId="Briefinglist1Char">
    <w:name w:val="Briefing list 1 Char"/>
    <w:link w:val="Briefinglist1"/>
    <w:rsid w:val="001C1DB6"/>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A4438"/>
    <w:rPr>
      <w:sz w:val="16"/>
      <w:szCs w:val="16"/>
    </w:rPr>
  </w:style>
  <w:style w:type="paragraph" w:styleId="CommentText">
    <w:name w:val="annotation text"/>
    <w:basedOn w:val="Normal"/>
    <w:link w:val="CommentTextChar"/>
    <w:uiPriority w:val="99"/>
    <w:unhideWhenUsed/>
    <w:rsid w:val="003A4438"/>
    <w:rPr>
      <w:sz w:val="20"/>
    </w:rPr>
  </w:style>
  <w:style w:type="character" w:customStyle="1" w:styleId="CommentTextChar">
    <w:name w:val="Comment Text Char"/>
    <w:basedOn w:val="DefaultParagraphFont"/>
    <w:link w:val="CommentText"/>
    <w:uiPriority w:val="99"/>
    <w:rsid w:val="003A4438"/>
    <w:rPr>
      <w:rFonts w:ascii="Courier New" w:eastAsia="Times New Roman" w:hAnsi="Courier New"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4438"/>
    <w:rPr>
      <w:b/>
      <w:bCs/>
    </w:rPr>
  </w:style>
  <w:style w:type="character" w:customStyle="1" w:styleId="CommentSubjectChar">
    <w:name w:val="Comment Subject Char"/>
    <w:basedOn w:val="CommentTextChar"/>
    <w:link w:val="CommentSubject"/>
    <w:uiPriority w:val="99"/>
    <w:semiHidden/>
    <w:rsid w:val="003A4438"/>
    <w:rPr>
      <w:rFonts w:ascii="Courier New" w:eastAsia="Times New Roman" w:hAnsi="Courier New" w:cs="Times New Roman"/>
      <w:b/>
      <w:bCs/>
      <w:kern w:val="0"/>
      <w:sz w:val="20"/>
      <w:szCs w:val="20"/>
      <w14:ligatures w14:val="none"/>
    </w:rPr>
  </w:style>
  <w:style w:type="paragraph" w:styleId="Revision">
    <w:name w:val="Revision"/>
    <w:hidden/>
    <w:uiPriority w:val="99"/>
    <w:semiHidden/>
    <w:rsid w:val="003A4438"/>
    <w:pPr>
      <w:spacing w:after="0" w:line="240" w:lineRule="auto"/>
    </w:pPr>
    <w:rPr>
      <w:rFonts w:ascii="Courier New" w:eastAsia="Times New Roman" w:hAnsi="Courier New" w:cs="Times New Roman"/>
      <w:kern w:val="0"/>
      <w:sz w:val="24"/>
      <w:szCs w:val="20"/>
      <w14:ligatures w14:val="none"/>
    </w:rPr>
  </w:style>
  <w:style w:type="paragraph" w:styleId="Header">
    <w:name w:val="header"/>
    <w:basedOn w:val="Normal"/>
    <w:link w:val="HeaderChar"/>
    <w:uiPriority w:val="99"/>
    <w:unhideWhenUsed/>
    <w:rsid w:val="00290637"/>
    <w:pPr>
      <w:tabs>
        <w:tab w:val="center" w:pos="4513"/>
        <w:tab w:val="right" w:pos="9026"/>
      </w:tabs>
      <w:spacing w:after="0"/>
    </w:pPr>
  </w:style>
  <w:style w:type="character" w:customStyle="1" w:styleId="HeaderChar">
    <w:name w:val="Header Char"/>
    <w:basedOn w:val="DefaultParagraphFont"/>
    <w:link w:val="Header"/>
    <w:uiPriority w:val="99"/>
    <w:rsid w:val="00290637"/>
    <w:rPr>
      <w:rFonts w:ascii="Courier New" w:eastAsia="Times New Roman" w:hAnsi="Courier New" w:cs="Times New Roman"/>
      <w:kern w:val="0"/>
      <w:sz w:val="24"/>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9dd6c6-cf8f-4aa4-be49-f1cc0da589a4" xsi:nil="true"/>
    <lcf76f155ced4ddcb4097134ff3c332f xmlns="1b1e5321-5d6d-40f3-a89c-b5482dd566c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0900-B4D7-4D0B-B989-D84485CE899E}">
  <ds:schemaRefs>
    <ds:schemaRef ds:uri="http://schemas.microsoft.com/sharepoint/v3/contenttype/forms"/>
  </ds:schemaRefs>
</ds:datastoreItem>
</file>

<file path=customXml/itemProps2.xml><?xml version="1.0" encoding="utf-8"?>
<ds:datastoreItem xmlns:ds="http://schemas.openxmlformats.org/officeDocument/2006/customXml" ds:itemID="{FF80BDFC-0140-4AC0-BBA9-E1AB7166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BC533-1B18-41AB-9418-C0A2DF246F1E}">
  <ds:schemaRefs>
    <ds:schemaRef ds:uri="http://schemas.microsoft.com/office/2006/metadata/properties"/>
    <ds:schemaRef ds:uri="http://schemas.microsoft.com/office/infopath/2007/PartnerControls"/>
    <ds:schemaRef ds:uri="af9dd6c6-cf8f-4aa4-be49-f1cc0da589a4"/>
    <ds:schemaRef ds:uri="1b1e5321-5d6d-40f3-a89c-b5482dd566c1"/>
  </ds:schemaRefs>
</ds:datastoreItem>
</file>

<file path=customXml/itemProps4.xml><?xml version="1.0" encoding="utf-8"?>
<ds:datastoreItem xmlns:ds="http://schemas.openxmlformats.org/officeDocument/2006/customXml" ds:itemID="{03242DF6-67AD-43D2-8AA4-EBFCCDBD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2264</Words>
  <Characters>12795</Characters>
  <Application>Microsoft Office Word</Application>
  <DocSecurity>0</DocSecurity>
  <Lines>185</Lines>
  <Paragraphs>24</Paragraphs>
  <ScaleCrop>false</ScaleCrop>
  <Company>European Commission</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GUSANU Irina (TRADE)</dc:creator>
  <cp:keywords/>
  <dc:description/>
  <cp:lastModifiedBy>DELBAER Gerda (SG)</cp:lastModifiedBy>
  <cp:revision>3</cp:revision>
  <dcterms:created xsi:type="dcterms:W3CDTF">2026-02-06T15:07:00Z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2025-11-28T19:19:03Z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2475c9fb-0b4d-4c97-9b3d-5f698a2ab26e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MediaServiceImageTags">
    <vt:lpwstr/>
  </property>
</Properties>
</file>