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CB9DC" w14:textId="1523E510" w:rsidR="554F3A42" w:rsidRPr="00103D22" w:rsidRDefault="00963420" w:rsidP="00081928">
      <w:pPr>
        <w:ind w:left="720"/>
        <w:jc w:val="center"/>
        <w:rPr>
          <w:rFonts w:ascii="Times New Roman" w:hAnsi="Times New Roman"/>
          <w:b/>
          <w:bCs/>
        </w:rPr>
      </w:pPr>
      <w:r w:rsidRPr="00103D22">
        <w:rPr>
          <w:rFonts w:ascii="Times New Roman" w:hAnsi="Times New Roman"/>
          <w:b/>
          <w:bCs/>
        </w:rPr>
        <w:t xml:space="preserve">Follow-up to the European Parliament non-legislative resolution on </w:t>
      </w:r>
      <w:r w:rsidR="00B52F92" w:rsidRPr="00103D22">
        <w:rPr>
          <w:rFonts w:ascii="Times New Roman" w:hAnsi="Times New Roman"/>
          <w:b/>
          <w:bCs/>
        </w:rPr>
        <w:t>possibilities for simplification of cohesion funds</w:t>
      </w:r>
      <w:r w:rsidR="00492730">
        <w:rPr>
          <w:rFonts w:ascii="Times New Roman" w:hAnsi="Times New Roman"/>
          <w:b/>
          <w:bCs/>
        </w:rPr>
        <w:br/>
      </w:r>
    </w:p>
    <w:p w14:paraId="222E65B7" w14:textId="67E8128B" w:rsidR="00963420" w:rsidRPr="00103D22" w:rsidRDefault="00963420" w:rsidP="0084310E">
      <w:pPr>
        <w:numPr>
          <w:ilvl w:val="0"/>
          <w:numId w:val="36"/>
        </w:numPr>
        <w:ind w:left="567" w:hanging="567"/>
        <w:rPr>
          <w:rFonts w:ascii="Times New Roman" w:hAnsi="Times New Roman"/>
          <w:i/>
          <w:szCs w:val="24"/>
          <w:lang w:val="fr-BE"/>
        </w:rPr>
      </w:pPr>
      <w:r w:rsidRPr="00103D22">
        <w:rPr>
          <w:rFonts w:ascii="Times New Roman" w:hAnsi="Times New Roman"/>
          <w:b/>
          <w:szCs w:val="24"/>
          <w:lang w:val="fr-BE"/>
        </w:rPr>
        <w:t>Rapporteur:</w:t>
      </w:r>
      <w:r w:rsidRPr="00103D22">
        <w:rPr>
          <w:rFonts w:ascii="Times New Roman" w:hAnsi="Times New Roman"/>
          <w:szCs w:val="24"/>
          <w:lang w:val="fr-BE"/>
        </w:rPr>
        <w:t xml:space="preserve"> </w:t>
      </w:r>
      <w:r w:rsidR="00B52F92" w:rsidRPr="00103D22">
        <w:rPr>
          <w:rFonts w:ascii="Times New Roman" w:hAnsi="Times New Roman"/>
          <w:szCs w:val="24"/>
          <w:lang w:val="fr-BE"/>
        </w:rPr>
        <w:t>Vladimir PREBILIČ (Greens/EFA, SI)</w:t>
      </w:r>
    </w:p>
    <w:p w14:paraId="3021C497" w14:textId="58C527BD" w:rsidR="00563F16" w:rsidRPr="00103D22" w:rsidRDefault="00063DCE" w:rsidP="00630F9E">
      <w:pPr>
        <w:pStyle w:val="Default"/>
        <w:numPr>
          <w:ilvl w:val="0"/>
          <w:numId w:val="36"/>
        </w:numPr>
        <w:spacing w:after="240"/>
        <w:ind w:left="567" w:hanging="567"/>
        <w:jc w:val="both"/>
        <w:rPr>
          <w:color w:val="auto"/>
          <w:lang w:val="en-GB"/>
        </w:rPr>
      </w:pPr>
      <w:r w:rsidRPr="00103D22">
        <w:rPr>
          <w:b/>
          <w:color w:val="auto"/>
          <w:lang w:val="en-GB"/>
        </w:rPr>
        <w:t>R</w:t>
      </w:r>
      <w:r w:rsidR="00963420" w:rsidRPr="00103D22">
        <w:rPr>
          <w:b/>
          <w:color w:val="auto"/>
          <w:lang w:val="en-GB"/>
        </w:rPr>
        <w:t>eference</w:t>
      </w:r>
      <w:r w:rsidR="00CA777E" w:rsidRPr="00103D22">
        <w:rPr>
          <w:b/>
          <w:color w:val="auto"/>
          <w:lang w:val="en-GB"/>
        </w:rPr>
        <w:t>s</w:t>
      </w:r>
      <w:r w:rsidR="00963420" w:rsidRPr="00103D22">
        <w:rPr>
          <w:b/>
          <w:color w:val="auto"/>
          <w:lang w:val="en-GB"/>
        </w:rPr>
        <w:t xml:space="preserve">: </w:t>
      </w:r>
      <w:hyperlink r:id="rId11" w:history="1">
        <w:hyperlink r:id="rId12" w:history="1">
          <w:r w:rsidR="00B52F92" w:rsidRPr="00103D22">
            <w:rPr>
              <w:rFonts w:eastAsia="Calibri"/>
              <w:lang w:val="en-GB" w:eastAsia="en-US"/>
            </w:rPr>
            <w:t>2024</w:t>
          </w:r>
          <w:r w:rsidR="007F37AE" w:rsidRPr="00103D22">
            <w:rPr>
              <w:rFonts w:eastAsia="Calibri"/>
              <w:lang w:val="en-GB" w:eastAsia="en-US"/>
            </w:rPr>
            <w:t>/</w:t>
          </w:r>
          <w:r w:rsidR="00B52F92" w:rsidRPr="00103D22">
            <w:rPr>
              <w:rFonts w:eastAsia="Calibri"/>
              <w:lang w:val="en-GB" w:eastAsia="en-US"/>
            </w:rPr>
            <w:t>2106</w:t>
          </w:r>
          <w:r w:rsidR="007F37AE" w:rsidRPr="00103D22">
            <w:rPr>
              <w:rFonts w:eastAsia="Calibri"/>
              <w:lang w:val="en-GB" w:eastAsia="en-US"/>
            </w:rPr>
            <w:t>(INI</w:t>
          </w:r>
        </w:hyperlink>
      </w:hyperlink>
      <w:r w:rsidR="007F37AE" w:rsidRPr="00103D22">
        <w:rPr>
          <w:lang w:val="en-GB"/>
        </w:rPr>
        <w:t>)</w:t>
      </w:r>
      <w:r w:rsidR="007F37AE" w:rsidRPr="00103D22">
        <w:rPr>
          <w:i/>
          <w:lang w:val="en-GB"/>
        </w:rPr>
        <w:t xml:space="preserve"> </w:t>
      </w:r>
      <w:r w:rsidR="0040198F" w:rsidRPr="00081928">
        <w:rPr>
          <w:iCs/>
          <w:lang w:val="en-GB"/>
        </w:rPr>
        <w:t xml:space="preserve">/ </w:t>
      </w:r>
      <w:hyperlink r:id="rId13" w:tgtFrame="externalDocument" w:history="1">
        <w:r w:rsidR="007F37AE" w:rsidRPr="00103D22">
          <w:rPr>
            <w:lang w:val="en-GB"/>
          </w:rPr>
          <w:t>A10-</w:t>
        </w:r>
        <w:r w:rsidR="00B52F92" w:rsidRPr="00103D22">
          <w:rPr>
            <w:lang w:val="en-GB"/>
          </w:rPr>
          <w:t>0138</w:t>
        </w:r>
        <w:r w:rsidR="007F37AE" w:rsidRPr="00103D22">
          <w:rPr>
            <w:lang w:val="en-GB"/>
          </w:rPr>
          <w:t>/20</w:t>
        </w:r>
      </w:hyperlink>
      <w:r w:rsidR="00B52F92" w:rsidRPr="00103D22">
        <w:rPr>
          <w:lang w:val="en-GB"/>
        </w:rPr>
        <w:t>25</w:t>
      </w:r>
      <w:r w:rsidR="007F37AE" w:rsidRPr="00103D22">
        <w:rPr>
          <w:lang w:val="en-GB"/>
        </w:rPr>
        <w:t xml:space="preserve"> / P10_TA(20</w:t>
      </w:r>
      <w:r w:rsidR="00B52F92" w:rsidRPr="00103D22">
        <w:rPr>
          <w:lang w:val="en-GB"/>
        </w:rPr>
        <w:t>25</w:t>
      </w:r>
      <w:r w:rsidR="007F37AE" w:rsidRPr="00103D22">
        <w:rPr>
          <w:lang w:val="en-GB"/>
        </w:rPr>
        <w:t>)</w:t>
      </w:r>
      <w:r w:rsidR="00B52F92" w:rsidRPr="00103D22">
        <w:rPr>
          <w:lang w:val="en-GB"/>
        </w:rPr>
        <w:t>0188</w:t>
      </w:r>
    </w:p>
    <w:p w14:paraId="61D85C18" w14:textId="3134B963" w:rsidR="001F0B89" w:rsidRPr="00103D22" w:rsidRDefault="00963420" w:rsidP="0084310E">
      <w:pPr>
        <w:numPr>
          <w:ilvl w:val="0"/>
          <w:numId w:val="36"/>
        </w:numPr>
        <w:ind w:left="567" w:hanging="567"/>
        <w:rPr>
          <w:rFonts w:ascii="Times New Roman" w:hAnsi="Times New Roman"/>
          <w:szCs w:val="24"/>
        </w:rPr>
      </w:pPr>
      <w:r w:rsidRPr="00103D22">
        <w:rPr>
          <w:rFonts w:ascii="Times New Roman" w:hAnsi="Times New Roman"/>
          <w:b/>
          <w:szCs w:val="24"/>
        </w:rPr>
        <w:t>Date of adoption of the resolution:</w:t>
      </w:r>
      <w:r w:rsidRPr="00103D22">
        <w:rPr>
          <w:rFonts w:ascii="Times New Roman" w:hAnsi="Times New Roman"/>
          <w:szCs w:val="24"/>
        </w:rPr>
        <w:t xml:space="preserve"> </w:t>
      </w:r>
      <w:r w:rsidR="00B52F92" w:rsidRPr="00103D22">
        <w:rPr>
          <w:rFonts w:ascii="Times New Roman" w:hAnsi="Times New Roman"/>
          <w:iCs/>
          <w:szCs w:val="24"/>
        </w:rPr>
        <w:t>10 September 2025</w:t>
      </w:r>
    </w:p>
    <w:p w14:paraId="4451E813" w14:textId="55B295B3" w:rsidR="00963420" w:rsidRPr="00103D22" w:rsidRDefault="00963420" w:rsidP="0084310E">
      <w:pPr>
        <w:numPr>
          <w:ilvl w:val="0"/>
          <w:numId w:val="36"/>
        </w:numPr>
        <w:ind w:left="567" w:hanging="567"/>
        <w:rPr>
          <w:rFonts w:ascii="Times New Roman" w:hAnsi="Times New Roman"/>
          <w:i/>
          <w:szCs w:val="24"/>
        </w:rPr>
      </w:pPr>
      <w:r w:rsidRPr="00103D22">
        <w:rPr>
          <w:rFonts w:ascii="Times New Roman" w:hAnsi="Times New Roman"/>
          <w:b/>
          <w:szCs w:val="24"/>
        </w:rPr>
        <w:t xml:space="preserve">Competent Parliamentary Committee: </w:t>
      </w:r>
      <w:r w:rsidR="00EA2741" w:rsidRPr="00103D22">
        <w:rPr>
          <w:rFonts w:ascii="Times New Roman" w:hAnsi="Times New Roman"/>
          <w:szCs w:val="24"/>
        </w:rPr>
        <w:t>Committee on</w:t>
      </w:r>
      <w:r w:rsidR="00EA2741" w:rsidRPr="00103D22">
        <w:rPr>
          <w:rFonts w:ascii="Times New Roman" w:hAnsi="Times New Roman"/>
          <w:i/>
          <w:szCs w:val="24"/>
        </w:rPr>
        <w:t xml:space="preserve"> </w:t>
      </w:r>
      <w:r w:rsidR="00B52F92" w:rsidRPr="00103D22">
        <w:rPr>
          <w:rFonts w:ascii="Times New Roman" w:hAnsi="Times New Roman"/>
          <w:iCs/>
          <w:szCs w:val="24"/>
        </w:rPr>
        <w:t>Regional Development (REGI)</w:t>
      </w:r>
    </w:p>
    <w:p w14:paraId="1540F533" w14:textId="2C04D2BC" w:rsidR="00963420" w:rsidRPr="00103D22" w:rsidRDefault="00963420" w:rsidP="0084310E">
      <w:pPr>
        <w:widowControl w:val="0"/>
        <w:numPr>
          <w:ilvl w:val="0"/>
          <w:numId w:val="36"/>
        </w:numPr>
        <w:ind w:left="567" w:hanging="567"/>
        <w:rPr>
          <w:rFonts w:ascii="Times New Roman" w:hAnsi="Times New Roman"/>
          <w:b/>
          <w:szCs w:val="24"/>
        </w:rPr>
      </w:pPr>
      <w:r w:rsidRPr="00103D22">
        <w:rPr>
          <w:rFonts w:ascii="Times New Roman" w:hAnsi="Times New Roman"/>
          <w:b/>
          <w:szCs w:val="24"/>
        </w:rPr>
        <w:t>Brief analysis/</w:t>
      </w:r>
      <w:r w:rsidR="00AB3960" w:rsidRPr="00103D22">
        <w:rPr>
          <w:rFonts w:ascii="Times New Roman" w:hAnsi="Times New Roman"/>
          <w:b/>
          <w:szCs w:val="24"/>
        </w:rPr>
        <w:t xml:space="preserve"> </w:t>
      </w:r>
      <w:r w:rsidRPr="00103D22">
        <w:rPr>
          <w:rFonts w:ascii="Times New Roman" w:hAnsi="Times New Roman"/>
          <w:b/>
          <w:szCs w:val="24"/>
        </w:rPr>
        <w:t>assessment of the resolution and requests made in it:</w:t>
      </w:r>
    </w:p>
    <w:p w14:paraId="432A5498" w14:textId="3762DB87" w:rsidR="00B52F92" w:rsidRPr="00103D22" w:rsidRDefault="00B52F92" w:rsidP="26192265">
      <w:pPr>
        <w:widowControl w:val="0"/>
        <w:rPr>
          <w:rFonts w:ascii="Times New Roman" w:hAnsi="Times New Roman"/>
        </w:rPr>
      </w:pPr>
      <w:r w:rsidRPr="00103D22">
        <w:rPr>
          <w:rFonts w:ascii="Times New Roman" w:hAnsi="Times New Roman"/>
        </w:rPr>
        <w:t>The rapporteur acknowledges the efforts to introduce simplification measures in the 2021-2027 programming period. However, in his view, these efforts have not yielded the expected results in terms of reducing administrative burden for beneficiaries and managing authorities due to the subsequent regulatory changes and the practice of gold plating</w:t>
      </w:r>
      <w:r w:rsidR="4A7344E5" w:rsidRPr="00103D22">
        <w:rPr>
          <w:rFonts w:ascii="Times New Roman" w:hAnsi="Times New Roman"/>
        </w:rPr>
        <w:t xml:space="preserve"> within Member States</w:t>
      </w:r>
      <w:r w:rsidRPr="00103D22">
        <w:rPr>
          <w:rFonts w:ascii="Times New Roman" w:hAnsi="Times New Roman"/>
        </w:rPr>
        <w:t>. The report stresses that the cohesion policy of the future should build on the fundamental principles of shared management, partnership, multi-level governance and place-based approach and, while it supports simplification measures and a strong involvement of local and regional authorities, the report strongly opposes the centralisation of cohesion policy</w:t>
      </w:r>
      <w:r w:rsidR="7472205A" w:rsidRPr="00103D22">
        <w:rPr>
          <w:rFonts w:ascii="Times New Roman" w:hAnsi="Times New Roman"/>
        </w:rPr>
        <w:t>.</w:t>
      </w:r>
    </w:p>
    <w:p w14:paraId="6D361AC4" w14:textId="119B20CF" w:rsidR="00552E0C" w:rsidRPr="00103D22" w:rsidRDefault="00963420">
      <w:pPr>
        <w:widowControl w:val="0"/>
        <w:numPr>
          <w:ilvl w:val="0"/>
          <w:numId w:val="36"/>
        </w:numPr>
        <w:ind w:left="567" w:hanging="567"/>
        <w:rPr>
          <w:rFonts w:ascii="Times New Roman" w:hAnsi="Times New Roman"/>
          <w:szCs w:val="24"/>
        </w:rPr>
      </w:pPr>
      <w:r w:rsidRPr="00103D22">
        <w:rPr>
          <w:rFonts w:ascii="Times New Roman" w:hAnsi="Times New Roman"/>
          <w:b/>
          <w:szCs w:val="24"/>
        </w:rPr>
        <w:t>Response to requests and overview of action</w:t>
      </w:r>
      <w:r w:rsidR="001946EE" w:rsidRPr="00103D22">
        <w:rPr>
          <w:rFonts w:ascii="Times New Roman" w:hAnsi="Times New Roman"/>
          <w:b/>
          <w:szCs w:val="24"/>
        </w:rPr>
        <w:t>s</w:t>
      </w:r>
      <w:r w:rsidRPr="00103D22">
        <w:rPr>
          <w:rFonts w:ascii="Times New Roman" w:hAnsi="Times New Roman"/>
          <w:b/>
          <w:szCs w:val="24"/>
        </w:rPr>
        <w:t xml:space="preserve"> taken, or intended to be taken, by the Commission:</w:t>
      </w:r>
      <w:r w:rsidR="00146971" w:rsidRPr="00103D22">
        <w:rPr>
          <w:rFonts w:ascii="Times New Roman" w:hAnsi="Times New Roman"/>
          <w:b/>
          <w:szCs w:val="24"/>
        </w:rPr>
        <w:t xml:space="preserve"> </w:t>
      </w:r>
      <w:r w:rsidR="00F04484">
        <w:rPr>
          <w:rFonts w:ascii="Times New Roman" w:hAnsi="Times New Roman"/>
          <w:b/>
          <w:szCs w:val="24"/>
        </w:rPr>
        <w:softHyphen/>
      </w:r>
      <w:r w:rsidR="00F04484">
        <w:rPr>
          <w:rFonts w:ascii="Times New Roman" w:hAnsi="Times New Roman"/>
          <w:b/>
          <w:szCs w:val="24"/>
        </w:rPr>
        <w:softHyphen/>
      </w:r>
    </w:p>
    <w:p w14:paraId="041DF16B" w14:textId="78F46B5F" w:rsidR="002F4A9B" w:rsidRPr="00103D22" w:rsidRDefault="002F4A9B" w:rsidP="001E5EC7">
      <w:pPr>
        <w:widowControl w:val="0"/>
        <w:spacing w:before="120" w:after="0"/>
        <w:rPr>
          <w:rFonts w:ascii="Times New Roman" w:hAnsi="Times New Roman"/>
          <w:i/>
          <w:iCs/>
        </w:rPr>
      </w:pPr>
      <w:r w:rsidRPr="00103D22">
        <w:rPr>
          <w:rFonts w:ascii="Times New Roman" w:hAnsi="Times New Roman"/>
          <w:i/>
          <w:iCs/>
        </w:rPr>
        <w:t>Paragraph 7 – Timely adoption of the Commission’s proposals</w:t>
      </w:r>
    </w:p>
    <w:p w14:paraId="60533153" w14:textId="718D15EA" w:rsidR="00B87BFF" w:rsidRDefault="001A0F44" w:rsidP="001E5EC7">
      <w:pPr>
        <w:widowControl w:val="0"/>
        <w:spacing w:before="120" w:after="0"/>
        <w:rPr>
          <w:rFonts w:ascii="Times New Roman" w:hAnsi="Times New Roman"/>
        </w:rPr>
      </w:pPr>
      <w:r w:rsidRPr="00103D22">
        <w:rPr>
          <w:rFonts w:ascii="Times New Roman" w:hAnsi="Times New Roman"/>
        </w:rPr>
        <w:t xml:space="preserve">The Commission </w:t>
      </w:r>
      <w:r w:rsidR="00136AB7" w:rsidRPr="00103D22">
        <w:rPr>
          <w:rFonts w:ascii="Times New Roman" w:hAnsi="Times New Roman"/>
        </w:rPr>
        <w:t>acknowledges</w:t>
      </w:r>
      <w:r w:rsidRPr="00103D22">
        <w:rPr>
          <w:rFonts w:ascii="Times New Roman" w:hAnsi="Times New Roman"/>
        </w:rPr>
        <w:t xml:space="preserve"> the </w:t>
      </w:r>
      <w:r w:rsidR="00E06C46" w:rsidRPr="00103D22">
        <w:rPr>
          <w:rFonts w:ascii="Times New Roman" w:hAnsi="Times New Roman"/>
        </w:rPr>
        <w:t xml:space="preserve">European </w:t>
      </w:r>
      <w:r w:rsidRPr="00103D22">
        <w:rPr>
          <w:rFonts w:ascii="Times New Roman" w:hAnsi="Times New Roman"/>
        </w:rPr>
        <w:t xml:space="preserve">Parliament’s call for timely </w:t>
      </w:r>
      <w:r w:rsidR="005D2DE9" w:rsidRPr="00103D22">
        <w:rPr>
          <w:rFonts w:ascii="Times New Roman" w:hAnsi="Times New Roman"/>
        </w:rPr>
        <w:t xml:space="preserve">cohesion policy </w:t>
      </w:r>
      <w:r w:rsidR="007853A5" w:rsidRPr="00103D22">
        <w:rPr>
          <w:rFonts w:ascii="Times New Roman" w:hAnsi="Times New Roman"/>
        </w:rPr>
        <w:t xml:space="preserve">legislative </w:t>
      </w:r>
      <w:r w:rsidRPr="00103D22">
        <w:rPr>
          <w:rFonts w:ascii="Times New Roman" w:hAnsi="Times New Roman"/>
        </w:rPr>
        <w:t>proposals for the 2028</w:t>
      </w:r>
      <w:r w:rsidR="007853A5" w:rsidRPr="00103D22">
        <w:rPr>
          <w:rFonts w:ascii="Times New Roman" w:hAnsi="Times New Roman"/>
        </w:rPr>
        <w:t>-</w:t>
      </w:r>
      <w:r w:rsidRPr="00103D22">
        <w:rPr>
          <w:rFonts w:ascii="Times New Roman" w:hAnsi="Times New Roman"/>
        </w:rPr>
        <w:t xml:space="preserve">2034 period to ensure a swift </w:t>
      </w:r>
      <w:r w:rsidR="487E0872" w:rsidRPr="00103D22">
        <w:rPr>
          <w:rFonts w:ascii="Times New Roman" w:hAnsi="Times New Roman"/>
        </w:rPr>
        <w:t xml:space="preserve">programming and </w:t>
      </w:r>
      <w:r w:rsidRPr="00103D22">
        <w:rPr>
          <w:rFonts w:ascii="Times New Roman" w:hAnsi="Times New Roman"/>
        </w:rPr>
        <w:t xml:space="preserve">start of implementation. </w:t>
      </w:r>
      <w:r w:rsidR="00B87BFF" w:rsidRPr="00103D22">
        <w:rPr>
          <w:rFonts w:ascii="Times New Roman" w:hAnsi="Times New Roman"/>
        </w:rPr>
        <w:t>On 16 July</w:t>
      </w:r>
      <w:r w:rsidR="00E06C46" w:rsidRPr="00103D22">
        <w:rPr>
          <w:rFonts w:ascii="Times New Roman" w:hAnsi="Times New Roman"/>
        </w:rPr>
        <w:t xml:space="preserve"> and 3 September 2025</w:t>
      </w:r>
      <w:r w:rsidR="00B87BFF" w:rsidRPr="00103D22">
        <w:rPr>
          <w:rFonts w:ascii="Times New Roman" w:hAnsi="Times New Roman"/>
        </w:rPr>
        <w:t xml:space="preserve">, the Commission presented its legislative proposals for the 2028-2034 </w:t>
      </w:r>
      <w:r w:rsidR="00970810" w:rsidRPr="00103D22">
        <w:rPr>
          <w:rFonts w:ascii="Times New Roman" w:hAnsi="Times New Roman"/>
        </w:rPr>
        <w:t>Multiannual Financial Framework</w:t>
      </w:r>
      <w:r w:rsidR="00901D4F" w:rsidRPr="00103D22">
        <w:rPr>
          <w:rFonts w:ascii="Times New Roman" w:hAnsi="Times New Roman"/>
        </w:rPr>
        <w:t xml:space="preserve"> (MFF)</w:t>
      </w:r>
      <w:r w:rsidR="00B87BFF" w:rsidRPr="00103D22">
        <w:rPr>
          <w:rFonts w:ascii="Times New Roman" w:hAnsi="Times New Roman"/>
        </w:rPr>
        <w:t>, which are now under examination by both the European Parliament</w:t>
      </w:r>
      <w:r w:rsidR="00E06C46" w:rsidRPr="00103D22">
        <w:rPr>
          <w:rFonts w:ascii="Times New Roman" w:hAnsi="Times New Roman"/>
        </w:rPr>
        <w:t xml:space="preserve"> and the Council</w:t>
      </w:r>
      <w:r w:rsidR="00B87BFF" w:rsidRPr="00103D22">
        <w:rPr>
          <w:rFonts w:ascii="Times New Roman" w:hAnsi="Times New Roman"/>
        </w:rPr>
        <w:t xml:space="preserve">. These proposals reaffirm the </w:t>
      </w:r>
      <w:r w:rsidR="1D4A7232" w:rsidRPr="00103D22">
        <w:rPr>
          <w:rFonts w:ascii="Times New Roman" w:hAnsi="Times New Roman"/>
        </w:rPr>
        <w:t xml:space="preserve">key role </w:t>
      </w:r>
      <w:r w:rsidR="00B87BFF" w:rsidRPr="00103D22">
        <w:rPr>
          <w:rFonts w:ascii="Times New Roman" w:hAnsi="Times New Roman"/>
        </w:rPr>
        <w:t>of cohesion policy within a more streamlined, flexible, focused and impactful EU budget.A central innovation of the package is the introduction of National and Regional Partnership Plans (NRP</w:t>
      </w:r>
      <w:r w:rsidR="287FFFFE" w:rsidRPr="00103D22">
        <w:rPr>
          <w:rFonts w:ascii="Times New Roman" w:hAnsi="Times New Roman"/>
        </w:rPr>
        <w:t>P</w:t>
      </w:r>
      <w:r w:rsidR="00B87BFF" w:rsidRPr="00103D22">
        <w:rPr>
          <w:rFonts w:ascii="Times New Roman" w:hAnsi="Times New Roman"/>
        </w:rPr>
        <w:t xml:space="preserve">s) for each Member State. </w:t>
      </w:r>
      <w:r w:rsidR="00445EE1" w:rsidRPr="00103D22">
        <w:rPr>
          <w:rFonts w:ascii="Times New Roman" w:hAnsi="Times New Roman"/>
        </w:rPr>
        <w:t xml:space="preserve">The </w:t>
      </w:r>
      <w:r w:rsidR="008F638D" w:rsidRPr="00103D22">
        <w:rPr>
          <w:rFonts w:ascii="Times New Roman" w:hAnsi="Times New Roman"/>
        </w:rPr>
        <w:t xml:space="preserve">NRPPs </w:t>
      </w:r>
      <w:r w:rsidR="00B87BFF" w:rsidRPr="00103D22">
        <w:rPr>
          <w:rFonts w:ascii="Times New Roman" w:hAnsi="Times New Roman"/>
        </w:rPr>
        <w:t>are conceived as a single programming document linking key reforms with strategic investments. They are designed to strengthen economic, social and territorial cohesion, while also supporting sustainable agriculture and food security, rural development, fisheries and maritime policies, as well as migration and border management</w:t>
      </w:r>
      <w:r w:rsidR="005927CE">
        <w:rPr>
          <w:rFonts w:ascii="Times New Roman" w:hAnsi="Times New Roman"/>
        </w:rPr>
        <w:t>,</w:t>
      </w:r>
      <w:r w:rsidR="00E06C46" w:rsidRPr="00103D22">
        <w:rPr>
          <w:rFonts w:ascii="Times New Roman" w:hAnsi="Times New Roman"/>
        </w:rPr>
        <w:t xml:space="preserve"> </w:t>
      </w:r>
      <w:r w:rsidR="000D313D">
        <w:rPr>
          <w:rFonts w:ascii="Times New Roman" w:hAnsi="Times New Roman"/>
        </w:rPr>
        <w:t xml:space="preserve">and </w:t>
      </w:r>
      <w:r w:rsidR="00AD12AC">
        <w:rPr>
          <w:rFonts w:ascii="Times New Roman" w:hAnsi="Times New Roman"/>
        </w:rPr>
        <w:t>to enhance</w:t>
      </w:r>
      <w:r w:rsidR="000C2F19" w:rsidRPr="00103D22">
        <w:rPr>
          <w:rFonts w:ascii="Times New Roman" w:hAnsi="Times New Roman"/>
        </w:rPr>
        <w:t xml:space="preserve"> synergies between </w:t>
      </w:r>
      <w:r w:rsidR="00F04484">
        <w:rPr>
          <w:rFonts w:ascii="Times New Roman" w:hAnsi="Times New Roman"/>
        </w:rPr>
        <w:t>all of these objectives</w:t>
      </w:r>
    </w:p>
    <w:p w14:paraId="1DCF165E" w14:textId="4C8EA120" w:rsidR="00BE48C0" w:rsidRPr="00BE48C0" w:rsidRDefault="00BE48C0" w:rsidP="00BE48C0">
      <w:pPr>
        <w:widowControl w:val="0"/>
        <w:spacing w:before="120" w:after="0"/>
        <w:rPr>
          <w:rFonts w:ascii="Times New Roman" w:hAnsi="Times New Roman"/>
        </w:rPr>
      </w:pPr>
      <w:r>
        <w:rPr>
          <w:rFonts w:ascii="Times New Roman" w:hAnsi="Times New Roman"/>
        </w:rPr>
        <w:t>Cohesion will remain at the core of the NRPPs</w:t>
      </w:r>
      <w:r w:rsidR="00976B3F">
        <w:rPr>
          <w:rFonts w:ascii="Times New Roman" w:hAnsi="Times New Roman"/>
        </w:rPr>
        <w:t>.</w:t>
      </w:r>
      <w:r w:rsidR="00A26E59">
        <w:rPr>
          <w:rFonts w:ascii="Times New Roman" w:hAnsi="Times New Roman"/>
        </w:rPr>
        <w:t xml:space="preserve"> </w:t>
      </w:r>
      <w:r>
        <w:rPr>
          <w:rFonts w:ascii="Times New Roman" w:hAnsi="Times New Roman"/>
        </w:rPr>
        <w:t xml:space="preserve">As </w:t>
      </w:r>
      <w:r w:rsidRPr="00BE48C0">
        <w:rPr>
          <w:rFonts w:ascii="Times New Roman" w:hAnsi="Times New Roman"/>
        </w:rPr>
        <w:t>discussed with the European Parliament and the Council at Leader level</w:t>
      </w:r>
      <w:r>
        <w:rPr>
          <w:rFonts w:ascii="Times New Roman" w:hAnsi="Times New Roman"/>
        </w:rPr>
        <w:t xml:space="preserve"> </w:t>
      </w:r>
      <w:r w:rsidR="00F04484">
        <w:rPr>
          <w:rFonts w:ascii="Times New Roman" w:hAnsi="Times New Roman"/>
        </w:rPr>
        <w:t>o</w:t>
      </w:r>
      <w:r>
        <w:rPr>
          <w:rFonts w:ascii="Times New Roman" w:hAnsi="Times New Roman"/>
        </w:rPr>
        <w:t xml:space="preserve">n </w:t>
      </w:r>
      <w:r w:rsidR="00E15BFF">
        <w:rPr>
          <w:rFonts w:ascii="Times New Roman" w:hAnsi="Times New Roman"/>
        </w:rPr>
        <w:t xml:space="preserve">10 </w:t>
      </w:r>
      <w:r>
        <w:rPr>
          <w:rFonts w:ascii="Times New Roman" w:hAnsi="Times New Roman"/>
        </w:rPr>
        <w:t>November 2025</w:t>
      </w:r>
      <w:r w:rsidRPr="00BE48C0">
        <w:rPr>
          <w:rFonts w:ascii="Times New Roman" w:hAnsi="Times New Roman"/>
        </w:rPr>
        <w:t xml:space="preserve">, the Commission has suggested how to clarify and </w:t>
      </w:r>
      <w:r w:rsidR="00976B3F">
        <w:rPr>
          <w:rFonts w:ascii="Times New Roman" w:hAnsi="Times New Roman"/>
        </w:rPr>
        <w:t xml:space="preserve">further </w:t>
      </w:r>
      <w:r w:rsidRPr="00BE48C0">
        <w:rPr>
          <w:rFonts w:ascii="Times New Roman" w:hAnsi="Times New Roman"/>
        </w:rPr>
        <w:t>strengthen</w:t>
      </w:r>
      <w:r>
        <w:rPr>
          <w:rFonts w:ascii="Times New Roman" w:hAnsi="Times New Roman"/>
        </w:rPr>
        <w:t xml:space="preserve"> </w:t>
      </w:r>
      <w:r w:rsidRPr="00BE48C0">
        <w:rPr>
          <w:rFonts w:ascii="Times New Roman" w:hAnsi="Times New Roman"/>
        </w:rPr>
        <w:t>the role of regions and predictability in support for transition and more developed regions</w:t>
      </w:r>
      <w:r>
        <w:rPr>
          <w:rFonts w:ascii="Times New Roman" w:hAnsi="Times New Roman"/>
        </w:rPr>
        <w:t>.</w:t>
      </w:r>
    </w:p>
    <w:p w14:paraId="5F125F4B" w14:textId="1596573C" w:rsidR="002F4A9B" w:rsidRPr="00103D22" w:rsidRDefault="00B87BFF" w:rsidP="001E5EC7">
      <w:pPr>
        <w:widowControl w:val="0"/>
        <w:spacing w:before="120" w:after="0"/>
        <w:rPr>
          <w:rFonts w:ascii="Times New Roman" w:hAnsi="Times New Roman"/>
        </w:rPr>
      </w:pPr>
      <w:r w:rsidRPr="00103D22">
        <w:rPr>
          <w:rFonts w:ascii="Times New Roman" w:hAnsi="Times New Roman"/>
        </w:rPr>
        <w:t xml:space="preserve">The </w:t>
      </w:r>
      <w:r w:rsidR="00D802A6" w:rsidRPr="00103D22">
        <w:rPr>
          <w:rFonts w:ascii="Times New Roman" w:hAnsi="Times New Roman"/>
        </w:rPr>
        <w:t xml:space="preserve">NRPPs </w:t>
      </w:r>
      <w:r w:rsidRPr="00103D22">
        <w:rPr>
          <w:rFonts w:ascii="Times New Roman" w:hAnsi="Times New Roman"/>
        </w:rPr>
        <w:t xml:space="preserve">represent a major step forward in simplification: they drastically reduce the number of programming documents from around 540 programmes to 27 </w:t>
      </w:r>
      <w:r w:rsidR="00DE027A" w:rsidRPr="00103D22">
        <w:rPr>
          <w:rFonts w:ascii="Times New Roman" w:hAnsi="Times New Roman"/>
        </w:rPr>
        <w:t>NRP</w:t>
      </w:r>
      <w:r w:rsidR="31425238" w:rsidRPr="00103D22">
        <w:rPr>
          <w:rFonts w:ascii="Times New Roman" w:hAnsi="Times New Roman"/>
        </w:rPr>
        <w:t>P</w:t>
      </w:r>
      <w:r w:rsidR="00DE027A" w:rsidRPr="00103D22">
        <w:rPr>
          <w:rFonts w:ascii="Times New Roman" w:hAnsi="Times New Roman"/>
        </w:rPr>
        <w:t>s</w:t>
      </w:r>
      <w:r w:rsidRPr="00103D22">
        <w:rPr>
          <w:rFonts w:ascii="Times New Roman" w:hAnsi="Times New Roman"/>
        </w:rPr>
        <w:t xml:space="preserve"> </w:t>
      </w:r>
      <w:r w:rsidR="00786C57" w:rsidRPr="00103D22">
        <w:rPr>
          <w:rFonts w:ascii="Times New Roman" w:hAnsi="Times New Roman"/>
        </w:rPr>
        <w:t xml:space="preserve">and </w:t>
      </w:r>
      <w:r w:rsidRPr="00103D22">
        <w:rPr>
          <w:rFonts w:ascii="Times New Roman" w:hAnsi="Times New Roman"/>
        </w:rPr>
        <w:t xml:space="preserve">one Interreg </w:t>
      </w:r>
      <w:r w:rsidR="00687EB7" w:rsidRPr="00103D22">
        <w:rPr>
          <w:rFonts w:ascii="Times New Roman" w:hAnsi="Times New Roman"/>
        </w:rPr>
        <w:t>P</w:t>
      </w:r>
      <w:r w:rsidRPr="00103D22">
        <w:rPr>
          <w:rFonts w:ascii="Times New Roman" w:hAnsi="Times New Roman"/>
        </w:rPr>
        <w:t>lan. This new framework is expected to</w:t>
      </w:r>
      <w:r w:rsidR="00F04484">
        <w:rPr>
          <w:rFonts w:ascii="Times New Roman" w:hAnsi="Times New Roman"/>
        </w:rPr>
        <w:t>, among other things,</w:t>
      </w:r>
      <w:r w:rsidRPr="00103D22">
        <w:rPr>
          <w:rFonts w:ascii="Times New Roman" w:hAnsi="Times New Roman"/>
        </w:rPr>
        <w:t xml:space="preserve"> accelerate the launch of the next programming period, thereby facilitating a smoother and more timely start of investments on the ground.</w:t>
      </w:r>
    </w:p>
    <w:p w14:paraId="564844B6" w14:textId="06F77BAB" w:rsidR="00031010" w:rsidRDefault="2AD49293" w:rsidP="001E5EC7">
      <w:pPr>
        <w:widowControl w:val="0"/>
        <w:spacing w:before="120" w:after="0"/>
        <w:rPr>
          <w:rFonts w:ascii="Times New Roman" w:hAnsi="Times New Roman"/>
        </w:rPr>
      </w:pPr>
      <w:r w:rsidRPr="00103D22">
        <w:rPr>
          <w:rFonts w:ascii="Times New Roman" w:hAnsi="Times New Roman"/>
        </w:rPr>
        <w:t xml:space="preserve">With the proposal for a Regulation establishing the European Fund for economic, social and territorial cohesion, agriculture and rural, fisheries and maritime, prosperity and security for </w:t>
      </w:r>
      <w:r w:rsidRPr="00103D22">
        <w:rPr>
          <w:rFonts w:ascii="Times New Roman" w:hAnsi="Times New Roman"/>
        </w:rPr>
        <w:lastRenderedPageBreak/>
        <w:t>2028-2034</w:t>
      </w:r>
      <w:r w:rsidR="002D0C79" w:rsidRPr="00103D22">
        <w:rPr>
          <w:rFonts w:ascii="Times New Roman" w:hAnsi="Times New Roman"/>
        </w:rPr>
        <w:t xml:space="preserve"> (COM(2025) 565 final of 16.7.2025)</w:t>
      </w:r>
      <w:r w:rsidRPr="00103D22">
        <w:rPr>
          <w:rFonts w:ascii="Times New Roman" w:hAnsi="Times New Roman"/>
        </w:rPr>
        <w:t xml:space="preserve">, </w:t>
      </w:r>
      <w:r w:rsidR="157087D9" w:rsidRPr="00103D22">
        <w:rPr>
          <w:rFonts w:ascii="Times New Roman" w:hAnsi="Times New Roman"/>
        </w:rPr>
        <w:t>t</w:t>
      </w:r>
      <w:r w:rsidRPr="00103D22">
        <w:rPr>
          <w:rFonts w:ascii="Times New Roman" w:hAnsi="Times New Roman"/>
        </w:rPr>
        <w:t>he Commission propose</w:t>
      </w:r>
      <w:r w:rsidR="64544FBD" w:rsidRPr="00103D22">
        <w:rPr>
          <w:rFonts w:ascii="Times New Roman" w:hAnsi="Times New Roman"/>
        </w:rPr>
        <w:t>d</w:t>
      </w:r>
      <w:r w:rsidRPr="00103D22">
        <w:rPr>
          <w:rFonts w:ascii="Times New Roman" w:hAnsi="Times New Roman"/>
        </w:rPr>
        <w:t xml:space="preserve"> a </w:t>
      </w:r>
      <w:r w:rsidR="33A1B402" w:rsidRPr="00103D22">
        <w:rPr>
          <w:rFonts w:ascii="Times New Roman" w:hAnsi="Times New Roman"/>
        </w:rPr>
        <w:t xml:space="preserve">common set of streamlined rules for shared management funds. </w:t>
      </w:r>
      <w:r w:rsidR="2F5EB13A" w:rsidRPr="00103D22">
        <w:rPr>
          <w:rFonts w:ascii="Times New Roman" w:hAnsi="Times New Roman"/>
        </w:rPr>
        <w:t xml:space="preserve">The </w:t>
      </w:r>
      <w:r w:rsidRPr="00103D22">
        <w:rPr>
          <w:rFonts w:ascii="Times New Roman" w:hAnsi="Times New Roman"/>
        </w:rPr>
        <w:t>single rulebook</w:t>
      </w:r>
      <w:r w:rsidR="40372311" w:rsidRPr="00103D22">
        <w:rPr>
          <w:rFonts w:ascii="Times New Roman" w:hAnsi="Times New Roman"/>
        </w:rPr>
        <w:t>, that covers</w:t>
      </w:r>
      <w:r w:rsidR="00B65F1D" w:rsidRPr="00103D22">
        <w:rPr>
          <w:rFonts w:ascii="Times New Roman" w:hAnsi="Times New Roman"/>
        </w:rPr>
        <w:t xml:space="preserve"> all policy interventions under the plan, including</w:t>
      </w:r>
      <w:r w:rsidR="40372311" w:rsidRPr="00103D22">
        <w:rPr>
          <w:rFonts w:ascii="Times New Roman" w:hAnsi="Times New Roman"/>
        </w:rPr>
        <w:t xml:space="preserve"> cohesion policy interventions, includes </w:t>
      </w:r>
      <w:r w:rsidR="006056E0" w:rsidRPr="00103D22">
        <w:rPr>
          <w:rFonts w:ascii="Times New Roman" w:hAnsi="Times New Roman"/>
        </w:rPr>
        <w:t>fewer, more focused</w:t>
      </w:r>
      <w:r w:rsidR="40372311" w:rsidRPr="00103D22">
        <w:rPr>
          <w:rFonts w:ascii="Times New Roman" w:hAnsi="Times New Roman"/>
        </w:rPr>
        <w:t xml:space="preserve"> provisions compared to the 2021-</w:t>
      </w:r>
      <w:r w:rsidR="256CF12C" w:rsidRPr="00103D22">
        <w:rPr>
          <w:rFonts w:ascii="Times New Roman" w:hAnsi="Times New Roman"/>
        </w:rPr>
        <w:t xml:space="preserve">2027 </w:t>
      </w:r>
      <w:r w:rsidR="40372311" w:rsidRPr="00103D22">
        <w:rPr>
          <w:rFonts w:ascii="Times New Roman" w:hAnsi="Times New Roman"/>
        </w:rPr>
        <w:t>Common Provisions Regulation</w:t>
      </w:r>
      <w:r w:rsidR="00E13DB1" w:rsidRPr="00103D22">
        <w:rPr>
          <w:rFonts w:ascii="Times New Roman" w:hAnsi="Times New Roman"/>
        </w:rPr>
        <w:t xml:space="preserve"> (CPR)</w:t>
      </w:r>
      <w:r w:rsidR="032D9F51" w:rsidRPr="00103D22">
        <w:rPr>
          <w:rFonts w:ascii="Times New Roman" w:hAnsi="Times New Roman"/>
        </w:rPr>
        <w:t xml:space="preserve">, while it provides for robust common rules on critical elements such as the governance and the protection of the Union’s financial interests. Overall, the proposed streamlined legal framework </w:t>
      </w:r>
      <w:r w:rsidR="00962FDA" w:rsidRPr="00103D22">
        <w:rPr>
          <w:rFonts w:ascii="Times New Roman" w:hAnsi="Times New Roman"/>
        </w:rPr>
        <w:t xml:space="preserve">aims to </w:t>
      </w:r>
      <w:r w:rsidR="032D9F51" w:rsidRPr="00103D22">
        <w:rPr>
          <w:rFonts w:ascii="Times New Roman" w:hAnsi="Times New Roman"/>
        </w:rPr>
        <w:t xml:space="preserve">make the </w:t>
      </w:r>
      <w:r w:rsidR="535E2049" w:rsidRPr="00103D22">
        <w:rPr>
          <w:rFonts w:ascii="Times New Roman" w:hAnsi="Times New Roman"/>
        </w:rPr>
        <w:t>programming and</w:t>
      </w:r>
      <w:r w:rsidR="032D9F51" w:rsidRPr="00103D22">
        <w:rPr>
          <w:rFonts w:ascii="Times New Roman" w:hAnsi="Times New Roman"/>
        </w:rPr>
        <w:t xml:space="preserve"> implementation simpler.</w:t>
      </w:r>
    </w:p>
    <w:p w14:paraId="7625719E" w14:textId="77777777" w:rsidR="003D6ED2" w:rsidRPr="00103D22" w:rsidRDefault="003D6ED2" w:rsidP="001E5EC7">
      <w:pPr>
        <w:widowControl w:val="0"/>
        <w:spacing w:before="120" w:after="0"/>
        <w:rPr>
          <w:rFonts w:ascii="Times New Roman" w:hAnsi="Times New Roman"/>
          <w:i/>
          <w:iCs/>
        </w:rPr>
      </w:pPr>
      <w:r w:rsidRPr="00103D22">
        <w:rPr>
          <w:rFonts w:ascii="Times New Roman" w:hAnsi="Times New Roman"/>
          <w:i/>
          <w:iCs/>
        </w:rPr>
        <w:t>Paragraphs 33, 46 – Complementarities between EU funds</w:t>
      </w:r>
    </w:p>
    <w:p w14:paraId="23F287EA" w14:textId="5E162ACC" w:rsidR="003F2B7C" w:rsidRPr="00103D22" w:rsidRDefault="003F2B7C" w:rsidP="001E5EC7">
      <w:pPr>
        <w:widowControl w:val="0"/>
        <w:spacing w:before="120" w:after="0"/>
        <w:rPr>
          <w:rFonts w:ascii="Times New Roman" w:hAnsi="Times New Roman"/>
        </w:rPr>
      </w:pPr>
      <w:r w:rsidRPr="00103D22">
        <w:rPr>
          <w:rFonts w:ascii="Times New Roman" w:hAnsi="Times New Roman"/>
        </w:rPr>
        <w:t xml:space="preserve">The Commission </w:t>
      </w:r>
      <w:r w:rsidR="002078BA" w:rsidRPr="00103D22">
        <w:rPr>
          <w:rFonts w:ascii="Times New Roman" w:hAnsi="Times New Roman"/>
        </w:rPr>
        <w:t>welcomes</w:t>
      </w:r>
      <w:r w:rsidRPr="00103D22">
        <w:rPr>
          <w:rFonts w:ascii="Times New Roman" w:hAnsi="Times New Roman"/>
        </w:rPr>
        <w:t xml:space="preserve"> </w:t>
      </w:r>
      <w:r w:rsidR="00E06C46" w:rsidRPr="00103D22">
        <w:rPr>
          <w:rFonts w:ascii="Times New Roman" w:hAnsi="Times New Roman"/>
        </w:rPr>
        <w:t xml:space="preserve">the European </w:t>
      </w:r>
      <w:r w:rsidRPr="00103D22">
        <w:rPr>
          <w:rFonts w:ascii="Times New Roman" w:hAnsi="Times New Roman"/>
        </w:rPr>
        <w:t xml:space="preserve">Parliament’s calls to enhance complementarities between EU funds and to further explore synergies between cohesion policy and </w:t>
      </w:r>
      <w:r w:rsidR="5FF4F451" w:rsidRPr="00103D22">
        <w:rPr>
          <w:rFonts w:ascii="Times New Roman" w:hAnsi="Times New Roman"/>
        </w:rPr>
        <w:t xml:space="preserve">other </w:t>
      </w:r>
      <w:r w:rsidRPr="00103D22">
        <w:rPr>
          <w:rFonts w:ascii="Times New Roman" w:hAnsi="Times New Roman"/>
        </w:rPr>
        <w:t>sectoral programmes. The legislative proposals for the 2028</w:t>
      </w:r>
      <w:r w:rsidR="00FA105F" w:rsidRPr="00103D22">
        <w:rPr>
          <w:rFonts w:ascii="Times New Roman" w:hAnsi="Times New Roman"/>
        </w:rPr>
        <w:t>-</w:t>
      </w:r>
      <w:r w:rsidRPr="00103D22">
        <w:rPr>
          <w:rFonts w:ascii="Times New Roman" w:hAnsi="Times New Roman"/>
        </w:rPr>
        <w:t xml:space="preserve">2034 period reflect these priorities through the introduction of </w:t>
      </w:r>
      <w:r w:rsidR="00DE027A" w:rsidRPr="00103D22">
        <w:rPr>
          <w:rFonts w:ascii="Times New Roman" w:hAnsi="Times New Roman"/>
        </w:rPr>
        <w:t>NRP</w:t>
      </w:r>
      <w:r w:rsidR="3D711C83" w:rsidRPr="00103D22">
        <w:rPr>
          <w:rFonts w:ascii="Times New Roman" w:hAnsi="Times New Roman"/>
        </w:rPr>
        <w:t>P</w:t>
      </w:r>
      <w:r w:rsidR="00DE027A" w:rsidRPr="00103D22">
        <w:rPr>
          <w:rFonts w:ascii="Times New Roman" w:hAnsi="Times New Roman"/>
        </w:rPr>
        <w:t>s</w:t>
      </w:r>
      <w:r w:rsidR="00687EB7" w:rsidRPr="00103D22">
        <w:rPr>
          <w:rFonts w:ascii="Times New Roman" w:hAnsi="Times New Roman"/>
        </w:rPr>
        <w:t xml:space="preserve">. </w:t>
      </w:r>
      <w:r w:rsidR="00E214CA" w:rsidRPr="00103D22">
        <w:rPr>
          <w:rFonts w:ascii="Times New Roman" w:hAnsi="Times New Roman"/>
        </w:rPr>
        <w:t xml:space="preserve">The proposal on the </w:t>
      </w:r>
      <w:r w:rsidR="008F638D" w:rsidRPr="00103D22">
        <w:rPr>
          <w:rFonts w:ascii="Times New Roman" w:hAnsi="Times New Roman"/>
        </w:rPr>
        <w:t xml:space="preserve">NRPPs </w:t>
      </w:r>
      <w:r w:rsidR="00E214CA" w:rsidRPr="00103D22">
        <w:rPr>
          <w:rFonts w:ascii="Times New Roman" w:hAnsi="Times New Roman"/>
        </w:rPr>
        <w:t xml:space="preserve">brings together </w:t>
      </w:r>
      <w:r w:rsidR="403FC12E" w:rsidRPr="00103D22">
        <w:rPr>
          <w:rFonts w:ascii="Times New Roman" w:hAnsi="Times New Roman"/>
        </w:rPr>
        <w:t xml:space="preserve">14 </w:t>
      </w:r>
      <w:r w:rsidR="00E214CA" w:rsidRPr="00103D22">
        <w:rPr>
          <w:rFonts w:ascii="Times New Roman" w:hAnsi="Times New Roman"/>
        </w:rPr>
        <w:t xml:space="preserve">separate </w:t>
      </w:r>
      <w:r w:rsidR="00786C57" w:rsidRPr="00103D22">
        <w:rPr>
          <w:rFonts w:ascii="Times New Roman" w:hAnsi="Times New Roman"/>
        </w:rPr>
        <w:t xml:space="preserve">funds and </w:t>
      </w:r>
      <w:r w:rsidR="00E214CA" w:rsidRPr="00103D22">
        <w:rPr>
          <w:rFonts w:ascii="Times New Roman" w:hAnsi="Times New Roman"/>
        </w:rPr>
        <w:t>instruments</w:t>
      </w:r>
      <w:r w:rsidR="009214CD" w:rsidRPr="00103D22">
        <w:rPr>
          <w:rFonts w:ascii="Times New Roman" w:hAnsi="Times New Roman"/>
        </w:rPr>
        <w:t xml:space="preserve"> – </w:t>
      </w:r>
      <w:r w:rsidR="00E214CA" w:rsidRPr="00103D22">
        <w:rPr>
          <w:rFonts w:ascii="Times New Roman" w:hAnsi="Times New Roman"/>
        </w:rPr>
        <w:t>which are currently implemented by distinct national and regional programmes</w:t>
      </w:r>
      <w:r w:rsidR="009214CD" w:rsidRPr="00103D22">
        <w:rPr>
          <w:rFonts w:ascii="Times New Roman" w:hAnsi="Times New Roman"/>
        </w:rPr>
        <w:t xml:space="preserve"> – </w:t>
      </w:r>
      <w:r w:rsidRPr="00103D22">
        <w:rPr>
          <w:rFonts w:ascii="Times New Roman" w:hAnsi="Times New Roman"/>
        </w:rPr>
        <w:t xml:space="preserve">under a single umbrella framework, </w:t>
      </w:r>
      <w:r w:rsidR="009214CD" w:rsidRPr="00103D22">
        <w:rPr>
          <w:rFonts w:ascii="Times New Roman" w:hAnsi="Times New Roman"/>
        </w:rPr>
        <w:t>covering</w:t>
      </w:r>
      <w:r w:rsidRPr="00103D22">
        <w:rPr>
          <w:rFonts w:ascii="Times New Roman" w:hAnsi="Times New Roman"/>
        </w:rPr>
        <w:t xml:space="preserve"> cohesion, agricultural, fisheries, migration and rural development policies. This integrated approach provides Member States with a wider toolbox to address </w:t>
      </w:r>
      <w:r w:rsidR="14BBBB65" w:rsidRPr="00103D22">
        <w:rPr>
          <w:rFonts w:ascii="Times New Roman" w:hAnsi="Times New Roman"/>
        </w:rPr>
        <w:t xml:space="preserve">social, economic and </w:t>
      </w:r>
      <w:r w:rsidRPr="00103D22">
        <w:rPr>
          <w:rFonts w:ascii="Times New Roman" w:hAnsi="Times New Roman"/>
        </w:rPr>
        <w:t>territorial challenges, including tailored support for rural areas.</w:t>
      </w:r>
      <w:r w:rsidR="2E4C2698" w:rsidRPr="00103D22">
        <w:rPr>
          <w:rFonts w:ascii="Times New Roman" w:hAnsi="Times New Roman"/>
        </w:rPr>
        <w:t xml:space="preserve"> The </w:t>
      </w:r>
      <w:r w:rsidR="57400AAD" w:rsidRPr="00103D22">
        <w:rPr>
          <w:rFonts w:ascii="Times New Roman" w:hAnsi="Times New Roman"/>
        </w:rPr>
        <w:t>provisions</w:t>
      </w:r>
      <w:r w:rsidR="2E4C2698" w:rsidRPr="00103D22">
        <w:rPr>
          <w:rFonts w:ascii="Times New Roman" w:hAnsi="Times New Roman"/>
        </w:rPr>
        <w:t xml:space="preserve"> on </w:t>
      </w:r>
      <w:r w:rsidR="271CA43B" w:rsidRPr="00103D22">
        <w:rPr>
          <w:rFonts w:ascii="Times New Roman" w:hAnsi="Times New Roman"/>
        </w:rPr>
        <w:t>t</w:t>
      </w:r>
      <w:r w:rsidR="2E4C2698" w:rsidRPr="00103D22">
        <w:rPr>
          <w:rFonts w:ascii="Times New Roman" w:hAnsi="Times New Roman"/>
        </w:rPr>
        <w:t>erritorial and local cooperation initiatives</w:t>
      </w:r>
      <w:r w:rsidR="6FE16E89" w:rsidRPr="00103D22">
        <w:rPr>
          <w:rFonts w:ascii="Times New Roman" w:hAnsi="Times New Roman"/>
        </w:rPr>
        <w:t xml:space="preserve">, including </w:t>
      </w:r>
      <w:r w:rsidR="68F6D67C" w:rsidRPr="00103D22">
        <w:rPr>
          <w:rFonts w:ascii="Times New Roman" w:hAnsi="Times New Roman"/>
        </w:rPr>
        <w:t xml:space="preserve">community-led local development, were </w:t>
      </w:r>
      <w:r w:rsidR="00073F50" w:rsidRPr="00103D22">
        <w:rPr>
          <w:rFonts w:ascii="Times New Roman" w:hAnsi="Times New Roman"/>
        </w:rPr>
        <w:t>brought together</w:t>
      </w:r>
      <w:r w:rsidR="68F6D67C" w:rsidRPr="00103D22">
        <w:rPr>
          <w:rFonts w:ascii="Times New Roman" w:hAnsi="Times New Roman"/>
        </w:rPr>
        <w:t xml:space="preserve"> in the proposed Regulation </w:t>
      </w:r>
      <w:r w:rsidR="00E0398C" w:rsidRPr="00103D22">
        <w:rPr>
          <w:rFonts w:ascii="Times New Roman" w:hAnsi="Times New Roman"/>
        </w:rPr>
        <w:t>establishing the European Fund for economic, social and territorial cohesion, agriculture and rural, fisheries and maritime, prosperity and security for 2028-2034</w:t>
      </w:r>
      <w:r w:rsidR="68F6D67C" w:rsidRPr="00103D22">
        <w:rPr>
          <w:rFonts w:ascii="Times New Roman" w:hAnsi="Times New Roman"/>
        </w:rPr>
        <w:t>.</w:t>
      </w:r>
    </w:p>
    <w:p w14:paraId="54333089" w14:textId="7E33B598" w:rsidR="00F211D2" w:rsidRPr="00103D22" w:rsidDel="00A51C35" w:rsidRDefault="00F211D2" w:rsidP="001E5EC7">
      <w:pPr>
        <w:widowControl w:val="0"/>
        <w:spacing w:before="120" w:after="0"/>
        <w:rPr>
          <w:rFonts w:ascii="Times New Roman" w:hAnsi="Times New Roman"/>
        </w:rPr>
      </w:pPr>
      <w:r w:rsidRPr="00103D22">
        <w:rPr>
          <w:rFonts w:ascii="Times New Roman" w:hAnsi="Times New Roman"/>
        </w:rPr>
        <w:t xml:space="preserve">In addition, projects awarded a </w:t>
      </w:r>
      <w:r w:rsidR="4AE855AB" w:rsidRPr="00103D22">
        <w:rPr>
          <w:rFonts w:ascii="Times New Roman" w:hAnsi="Times New Roman"/>
        </w:rPr>
        <w:t xml:space="preserve">Seal of Excellence or a Sovereignty Seal in the 2021 to 2027 programming period and Seals granted under Union programmes implemented in direct management in the 2028-2034 period </w:t>
      </w:r>
      <w:r w:rsidRPr="00103D22">
        <w:rPr>
          <w:rFonts w:ascii="Times New Roman" w:hAnsi="Times New Roman"/>
        </w:rPr>
        <w:t xml:space="preserve">may be financed in Member States’ </w:t>
      </w:r>
      <w:r w:rsidR="00E06C46" w:rsidRPr="00103D22">
        <w:rPr>
          <w:rFonts w:ascii="Times New Roman" w:hAnsi="Times New Roman"/>
        </w:rPr>
        <w:t xml:space="preserve">NRPPs </w:t>
      </w:r>
      <w:r w:rsidR="00CF14AD" w:rsidRPr="00103D22">
        <w:rPr>
          <w:rFonts w:ascii="Times New Roman" w:hAnsi="Times New Roman"/>
        </w:rPr>
        <w:t>to encourage further synergies.</w:t>
      </w:r>
    </w:p>
    <w:p w14:paraId="31BA72A5" w14:textId="6A94B710" w:rsidR="003E0A19" w:rsidRPr="00103D22" w:rsidRDefault="003F2B7C" w:rsidP="001E5EC7">
      <w:pPr>
        <w:widowControl w:val="0"/>
        <w:spacing w:before="120" w:after="0"/>
        <w:rPr>
          <w:rFonts w:ascii="Times New Roman" w:hAnsi="Times New Roman"/>
        </w:rPr>
      </w:pPr>
      <w:r w:rsidRPr="00103D22">
        <w:rPr>
          <w:rFonts w:ascii="Times New Roman" w:hAnsi="Times New Roman"/>
        </w:rPr>
        <w:t xml:space="preserve">The Commission shares </w:t>
      </w:r>
      <w:r w:rsidR="63FF4876" w:rsidRPr="00103D22">
        <w:rPr>
          <w:rFonts w:ascii="Times New Roman" w:hAnsi="Times New Roman"/>
        </w:rPr>
        <w:t xml:space="preserve">the </w:t>
      </w:r>
      <w:r w:rsidR="00E06C46" w:rsidRPr="00103D22">
        <w:rPr>
          <w:rFonts w:ascii="Times New Roman" w:hAnsi="Times New Roman"/>
        </w:rPr>
        <w:t xml:space="preserve">European </w:t>
      </w:r>
      <w:r w:rsidRPr="00103D22">
        <w:rPr>
          <w:rFonts w:ascii="Times New Roman" w:hAnsi="Times New Roman"/>
        </w:rPr>
        <w:t>Parliament’s objective of maximising the impact of EU funding and will continue to assess complementarities between cohesion policy and sectoral programmes. The integrated programming framework proposed for 2028</w:t>
      </w:r>
      <w:r w:rsidR="00F83A46" w:rsidRPr="00103D22">
        <w:rPr>
          <w:rFonts w:ascii="Times New Roman" w:hAnsi="Times New Roman"/>
        </w:rPr>
        <w:t>-</w:t>
      </w:r>
      <w:r w:rsidRPr="00103D22">
        <w:rPr>
          <w:rFonts w:ascii="Times New Roman" w:hAnsi="Times New Roman"/>
        </w:rPr>
        <w:t>2034 represents a significant step forward in this regard, ensuring coherent and effective delivery across policies within a streamlined and flexible budgetary framework.</w:t>
      </w:r>
    </w:p>
    <w:p w14:paraId="09E291AB" w14:textId="5C0731C2" w:rsidR="002F4A9B" w:rsidRPr="00103D22" w:rsidRDefault="002F4A9B" w:rsidP="001E5EC7">
      <w:pPr>
        <w:widowControl w:val="0"/>
        <w:spacing w:before="120" w:after="0"/>
        <w:rPr>
          <w:rFonts w:ascii="Times New Roman" w:hAnsi="Times New Roman"/>
          <w:i/>
          <w:iCs/>
        </w:rPr>
      </w:pPr>
      <w:r w:rsidRPr="00103D22">
        <w:rPr>
          <w:rFonts w:ascii="Times New Roman" w:hAnsi="Times New Roman"/>
          <w:i/>
          <w:iCs/>
        </w:rPr>
        <w:t xml:space="preserve">Paragraphs 3, 9, 31 </w:t>
      </w:r>
      <w:r w:rsidR="00FA105F" w:rsidRPr="00103D22">
        <w:rPr>
          <w:rFonts w:ascii="Times New Roman" w:hAnsi="Times New Roman"/>
          <w:i/>
          <w:iCs/>
        </w:rPr>
        <w:t>–</w:t>
      </w:r>
      <w:r w:rsidRPr="00103D22">
        <w:rPr>
          <w:rFonts w:ascii="Times New Roman" w:hAnsi="Times New Roman"/>
          <w:i/>
          <w:iCs/>
        </w:rPr>
        <w:t xml:space="preserve"> </w:t>
      </w:r>
      <w:r w:rsidR="00CE7DE9" w:rsidRPr="00103D22">
        <w:rPr>
          <w:rFonts w:ascii="Times New Roman" w:hAnsi="Times New Roman"/>
          <w:i/>
          <w:iCs/>
        </w:rPr>
        <w:t>Multi-level governance and p</w:t>
      </w:r>
      <w:r w:rsidRPr="00103D22">
        <w:rPr>
          <w:rFonts w:ascii="Times New Roman" w:hAnsi="Times New Roman"/>
          <w:i/>
          <w:iCs/>
        </w:rPr>
        <w:t>artnership principle</w:t>
      </w:r>
    </w:p>
    <w:p w14:paraId="70A54E94" w14:textId="20CA7637" w:rsidR="0072327F" w:rsidRPr="00103D22" w:rsidRDefault="00D01342" w:rsidP="001E5EC7">
      <w:pPr>
        <w:widowControl w:val="0"/>
        <w:spacing w:before="120" w:after="0"/>
        <w:rPr>
          <w:rFonts w:ascii="Times New Roman" w:hAnsi="Times New Roman"/>
          <w:bCs/>
          <w:szCs w:val="24"/>
        </w:rPr>
      </w:pPr>
      <w:r w:rsidRPr="00103D22">
        <w:rPr>
          <w:rFonts w:ascii="Times New Roman" w:hAnsi="Times New Roman"/>
          <w:bCs/>
          <w:szCs w:val="24"/>
        </w:rPr>
        <w:t xml:space="preserve">The Commission </w:t>
      </w:r>
      <w:r w:rsidR="00136AB7" w:rsidRPr="00103D22">
        <w:rPr>
          <w:rFonts w:ascii="Times New Roman" w:hAnsi="Times New Roman"/>
          <w:bCs/>
          <w:szCs w:val="24"/>
        </w:rPr>
        <w:t>welcomes</w:t>
      </w:r>
      <w:r w:rsidRPr="00103D22">
        <w:rPr>
          <w:rFonts w:ascii="Times New Roman" w:hAnsi="Times New Roman"/>
          <w:bCs/>
          <w:szCs w:val="24"/>
        </w:rPr>
        <w:t xml:space="preserve"> </w:t>
      </w:r>
      <w:r w:rsidR="00786C57" w:rsidRPr="00103D22">
        <w:rPr>
          <w:rFonts w:ascii="Times New Roman" w:hAnsi="Times New Roman"/>
          <w:bCs/>
          <w:szCs w:val="24"/>
        </w:rPr>
        <w:t>the</w:t>
      </w:r>
      <w:r w:rsidR="00E06C46" w:rsidRPr="00103D22">
        <w:rPr>
          <w:rFonts w:ascii="Times New Roman" w:hAnsi="Times New Roman"/>
          <w:bCs/>
          <w:szCs w:val="24"/>
        </w:rPr>
        <w:t xml:space="preserve"> European</w:t>
      </w:r>
      <w:r w:rsidR="00786C57" w:rsidRPr="00103D22">
        <w:rPr>
          <w:rFonts w:ascii="Times New Roman" w:hAnsi="Times New Roman"/>
          <w:bCs/>
          <w:szCs w:val="24"/>
        </w:rPr>
        <w:t xml:space="preserve"> </w:t>
      </w:r>
      <w:r w:rsidRPr="00103D22">
        <w:rPr>
          <w:rFonts w:ascii="Times New Roman" w:hAnsi="Times New Roman"/>
          <w:bCs/>
          <w:szCs w:val="24"/>
        </w:rPr>
        <w:t xml:space="preserve">Parliament’s calls to strengthen multi-level governance and the partnership principle in the </w:t>
      </w:r>
      <w:r w:rsidR="00F6737F" w:rsidRPr="00103D22">
        <w:rPr>
          <w:rFonts w:ascii="Times New Roman" w:hAnsi="Times New Roman"/>
          <w:bCs/>
          <w:szCs w:val="24"/>
        </w:rPr>
        <w:t>next</w:t>
      </w:r>
      <w:r w:rsidRPr="00103D22">
        <w:rPr>
          <w:rFonts w:ascii="Times New Roman" w:hAnsi="Times New Roman"/>
          <w:bCs/>
          <w:szCs w:val="24"/>
        </w:rPr>
        <w:t xml:space="preserve"> cohesion policy framework. The legislative proposals for the 2028</w:t>
      </w:r>
      <w:r w:rsidR="00F6737F" w:rsidRPr="00103D22">
        <w:rPr>
          <w:rFonts w:ascii="Times New Roman" w:hAnsi="Times New Roman"/>
          <w:bCs/>
          <w:szCs w:val="24"/>
        </w:rPr>
        <w:t>-</w:t>
      </w:r>
      <w:r w:rsidRPr="00103D22">
        <w:rPr>
          <w:rFonts w:ascii="Times New Roman" w:hAnsi="Times New Roman"/>
          <w:bCs/>
          <w:szCs w:val="24"/>
        </w:rPr>
        <w:t xml:space="preserve">2034 period confirm that partnership, shared management and a place-based approach will remain key </w:t>
      </w:r>
      <w:r w:rsidR="004E3660" w:rsidRPr="00103D22">
        <w:rPr>
          <w:rFonts w:ascii="Times New Roman" w:hAnsi="Times New Roman"/>
          <w:bCs/>
          <w:szCs w:val="24"/>
        </w:rPr>
        <w:t>element</w:t>
      </w:r>
      <w:r w:rsidRPr="00103D22">
        <w:rPr>
          <w:rFonts w:ascii="Times New Roman" w:hAnsi="Times New Roman"/>
          <w:bCs/>
          <w:szCs w:val="24"/>
        </w:rPr>
        <w:t xml:space="preserve">s </w:t>
      </w:r>
      <w:r w:rsidR="00BE0AA9" w:rsidRPr="00103D22">
        <w:rPr>
          <w:rFonts w:ascii="Times New Roman" w:hAnsi="Times New Roman"/>
          <w:bCs/>
          <w:szCs w:val="24"/>
        </w:rPr>
        <w:t xml:space="preserve">for the </w:t>
      </w:r>
      <w:r w:rsidR="004E3660" w:rsidRPr="00103D22">
        <w:rPr>
          <w:rFonts w:ascii="Times New Roman" w:hAnsi="Times New Roman"/>
          <w:bCs/>
          <w:szCs w:val="24"/>
        </w:rPr>
        <w:t xml:space="preserve">achievement </w:t>
      </w:r>
      <w:r w:rsidRPr="00103D22">
        <w:rPr>
          <w:rFonts w:ascii="Times New Roman" w:hAnsi="Times New Roman"/>
          <w:bCs/>
          <w:szCs w:val="24"/>
        </w:rPr>
        <w:t>of cohesion policy</w:t>
      </w:r>
      <w:r w:rsidR="004E3660" w:rsidRPr="00103D22">
        <w:rPr>
          <w:rFonts w:ascii="Times New Roman" w:hAnsi="Times New Roman"/>
          <w:bCs/>
          <w:szCs w:val="24"/>
        </w:rPr>
        <w:t xml:space="preserve"> objectives</w:t>
      </w:r>
      <w:r w:rsidRPr="00103D22">
        <w:rPr>
          <w:rFonts w:ascii="Times New Roman" w:hAnsi="Times New Roman"/>
          <w:bCs/>
          <w:szCs w:val="24"/>
        </w:rPr>
        <w:t xml:space="preserve">. </w:t>
      </w:r>
    </w:p>
    <w:p w14:paraId="08740FE0" w14:textId="2C6FDA70" w:rsidR="0072327F" w:rsidRPr="00103D22" w:rsidRDefault="00D01342" w:rsidP="001E5EC7">
      <w:pPr>
        <w:widowControl w:val="0"/>
        <w:spacing w:before="120" w:after="0"/>
        <w:rPr>
          <w:rFonts w:ascii="Times New Roman" w:hAnsi="Times New Roman"/>
        </w:rPr>
      </w:pPr>
      <w:r w:rsidRPr="00103D22">
        <w:rPr>
          <w:rFonts w:ascii="Times New Roman" w:hAnsi="Times New Roman"/>
        </w:rPr>
        <w:t xml:space="preserve">The </w:t>
      </w:r>
      <w:r w:rsidR="00DE027A" w:rsidRPr="00103D22">
        <w:rPr>
          <w:rFonts w:ascii="Times New Roman" w:hAnsi="Times New Roman"/>
        </w:rPr>
        <w:t>NRP</w:t>
      </w:r>
      <w:r w:rsidR="3EFAD187" w:rsidRPr="00103D22">
        <w:rPr>
          <w:rFonts w:ascii="Times New Roman" w:hAnsi="Times New Roman"/>
        </w:rPr>
        <w:t>P</w:t>
      </w:r>
      <w:r w:rsidR="00DE027A" w:rsidRPr="00103D22">
        <w:rPr>
          <w:rFonts w:ascii="Times New Roman" w:hAnsi="Times New Roman"/>
        </w:rPr>
        <w:t>s</w:t>
      </w:r>
      <w:r w:rsidRPr="00103D22">
        <w:rPr>
          <w:rFonts w:ascii="Times New Roman" w:hAnsi="Times New Roman"/>
        </w:rPr>
        <w:t xml:space="preserve"> provide a platform for </w:t>
      </w:r>
      <w:r w:rsidR="00786C57" w:rsidRPr="00103D22">
        <w:rPr>
          <w:rFonts w:ascii="Times New Roman" w:hAnsi="Times New Roman"/>
        </w:rPr>
        <w:t xml:space="preserve">enhanced policy coordination and effective </w:t>
      </w:r>
      <w:r w:rsidRPr="00103D22">
        <w:rPr>
          <w:rFonts w:ascii="Times New Roman" w:hAnsi="Times New Roman"/>
        </w:rPr>
        <w:t xml:space="preserve">governance </w:t>
      </w:r>
      <w:r w:rsidR="00786C57" w:rsidRPr="00103D22">
        <w:rPr>
          <w:rFonts w:ascii="Times New Roman" w:hAnsi="Times New Roman"/>
        </w:rPr>
        <w:t>arrangements</w:t>
      </w:r>
      <w:r w:rsidRPr="00103D22">
        <w:rPr>
          <w:rFonts w:ascii="Times New Roman" w:hAnsi="Times New Roman"/>
        </w:rPr>
        <w:t xml:space="preserve"> </w:t>
      </w:r>
      <w:r w:rsidR="00B51422" w:rsidRPr="00103D22">
        <w:rPr>
          <w:rFonts w:ascii="Times New Roman" w:hAnsi="Times New Roman"/>
        </w:rPr>
        <w:t>within</w:t>
      </w:r>
      <w:r w:rsidRPr="00103D22">
        <w:rPr>
          <w:rFonts w:ascii="Times New Roman" w:hAnsi="Times New Roman"/>
        </w:rPr>
        <w:t xml:space="preserve"> Member State</w:t>
      </w:r>
      <w:r w:rsidR="00B51422" w:rsidRPr="00103D22">
        <w:rPr>
          <w:rFonts w:ascii="Times New Roman" w:hAnsi="Times New Roman"/>
        </w:rPr>
        <w:t>s</w:t>
      </w:r>
      <w:r w:rsidRPr="00103D22">
        <w:rPr>
          <w:rFonts w:ascii="Times New Roman" w:hAnsi="Times New Roman"/>
        </w:rPr>
        <w:t xml:space="preserve">. </w:t>
      </w:r>
      <w:r w:rsidR="0072327F" w:rsidRPr="00103D22">
        <w:rPr>
          <w:rFonts w:ascii="Times New Roman" w:hAnsi="Times New Roman"/>
        </w:rPr>
        <w:t xml:space="preserve">Regions will continue to </w:t>
      </w:r>
      <w:r w:rsidR="0058624B">
        <w:rPr>
          <w:rFonts w:ascii="Times New Roman" w:hAnsi="Times New Roman"/>
        </w:rPr>
        <w:t xml:space="preserve">be fully involved in the preparation, implementation and evaluation of the NRP Plans. </w:t>
      </w:r>
    </w:p>
    <w:p w14:paraId="7B24064B" w14:textId="144A2471" w:rsidR="00631610" w:rsidRPr="00103D22" w:rsidRDefault="00631610" w:rsidP="001E5EC7">
      <w:pPr>
        <w:widowControl w:val="0"/>
        <w:spacing w:before="120" w:after="0"/>
        <w:rPr>
          <w:rFonts w:ascii="Times New Roman" w:hAnsi="Times New Roman"/>
        </w:rPr>
      </w:pPr>
      <w:r w:rsidRPr="00103D22">
        <w:rPr>
          <w:rFonts w:ascii="Times New Roman" w:hAnsi="Times New Roman"/>
        </w:rPr>
        <w:t xml:space="preserve">The preparation and implementation of the </w:t>
      </w:r>
      <w:r w:rsidR="00E06C46" w:rsidRPr="00103D22">
        <w:rPr>
          <w:rFonts w:ascii="Times New Roman" w:hAnsi="Times New Roman"/>
        </w:rPr>
        <w:t xml:space="preserve">NRPPs </w:t>
      </w:r>
      <w:r w:rsidRPr="00103D22">
        <w:rPr>
          <w:rFonts w:ascii="Times New Roman" w:hAnsi="Times New Roman"/>
        </w:rPr>
        <w:t>require the</w:t>
      </w:r>
      <w:r w:rsidR="00C43DC2" w:rsidRPr="00103D22">
        <w:rPr>
          <w:rFonts w:ascii="Times New Roman" w:hAnsi="Times New Roman"/>
        </w:rPr>
        <w:t xml:space="preserve"> active</w:t>
      </w:r>
      <w:r w:rsidRPr="00103D22">
        <w:rPr>
          <w:rFonts w:ascii="Times New Roman" w:hAnsi="Times New Roman"/>
        </w:rPr>
        <w:t xml:space="preserve"> involvement of local and regional authorities, together with relevant partners and stakeholders such as civil society organisations, SMEs, research institutions and social partners</w:t>
      </w:r>
      <w:r w:rsidR="00D01342" w:rsidRPr="00103D22">
        <w:rPr>
          <w:rFonts w:ascii="Times New Roman" w:hAnsi="Times New Roman"/>
        </w:rPr>
        <w:t xml:space="preserve">. </w:t>
      </w:r>
      <w:r w:rsidR="00C43DC2" w:rsidRPr="00103D22">
        <w:rPr>
          <w:rFonts w:ascii="Times New Roman" w:hAnsi="Times New Roman"/>
        </w:rPr>
        <w:t>Thanks t</w:t>
      </w:r>
      <w:r w:rsidR="00D01342" w:rsidRPr="00103D22">
        <w:rPr>
          <w:rFonts w:ascii="Times New Roman" w:hAnsi="Times New Roman"/>
        </w:rPr>
        <w:t>o their expertise and proximity, these actors play a crucial role in the design, management, implementation and monitoring of supported measures.</w:t>
      </w:r>
    </w:p>
    <w:p w14:paraId="5F1F6B4A" w14:textId="09DBB557" w:rsidR="003D6ED2" w:rsidRPr="00103D22" w:rsidRDefault="4B227E8B" w:rsidP="001E5EC7">
      <w:pPr>
        <w:widowControl w:val="0"/>
        <w:spacing w:before="120" w:after="0"/>
        <w:rPr>
          <w:rFonts w:ascii="Times New Roman" w:hAnsi="Times New Roman"/>
        </w:rPr>
      </w:pPr>
      <w:r w:rsidRPr="00103D22">
        <w:rPr>
          <w:rFonts w:ascii="Times New Roman" w:hAnsi="Times New Roman"/>
        </w:rPr>
        <w:t xml:space="preserve">In their </w:t>
      </w:r>
      <w:r w:rsidR="00E06C46" w:rsidRPr="00103D22">
        <w:rPr>
          <w:rFonts w:ascii="Times New Roman" w:hAnsi="Times New Roman"/>
        </w:rPr>
        <w:t xml:space="preserve">NRPPs </w:t>
      </w:r>
      <w:r w:rsidRPr="00103D22">
        <w:rPr>
          <w:rFonts w:ascii="Times New Roman" w:hAnsi="Times New Roman"/>
        </w:rPr>
        <w:t>, Member States have to provide a summary of all actions ensuring the involvement of partners, including the consultation and dialogue process conducted for the preparation of the Plan and each chapter, and an explanation on which stakeholders have been consulted, how these were selected, how their representation has been ensured and how their input is reflected in the Plan in line with the</w:t>
      </w:r>
      <w:r w:rsidR="6743672B" w:rsidRPr="00103D22">
        <w:rPr>
          <w:rFonts w:ascii="Times New Roman" w:hAnsi="Times New Roman"/>
        </w:rPr>
        <w:t xml:space="preserve"> European</w:t>
      </w:r>
      <w:r w:rsidRPr="00103D22">
        <w:rPr>
          <w:rFonts w:ascii="Times New Roman" w:hAnsi="Times New Roman"/>
        </w:rPr>
        <w:t xml:space="preserve"> Code of Conduct on Partnership. That will be assessed by the Commission before adoption. </w:t>
      </w:r>
      <w:r w:rsidR="00D01342" w:rsidRPr="00103D22">
        <w:rPr>
          <w:rFonts w:ascii="Times New Roman" w:hAnsi="Times New Roman"/>
        </w:rPr>
        <w:t xml:space="preserve">The Commission underlines that the </w:t>
      </w:r>
      <w:r w:rsidR="00D01342" w:rsidRPr="00103D22">
        <w:rPr>
          <w:rFonts w:ascii="Times New Roman" w:hAnsi="Times New Roman"/>
        </w:rPr>
        <w:lastRenderedPageBreak/>
        <w:t>Code of Conduct, in place since 2014, will continue to apply to the preparation and implementation of the</w:t>
      </w:r>
      <w:r w:rsidR="00D5145E" w:rsidRPr="00103D22">
        <w:rPr>
          <w:rFonts w:ascii="Times New Roman" w:hAnsi="Times New Roman"/>
        </w:rPr>
        <w:t xml:space="preserve"> NRPPs</w:t>
      </w:r>
      <w:r w:rsidR="0075527B" w:rsidRPr="00103D22">
        <w:rPr>
          <w:rFonts w:ascii="Times New Roman" w:hAnsi="Times New Roman"/>
        </w:rPr>
        <w:t xml:space="preserve">, including </w:t>
      </w:r>
      <w:r w:rsidR="00C43DC2" w:rsidRPr="00103D22">
        <w:rPr>
          <w:rFonts w:ascii="Times New Roman" w:hAnsi="Times New Roman"/>
        </w:rPr>
        <w:t xml:space="preserve">in </w:t>
      </w:r>
      <w:r w:rsidR="00786C57" w:rsidRPr="00103D22">
        <w:rPr>
          <w:rFonts w:ascii="Times New Roman" w:hAnsi="Times New Roman"/>
        </w:rPr>
        <w:t xml:space="preserve">all policy </w:t>
      </w:r>
      <w:r w:rsidR="00C43DC2" w:rsidRPr="00103D22">
        <w:rPr>
          <w:rFonts w:ascii="Times New Roman" w:hAnsi="Times New Roman"/>
        </w:rPr>
        <w:t xml:space="preserve">areas </w:t>
      </w:r>
      <w:r w:rsidR="00786C57" w:rsidRPr="00103D22">
        <w:rPr>
          <w:rFonts w:ascii="Times New Roman" w:hAnsi="Times New Roman"/>
        </w:rPr>
        <w:t xml:space="preserve">covered by the </w:t>
      </w:r>
      <w:r w:rsidR="00D5145E" w:rsidRPr="00103D22">
        <w:rPr>
          <w:rFonts w:ascii="Times New Roman" w:hAnsi="Times New Roman"/>
        </w:rPr>
        <w:t>NRPPs</w:t>
      </w:r>
      <w:r w:rsidR="00D01342" w:rsidRPr="00103D22">
        <w:rPr>
          <w:rFonts w:ascii="Times New Roman" w:hAnsi="Times New Roman"/>
        </w:rPr>
        <w:t xml:space="preserve">. It </w:t>
      </w:r>
      <w:r w:rsidR="00C43DC2" w:rsidRPr="00103D22">
        <w:rPr>
          <w:rFonts w:ascii="Times New Roman" w:hAnsi="Times New Roman"/>
        </w:rPr>
        <w:t>sets out</w:t>
      </w:r>
      <w:r w:rsidR="00D01342" w:rsidRPr="00103D22">
        <w:rPr>
          <w:rFonts w:ascii="Times New Roman" w:hAnsi="Times New Roman"/>
        </w:rPr>
        <w:t xml:space="preserve"> common standards for enhanced partnership in Member States and ensures a binding framework for the consultation and involvement of stakeholders. The Commission will strictly enforce the partnership principle in line </w:t>
      </w:r>
      <w:r w:rsidR="002C7DAE" w:rsidRPr="00103D22">
        <w:rPr>
          <w:rFonts w:ascii="Times New Roman" w:hAnsi="Times New Roman"/>
        </w:rPr>
        <w:t xml:space="preserve">with the </w:t>
      </w:r>
      <w:r w:rsidR="00D01342" w:rsidRPr="00103D22">
        <w:rPr>
          <w:rFonts w:ascii="Times New Roman" w:hAnsi="Times New Roman"/>
        </w:rPr>
        <w:t>Regulation, thereby guaranteeing effective multi-level governance and strengthening accountability in the use of EU funds.</w:t>
      </w:r>
    </w:p>
    <w:p w14:paraId="4DF1F954" w14:textId="501FD079" w:rsidR="003D6ED2" w:rsidRPr="00103D22" w:rsidRDefault="003D6ED2" w:rsidP="001E5EC7">
      <w:pPr>
        <w:widowControl w:val="0"/>
        <w:spacing w:before="120" w:after="0"/>
        <w:rPr>
          <w:rFonts w:ascii="Times New Roman" w:hAnsi="Times New Roman"/>
          <w:i/>
          <w:iCs/>
        </w:rPr>
      </w:pPr>
      <w:r w:rsidRPr="00103D22">
        <w:rPr>
          <w:rFonts w:ascii="Times New Roman" w:hAnsi="Times New Roman"/>
          <w:i/>
          <w:iCs/>
        </w:rPr>
        <w:t>Paragraph 18 – European Semester</w:t>
      </w:r>
    </w:p>
    <w:p w14:paraId="797A81C4" w14:textId="43A792F2" w:rsidR="003966F6" w:rsidRPr="00103D22" w:rsidRDefault="003966F6" w:rsidP="001E5EC7">
      <w:pPr>
        <w:widowControl w:val="0"/>
        <w:spacing w:before="120" w:after="0"/>
        <w:rPr>
          <w:rFonts w:ascii="Times New Roman" w:hAnsi="Times New Roman"/>
        </w:rPr>
      </w:pPr>
      <w:r w:rsidRPr="00103D22">
        <w:rPr>
          <w:rFonts w:ascii="Times New Roman" w:hAnsi="Times New Roman"/>
        </w:rPr>
        <w:t xml:space="preserve">The Commission </w:t>
      </w:r>
      <w:r w:rsidR="00091992" w:rsidRPr="00103D22">
        <w:rPr>
          <w:rFonts w:ascii="Times New Roman" w:hAnsi="Times New Roman"/>
        </w:rPr>
        <w:t>acknowledges</w:t>
      </w:r>
      <w:r w:rsidRPr="00103D22">
        <w:rPr>
          <w:rFonts w:ascii="Times New Roman" w:hAnsi="Times New Roman"/>
        </w:rPr>
        <w:t xml:space="preserve"> </w:t>
      </w:r>
      <w:r w:rsidR="34FCC3E6" w:rsidRPr="00103D22">
        <w:rPr>
          <w:rFonts w:ascii="Times New Roman" w:hAnsi="Times New Roman"/>
        </w:rPr>
        <w:t xml:space="preserve">the </w:t>
      </w:r>
      <w:r w:rsidR="00FD3F32" w:rsidRPr="00103D22">
        <w:rPr>
          <w:rFonts w:ascii="Times New Roman" w:hAnsi="Times New Roman"/>
        </w:rPr>
        <w:t xml:space="preserve">European </w:t>
      </w:r>
      <w:r w:rsidRPr="00103D22">
        <w:rPr>
          <w:rFonts w:ascii="Times New Roman" w:hAnsi="Times New Roman"/>
        </w:rPr>
        <w:t xml:space="preserve">Parliament’s call to explore the inclusion of a territorial and governance impact assessment in the European Semester. </w:t>
      </w:r>
      <w:r w:rsidR="12B959FB" w:rsidRPr="00103D22">
        <w:rPr>
          <w:rFonts w:ascii="Times New Roman" w:hAnsi="Times New Roman"/>
        </w:rPr>
        <w:t xml:space="preserve">The considerations linked to economic, social and territorial cohesion are relevant for the European Semester and the Commission has enhanced the territorial dimension of the European Semester over the past years. The Commission plans to continue reinforcing the </w:t>
      </w:r>
      <w:r w:rsidR="008D57AC" w:rsidRPr="00103D22">
        <w:rPr>
          <w:rFonts w:ascii="Times New Roman" w:hAnsi="Times New Roman"/>
        </w:rPr>
        <w:t>regional dimension of</w:t>
      </w:r>
      <w:r w:rsidR="12B959FB" w:rsidRPr="00103D22">
        <w:rPr>
          <w:rFonts w:ascii="Times New Roman" w:hAnsi="Times New Roman"/>
        </w:rPr>
        <w:t xml:space="preserve"> the European Semester to provide deeper insight into territorial disparities, challenges, and opportunities as well as investment and reform needs at subnational level</w:t>
      </w:r>
      <w:r w:rsidR="00934374">
        <w:rPr>
          <w:rFonts w:ascii="Times New Roman" w:hAnsi="Times New Roman"/>
        </w:rPr>
        <w:t>.</w:t>
      </w:r>
      <w:r w:rsidR="12B959FB" w:rsidRPr="00103D22">
        <w:rPr>
          <w:rFonts w:ascii="Times New Roman" w:hAnsi="Times New Roman"/>
        </w:rPr>
        <w:t xml:space="preserve"> </w:t>
      </w:r>
    </w:p>
    <w:p w14:paraId="6B391162" w14:textId="5D46E007" w:rsidR="003966F6" w:rsidRPr="00103D22" w:rsidRDefault="003966F6" w:rsidP="001E5EC7">
      <w:pPr>
        <w:widowControl w:val="0"/>
        <w:spacing w:before="120" w:after="0"/>
        <w:rPr>
          <w:rFonts w:ascii="Times New Roman" w:hAnsi="Times New Roman"/>
        </w:rPr>
      </w:pPr>
      <w:r w:rsidRPr="00103D22">
        <w:rPr>
          <w:rFonts w:ascii="Times New Roman" w:hAnsi="Times New Roman"/>
        </w:rPr>
        <w:t xml:space="preserve">The </w:t>
      </w:r>
      <w:r w:rsidR="00DE027A" w:rsidRPr="00103D22">
        <w:rPr>
          <w:rFonts w:ascii="Times New Roman" w:hAnsi="Times New Roman"/>
        </w:rPr>
        <w:t>NRP</w:t>
      </w:r>
      <w:r w:rsidR="634C40B5" w:rsidRPr="00103D22">
        <w:rPr>
          <w:rFonts w:ascii="Times New Roman" w:hAnsi="Times New Roman"/>
        </w:rPr>
        <w:t>P</w:t>
      </w:r>
      <w:r w:rsidR="00DE027A" w:rsidRPr="00103D22">
        <w:rPr>
          <w:rFonts w:ascii="Times New Roman" w:hAnsi="Times New Roman"/>
        </w:rPr>
        <w:t>s</w:t>
      </w:r>
      <w:r w:rsidRPr="00103D22">
        <w:rPr>
          <w:rFonts w:ascii="Times New Roman" w:hAnsi="Times New Roman"/>
        </w:rPr>
        <w:t xml:space="preserve"> are designed to become the main platform for translating EU priorities into concrete actions at national and regional levels. They are expected to address both the objectives set out in the Regulation and the specific national and regional challenges identified through the European Semester.</w:t>
      </w:r>
    </w:p>
    <w:p w14:paraId="7345699B" w14:textId="269A07A9" w:rsidR="003D6ED2" w:rsidRPr="00103D22" w:rsidRDefault="003966F6" w:rsidP="001E5EC7">
      <w:pPr>
        <w:widowControl w:val="0"/>
        <w:spacing w:before="120" w:after="0"/>
        <w:rPr>
          <w:rFonts w:ascii="Times New Roman" w:hAnsi="Times New Roman"/>
        </w:rPr>
      </w:pPr>
      <w:r w:rsidRPr="0F50A82D">
        <w:rPr>
          <w:rFonts w:ascii="Times New Roman" w:hAnsi="Times New Roman"/>
        </w:rPr>
        <w:t xml:space="preserve">This differentiated approach allows for responses tailored to the needs of each Member State and region, ensuring that cohesion policy contributes effectively to territorial development. </w:t>
      </w:r>
      <w:r w:rsidR="005870C8" w:rsidRPr="0F50A82D">
        <w:rPr>
          <w:rFonts w:ascii="Times New Roman" w:hAnsi="Times New Roman"/>
        </w:rPr>
        <w:t>In line with Article 22 of the proposed NRP Regulation, each NRP Plan needs to fulfil a set of requirements. The Plans have to effectively address all or a significant subset of challenges identified in the context of European Semester, CAP recommendations, Digital Decade recommendations, documents and strategies in the field of internal security, European integrated border management, visa policy and asylum and migration</w:t>
      </w:r>
      <w:r w:rsidR="7D6BBF79" w:rsidRPr="0F50A82D">
        <w:rPr>
          <w:rFonts w:ascii="Times New Roman" w:hAnsi="Times New Roman"/>
        </w:rPr>
        <w:t>,</w:t>
      </w:r>
      <w:r w:rsidR="005870C8" w:rsidRPr="0F50A82D">
        <w:rPr>
          <w:rFonts w:ascii="Times New Roman" w:hAnsi="Times New Roman"/>
        </w:rPr>
        <w:t xml:space="preserve"> and to also fulfil other requirements related to elements of the policy framework set out in the proposal, ensuring alignment between EU priorities and implementation at national and regional levels.</w:t>
      </w:r>
      <w:r w:rsidR="71896852" w:rsidRPr="0F50A82D">
        <w:rPr>
          <w:rFonts w:ascii="Times New Roman" w:hAnsi="Times New Roman"/>
        </w:rPr>
        <w:t xml:space="preserve"> </w:t>
      </w:r>
      <w:r w:rsidR="00653B69" w:rsidRPr="0F50A82D">
        <w:rPr>
          <w:rFonts w:ascii="Times New Roman" w:hAnsi="Times New Roman"/>
        </w:rPr>
        <w:t>The Commission will</w:t>
      </w:r>
      <w:r w:rsidR="005870C8" w:rsidRPr="0F50A82D">
        <w:rPr>
          <w:rFonts w:ascii="Times New Roman" w:hAnsi="Times New Roman"/>
        </w:rPr>
        <w:t xml:space="preserve"> assess the NRPs</w:t>
      </w:r>
      <w:r w:rsidR="00653B69" w:rsidRPr="0F50A82D">
        <w:rPr>
          <w:rFonts w:ascii="Times New Roman" w:hAnsi="Times New Roman"/>
        </w:rPr>
        <w:t xml:space="preserve"> </w:t>
      </w:r>
      <w:r w:rsidR="005870C8" w:rsidRPr="0F50A82D">
        <w:rPr>
          <w:rFonts w:ascii="Times New Roman" w:hAnsi="Times New Roman"/>
        </w:rPr>
        <w:t xml:space="preserve">as submitted by the Member States against these requirements. </w:t>
      </w:r>
    </w:p>
    <w:p w14:paraId="37C89682" w14:textId="22A43805" w:rsidR="003D6ED2" w:rsidRPr="00103D22" w:rsidRDefault="003D6ED2" w:rsidP="001E5EC7">
      <w:pPr>
        <w:widowControl w:val="0"/>
        <w:spacing w:before="120" w:after="0"/>
        <w:rPr>
          <w:rFonts w:ascii="Times New Roman" w:hAnsi="Times New Roman"/>
          <w:i/>
          <w:iCs/>
        </w:rPr>
      </w:pPr>
      <w:r w:rsidRPr="00103D22">
        <w:rPr>
          <w:rFonts w:ascii="Times New Roman" w:hAnsi="Times New Roman"/>
          <w:i/>
          <w:iCs/>
        </w:rPr>
        <w:t>Paragraphs 27 and 44 – Simplified reimbursement models</w:t>
      </w:r>
      <w:r w:rsidR="00A7392A" w:rsidRPr="00103D22">
        <w:rPr>
          <w:rFonts w:ascii="Times New Roman" w:hAnsi="Times New Roman"/>
          <w:i/>
          <w:iCs/>
        </w:rPr>
        <w:t xml:space="preserve"> – and 8 – national gold</w:t>
      </w:r>
      <w:r w:rsidR="00CF14AD" w:rsidRPr="00103D22">
        <w:rPr>
          <w:rFonts w:ascii="Times New Roman" w:hAnsi="Times New Roman"/>
          <w:i/>
          <w:iCs/>
        </w:rPr>
        <w:t>-</w:t>
      </w:r>
      <w:r w:rsidR="00A7392A" w:rsidRPr="00103D22">
        <w:rPr>
          <w:rFonts w:ascii="Times New Roman" w:hAnsi="Times New Roman"/>
          <w:i/>
          <w:iCs/>
        </w:rPr>
        <w:t>plating</w:t>
      </w:r>
    </w:p>
    <w:p w14:paraId="62D4BA0B" w14:textId="5D7B387B" w:rsidR="002152AB" w:rsidRPr="00103D22" w:rsidRDefault="002152AB" w:rsidP="2BDDEFCA">
      <w:pPr>
        <w:widowControl w:val="0"/>
        <w:spacing w:before="120" w:after="0"/>
        <w:rPr>
          <w:rFonts w:ascii="Times New Roman" w:hAnsi="Times New Roman"/>
        </w:rPr>
      </w:pPr>
      <w:r w:rsidRPr="2BDDEFCA">
        <w:rPr>
          <w:rFonts w:ascii="Times New Roman" w:hAnsi="Times New Roman"/>
        </w:rPr>
        <w:t xml:space="preserve">The Commission considers that shifting from a disbursement system based on expenditure to a </w:t>
      </w:r>
      <w:r w:rsidR="21A19053" w:rsidRPr="2BDDEFCA">
        <w:rPr>
          <w:rFonts w:ascii="Times New Roman" w:hAnsi="Times New Roman"/>
        </w:rPr>
        <w:t>objective</w:t>
      </w:r>
      <w:r w:rsidRPr="2BDDEFCA">
        <w:rPr>
          <w:rFonts w:ascii="Times New Roman" w:hAnsi="Times New Roman"/>
        </w:rPr>
        <w:t xml:space="preserve">-based approach under the MFF </w:t>
      </w:r>
      <w:r w:rsidR="00963FBD" w:rsidRPr="2BDDEFCA">
        <w:rPr>
          <w:rFonts w:ascii="Times New Roman" w:hAnsi="Times New Roman"/>
        </w:rPr>
        <w:t xml:space="preserve">2028-2034 </w:t>
      </w:r>
      <w:r w:rsidRPr="2BDDEFCA">
        <w:rPr>
          <w:rFonts w:ascii="Times New Roman" w:hAnsi="Times New Roman"/>
        </w:rPr>
        <w:t>could simplify the management of cohesion policy funds</w:t>
      </w:r>
      <w:r w:rsidR="00850D6A">
        <w:rPr>
          <w:rFonts w:ascii="Times New Roman" w:hAnsi="Times New Roman"/>
        </w:rPr>
        <w:t xml:space="preserve"> </w:t>
      </w:r>
      <w:r w:rsidRPr="2BDDEFCA">
        <w:rPr>
          <w:rFonts w:ascii="Times New Roman" w:hAnsi="Times New Roman"/>
        </w:rPr>
        <w:t>and substantially reduce administrative costs. Programme authorities would no longer be required to provide</w:t>
      </w:r>
      <w:r w:rsidR="00BE2F12" w:rsidRPr="2BDDEFCA">
        <w:rPr>
          <w:rFonts w:ascii="Times New Roman" w:hAnsi="Times New Roman"/>
        </w:rPr>
        <w:t xml:space="preserve"> information on eligible expenditure</w:t>
      </w:r>
      <w:r w:rsidRPr="2BDDEFCA">
        <w:rPr>
          <w:rFonts w:ascii="Times New Roman" w:hAnsi="Times New Roman"/>
        </w:rPr>
        <w:t xml:space="preserve"> to the Commission</w:t>
      </w:r>
      <w:r w:rsidR="00BE2F12" w:rsidRPr="2BDDEFCA">
        <w:rPr>
          <w:rFonts w:ascii="Times New Roman" w:hAnsi="Times New Roman"/>
        </w:rPr>
        <w:t xml:space="preserve"> to</w:t>
      </w:r>
      <w:r w:rsidR="004D5FE3" w:rsidRPr="2BDDEFCA">
        <w:rPr>
          <w:rFonts w:ascii="Times New Roman" w:hAnsi="Times New Roman"/>
        </w:rPr>
        <w:t xml:space="preserve"> trigger payments</w:t>
      </w:r>
      <w:r w:rsidRPr="2BDDEFCA">
        <w:rPr>
          <w:rFonts w:ascii="Times New Roman" w:hAnsi="Times New Roman"/>
        </w:rPr>
        <w:t>.</w:t>
      </w:r>
      <w:r w:rsidR="003C6286" w:rsidRPr="2BDDEFCA">
        <w:rPr>
          <w:rFonts w:ascii="Times New Roman" w:hAnsi="Times New Roman"/>
        </w:rPr>
        <w:t xml:space="preserve"> The proposal provides alternative safeguards to ensure </w:t>
      </w:r>
      <w:r w:rsidR="00467909" w:rsidRPr="2BDDEFCA">
        <w:rPr>
          <w:rFonts w:ascii="Times New Roman" w:hAnsi="Times New Roman"/>
        </w:rPr>
        <w:t>the respect of applicable law and the protection of the EU financial interests.</w:t>
      </w:r>
    </w:p>
    <w:p w14:paraId="15F2314F" w14:textId="28241400" w:rsidR="002152AB" w:rsidRPr="00103D22" w:rsidRDefault="002152AB" w:rsidP="001E5EC7">
      <w:pPr>
        <w:widowControl w:val="0"/>
        <w:spacing w:before="120" w:after="0" w:line="259" w:lineRule="auto"/>
        <w:rPr>
          <w:rFonts w:ascii="Times New Roman" w:hAnsi="Times New Roman"/>
        </w:rPr>
      </w:pPr>
      <w:r w:rsidRPr="00103D22">
        <w:rPr>
          <w:rFonts w:ascii="Times New Roman" w:hAnsi="Times New Roman"/>
        </w:rPr>
        <w:t xml:space="preserve">The Commission also welcomes </w:t>
      </w:r>
      <w:r w:rsidR="00AC7A3F" w:rsidRPr="00103D22">
        <w:rPr>
          <w:rFonts w:ascii="Times New Roman" w:hAnsi="Times New Roman"/>
        </w:rPr>
        <w:t xml:space="preserve">the European </w:t>
      </w:r>
      <w:r w:rsidRPr="00103D22">
        <w:rPr>
          <w:rFonts w:ascii="Times New Roman" w:hAnsi="Times New Roman"/>
        </w:rPr>
        <w:t xml:space="preserve">Parliament’s support for a broader use of simplified reimbursement methods to ease the administrative burden on beneficiaries. </w:t>
      </w:r>
      <w:r w:rsidR="003E012E" w:rsidRPr="00103D22">
        <w:rPr>
          <w:rFonts w:ascii="Times New Roman" w:hAnsi="Times New Roman"/>
        </w:rPr>
        <w:t xml:space="preserve">In the legislative proposals for 2028-2034, Member States will be required to use simplified reimbursement methods for </w:t>
      </w:r>
      <w:r w:rsidR="001074C9" w:rsidRPr="00103D22">
        <w:rPr>
          <w:rFonts w:ascii="Times New Roman" w:hAnsi="Times New Roman"/>
        </w:rPr>
        <w:t xml:space="preserve">a large number of </w:t>
      </w:r>
      <w:r w:rsidR="003E012E" w:rsidRPr="00103D22">
        <w:rPr>
          <w:rFonts w:ascii="Times New Roman" w:hAnsi="Times New Roman"/>
        </w:rPr>
        <w:t xml:space="preserve">beneficiaries. This will be mandatory for </w:t>
      </w:r>
      <w:r w:rsidR="00E06C46" w:rsidRPr="00103D22">
        <w:rPr>
          <w:rFonts w:ascii="Times New Roman" w:hAnsi="Times New Roman"/>
        </w:rPr>
        <w:t xml:space="preserve">operations </w:t>
      </w:r>
      <w:r w:rsidR="003E012E" w:rsidRPr="00103D22">
        <w:rPr>
          <w:rFonts w:ascii="Times New Roman" w:hAnsi="Times New Roman"/>
        </w:rPr>
        <w:t>with a total cost below EUR 400 000</w:t>
      </w:r>
      <w:r w:rsidR="1B1F3D1E" w:rsidRPr="00103D22">
        <w:rPr>
          <w:rFonts w:ascii="Times New Roman" w:hAnsi="Times New Roman"/>
        </w:rPr>
        <w:t>, which represent currently around 87% of all projects supported under cohesion policy</w:t>
      </w:r>
      <w:r w:rsidR="00971798" w:rsidRPr="00103D22">
        <w:rPr>
          <w:rFonts w:ascii="Times New Roman" w:hAnsi="Times New Roman"/>
        </w:rPr>
        <w:t xml:space="preserve">. </w:t>
      </w:r>
      <w:r w:rsidRPr="00103D22">
        <w:rPr>
          <w:rFonts w:ascii="Times New Roman" w:hAnsi="Times New Roman"/>
        </w:rPr>
        <w:t>This means that</w:t>
      </w:r>
      <w:r w:rsidR="00E06C46" w:rsidRPr="00103D22">
        <w:rPr>
          <w:rFonts w:ascii="Times New Roman" w:hAnsi="Times New Roman"/>
        </w:rPr>
        <w:t xml:space="preserve">, in a large number of cases, </w:t>
      </w:r>
      <w:r w:rsidR="00786C57" w:rsidRPr="00103D22">
        <w:rPr>
          <w:rFonts w:ascii="Times New Roman" w:hAnsi="Times New Roman"/>
        </w:rPr>
        <w:t xml:space="preserve">the EU level regulatory framework would no longer require </w:t>
      </w:r>
      <w:r w:rsidRPr="00103D22">
        <w:rPr>
          <w:rFonts w:ascii="Times New Roman" w:hAnsi="Times New Roman"/>
        </w:rPr>
        <w:t>beneficiaries to collect and submit invoices</w:t>
      </w:r>
      <w:r w:rsidR="00786C57" w:rsidRPr="00103D22">
        <w:rPr>
          <w:rFonts w:ascii="Times New Roman" w:hAnsi="Times New Roman"/>
        </w:rPr>
        <w:t>. This, coupled with the</w:t>
      </w:r>
      <w:r w:rsidR="00D50924" w:rsidRPr="00103D22">
        <w:rPr>
          <w:rFonts w:ascii="Times New Roman" w:hAnsi="Times New Roman"/>
        </w:rPr>
        <w:t xml:space="preserve"> NRPPs</w:t>
      </w:r>
      <w:r w:rsidR="00374747" w:rsidRPr="00103D22">
        <w:rPr>
          <w:rFonts w:ascii="Times New Roman" w:hAnsi="Times New Roman"/>
        </w:rPr>
        <w:t xml:space="preserve">’ </w:t>
      </w:r>
      <w:r w:rsidR="005B4138" w:rsidRPr="00103D22">
        <w:rPr>
          <w:rFonts w:ascii="Times New Roman" w:hAnsi="Times New Roman"/>
        </w:rPr>
        <w:t>milestones and target</w:t>
      </w:r>
      <w:r w:rsidR="00374747" w:rsidRPr="00103D22">
        <w:rPr>
          <w:rFonts w:ascii="Times New Roman" w:hAnsi="Times New Roman"/>
        </w:rPr>
        <w:t xml:space="preserve">-based delivery </w:t>
      </w:r>
      <w:r w:rsidR="00786C57" w:rsidRPr="00103D22">
        <w:rPr>
          <w:rFonts w:ascii="Times New Roman" w:hAnsi="Times New Roman"/>
        </w:rPr>
        <w:t>model where the Commission would pay to Member States based on milestones and target achieved</w:t>
      </w:r>
      <w:r w:rsidRPr="00103D22">
        <w:rPr>
          <w:rFonts w:ascii="Times New Roman" w:hAnsi="Times New Roman"/>
        </w:rPr>
        <w:t xml:space="preserve">, </w:t>
      </w:r>
      <w:r w:rsidR="00786C57" w:rsidRPr="00103D22">
        <w:rPr>
          <w:rFonts w:ascii="Times New Roman" w:hAnsi="Times New Roman"/>
        </w:rPr>
        <w:t xml:space="preserve">could </w:t>
      </w:r>
      <w:r w:rsidRPr="00103D22">
        <w:rPr>
          <w:rFonts w:ascii="Times New Roman" w:hAnsi="Times New Roman"/>
        </w:rPr>
        <w:t>reduc</w:t>
      </w:r>
      <w:r w:rsidR="00786C57" w:rsidRPr="00103D22">
        <w:rPr>
          <w:rFonts w:ascii="Times New Roman" w:hAnsi="Times New Roman"/>
        </w:rPr>
        <w:t>e</w:t>
      </w:r>
      <w:r w:rsidRPr="00103D22">
        <w:rPr>
          <w:rFonts w:ascii="Times New Roman" w:hAnsi="Times New Roman"/>
        </w:rPr>
        <w:t xml:space="preserve"> administrative and reporting obligations</w:t>
      </w:r>
      <w:r w:rsidR="00786C57" w:rsidRPr="00103D22">
        <w:rPr>
          <w:rFonts w:ascii="Times New Roman" w:hAnsi="Times New Roman"/>
        </w:rPr>
        <w:t xml:space="preserve"> significantly</w:t>
      </w:r>
      <w:r w:rsidRPr="00103D22">
        <w:rPr>
          <w:rFonts w:ascii="Times New Roman" w:hAnsi="Times New Roman"/>
        </w:rPr>
        <w:t>.</w:t>
      </w:r>
      <w:r w:rsidR="00786C57" w:rsidRPr="00103D22">
        <w:rPr>
          <w:rFonts w:ascii="Times New Roman" w:hAnsi="Times New Roman"/>
        </w:rPr>
        <w:t xml:space="preserve"> </w:t>
      </w:r>
      <w:r w:rsidR="0075764A" w:rsidRPr="00103D22">
        <w:rPr>
          <w:rFonts w:ascii="Times New Roman" w:hAnsi="Times New Roman"/>
        </w:rPr>
        <w:t>The new system will maintain in parallel strong safeguards t</w:t>
      </w:r>
      <w:r w:rsidR="000B5A46" w:rsidRPr="00103D22">
        <w:rPr>
          <w:rFonts w:ascii="Times New Roman" w:hAnsi="Times New Roman"/>
        </w:rPr>
        <w:t xml:space="preserve">o </w:t>
      </w:r>
      <w:r w:rsidR="00B45A39" w:rsidRPr="00103D22">
        <w:rPr>
          <w:rFonts w:ascii="Times New Roman" w:hAnsi="Times New Roman"/>
        </w:rPr>
        <w:t>guarantee the effective and regular use of funds.</w:t>
      </w:r>
      <w:r w:rsidR="000B5A46" w:rsidRPr="00103D22">
        <w:rPr>
          <w:rFonts w:ascii="Times New Roman" w:hAnsi="Times New Roman"/>
        </w:rPr>
        <w:t xml:space="preserve"> </w:t>
      </w:r>
    </w:p>
    <w:p w14:paraId="53443ED5" w14:textId="4E40665C" w:rsidR="0044772B" w:rsidRPr="00103D22" w:rsidRDefault="006D4C90" w:rsidP="001E5EC7">
      <w:pPr>
        <w:widowControl w:val="0"/>
        <w:spacing w:before="120" w:after="0"/>
        <w:rPr>
          <w:rFonts w:ascii="Times New Roman" w:hAnsi="Times New Roman"/>
        </w:rPr>
      </w:pPr>
      <w:r w:rsidRPr="00103D22">
        <w:rPr>
          <w:rFonts w:ascii="Times New Roman" w:hAnsi="Times New Roman"/>
        </w:rPr>
        <w:t xml:space="preserve">The Commission will work hand in hand with Member States and regions to help identify and eliminate gold plating practices, ensuring that beneficiaries can fully benefit from the </w:t>
      </w:r>
      <w:r w:rsidRPr="00103D22">
        <w:rPr>
          <w:rFonts w:ascii="Times New Roman" w:hAnsi="Times New Roman"/>
        </w:rPr>
        <w:lastRenderedPageBreak/>
        <w:t>simplification efforts.</w:t>
      </w:r>
    </w:p>
    <w:p w14:paraId="4A6D9563" w14:textId="7FF9900C" w:rsidR="3F5FAC02" w:rsidRPr="00103D22" w:rsidRDefault="24D03C9B" w:rsidP="2BDDEFCA">
      <w:pPr>
        <w:spacing w:before="120" w:after="0"/>
        <w:rPr>
          <w:rFonts w:ascii="Times New Roman" w:hAnsi="Times New Roman"/>
          <w:i/>
          <w:iCs/>
        </w:rPr>
      </w:pPr>
      <w:r w:rsidRPr="2BDDEFCA">
        <w:rPr>
          <w:rFonts w:ascii="Times New Roman" w:hAnsi="Times New Roman"/>
        </w:rPr>
        <w:t xml:space="preserve">Under the current programming period, </w:t>
      </w:r>
      <w:r w:rsidR="78359201" w:rsidRPr="2BDDEFCA">
        <w:rPr>
          <w:rFonts w:ascii="Times New Roman" w:hAnsi="Times New Roman"/>
        </w:rPr>
        <w:t>t</w:t>
      </w:r>
      <w:r w:rsidR="3F5FAC02" w:rsidRPr="2BDDEFCA">
        <w:rPr>
          <w:rFonts w:ascii="Times New Roman" w:hAnsi="Times New Roman"/>
        </w:rPr>
        <w:t xml:space="preserve">he Commission </w:t>
      </w:r>
      <w:r w:rsidR="3AE40E91" w:rsidRPr="2BDDEFCA">
        <w:rPr>
          <w:rFonts w:ascii="Times New Roman" w:hAnsi="Times New Roman"/>
        </w:rPr>
        <w:t xml:space="preserve">already </w:t>
      </w:r>
      <w:r w:rsidR="3F5FAC02" w:rsidRPr="2BDDEFCA">
        <w:rPr>
          <w:rFonts w:ascii="Times New Roman" w:hAnsi="Times New Roman"/>
        </w:rPr>
        <w:t>strives to promote best practices</w:t>
      </w:r>
      <w:r w:rsidR="5743E907" w:rsidRPr="2BDDEFCA">
        <w:rPr>
          <w:rFonts w:ascii="Times New Roman" w:hAnsi="Times New Roman"/>
        </w:rPr>
        <w:t xml:space="preserve"> and</w:t>
      </w:r>
      <w:r w:rsidR="3F5FAC02" w:rsidRPr="2BDDEFCA">
        <w:rPr>
          <w:rFonts w:ascii="Times New Roman" w:hAnsi="Times New Roman"/>
        </w:rPr>
        <w:t xml:space="preserve"> </w:t>
      </w:r>
      <w:r w:rsidR="00A72AF3" w:rsidRPr="2BDDEFCA">
        <w:rPr>
          <w:rFonts w:ascii="Times New Roman" w:hAnsi="Times New Roman"/>
        </w:rPr>
        <w:t>support</w:t>
      </w:r>
      <w:r w:rsidR="3F5FAC02" w:rsidRPr="2BDDEFCA">
        <w:rPr>
          <w:rFonts w:ascii="Times New Roman" w:hAnsi="Times New Roman"/>
        </w:rPr>
        <w:t xml:space="preserve"> Member States</w:t>
      </w:r>
      <w:r w:rsidR="00A72AF3" w:rsidRPr="2BDDEFCA">
        <w:rPr>
          <w:rFonts w:ascii="Times New Roman" w:hAnsi="Times New Roman"/>
        </w:rPr>
        <w:t xml:space="preserve"> in</w:t>
      </w:r>
      <w:r w:rsidR="3F5FAC02" w:rsidRPr="2BDDEFCA">
        <w:rPr>
          <w:rFonts w:ascii="Times New Roman" w:hAnsi="Times New Roman"/>
        </w:rPr>
        <w:t xml:space="preserve"> eliminat</w:t>
      </w:r>
      <w:r w:rsidR="00A72AF3" w:rsidRPr="2BDDEFCA">
        <w:rPr>
          <w:rFonts w:ascii="Times New Roman" w:hAnsi="Times New Roman"/>
        </w:rPr>
        <w:t>ing</w:t>
      </w:r>
      <w:r w:rsidR="3F5FAC02" w:rsidRPr="2BDDEFCA">
        <w:rPr>
          <w:rFonts w:ascii="Times New Roman" w:hAnsi="Times New Roman"/>
        </w:rPr>
        <w:t xml:space="preserve"> gold</w:t>
      </w:r>
      <w:r w:rsidR="00A72AF3" w:rsidRPr="2BDDEFCA">
        <w:rPr>
          <w:rFonts w:ascii="Times New Roman" w:hAnsi="Times New Roman"/>
        </w:rPr>
        <w:t>-</w:t>
      </w:r>
      <w:r w:rsidR="3F5FAC02" w:rsidRPr="2BDDEFCA">
        <w:rPr>
          <w:rFonts w:ascii="Times New Roman" w:hAnsi="Times New Roman"/>
        </w:rPr>
        <w:t>plating</w:t>
      </w:r>
      <w:r w:rsidR="5F0A6681" w:rsidRPr="2BDDEFCA">
        <w:rPr>
          <w:rFonts w:ascii="Times New Roman" w:hAnsi="Times New Roman"/>
        </w:rPr>
        <w:t>, most notably</w:t>
      </w:r>
      <w:r w:rsidR="38726C88" w:rsidRPr="2BDDEFCA">
        <w:rPr>
          <w:rFonts w:ascii="Times New Roman" w:hAnsi="Times New Roman"/>
        </w:rPr>
        <w:t xml:space="preserve"> </w:t>
      </w:r>
      <w:r w:rsidR="7B84980B" w:rsidRPr="2BDDEFCA">
        <w:rPr>
          <w:rFonts w:ascii="Times New Roman" w:hAnsi="Times New Roman"/>
        </w:rPr>
        <w:t>through the Transnational Network on Simplification</w:t>
      </w:r>
      <w:r w:rsidR="757C3100" w:rsidRPr="2BDDEFCA">
        <w:rPr>
          <w:rFonts w:ascii="Times New Roman" w:hAnsi="Times New Roman"/>
        </w:rPr>
        <w:t>,</w:t>
      </w:r>
      <w:r w:rsidR="4F27D28D" w:rsidRPr="2BDDEFCA">
        <w:rPr>
          <w:rFonts w:ascii="Times New Roman" w:hAnsi="Times New Roman"/>
        </w:rPr>
        <w:t xml:space="preserve"> peer-learning platforms such as REGIO Peer2Peer+</w:t>
      </w:r>
      <w:r w:rsidR="007E3ACA" w:rsidRPr="2BDDEFCA">
        <w:rPr>
          <w:rFonts w:ascii="Times New Roman" w:hAnsi="Times New Roman"/>
        </w:rPr>
        <w:t>,</w:t>
      </w:r>
      <w:r w:rsidR="4F27D28D" w:rsidRPr="2BDDEFCA">
        <w:rPr>
          <w:rFonts w:ascii="Times New Roman" w:hAnsi="Times New Roman"/>
        </w:rPr>
        <w:t xml:space="preserve"> and communities of practitioners</w:t>
      </w:r>
      <w:r w:rsidR="7B84980B" w:rsidRPr="2BDDEFCA">
        <w:rPr>
          <w:rFonts w:ascii="Times New Roman" w:hAnsi="Times New Roman"/>
        </w:rPr>
        <w:t xml:space="preserve">. </w:t>
      </w:r>
    </w:p>
    <w:p w14:paraId="7EF76F85" w14:textId="6CA223E1" w:rsidR="00E8407F" w:rsidRPr="00103D22" w:rsidRDefault="00E21791" w:rsidP="001E5EC7">
      <w:pPr>
        <w:spacing w:before="120" w:after="0"/>
        <w:rPr>
          <w:rFonts w:ascii="Times New Roman" w:hAnsi="Times New Roman"/>
        </w:rPr>
      </w:pPr>
      <w:r w:rsidRPr="00103D22">
        <w:rPr>
          <w:rFonts w:ascii="Times New Roman" w:hAnsi="Times New Roman"/>
        </w:rPr>
        <w:t xml:space="preserve">The Commission </w:t>
      </w:r>
      <w:r w:rsidR="00E8407F" w:rsidRPr="00103D22">
        <w:rPr>
          <w:rFonts w:ascii="Times New Roman" w:hAnsi="Times New Roman"/>
        </w:rPr>
        <w:t xml:space="preserve">auditors </w:t>
      </w:r>
      <w:r w:rsidRPr="00103D22">
        <w:rPr>
          <w:rFonts w:ascii="Times New Roman" w:hAnsi="Times New Roman"/>
        </w:rPr>
        <w:t xml:space="preserve">also </w:t>
      </w:r>
      <w:r w:rsidR="00E8407F" w:rsidRPr="00103D22">
        <w:rPr>
          <w:rFonts w:ascii="Times New Roman" w:hAnsi="Times New Roman"/>
        </w:rPr>
        <w:t>contribute</w:t>
      </w:r>
      <w:r w:rsidRPr="00103D22">
        <w:rPr>
          <w:rFonts w:ascii="Times New Roman" w:hAnsi="Times New Roman"/>
        </w:rPr>
        <w:t>, through their audits,</w:t>
      </w:r>
      <w:r w:rsidR="00E8407F" w:rsidRPr="00103D22">
        <w:rPr>
          <w:rFonts w:ascii="Times New Roman" w:hAnsi="Times New Roman"/>
        </w:rPr>
        <w:t xml:space="preserve"> to the identification of gold-plating and make recommendations to simplify procedures when necessary.</w:t>
      </w:r>
    </w:p>
    <w:p w14:paraId="677B5911" w14:textId="1C8B9CE4" w:rsidR="13078911" w:rsidRPr="00103D22" w:rsidRDefault="4DF9BC60" w:rsidP="001E5EC7">
      <w:pPr>
        <w:spacing w:before="120" w:after="0"/>
        <w:rPr>
          <w:rFonts w:ascii="Times New Roman" w:hAnsi="Times New Roman"/>
        </w:rPr>
      </w:pPr>
      <w:r w:rsidRPr="00103D22">
        <w:rPr>
          <w:rFonts w:ascii="Times New Roman" w:hAnsi="Times New Roman"/>
        </w:rPr>
        <w:t>The 2021-</w:t>
      </w:r>
      <w:r w:rsidR="22CE3260" w:rsidRPr="00103D22">
        <w:rPr>
          <w:rFonts w:ascii="Times New Roman" w:hAnsi="Times New Roman"/>
        </w:rPr>
        <w:t>20</w:t>
      </w:r>
      <w:r w:rsidRPr="00103D22">
        <w:rPr>
          <w:rFonts w:ascii="Times New Roman" w:hAnsi="Times New Roman"/>
        </w:rPr>
        <w:t xml:space="preserve">27 </w:t>
      </w:r>
      <w:r w:rsidR="02C4D68E" w:rsidRPr="00103D22">
        <w:rPr>
          <w:rFonts w:ascii="Times New Roman" w:hAnsi="Times New Roman"/>
        </w:rPr>
        <w:t xml:space="preserve">CPR </w:t>
      </w:r>
      <w:r w:rsidR="57026D36" w:rsidRPr="00103D22">
        <w:rPr>
          <w:rFonts w:ascii="Times New Roman" w:hAnsi="Times New Roman"/>
        </w:rPr>
        <w:t>allows the use</w:t>
      </w:r>
      <w:r w:rsidR="1572DE0E" w:rsidRPr="00103D22">
        <w:rPr>
          <w:rFonts w:ascii="Times New Roman" w:hAnsi="Times New Roman"/>
        </w:rPr>
        <w:t xml:space="preserve"> of</w:t>
      </w:r>
      <w:r w:rsidR="1C51BCA4" w:rsidRPr="00103D22">
        <w:rPr>
          <w:rFonts w:ascii="Times New Roman" w:hAnsi="Times New Roman"/>
        </w:rPr>
        <w:t xml:space="preserve"> alternative forms of reimbursement (i.e. simplified cost options</w:t>
      </w:r>
      <w:r w:rsidR="7116D057" w:rsidRPr="00103D22">
        <w:rPr>
          <w:rFonts w:ascii="Times New Roman" w:hAnsi="Times New Roman"/>
        </w:rPr>
        <w:t xml:space="preserve"> (SCOs)</w:t>
      </w:r>
      <w:r w:rsidR="1C51BCA4" w:rsidRPr="00103D22">
        <w:rPr>
          <w:rFonts w:ascii="Times New Roman" w:hAnsi="Times New Roman"/>
        </w:rPr>
        <w:t xml:space="preserve"> and financing not linked to costs</w:t>
      </w:r>
      <w:r w:rsidR="4E0F7ED1" w:rsidRPr="00103D22">
        <w:rPr>
          <w:rFonts w:ascii="Times New Roman" w:hAnsi="Times New Roman"/>
        </w:rPr>
        <w:t xml:space="preserve"> (FNLC)</w:t>
      </w:r>
      <w:r w:rsidR="1572DE0E" w:rsidRPr="00103D22">
        <w:rPr>
          <w:rFonts w:ascii="Times New Roman" w:hAnsi="Times New Roman"/>
        </w:rPr>
        <w:t>),</w:t>
      </w:r>
      <w:r w:rsidR="1C51BCA4" w:rsidRPr="00103D22">
        <w:rPr>
          <w:rFonts w:ascii="Times New Roman" w:hAnsi="Times New Roman"/>
        </w:rPr>
        <w:t xml:space="preserve"> which may be combined with real-cost</w:t>
      </w:r>
      <w:r w:rsidR="322D4660" w:rsidRPr="00103D22">
        <w:rPr>
          <w:rFonts w:ascii="Times New Roman" w:hAnsi="Times New Roman"/>
        </w:rPr>
        <w:t>-</w:t>
      </w:r>
      <w:r w:rsidR="1C51BCA4" w:rsidRPr="00103D22">
        <w:rPr>
          <w:rFonts w:ascii="Times New Roman" w:hAnsi="Times New Roman"/>
        </w:rPr>
        <w:t>based funding</w:t>
      </w:r>
      <w:r w:rsidR="037BF15F" w:rsidRPr="00103D22">
        <w:rPr>
          <w:rFonts w:ascii="Times New Roman" w:hAnsi="Times New Roman"/>
        </w:rPr>
        <w:t xml:space="preserve">. </w:t>
      </w:r>
      <w:r w:rsidR="214DBC36" w:rsidRPr="00103D22">
        <w:rPr>
          <w:rFonts w:ascii="Times New Roman" w:hAnsi="Times New Roman"/>
        </w:rPr>
        <w:t xml:space="preserve">Almost EUR 110 billion </w:t>
      </w:r>
      <w:r w:rsidR="1108A4DA" w:rsidRPr="00103D22">
        <w:rPr>
          <w:rFonts w:ascii="Times New Roman" w:hAnsi="Times New Roman"/>
        </w:rPr>
        <w:t xml:space="preserve">(21%) </w:t>
      </w:r>
      <w:r w:rsidR="214DBC36" w:rsidRPr="00103D22">
        <w:rPr>
          <w:rFonts w:ascii="Times New Roman" w:hAnsi="Times New Roman"/>
        </w:rPr>
        <w:t>of the cohesion policy budget, is expected to be reimbursed through SCOs and FNLC by the end of the programming period</w:t>
      </w:r>
      <w:r w:rsidR="13078911" w:rsidRPr="00103D22">
        <w:rPr>
          <w:rFonts w:ascii="Times New Roman" w:hAnsi="Times New Roman"/>
          <w:vertAlign w:val="superscript"/>
        </w:rPr>
        <w:footnoteReference w:id="2"/>
      </w:r>
      <w:r w:rsidR="214DBC36" w:rsidRPr="00103D22">
        <w:rPr>
          <w:rFonts w:ascii="Times New Roman" w:hAnsi="Times New Roman"/>
        </w:rPr>
        <w:t xml:space="preserve">. </w:t>
      </w:r>
      <w:r w:rsidR="10818904" w:rsidRPr="00103D22">
        <w:rPr>
          <w:rFonts w:ascii="Times New Roman" w:hAnsi="Times New Roman"/>
        </w:rPr>
        <w:t>F</w:t>
      </w:r>
      <w:r w:rsidR="214DBC36" w:rsidRPr="00103D22">
        <w:rPr>
          <w:rFonts w:ascii="Times New Roman" w:hAnsi="Times New Roman"/>
        </w:rPr>
        <w:t xml:space="preserve">or the </w:t>
      </w:r>
      <w:r w:rsidR="6AF37DCB" w:rsidRPr="00103D22">
        <w:rPr>
          <w:rFonts w:ascii="Times New Roman" w:hAnsi="Times New Roman"/>
        </w:rPr>
        <w:t>European Regional Development Fund (ERDF)</w:t>
      </w:r>
      <w:r w:rsidR="214DBC36" w:rsidRPr="00103D22">
        <w:rPr>
          <w:rFonts w:ascii="Times New Roman" w:hAnsi="Times New Roman"/>
        </w:rPr>
        <w:t xml:space="preserve"> and C</w:t>
      </w:r>
      <w:r w:rsidR="5BEA154B" w:rsidRPr="00103D22">
        <w:rPr>
          <w:rFonts w:ascii="Times New Roman" w:hAnsi="Times New Roman"/>
        </w:rPr>
        <w:t xml:space="preserve">ohesion </w:t>
      </w:r>
      <w:r w:rsidR="214DBC36" w:rsidRPr="00103D22">
        <w:rPr>
          <w:rFonts w:ascii="Times New Roman" w:hAnsi="Times New Roman"/>
        </w:rPr>
        <w:t>F</w:t>
      </w:r>
      <w:r w:rsidR="45099B31" w:rsidRPr="00103D22">
        <w:rPr>
          <w:rFonts w:ascii="Times New Roman" w:hAnsi="Times New Roman"/>
        </w:rPr>
        <w:t>un</w:t>
      </w:r>
      <w:r w:rsidR="6AF37DCB" w:rsidRPr="00103D22">
        <w:rPr>
          <w:rFonts w:ascii="Times New Roman" w:hAnsi="Times New Roman"/>
        </w:rPr>
        <w:t>d</w:t>
      </w:r>
      <w:r w:rsidR="214DBC36" w:rsidRPr="00103D22">
        <w:rPr>
          <w:rFonts w:ascii="Times New Roman" w:hAnsi="Times New Roman"/>
        </w:rPr>
        <w:t>, the</w:t>
      </w:r>
      <w:r w:rsidR="10818904" w:rsidRPr="00103D22">
        <w:rPr>
          <w:rFonts w:ascii="Times New Roman" w:hAnsi="Times New Roman"/>
        </w:rPr>
        <w:t>se amounts are expected to</w:t>
      </w:r>
      <w:r w:rsidR="214DBC36" w:rsidRPr="00103D22">
        <w:rPr>
          <w:rFonts w:ascii="Times New Roman" w:hAnsi="Times New Roman"/>
        </w:rPr>
        <w:t xml:space="preserve"> double</w:t>
      </w:r>
      <w:r w:rsidR="13078911" w:rsidRPr="00103D22">
        <w:rPr>
          <w:rFonts w:ascii="Times New Roman" w:hAnsi="Times New Roman"/>
          <w:vertAlign w:val="superscript"/>
        </w:rPr>
        <w:footnoteReference w:id="3"/>
      </w:r>
      <w:r w:rsidR="214DBC36" w:rsidRPr="00103D22">
        <w:rPr>
          <w:rFonts w:ascii="Times New Roman" w:hAnsi="Times New Roman"/>
        </w:rPr>
        <w:t xml:space="preserve"> compared </w:t>
      </w:r>
      <w:r w:rsidR="10818904" w:rsidRPr="00103D22">
        <w:rPr>
          <w:rFonts w:ascii="Times New Roman" w:hAnsi="Times New Roman"/>
        </w:rPr>
        <w:t>with</w:t>
      </w:r>
      <w:r w:rsidR="214DBC36" w:rsidRPr="00103D22">
        <w:rPr>
          <w:rFonts w:ascii="Times New Roman" w:hAnsi="Times New Roman"/>
        </w:rPr>
        <w:t xml:space="preserve"> the results achieved under the 2014-</w:t>
      </w:r>
      <w:r w:rsidR="6F4FCF19" w:rsidRPr="00103D22">
        <w:rPr>
          <w:rFonts w:ascii="Times New Roman" w:hAnsi="Times New Roman"/>
        </w:rPr>
        <w:t>20</w:t>
      </w:r>
      <w:r w:rsidR="214DBC36" w:rsidRPr="00103D22">
        <w:rPr>
          <w:rFonts w:ascii="Times New Roman" w:hAnsi="Times New Roman"/>
        </w:rPr>
        <w:t xml:space="preserve">20 period. </w:t>
      </w:r>
      <w:r w:rsidR="1D7531EB" w:rsidRPr="00103D22">
        <w:rPr>
          <w:rFonts w:ascii="Times New Roman" w:hAnsi="Times New Roman"/>
        </w:rPr>
        <w:t>For the ESF+, almost 50% of the budget is to be implemented through SCOs and FNLC.</w:t>
      </w:r>
      <w:r w:rsidR="57887A42" w:rsidRPr="00103D22">
        <w:rPr>
          <w:rFonts w:ascii="Times New Roman" w:hAnsi="Times New Roman"/>
        </w:rPr>
        <w:t xml:space="preserve"> This represents a high increase compared to the 2014-2020 programming period, when one third of the ESF budget was implemented through SCOs.</w:t>
      </w:r>
    </w:p>
    <w:p w14:paraId="386FF77B" w14:textId="09F863C7" w:rsidR="00182B1D" w:rsidRPr="00103D22" w:rsidRDefault="23883180" w:rsidP="001E5EC7">
      <w:pPr>
        <w:spacing w:before="120" w:after="0"/>
        <w:rPr>
          <w:rFonts w:ascii="Times New Roman" w:hAnsi="Times New Roman"/>
        </w:rPr>
      </w:pPr>
      <w:r w:rsidRPr="2BDDEFCA">
        <w:rPr>
          <w:rFonts w:ascii="Times New Roman" w:hAnsi="Times New Roman"/>
        </w:rPr>
        <w:t>Finally, the Commission promote</w:t>
      </w:r>
      <w:r w:rsidR="498FE3B2" w:rsidRPr="2BDDEFCA">
        <w:rPr>
          <w:rFonts w:ascii="Times New Roman" w:hAnsi="Times New Roman"/>
        </w:rPr>
        <w:t>s</w:t>
      </w:r>
      <w:r w:rsidRPr="2BDDEFCA">
        <w:rPr>
          <w:rFonts w:ascii="Times New Roman" w:hAnsi="Times New Roman"/>
        </w:rPr>
        <w:t xml:space="preserve"> and facilitate</w:t>
      </w:r>
      <w:r w:rsidR="10E49A2A" w:rsidRPr="2BDDEFCA">
        <w:rPr>
          <w:rFonts w:ascii="Times New Roman" w:hAnsi="Times New Roman"/>
        </w:rPr>
        <w:t>s</w:t>
      </w:r>
      <w:r w:rsidRPr="2BDDEFCA">
        <w:rPr>
          <w:rFonts w:ascii="Times New Roman" w:hAnsi="Times New Roman"/>
        </w:rPr>
        <w:t xml:space="preserve"> the use of SCOs and FNLC</w:t>
      </w:r>
      <w:r w:rsidR="7456E03D" w:rsidRPr="2BDDEFCA">
        <w:rPr>
          <w:rFonts w:ascii="Times New Roman" w:hAnsi="Times New Roman"/>
        </w:rPr>
        <w:t xml:space="preserve"> through standardised tools</w:t>
      </w:r>
      <w:r w:rsidR="13F08193" w:rsidRPr="2BDDEFCA">
        <w:rPr>
          <w:rFonts w:ascii="Times New Roman" w:hAnsi="Times New Roman"/>
        </w:rPr>
        <w:t>. T</w:t>
      </w:r>
      <w:r w:rsidRPr="2BDDEFCA">
        <w:rPr>
          <w:rFonts w:ascii="Times New Roman" w:hAnsi="Times New Roman"/>
        </w:rPr>
        <w:t>he 202</w:t>
      </w:r>
      <w:r w:rsidR="3EE03241" w:rsidRPr="2BDDEFCA">
        <w:rPr>
          <w:rFonts w:ascii="Times New Roman" w:hAnsi="Times New Roman"/>
        </w:rPr>
        <w:t>1-2</w:t>
      </w:r>
      <w:r w:rsidR="1A63BEFE" w:rsidRPr="2BDDEFCA">
        <w:rPr>
          <w:rFonts w:ascii="Times New Roman" w:hAnsi="Times New Roman"/>
        </w:rPr>
        <w:t>02</w:t>
      </w:r>
      <w:r w:rsidR="3EE03241" w:rsidRPr="2BDDEFCA">
        <w:rPr>
          <w:rFonts w:ascii="Times New Roman" w:hAnsi="Times New Roman"/>
        </w:rPr>
        <w:t>7 CPR</w:t>
      </w:r>
      <w:r w:rsidR="30FB453A" w:rsidRPr="2BDDEFCA">
        <w:rPr>
          <w:rFonts w:ascii="Times New Roman" w:hAnsi="Times New Roman"/>
        </w:rPr>
        <w:t xml:space="preserve"> sets out off-the-shelf simplified cost options that Member States may directly use to reimburse beneficiaries (e.g. flat rates to cover the indirect costs of an operation</w:t>
      </w:r>
      <w:r w:rsidR="5CE69DAA" w:rsidRPr="2BDDEFCA">
        <w:rPr>
          <w:rFonts w:ascii="Times New Roman" w:hAnsi="Times New Roman"/>
        </w:rPr>
        <w:t xml:space="preserve">, </w:t>
      </w:r>
      <w:r w:rsidR="11F64335" w:rsidRPr="2BDDEFCA">
        <w:rPr>
          <w:rFonts w:ascii="Times New Roman" w:hAnsi="Times New Roman"/>
        </w:rPr>
        <w:t>flat rates or unit costs</w:t>
      </w:r>
      <w:r w:rsidR="5CE69DAA" w:rsidRPr="2BDDEFCA">
        <w:rPr>
          <w:rFonts w:ascii="Times New Roman" w:hAnsi="Times New Roman"/>
        </w:rPr>
        <w:t xml:space="preserve"> to cover </w:t>
      </w:r>
      <w:r w:rsidR="6739B76E" w:rsidRPr="2BDDEFCA">
        <w:rPr>
          <w:rFonts w:ascii="Times New Roman" w:hAnsi="Times New Roman"/>
        </w:rPr>
        <w:t>the staff costs</w:t>
      </w:r>
      <w:r w:rsidR="2B745B2B" w:rsidRPr="2BDDEFCA">
        <w:rPr>
          <w:rFonts w:ascii="Times New Roman" w:hAnsi="Times New Roman"/>
        </w:rPr>
        <w:t xml:space="preserve">, among others). </w:t>
      </w:r>
    </w:p>
    <w:p w14:paraId="22F13187" w14:textId="450619FE" w:rsidR="003D6ED2" w:rsidRPr="00103D22" w:rsidRDefault="003D6ED2" w:rsidP="001E5EC7">
      <w:pPr>
        <w:widowControl w:val="0"/>
        <w:spacing w:before="120" w:after="0"/>
        <w:rPr>
          <w:rFonts w:ascii="Times New Roman" w:hAnsi="Times New Roman"/>
          <w:i/>
          <w:iCs/>
        </w:rPr>
      </w:pPr>
      <w:r w:rsidRPr="00103D22">
        <w:rPr>
          <w:rFonts w:ascii="Times New Roman" w:hAnsi="Times New Roman"/>
          <w:i/>
          <w:iCs/>
        </w:rPr>
        <w:t>Paragraph 32 – Sound financial management</w:t>
      </w:r>
    </w:p>
    <w:p w14:paraId="0002D524" w14:textId="3E62D868" w:rsidR="00A91D78" w:rsidRPr="00103D22" w:rsidRDefault="00E52BE6" w:rsidP="001E5EC7">
      <w:pPr>
        <w:widowControl w:val="0"/>
        <w:spacing w:before="120" w:after="0"/>
        <w:rPr>
          <w:rFonts w:ascii="Times New Roman" w:hAnsi="Times New Roman"/>
        </w:rPr>
      </w:pPr>
      <w:r w:rsidRPr="00103D22">
        <w:rPr>
          <w:rFonts w:ascii="Times New Roman" w:hAnsi="Times New Roman"/>
        </w:rPr>
        <w:t xml:space="preserve">The Commission acknowledges the importance of preventing double funding </w:t>
      </w:r>
      <w:r w:rsidR="00236F3D" w:rsidRPr="00103D22">
        <w:rPr>
          <w:rFonts w:ascii="Times New Roman" w:hAnsi="Times New Roman"/>
        </w:rPr>
        <w:t>and</w:t>
      </w:r>
      <w:r w:rsidRPr="00103D22">
        <w:rPr>
          <w:rFonts w:ascii="Times New Roman" w:hAnsi="Times New Roman"/>
        </w:rPr>
        <w:t xml:space="preserve"> ensuring the interoperability of data-mining tools.</w:t>
      </w:r>
      <w:r w:rsidR="00E13DB1" w:rsidRPr="00103D22">
        <w:rPr>
          <w:rFonts w:ascii="Times New Roman" w:hAnsi="Times New Roman"/>
        </w:rPr>
        <w:t xml:space="preserve"> </w:t>
      </w:r>
      <w:r w:rsidRPr="00103D22">
        <w:rPr>
          <w:rFonts w:ascii="Times New Roman" w:hAnsi="Times New Roman"/>
          <w:bCs/>
        </w:rPr>
        <w:t xml:space="preserve">Controls against double funding </w:t>
      </w:r>
      <w:r w:rsidR="00B34354" w:rsidRPr="00103D22">
        <w:rPr>
          <w:rFonts w:ascii="Times New Roman" w:hAnsi="Times New Roman"/>
          <w:bCs/>
        </w:rPr>
        <w:t>shall be</w:t>
      </w:r>
      <w:r w:rsidRPr="00103D22">
        <w:rPr>
          <w:rFonts w:ascii="Times New Roman" w:hAnsi="Times New Roman"/>
          <w:bCs/>
        </w:rPr>
        <w:t xml:space="preserve"> </w:t>
      </w:r>
      <w:r w:rsidR="00236F3D" w:rsidRPr="00103D22">
        <w:rPr>
          <w:rFonts w:ascii="Times New Roman" w:hAnsi="Times New Roman"/>
          <w:bCs/>
        </w:rPr>
        <w:t>carrie</w:t>
      </w:r>
      <w:r w:rsidR="00423A38" w:rsidRPr="00103D22">
        <w:rPr>
          <w:rFonts w:ascii="Times New Roman" w:hAnsi="Times New Roman"/>
          <w:bCs/>
        </w:rPr>
        <w:t>d</w:t>
      </w:r>
      <w:r w:rsidR="00236F3D" w:rsidRPr="00103D22">
        <w:rPr>
          <w:rFonts w:ascii="Times New Roman" w:hAnsi="Times New Roman"/>
          <w:bCs/>
        </w:rPr>
        <w:t xml:space="preserve"> out at all levels, with Member States also deploying </w:t>
      </w:r>
      <w:r w:rsidRPr="00103D22">
        <w:rPr>
          <w:rFonts w:ascii="Times New Roman" w:hAnsi="Times New Roman"/>
        </w:rPr>
        <w:t xml:space="preserve">digital tools to review all funded projects </w:t>
      </w:r>
      <w:r w:rsidR="00236F3D" w:rsidRPr="00103D22">
        <w:rPr>
          <w:rFonts w:ascii="Times New Roman" w:hAnsi="Times New Roman"/>
        </w:rPr>
        <w:t>and ensure</w:t>
      </w:r>
      <w:r w:rsidR="00A91D78" w:rsidRPr="00103D22">
        <w:rPr>
          <w:rFonts w:ascii="Times New Roman" w:hAnsi="Times New Roman"/>
        </w:rPr>
        <w:t xml:space="preserve"> t</w:t>
      </w:r>
      <w:r w:rsidRPr="00103D22">
        <w:rPr>
          <w:rFonts w:ascii="Times New Roman" w:hAnsi="Times New Roman"/>
        </w:rPr>
        <w:t>ransparency</w:t>
      </w:r>
      <w:r w:rsidR="00A91D78" w:rsidRPr="00103D22">
        <w:rPr>
          <w:rFonts w:ascii="Times New Roman" w:hAnsi="Times New Roman"/>
        </w:rPr>
        <w:t xml:space="preserve"> of EU funding</w:t>
      </w:r>
      <w:r w:rsidRPr="00103D22">
        <w:rPr>
          <w:rFonts w:ascii="Times New Roman" w:hAnsi="Times New Roman"/>
        </w:rPr>
        <w:t>.</w:t>
      </w:r>
    </w:p>
    <w:p w14:paraId="6F1D1A17" w14:textId="106B82E9" w:rsidR="00423A38" w:rsidRPr="00103D22" w:rsidRDefault="00E52BE6" w:rsidP="2BDDEFCA">
      <w:pPr>
        <w:widowControl w:val="0"/>
        <w:spacing w:before="120" w:after="0"/>
        <w:rPr>
          <w:rFonts w:ascii="Times New Roman" w:hAnsi="Times New Roman"/>
        </w:rPr>
      </w:pPr>
      <w:r w:rsidRPr="2BDDEFCA">
        <w:rPr>
          <w:rFonts w:ascii="Times New Roman" w:hAnsi="Times New Roman"/>
        </w:rPr>
        <w:t xml:space="preserve">The Commission </w:t>
      </w:r>
      <w:r w:rsidR="5F08B453" w:rsidRPr="2BDDEFCA">
        <w:rPr>
          <w:rFonts w:ascii="Times New Roman" w:hAnsi="Times New Roman"/>
        </w:rPr>
        <w:t>continuously encourages Member States to systematically use integrated and interoperable IT systems. “</w:t>
      </w:r>
      <w:r w:rsidRPr="2BDDEFCA">
        <w:rPr>
          <w:rFonts w:ascii="Times New Roman" w:hAnsi="Times New Roman"/>
        </w:rPr>
        <w:t>ARACHNE</w:t>
      </w:r>
      <w:r w:rsidR="6C341A56" w:rsidRPr="2BDDEFCA">
        <w:rPr>
          <w:rFonts w:ascii="Times New Roman" w:hAnsi="Times New Roman"/>
        </w:rPr>
        <w:t>” is the Commission’s</w:t>
      </w:r>
      <w:r w:rsidR="00A1197C" w:rsidRPr="2BDDEFCA">
        <w:rPr>
          <w:rFonts w:ascii="Times New Roman" w:hAnsi="Times New Roman"/>
        </w:rPr>
        <w:t xml:space="preserve"> single</w:t>
      </w:r>
      <w:r w:rsidR="5DDAE238" w:rsidRPr="2BDDEFCA">
        <w:rPr>
          <w:rFonts w:ascii="Times New Roman" w:hAnsi="Times New Roman"/>
        </w:rPr>
        <w:t xml:space="preserve"> </w:t>
      </w:r>
      <w:r w:rsidR="00616A0B" w:rsidRPr="2BDDEFCA">
        <w:rPr>
          <w:rFonts w:ascii="Times New Roman" w:hAnsi="Times New Roman"/>
        </w:rPr>
        <w:t>data-mining</w:t>
      </w:r>
      <w:r w:rsidR="00E71A7D" w:rsidRPr="2BDDEFCA">
        <w:rPr>
          <w:rFonts w:ascii="Times New Roman" w:hAnsi="Times New Roman"/>
        </w:rPr>
        <w:t xml:space="preserve"> and risk-scoring tool, </w:t>
      </w:r>
      <w:r w:rsidR="72C2DF0E" w:rsidRPr="2BDDEFCA">
        <w:rPr>
          <w:rFonts w:ascii="Times New Roman" w:hAnsi="Times New Roman"/>
        </w:rPr>
        <w:t>that enhances risk analysis by integrating operational project data from Member States with European Commission databases and external data sources. It is</w:t>
      </w:r>
      <w:r w:rsidR="00236F3D" w:rsidRPr="2BDDEFCA">
        <w:rPr>
          <w:rFonts w:ascii="Times New Roman" w:hAnsi="Times New Roman"/>
        </w:rPr>
        <w:t xml:space="preserve"> </w:t>
      </w:r>
      <w:r w:rsidR="539D0055" w:rsidRPr="2BDDEFCA">
        <w:rPr>
          <w:rFonts w:ascii="Times New Roman" w:hAnsi="Times New Roman"/>
        </w:rPr>
        <w:t xml:space="preserve">used on a voluntary basis </w:t>
      </w:r>
      <w:r w:rsidR="00E71A7D" w:rsidRPr="2BDDEFCA">
        <w:rPr>
          <w:rFonts w:ascii="Times New Roman" w:hAnsi="Times New Roman"/>
        </w:rPr>
        <w:t xml:space="preserve">by 23 Member States, </w:t>
      </w:r>
      <w:r w:rsidR="00236F3D" w:rsidRPr="2BDDEFCA">
        <w:rPr>
          <w:rFonts w:ascii="Times New Roman" w:hAnsi="Times New Roman"/>
        </w:rPr>
        <w:t>to</w:t>
      </w:r>
      <w:r w:rsidRPr="2BDDEFCA">
        <w:rPr>
          <w:rFonts w:ascii="Times New Roman" w:hAnsi="Times New Roman"/>
        </w:rPr>
        <w:t xml:space="preserve"> help managing authorities identify</w:t>
      </w:r>
      <w:r w:rsidR="2A06A2C2" w:rsidRPr="2BDDEFCA">
        <w:rPr>
          <w:rFonts w:ascii="Times New Roman" w:hAnsi="Times New Roman"/>
        </w:rPr>
        <w:t>,</w:t>
      </w:r>
      <w:r w:rsidRPr="2BDDEFCA">
        <w:rPr>
          <w:rFonts w:ascii="Times New Roman" w:hAnsi="Times New Roman"/>
        </w:rPr>
        <w:t xml:space="preserve"> and</w:t>
      </w:r>
      <w:r w:rsidR="0743A63C" w:rsidRPr="2BDDEFCA">
        <w:rPr>
          <w:rFonts w:ascii="Times New Roman" w:hAnsi="Times New Roman"/>
        </w:rPr>
        <w:t xml:space="preserve"> therefore</w:t>
      </w:r>
      <w:r w:rsidRPr="2BDDEFCA">
        <w:rPr>
          <w:rFonts w:ascii="Times New Roman" w:hAnsi="Times New Roman"/>
        </w:rPr>
        <w:t xml:space="preserve"> mitigate</w:t>
      </w:r>
      <w:r w:rsidR="49412A72" w:rsidRPr="2BDDEFCA">
        <w:rPr>
          <w:rFonts w:ascii="Times New Roman" w:hAnsi="Times New Roman"/>
        </w:rPr>
        <w:t>,</w:t>
      </w:r>
      <w:r w:rsidRPr="2BDDEFCA">
        <w:rPr>
          <w:rFonts w:ascii="Times New Roman" w:hAnsi="Times New Roman"/>
        </w:rPr>
        <w:t xml:space="preserve"> risks. </w:t>
      </w:r>
      <w:r w:rsidR="00A91D78" w:rsidRPr="2BDDEFCA">
        <w:rPr>
          <w:rFonts w:ascii="Times New Roman" w:hAnsi="Times New Roman"/>
        </w:rPr>
        <w:t>Currently</w:t>
      </w:r>
      <w:r w:rsidR="00D527E5" w:rsidRPr="2BDDEFCA">
        <w:rPr>
          <w:rFonts w:ascii="Times New Roman" w:hAnsi="Times New Roman"/>
        </w:rPr>
        <w:t>,</w:t>
      </w:r>
      <w:r w:rsidR="00A91D78" w:rsidRPr="2BDDEFCA">
        <w:rPr>
          <w:rFonts w:ascii="Times New Roman" w:hAnsi="Times New Roman"/>
        </w:rPr>
        <w:t xml:space="preserve"> the Commission is </w:t>
      </w:r>
      <w:r w:rsidRPr="2BDDEFCA">
        <w:rPr>
          <w:rFonts w:ascii="Times New Roman" w:hAnsi="Times New Roman"/>
        </w:rPr>
        <w:t xml:space="preserve">developing </w:t>
      </w:r>
      <w:r w:rsidR="676A5278" w:rsidRPr="2BDDEFCA">
        <w:rPr>
          <w:rFonts w:ascii="Times New Roman" w:hAnsi="Times New Roman"/>
        </w:rPr>
        <w:t>a modernised</w:t>
      </w:r>
      <w:r w:rsidRPr="2BDDEFCA">
        <w:rPr>
          <w:rFonts w:ascii="Times New Roman" w:hAnsi="Times New Roman"/>
        </w:rPr>
        <w:t xml:space="preserve"> corporate tool </w:t>
      </w:r>
      <w:r w:rsidR="6D178DA0" w:rsidRPr="2BDDEFCA">
        <w:rPr>
          <w:rFonts w:ascii="Times New Roman" w:hAnsi="Times New Roman"/>
        </w:rPr>
        <w:t>“</w:t>
      </w:r>
      <w:r w:rsidRPr="2BDDEFCA">
        <w:rPr>
          <w:rFonts w:ascii="Times New Roman" w:hAnsi="Times New Roman"/>
        </w:rPr>
        <w:t>Arachne+</w:t>
      </w:r>
      <w:r w:rsidR="2E9DDAFD" w:rsidRPr="2BDDEFCA">
        <w:rPr>
          <w:rFonts w:ascii="Times New Roman" w:hAnsi="Times New Roman"/>
        </w:rPr>
        <w:t>”</w:t>
      </w:r>
      <w:r w:rsidR="2AD8DC45" w:rsidRPr="2BDDEFCA">
        <w:rPr>
          <w:rFonts w:ascii="Times New Roman" w:hAnsi="Times New Roman"/>
        </w:rPr>
        <w:t>, which will be applicable to all management modes</w:t>
      </w:r>
      <w:r w:rsidR="46EF378C" w:rsidRPr="2BDDEFCA">
        <w:rPr>
          <w:rFonts w:ascii="Times New Roman" w:hAnsi="Times New Roman"/>
        </w:rPr>
        <w:t xml:space="preserve"> and to which it will be mandatory to feed relevant data categories by the </w:t>
      </w:r>
      <w:r w:rsidR="00A1197C" w:rsidRPr="2BDDEFCA">
        <w:rPr>
          <w:rFonts w:ascii="Times New Roman" w:hAnsi="Times New Roman"/>
        </w:rPr>
        <w:t xml:space="preserve">Union </w:t>
      </w:r>
      <w:r w:rsidR="46EF378C" w:rsidRPr="2BDDEFCA">
        <w:rPr>
          <w:rFonts w:ascii="Times New Roman" w:hAnsi="Times New Roman"/>
        </w:rPr>
        <w:t>institutions and bodies, Member States and entities implementing the Union budget</w:t>
      </w:r>
      <w:r w:rsidR="000D40B1" w:rsidRPr="2BDDEFCA">
        <w:rPr>
          <w:rFonts w:ascii="Times New Roman" w:hAnsi="Times New Roman"/>
        </w:rPr>
        <w:t xml:space="preserve"> for the </w:t>
      </w:r>
      <w:r w:rsidR="33C8830B" w:rsidRPr="2BDDEFCA">
        <w:rPr>
          <w:rFonts w:ascii="Times New Roman" w:hAnsi="Times New Roman"/>
        </w:rPr>
        <w:t>2028-2034</w:t>
      </w:r>
      <w:r w:rsidR="000D40B1" w:rsidRPr="2BDDEFCA">
        <w:rPr>
          <w:rFonts w:ascii="Times New Roman" w:hAnsi="Times New Roman"/>
        </w:rPr>
        <w:t xml:space="preserve"> Multiannual Financial Framework (MFF)</w:t>
      </w:r>
      <w:r w:rsidR="705C54F1" w:rsidRPr="2BDDEFCA">
        <w:rPr>
          <w:rFonts w:ascii="Times New Roman" w:hAnsi="Times New Roman"/>
        </w:rPr>
        <w:t xml:space="preserve">. </w:t>
      </w:r>
      <w:r w:rsidR="76A82F40" w:rsidRPr="2BDDEFCA">
        <w:rPr>
          <w:rFonts w:ascii="Times New Roman" w:hAnsi="Times New Roman"/>
        </w:rPr>
        <w:t>Its use by the Member States will remain voluntary, however, t</w:t>
      </w:r>
      <w:r w:rsidR="6132BEDB" w:rsidRPr="2BDDEFCA">
        <w:rPr>
          <w:rFonts w:ascii="Times New Roman" w:hAnsi="Times New Roman"/>
        </w:rPr>
        <w:t xml:space="preserve">he Commission, the Council, and the </w:t>
      </w:r>
      <w:r w:rsidR="001E52A8" w:rsidRPr="2BDDEFCA">
        <w:rPr>
          <w:rFonts w:ascii="Times New Roman" w:hAnsi="Times New Roman"/>
        </w:rPr>
        <w:t xml:space="preserve">European </w:t>
      </w:r>
      <w:r w:rsidR="6132BEDB" w:rsidRPr="2BDDEFCA">
        <w:rPr>
          <w:rFonts w:ascii="Times New Roman" w:hAnsi="Times New Roman"/>
        </w:rPr>
        <w:t xml:space="preserve">Parliament committed to examine and re-discuss mandatory use of the Arachne+ tool by Member States for the </w:t>
      </w:r>
      <w:r w:rsidR="014D490A" w:rsidRPr="2BDDEFCA">
        <w:rPr>
          <w:rFonts w:ascii="Times New Roman" w:hAnsi="Times New Roman"/>
        </w:rPr>
        <w:t>2028-2034</w:t>
      </w:r>
      <w:r w:rsidR="6132BEDB" w:rsidRPr="2BDDEFCA">
        <w:rPr>
          <w:rFonts w:ascii="Times New Roman" w:hAnsi="Times New Roman"/>
        </w:rPr>
        <w:t xml:space="preserve"> </w:t>
      </w:r>
      <w:r w:rsidR="000D40B1" w:rsidRPr="2BDDEFCA">
        <w:rPr>
          <w:rFonts w:ascii="Times New Roman" w:hAnsi="Times New Roman"/>
        </w:rPr>
        <w:t>MFF</w:t>
      </w:r>
      <w:r w:rsidR="6132BEDB" w:rsidRPr="2BDDEFCA">
        <w:rPr>
          <w:rFonts w:ascii="Times New Roman" w:hAnsi="Times New Roman"/>
        </w:rPr>
        <w:t xml:space="preserve">, based on an assessment of the tool’s readiness by the end of 2027. The key criteria of the </w:t>
      </w:r>
      <w:r w:rsidR="7167D026" w:rsidRPr="2BDDEFCA">
        <w:rPr>
          <w:rFonts w:ascii="Times New Roman" w:hAnsi="Times New Roman"/>
        </w:rPr>
        <w:t xml:space="preserve">assessment of the tool’s </w:t>
      </w:r>
      <w:r w:rsidR="6132BEDB" w:rsidRPr="2BDDEFCA">
        <w:rPr>
          <w:rFonts w:ascii="Times New Roman" w:hAnsi="Times New Roman"/>
        </w:rPr>
        <w:t xml:space="preserve">readiness will be </w:t>
      </w:r>
      <w:r w:rsidR="518BE00E" w:rsidRPr="2BDDEFCA">
        <w:rPr>
          <w:rFonts w:ascii="Times New Roman" w:hAnsi="Times New Roman"/>
        </w:rPr>
        <w:t xml:space="preserve">improved </w:t>
      </w:r>
      <w:r w:rsidR="00617EA9" w:rsidRPr="2BDDEFCA">
        <w:rPr>
          <w:rFonts w:ascii="Times New Roman" w:hAnsi="Times New Roman"/>
        </w:rPr>
        <w:t>risk indicators, interoperability</w:t>
      </w:r>
      <w:r w:rsidR="60C97C1D" w:rsidRPr="2BDDEFCA">
        <w:rPr>
          <w:rFonts w:ascii="Times New Roman" w:hAnsi="Times New Roman"/>
        </w:rPr>
        <w:t xml:space="preserve"> with relevant IT systems and databases including those of the Member States</w:t>
      </w:r>
      <w:r w:rsidR="00617EA9" w:rsidRPr="2BDDEFCA">
        <w:rPr>
          <w:rFonts w:ascii="Times New Roman" w:hAnsi="Times New Roman"/>
        </w:rPr>
        <w:t xml:space="preserve">, data protection compliance, and </w:t>
      </w:r>
      <w:r w:rsidR="44585789" w:rsidRPr="2BDDEFCA">
        <w:rPr>
          <w:rFonts w:ascii="Times New Roman" w:hAnsi="Times New Roman"/>
        </w:rPr>
        <w:t xml:space="preserve">the use of </w:t>
      </w:r>
      <w:r w:rsidR="00C626E0" w:rsidRPr="2BDDEFCA">
        <w:rPr>
          <w:rFonts w:ascii="Times New Roman" w:hAnsi="Times New Roman"/>
        </w:rPr>
        <w:t>artificial intelligence (</w:t>
      </w:r>
      <w:r w:rsidR="00617EA9" w:rsidRPr="2BDDEFCA">
        <w:rPr>
          <w:rFonts w:ascii="Times New Roman" w:hAnsi="Times New Roman"/>
        </w:rPr>
        <w:t>AI</w:t>
      </w:r>
      <w:r w:rsidR="00C626E0" w:rsidRPr="2BDDEFCA">
        <w:rPr>
          <w:rFonts w:ascii="Times New Roman" w:hAnsi="Times New Roman"/>
        </w:rPr>
        <w:t>)</w:t>
      </w:r>
      <w:r w:rsidR="00617EA9" w:rsidRPr="2BDDEFCA">
        <w:rPr>
          <w:rFonts w:ascii="Times New Roman" w:hAnsi="Times New Roman"/>
        </w:rPr>
        <w:t xml:space="preserve"> for improved fraud detection. The Commission also promotes the use of </w:t>
      </w:r>
      <w:r w:rsidR="003F7E7E" w:rsidRPr="2BDDEFCA">
        <w:rPr>
          <w:rFonts w:ascii="Times New Roman" w:hAnsi="Times New Roman"/>
        </w:rPr>
        <w:t xml:space="preserve">AI </w:t>
      </w:r>
      <w:r w:rsidR="00617EA9" w:rsidRPr="2BDDEFCA">
        <w:rPr>
          <w:rFonts w:ascii="Times New Roman" w:hAnsi="Times New Roman"/>
        </w:rPr>
        <w:t xml:space="preserve">and machine learning </w:t>
      </w:r>
      <w:r w:rsidR="00236F3D" w:rsidRPr="2BDDEFCA">
        <w:rPr>
          <w:rFonts w:ascii="Times New Roman" w:hAnsi="Times New Roman"/>
        </w:rPr>
        <w:t>through</w:t>
      </w:r>
      <w:r w:rsidR="00617EA9" w:rsidRPr="2BDDEFCA">
        <w:rPr>
          <w:rFonts w:ascii="Times New Roman" w:hAnsi="Times New Roman"/>
        </w:rPr>
        <w:t xml:space="preserve"> pilot projects </w:t>
      </w:r>
      <w:r w:rsidR="00423A38" w:rsidRPr="2BDDEFCA">
        <w:rPr>
          <w:rFonts w:ascii="Times New Roman" w:hAnsi="Times New Roman"/>
        </w:rPr>
        <w:t xml:space="preserve">for audit authorities </w:t>
      </w:r>
      <w:r w:rsidR="00236F3D" w:rsidRPr="2BDDEFCA">
        <w:rPr>
          <w:rFonts w:ascii="Times New Roman" w:hAnsi="Times New Roman"/>
        </w:rPr>
        <w:t>in several Member States</w:t>
      </w:r>
      <w:r w:rsidR="00617EA9" w:rsidRPr="2BDDEFCA">
        <w:rPr>
          <w:rFonts w:ascii="Times New Roman" w:hAnsi="Times New Roman"/>
        </w:rPr>
        <w:t>.</w:t>
      </w:r>
      <w:r w:rsidR="00D72C29" w:rsidRPr="2BDDEFCA">
        <w:rPr>
          <w:rFonts w:ascii="Times New Roman" w:hAnsi="Times New Roman"/>
        </w:rPr>
        <w:t xml:space="preserve">  </w:t>
      </w:r>
    </w:p>
    <w:p w14:paraId="056E20F2" w14:textId="6AB29F5A" w:rsidR="00423A38" w:rsidRPr="00103D22" w:rsidRDefault="00423A38" w:rsidP="001E5EC7">
      <w:pPr>
        <w:widowControl w:val="0"/>
        <w:spacing w:before="120" w:after="0"/>
        <w:rPr>
          <w:rFonts w:ascii="Times New Roman" w:hAnsi="Times New Roman"/>
        </w:rPr>
      </w:pPr>
      <w:r w:rsidRPr="00103D22">
        <w:rPr>
          <w:rFonts w:ascii="Times New Roman" w:hAnsi="Times New Roman"/>
        </w:rPr>
        <w:lastRenderedPageBreak/>
        <w:t xml:space="preserve">The Early Detection and Exclusion System has been extended to shared management </w:t>
      </w:r>
      <w:r w:rsidR="000D40B1" w:rsidRPr="00103D22">
        <w:rPr>
          <w:rFonts w:ascii="Times New Roman" w:hAnsi="Times New Roman"/>
        </w:rPr>
        <w:t xml:space="preserve">as from 2028 </w:t>
      </w:r>
      <w:r w:rsidRPr="00103D22">
        <w:rPr>
          <w:rFonts w:ascii="Times New Roman" w:hAnsi="Times New Roman"/>
        </w:rPr>
        <w:t>under the recast Financial Regulation, making its use compulsory to protect the EU budget from fraudulent and unreliable economic operators</w:t>
      </w:r>
      <w:r w:rsidR="00A1197C" w:rsidRPr="00103D22">
        <w:rPr>
          <w:rFonts w:ascii="Times New Roman" w:hAnsi="Times New Roman"/>
        </w:rPr>
        <w:t xml:space="preserve"> for the programmes financed post the 202</w:t>
      </w:r>
      <w:r w:rsidR="00934374">
        <w:rPr>
          <w:rFonts w:ascii="Times New Roman" w:hAnsi="Times New Roman"/>
        </w:rPr>
        <w:t>1</w:t>
      </w:r>
      <w:r w:rsidR="00A1197C" w:rsidRPr="00103D22">
        <w:rPr>
          <w:rFonts w:ascii="Times New Roman" w:hAnsi="Times New Roman"/>
        </w:rPr>
        <w:t>-2027 MFF</w:t>
      </w:r>
      <w:r w:rsidRPr="00103D22">
        <w:rPr>
          <w:rFonts w:ascii="Times New Roman" w:hAnsi="Times New Roman"/>
        </w:rPr>
        <w:t>.</w:t>
      </w:r>
    </w:p>
    <w:p w14:paraId="10143730" w14:textId="0EA66B1F" w:rsidR="00D72C29" w:rsidRPr="00103D22" w:rsidRDefault="00D72C29" w:rsidP="001E5EC7">
      <w:pPr>
        <w:widowControl w:val="0"/>
        <w:spacing w:before="120" w:after="0"/>
        <w:rPr>
          <w:rFonts w:ascii="Times New Roman" w:hAnsi="Times New Roman"/>
        </w:rPr>
      </w:pPr>
      <w:r w:rsidRPr="00103D22">
        <w:rPr>
          <w:rFonts w:ascii="Times New Roman" w:hAnsi="Times New Roman"/>
          <w:color w:val="000000"/>
        </w:rPr>
        <w:t xml:space="preserve">The Commission's joint audit directorate (DAC) is upgrading its audit IT tool, MAPAR, to </w:t>
      </w:r>
      <w:r w:rsidR="00423A38" w:rsidRPr="00103D22">
        <w:rPr>
          <w:rFonts w:ascii="Times New Roman" w:hAnsi="Times New Roman"/>
          <w:color w:val="000000"/>
        </w:rPr>
        <w:t>better exploit AI and data for</w:t>
      </w:r>
      <w:r w:rsidRPr="00103D22">
        <w:rPr>
          <w:rFonts w:ascii="Times New Roman" w:hAnsi="Times New Roman"/>
          <w:color w:val="000000"/>
        </w:rPr>
        <w:t xml:space="preserve"> financial corrections.</w:t>
      </w:r>
    </w:p>
    <w:p w14:paraId="449E52DF" w14:textId="026F3A50" w:rsidR="00D72F3C" w:rsidRPr="00103D22" w:rsidRDefault="00423A38" w:rsidP="001E5EC7">
      <w:pPr>
        <w:widowControl w:val="0"/>
        <w:spacing w:before="120" w:after="0"/>
        <w:rPr>
          <w:rFonts w:ascii="Times New Roman" w:hAnsi="Times New Roman"/>
        </w:rPr>
      </w:pPr>
      <w:r w:rsidRPr="00103D22">
        <w:rPr>
          <w:rFonts w:ascii="Times New Roman" w:hAnsi="Times New Roman"/>
        </w:rPr>
        <w:t>Finally</w:t>
      </w:r>
      <w:r w:rsidR="00E52BE6" w:rsidRPr="00103D22">
        <w:rPr>
          <w:rFonts w:ascii="Times New Roman" w:hAnsi="Times New Roman"/>
        </w:rPr>
        <w:t>, the Commission performs ex-post audits and cross-checks data with other EU-funded projects</w:t>
      </w:r>
      <w:r w:rsidRPr="00103D22">
        <w:rPr>
          <w:rFonts w:ascii="Times New Roman" w:hAnsi="Times New Roman"/>
        </w:rPr>
        <w:t xml:space="preserve"> (e.g., </w:t>
      </w:r>
      <w:r w:rsidR="00E52BE6" w:rsidRPr="00103D22">
        <w:rPr>
          <w:rFonts w:ascii="Times New Roman" w:hAnsi="Times New Roman"/>
        </w:rPr>
        <w:t xml:space="preserve">RRF data provided by Member States </w:t>
      </w:r>
      <w:r w:rsidRPr="00103D22">
        <w:rPr>
          <w:rFonts w:ascii="Times New Roman" w:hAnsi="Times New Roman"/>
        </w:rPr>
        <w:t xml:space="preserve">against </w:t>
      </w:r>
      <w:r w:rsidR="00302BD0" w:rsidRPr="00103D22">
        <w:rPr>
          <w:rFonts w:ascii="Times New Roman" w:hAnsi="Times New Roman"/>
        </w:rPr>
        <w:t xml:space="preserve">the </w:t>
      </w:r>
      <w:r w:rsidR="00E52BE6" w:rsidRPr="00103D22">
        <w:rPr>
          <w:rFonts w:ascii="Times New Roman" w:hAnsi="Times New Roman"/>
        </w:rPr>
        <w:t>Kohesio platform, which ensures public access to comprehensive information on all Cohesion Policy-funded projects</w:t>
      </w:r>
      <w:r w:rsidRPr="00103D22">
        <w:rPr>
          <w:rFonts w:ascii="Times New Roman" w:hAnsi="Times New Roman"/>
        </w:rPr>
        <w:t>) and has already implemented specific measures to address the accepted recommendations from the European Court of Auditors to further strengthen safeguards preventing double funding</w:t>
      </w:r>
      <w:r w:rsidR="00E52BE6" w:rsidRPr="00103D22">
        <w:rPr>
          <w:rFonts w:ascii="Times New Roman" w:hAnsi="Times New Roman"/>
        </w:rPr>
        <w:t xml:space="preserve">. </w:t>
      </w:r>
    </w:p>
    <w:p w14:paraId="17B585A4" w14:textId="6B5CB460" w:rsidR="003E0A19" w:rsidRPr="00103D22" w:rsidRDefault="003E0A19" w:rsidP="001E5EC7">
      <w:pPr>
        <w:widowControl w:val="0"/>
        <w:spacing w:before="120" w:after="0"/>
        <w:rPr>
          <w:rFonts w:ascii="Times New Roman" w:hAnsi="Times New Roman"/>
          <w:i/>
          <w:iCs/>
        </w:rPr>
      </w:pPr>
      <w:r w:rsidRPr="00103D22">
        <w:rPr>
          <w:rFonts w:ascii="Times New Roman" w:hAnsi="Times New Roman"/>
          <w:i/>
          <w:iCs/>
        </w:rPr>
        <w:t xml:space="preserve">Paragraph 11 – Information </w:t>
      </w:r>
      <w:r w:rsidR="000055B8" w:rsidRPr="00103D22">
        <w:rPr>
          <w:rFonts w:ascii="Times New Roman" w:hAnsi="Times New Roman"/>
          <w:i/>
          <w:iCs/>
        </w:rPr>
        <w:t>about</w:t>
      </w:r>
      <w:r w:rsidRPr="00103D22">
        <w:rPr>
          <w:rFonts w:ascii="Times New Roman" w:hAnsi="Times New Roman"/>
          <w:i/>
          <w:iCs/>
        </w:rPr>
        <w:t xml:space="preserve"> and </w:t>
      </w:r>
      <w:r w:rsidR="000055B8" w:rsidRPr="00103D22">
        <w:rPr>
          <w:rFonts w:ascii="Times New Roman" w:hAnsi="Times New Roman"/>
          <w:i/>
          <w:iCs/>
        </w:rPr>
        <w:t>for</w:t>
      </w:r>
      <w:r w:rsidRPr="00103D22">
        <w:rPr>
          <w:rFonts w:ascii="Times New Roman" w:hAnsi="Times New Roman"/>
          <w:i/>
          <w:iCs/>
        </w:rPr>
        <w:t xml:space="preserve"> beneficiaries</w:t>
      </w:r>
    </w:p>
    <w:p w14:paraId="51948F63" w14:textId="619827D8" w:rsidR="00997C66" w:rsidRPr="00103D22" w:rsidRDefault="00997C66" w:rsidP="001E5EC7">
      <w:pPr>
        <w:widowControl w:val="0"/>
        <w:spacing w:before="120" w:after="0"/>
        <w:rPr>
          <w:rFonts w:ascii="Times New Roman" w:hAnsi="Times New Roman"/>
        </w:rPr>
      </w:pPr>
      <w:r w:rsidRPr="00103D22">
        <w:rPr>
          <w:rFonts w:ascii="Times New Roman" w:hAnsi="Times New Roman"/>
        </w:rPr>
        <w:t>In its proposal for a</w:t>
      </w:r>
      <w:r w:rsidR="001D7ECC" w:rsidRPr="00103D22">
        <w:rPr>
          <w:rFonts w:ascii="Times New Roman" w:hAnsi="Times New Roman"/>
        </w:rPr>
        <w:t xml:space="preserve"> Regulation establishing a budget expenditure tracking and performance framework and other horizontal rules for the Union programmes and activities</w:t>
      </w:r>
      <w:r w:rsidR="00E7358F" w:rsidRPr="00103D22">
        <w:rPr>
          <w:rFonts w:ascii="Times New Roman" w:hAnsi="Times New Roman"/>
        </w:rPr>
        <w:t xml:space="preserve"> (COM(2025) 545 final of 16.7.2025)</w:t>
      </w:r>
      <w:r w:rsidRPr="00103D22">
        <w:rPr>
          <w:rFonts w:ascii="Times New Roman" w:hAnsi="Times New Roman"/>
        </w:rPr>
        <w:t xml:space="preserve"> under the </w:t>
      </w:r>
      <w:r w:rsidR="00901D4F" w:rsidRPr="00103D22">
        <w:rPr>
          <w:rFonts w:ascii="Times New Roman" w:hAnsi="Times New Roman"/>
        </w:rPr>
        <w:t>MFF</w:t>
      </w:r>
      <w:r w:rsidRPr="00103D22">
        <w:rPr>
          <w:rFonts w:ascii="Times New Roman" w:hAnsi="Times New Roman"/>
        </w:rPr>
        <w:t xml:space="preserve"> 2028-2034, the Commission introduces a Single Gateway </w:t>
      </w:r>
      <w:r w:rsidR="000D40B1" w:rsidRPr="00103D22">
        <w:rPr>
          <w:rFonts w:ascii="Times New Roman" w:hAnsi="Times New Roman"/>
        </w:rPr>
        <w:t xml:space="preserve">website </w:t>
      </w:r>
      <w:r w:rsidRPr="00103D22">
        <w:rPr>
          <w:rFonts w:ascii="Times New Roman" w:hAnsi="Times New Roman"/>
        </w:rPr>
        <w:t xml:space="preserve">for both performance information and </w:t>
      </w:r>
      <w:r w:rsidR="004D7442" w:rsidRPr="00103D22">
        <w:rPr>
          <w:rFonts w:ascii="Times New Roman" w:hAnsi="Times New Roman"/>
        </w:rPr>
        <w:t xml:space="preserve">available </w:t>
      </w:r>
      <w:r w:rsidRPr="00103D22">
        <w:rPr>
          <w:rFonts w:ascii="Times New Roman" w:hAnsi="Times New Roman"/>
        </w:rPr>
        <w:t xml:space="preserve">funding opportunities across the </w:t>
      </w:r>
      <w:r w:rsidR="00916BD3" w:rsidRPr="00103D22">
        <w:rPr>
          <w:rFonts w:ascii="Times New Roman" w:hAnsi="Times New Roman"/>
        </w:rPr>
        <w:t xml:space="preserve">whole </w:t>
      </w:r>
      <w:r w:rsidRPr="00103D22">
        <w:rPr>
          <w:rFonts w:ascii="Times New Roman" w:hAnsi="Times New Roman"/>
        </w:rPr>
        <w:t>EU budget</w:t>
      </w:r>
      <w:r w:rsidR="003E5592" w:rsidRPr="00103D22">
        <w:rPr>
          <w:rFonts w:ascii="Times New Roman" w:hAnsi="Times New Roman"/>
        </w:rPr>
        <w:t xml:space="preserve"> – such as on ongoing and upcoming calls for proposals and calls for tenders financed by </w:t>
      </w:r>
      <w:r w:rsidR="00154604" w:rsidRPr="00103D22">
        <w:rPr>
          <w:rFonts w:ascii="Times New Roman" w:hAnsi="Times New Roman"/>
        </w:rPr>
        <w:t>MFF programmes</w:t>
      </w:r>
      <w:r w:rsidRPr="00103D22">
        <w:rPr>
          <w:rFonts w:ascii="Times New Roman" w:hAnsi="Times New Roman"/>
        </w:rPr>
        <w:t xml:space="preserve">. By bringing together more than 30 existing </w:t>
      </w:r>
      <w:r w:rsidR="001A2480" w:rsidRPr="00103D22">
        <w:rPr>
          <w:rFonts w:ascii="Times New Roman" w:hAnsi="Times New Roman"/>
        </w:rPr>
        <w:t xml:space="preserve">programme-specific </w:t>
      </w:r>
      <w:r w:rsidRPr="00103D22">
        <w:rPr>
          <w:rFonts w:ascii="Times New Roman" w:hAnsi="Times New Roman"/>
        </w:rPr>
        <w:t>portals and dashboards, this tool will enhance transparency</w:t>
      </w:r>
      <w:r w:rsidR="00805E70" w:rsidRPr="00103D22">
        <w:rPr>
          <w:rFonts w:ascii="Times New Roman" w:hAnsi="Times New Roman"/>
        </w:rPr>
        <w:t xml:space="preserve"> on what the EU budget achieves</w:t>
      </w:r>
      <w:r w:rsidRPr="00103D22">
        <w:rPr>
          <w:rFonts w:ascii="Times New Roman" w:hAnsi="Times New Roman"/>
        </w:rPr>
        <w:t>, simplify access</w:t>
      </w:r>
      <w:r w:rsidR="38BA317F" w:rsidRPr="00103D22">
        <w:rPr>
          <w:rFonts w:ascii="Times New Roman" w:hAnsi="Times New Roman"/>
        </w:rPr>
        <w:t xml:space="preserve"> to information</w:t>
      </w:r>
      <w:r w:rsidRPr="00103D22">
        <w:rPr>
          <w:rFonts w:ascii="Times New Roman" w:hAnsi="Times New Roman"/>
        </w:rPr>
        <w:t xml:space="preserve"> for beneficiaries</w:t>
      </w:r>
      <w:r w:rsidR="00920B54" w:rsidRPr="00103D22">
        <w:rPr>
          <w:rFonts w:ascii="Times New Roman" w:hAnsi="Times New Roman"/>
        </w:rPr>
        <w:t xml:space="preserve"> and project promoters</w:t>
      </w:r>
      <w:r w:rsidRPr="00103D22" w:rsidDel="00997C66">
        <w:rPr>
          <w:rFonts w:ascii="Times New Roman" w:hAnsi="Times New Roman"/>
        </w:rPr>
        <w:t xml:space="preserve">, and </w:t>
      </w:r>
      <w:r w:rsidR="00805E70" w:rsidRPr="00103D22">
        <w:rPr>
          <w:rFonts w:ascii="Times New Roman" w:hAnsi="Times New Roman"/>
        </w:rPr>
        <w:t xml:space="preserve">strengthen </w:t>
      </w:r>
      <w:r w:rsidRPr="00103D22">
        <w:rPr>
          <w:rFonts w:ascii="Times New Roman" w:hAnsi="Times New Roman"/>
        </w:rPr>
        <w:t>the visibility of EU funding.</w:t>
      </w:r>
      <w:r w:rsidR="21A603FB" w:rsidRPr="00103D22">
        <w:rPr>
          <w:rFonts w:ascii="Times New Roman" w:hAnsi="Times New Roman"/>
        </w:rPr>
        <w:t xml:space="preserve"> The </w:t>
      </w:r>
      <w:r w:rsidR="00805E70" w:rsidRPr="00103D22" w:rsidDel="21A603FB">
        <w:rPr>
          <w:rFonts w:ascii="Times New Roman" w:hAnsi="Times New Roman"/>
        </w:rPr>
        <w:t>p</w:t>
      </w:r>
      <w:r w:rsidR="21A603FB" w:rsidRPr="00103D22">
        <w:rPr>
          <w:rFonts w:ascii="Times New Roman" w:hAnsi="Times New Roman"/>
        </w:rPr>
        <w:t xml:space="preserve">ortal will also centralise data </w:t>
      </w:r>
      <w:r w:rsidR="00A1197C" w:rsidRPr="00103D22">
        <w:rPr>
          <w:rFonts w:ascii="Times New Roman" w:hAnsi="Times New Roman"/>
        </w:rPr>
        <w:t xml:space="preserve">in collaboration with Member States </w:t>
      </w:r>
      <w:r w:rsidR="21A603FB" w:rsidRPr="00103D22">
        <w:rPr>
          <w:rFonts w:ascii="Times New Roman" w:hAnsi="Times New Roman"/>
        </w:rPr>
        <w:t xml:space="preserve">on operations supported by the EU budget </w:t>
      </w:r>
      <w:r w:rsidR="000D40B1" w:rsidRPr="00103D22">
        <w:rPr>
          <w:rFonts w:ascii="Times New Roman" w:hAnsi="Times New Roman"/>
        </w:rPr>
        <w:t xml:space="preserve">and recipients of Union funding under all management modes </w:t>
      </w:r>
      <w:r w:rsidR="21A603FB" w:rsidRPr="00103D22">
        <w:rPr>
          <w:rFonts w:ascii="Times New Roman" w:hAnsi="Times New Roman"/>
        </w:rPr>
        <w:t xml:space="preserve">in line with the transparency </w:t>
      </w:r>
      <w:r w:rsidR="00A1197C" w:rsidRPr="00103D22">
        <w:rPr>
          <w:rFonts w:ascii="Times New Roman" w:hAnsi="Times New Roman"/>
        </w:rPr>
        <w:t>regime set out in</w:t>
      </w:r>
      <w:r w:rsidR="21A603FB" w:rsidRPr="00103D22">
        <w:rPr>
          <w:rFonts w:ascii="Times New Roman" w:hAnsi="Times New Roman"/>
        </w:rPr>
        <w:t xml:space="preserve"> the Financial Regulation</w:t>
      </w:r>
      <w:r w:rsidR="00A1197C" w:rsidRPr="00103D22">
        <w:rPr>
          <w:rFonts w:ascii="Times New Roman" w:hAnsi="Times New Roman"/>
        </w:rPr>
        <w:t>, which will become compulsory for the programmes financed post the 202</w:t>
      </w:r>
      <w:r w:rsidR="00934374">
        <w:rPr>
          <w:rFonts w:ascii="Times New Roman" w:hAnsi="Times New Roman"/>
        </w:rPr>
        <w:t>1</w:t>
      </w:r>
      <w:r w:rsidR="00A1197C" w:rsidRPr="00103D22">
        <w:rPr>
          <w:rFonts w:ascii="Times New Roman" w:hAnsi="Times New Roman"/>
        </w:rPr>
        <w:t>-2027 MFF</w:t>
      </w:r>
      <w:r w:rsidR="21A603FB" w:rsidRPr="00103D22">
        <w:rPr>
          <w:rFonts w:ascii="Times New Roman" w:hAnsi="Times New Roman"/>
        </w:rPr>
        <w:t>.</w:t>
      </w:r>
      <w:r w:rsidR="00FF4C96" w:rsidRPr="00103D22">
        <w:rPr>
          <w:rFonts w:ascii="Times New Roman" w:hAnsi="Times New Roman"/>
        </w:rPr>
        <w:t xml:space="preserve"> The portal will also provide information on operations with high potential that have received special distinctions or an emblem of excellence</w:t>
      </w:r>
      <w:r w:rsidR="00C6373D" w:rsidRPr="00103D22">
        <w:rPr>
          <w:rFonts w:ascii="Times New Roman" w:hAnsi="Times New Roman"/>
        </w:rPr>
        <w:t xml:space="preserve"> </w:t>
      </w:r>
      <w:r w:rsidR="00FF4C96" w:rsidRPr="00103D22">
        <w:rPr>
          <w:rFonts w:ascii="Times New Roman" w:hAnsi="Times New Roman"/>
        </w:rPr>
        <w:t>and on advisory and business support services funded by the budget, while also providing a platform for promoters to present operations to potential investors.</w:t>
      </w:r>
    </w:p>
    <w:p w14:paraId="3B19071F" w14:textId="2E17D008" w:rsidR="003E0A19" w:rsidRPr="00103D22" w:rsidRDefault="79C8C1A0" w:rsidP="001E5EC7">
      <w:pPr>
        <w:widowControl w:val="0"/>
        <w:spacing w:before="120" w:after="0"/>
        <w:rPr>
          <w:rFonts w:ascii="Times New Roman" w:hAnsi="Times New Roman"/>
          <w:i/>
          <w:iCs/>
        </w:rPr>
      </w:pPr>
      <w:r w:rsidRPr="00103D22">
        <w:rPr>
          <w:rFonts w:ascii="Times New Roman" w:hAnsi="Times New Roman"/>
          <w:i/>
          <w:iCs/>
        </w:rPr>
        <w:t>Paragraph</w:t>
      </w:r>
      <w:r w:rsidR="0B26D704" w:rsidRPr="00103D22">
        <w:rPr>
          <w:rFonts w:ascii="Times New Roman" w:hAnsi="Times New Roman"/>
          <w:i/>
          <w:iCs/>
        </w:rPr>
        <w:t>s 6 and</w:t>
      </w:r>
      <w:r w:rsidRPr="00103D22">
        <w:rPr>
          <w:rFonts w:ascii="Times New Roman" w:hAnsi="Times New Roman"/>
          <w:i/>
          <w:iCs/>
        </w:rPr>
        <w:t xml:space="preserve"> 40 – Simplification of State aid rules</w:t>
      </w:r>
    </w:p>
    <w:p w14:paraId="21BAB322" w14:textId="140BA188" w:rsidR="00B81036" w:rsidRPr="00103D22" w:rsidRDefault="14760554" w:rsidP="001E5EC7">
      <w:pPr>
        <w:widowControl w:val="0"/>
        <w:spacing w:before="120" w:after="0"/>
        <w:rPr>
          <w:rFonts w:ascii="Times New Roman" w:hAnsi="Times New Roman"/>
          <w:color w:val="000000"/>
        </w:rPr>
      </w:pPr>
      <w:r w:rsidRPr="00103D22">
        <w:rPr>
          <w:rFonts w:ascii="Times New Roman" w:hAnsi="Times New Roman"/>
          <w:color w:val="000000"/>
        </w:rPr>
        <w:t>The Commission reminds that State aid rules aim at ensuring that public financial support to companies does not unduly affect the level playing field in the internal market. It acknowledges that, to remain efficient, State aid rules must remain as simple as possible. The Commission has adopted a number of initiatives to that end in recent years, for instance by covering more forms of aid under the General Block Exemption Regulation (approved without notification to the Commission), by adopting guidelines to explain its State aid policy in various fields, which support managing authorit</w:t>
      </w:r>
      <w:r w:rsidR="4F95B89E" w:rsidRPr="00103D22">
        <w:rPr>
          <w:rFonts w:ascii="Times New Roman" w:hAnsi="Times New Roman"/>
          <w:color w:val="000000"/>
        </w:rPr>
        <w:t>ies‘</w:t>
      </w:r>
      <w:r w:rsidRPr="00103D22">
        <w:rPr>
          <w:rFonts w:ascii="Times New Roman" w:hAnsi="Times New Roman"/>
          <w:color w:val="000000"/>
        </w:rPr>
        <w:t xml:space="preserve"> understanding, and by providing tools for reaching out to the Commission when implementing State aid rules. </w:t>
      </w:r>
    </w:p>
    <w:p w14:paraId="39A4CED5" w14:textId="41DABF8F" w:rsidR="00B81036" w:rsidRPr="00103D22" w:rsidRDefault="14760554" w:rsidP="001E5EC7">
      <w:pPr>
        <w:widowControl w:val="0"/>
        <w:spacing w:before="120" w:after="0"/>
        <w:rPr>
          <w:rFonts w:ascii="Times New Roman" w:hAnsi="Times New Roman"/>
          <w:color w:val="000000"/>
        </w:rPr>
      </w:pPr>
      <w:r w:rsidRPr="00103D22">
        <w:rPr>
          <w:rFonts w:ascii="Times New Roman" w:hAnsi="Times New Roman"/>
          <w:color w:val="000000"/>
        </w:rPr>
        <w:t xml:space="preserve">The Commission also acknowledges the European </w:t>
      </w:r>
      <w:r w:rsidR="4F24C556" w:rsidRPr="00103D22">
        <w:rPr>
          <w:rFonts w:ascii="Times New Roman" w:hAnsi="Times New Roman"/>
          <w:color w:val="000000"/>
        </w:rPr>
        <w:t>Parliament</w:t>
      </w:r>
      <w:r w:rsidR="003365D3" w:rsidRPr="00103D22">
        <w:rPr>
          <w:rFonts w:ascii="Times New Roman" w:hAnsi="Times New Roman"/>
          <w:color w:val="000000"/>
        </w:rPr>
        <w:t>’</w:t>
      </w:r>
      <w:r w:rsidRPr="00103D22">
        <w:rPr>
          <w:rFonts w:ascii="Times New Roman" w:hAnsi="Times New Roman"/>
          <w:color w:val="000000"/>
        </w:rPr>
        <w:t>s call for further simplification of State aid rules in cohesion policy. The Commission will continue its efforts to streamline State aid rules towards simplification, while allowing aid addressing market failures, so as not to harm the functioning of the internal market. The revision of the rules, in particular that of the General Block Exemption Regulation integrates as much as possible the experience of Member States and Managing authorities in the current programming period.</w:t>
      </w:r>
    </w:p>
    <w:p w14:paraId="2E97CCD8" w14:textId="4CA99B20" w:rsidR="00556B63" w:rsidRPr="00103D22" w:rsidRDefault="003E0A19" w:rsidP="001E5EC7">
      <w:pPr>
        <w:widowControl w:val="0"/>
        <w:spacing w:before="120" w:after="0"/>
        <w:rPr>
          <w:rFonts w:ascii="Times New Roman" w:hAnsi="Times New Roman"/>
          <w:i/>
          <w:iCs/>
        </w:rPr>
      </w:pPr>
      <w:r w:rsidRPr="00103D22">
        <w:rPr>
          <w:rFonts w:ascii="Times New Roman" w:hAnsi="Times New Roman"/>
          <w:i/>
          <w:iCs/>
        </w:rPr>
        <w:t>Paragraph 41 – Revision of the European Public Procurement Directive</w:t>
      </w:r>
      <w:r w:rsidR="00616A0B" w:rsidRPr="00103D22">
        <w:rPr>
          <w:rFonts w:ascii="Times New Roman" w:hAnsi="Times New Roman"/>
          <w:i/>
          <w:iCs/>
        </w:rPr>
        <w:t xml:space="preserve"> </w:t>
      </w:r>
      <w:r w:rsidR="28375B67" w:rsidRPr="00103D22">
        <w:rPr>
          <w:rFonts w:ascii="Times New Roman" w:hAnsi="Times New Roman"/>
          <w:i/>
          <w:iCs/>
        </w:rPr>
        <w:t xml:space="preserve"> </w:t>
      </w:r>
    </w:p>
    <w:p w14:paraId="33DFE8EB" w14:textId="2DF9B3F7" w:rsidR="000712E0" w:rsidRPr="00103D22" w:rsidRDefault="000712E0" w:rsidP="001E5EC7">
      <w:pPr>
        <w:widowControl w:val="0"/>
        <w:spacing w:before="120" w:after="0"/>
        <w:rPr>
          <w:rFonts w:ascii="Times New Roman" w:hAnsi="Times New Roman"/>
          <w:lang w:val="en-IE"/>
        </w:rPr>
      </w:pPr>
      <w:r w:rsidRPr="00103D22">
        <w:rPr>
          <w:rFonts w:ascii="Times New Roman" w:hAnsi="Times New Roman"/>
        </w:rPr>
        <w:t xml:space="preserve">The Commission shares the view that strategic </w:t>
      </w:r>
      <w:r w:rsidR="002F60CF" w:rsidRPr="00103D22">
        <w:rPr>
          <w:rFonts w:ascii="Times New Roman" w:hAnsi="Times New Roman"/>
        </w:rPr>
        <w:t xml:space="preserve">public </w:t>
      </w:r>
      <w:r w:rsidRPr="00103D22">
        <w:rPr>
          <w:rFonts w:ascii="Times New Roman" w:hAnsi="Times New Roman"/>
        </w:rPr>
        <w:t xml:space="preserve">procurement should </w:t>
      </w:r>
      <w:r w:rsidR="006538B8" w:rsidRPr="00103D22">
        <w:rPr>
          <w:rFonts w:ascii="Times New Roman" w:hAnsi="Times New Roman"/>
        </w:rPr>
        <w:t xml:space="preserve">contribute to achieving </w:t>
      </w:r>
      <w:r w:rsidRPr="00103D22">
        <w:rPr>
          <w:rFonts w:ascii="Times New Roman" w:hAnsi="Times New Roman"/>
        </w:rPr>
        <w:t>social objectives</w:t>
      </w:r>
      <w:r w:rsidR="005C456E" w:rsidRPr="00103D22">
        <w:rPr>
          <w:rFonts w:ascii="Times New Roman" w:hAnsi="Times New Roman"/>
        </w:rPr>
        <w:t>, including compliance with labour law to protect workers’ rights. At the same time, procurement procedures based on the principles of transparency and non-discrimination pla</w:t>
      </w:r>
      <w:r w:rsidR="003E0B19" w:rsidRPr="00103D22">
        <w:rPr>
          <w:rFonts w:ascii="Times New Roman" w:hAnsi="Times New Roman"/>
        </w:rPr>
        <w:t xml:space="preserve">y an important role in preventing and combating </w:t>
      </w:r>
      <w:r w:rsidRPr="00103D22">
        <w:rPr>
          <w:rFonts w:ascii="Times New Roman" w:hAnsi="Times New Roman"/>
        </w:rPr>
        <w:t xml:space="preserve">corruption. The </w:t>
      </w:r>
      <w:r w:rsidRPr="00103D22">
        <w:rPr>
          <w:rFonts w:ascii="Times New Roman" w:hAnsi="Times New Roman"/>
        </w:rPr>
        <w:lastRenderedPageBreak/>
        <w:t xml:space="preserve">Commission </w:t>
      </w:r>
      <w:r w:rsidR="00FA4AC4" w:rsidRPr="00103D22">
        <w:rPr>
          <w:rFonts w:ascii="Times New Roman" w:hAnsi="Times New Roman"/>
        </w:rPr>
        <w:t>is furthermore committed to</w:t>
      </w:r>
      <w:r w:rsidR="00D70FF1" w:rsidRPr="00103D22">
        <w:rPr>
          <w:rFonts w:ascii="Times New Roman" w:hAnsi="Times New Roman"/>
        </w:rPr>
        <w:t xml:space="preserve"> simplifying</w:t>
      </w:r>
      <w:r w:rsidRPr="00103D22">
        <w:rPr>
          <w:rFonts w:ascii="Times New Roman" w:hAnsi="Times New Roman"/>
        </w:rPr>
        <w:t xml:space="preserve"> the procurement rules so that they can </w:t>
      </w:r>
      <w:r w:rsidR="00ED2AC5" w:rsidRPr="00103D22">
        <w:rPr>
          <w:rFonts w:ascii="Times New Roman" w:hAnsi="Times New Roman"/>
        </w:rPr>
        <w:t xml:space="preserve">be </w:t>
      </w:r>
      <w:r w:rsidRPr="00103D22">
        <w:rPr>
          <w:rFonts w:ascii="Times New Roman" w:hAnsi="Times New Roman"/>
        </w:rPr>
        <w:t>easily implemented by contracting authorities and entities throughout the Union.</w:t>
      </w:r>
    </w:p>
    <w:p w14:paraId="12DFC671" w14:textId="36E00EEE" w:rsidR="003D6ED2" w:rsidRPr="00103D22" w:rsidRDefault="003D6ED2" w:rsidP="001E5EC7">
      <w:pPr>
        <w:widowControl w:val="0"/>
        <w:spacing w:before="120" w:after="0"/>
        <w:rPr>
          <w:rFonts w:ascii="Times New Roman" w:hAnsi="Times New Roman"/>
          <w:i/>
          <w:iCs/>
        </w:rPr>
      </w:pPr>
      <w:r w:rsidRPr="00103D22">
        <w:rPr>
          <w:rFonts w:ascii="Times New Roman" w:hAnsi="Times New Roman"/>
          <w:i/>
          <w:iCs/>
        </w:rPr>
        <w:t>Paragraph 34 – Rule of Law</w:t>
      </w:r>
    </w:p>
    <w:p w14:paraId="0F036A6A" w14:textId="6BBBFA91" w:rsidR="00C07E91" w:rsidRPr="00103D22" w:rsidRDefault="00BD1374" w:rsidP="001E5EC7">
      <w:pPr>
        <w:widowControl w:val="0"/>
        <w:spacing w:before="120" w:after="0"/>
        <w:rPr>
          <w:rFonts w:ascii="Times New Roman" w:hAnsi="Times New Roman"/>
          <w:bCs/>
          <w:szCs w:val="24"/>
        </w:rPr>
      </w:pPr>
      <w:r w:rsidRPr="00103D22">
        <w:rPr>
          <w:rFonts w:ascii="Times New Roman" w:hAnsi="Times New Roman"/>
          <w:bCs/>
          <w:szCs w:val="24"/>
        </w:rPr>
        <w:t xml:space="preserve">The Commission </w:t>
      </w:r>
      <w:r w:rsidR="00A3090E" w:rsidRPr="00103D22">
        <w:rPr>
          <w:rFonts w:ascii="Times New Roman" w:hAnsi="Times New Roman"/>
          <w:bCs/>
          <w:szCs w:val="24"/>
        </w:rPr>
        <w:t>acknowledges</w:t>
      </w:r>
      <w:r w:rsidRPr="00103D22">
        <w:rPr>
          <w:rFonts w:ascii="Times New Roman" w:hAnsi="Times New Roman"/>
          <w:bCs/>
          <w:szCs w:val="24"/>
        </w:rPr>
        <w:t xml:space="preserve"> </w:t>
      </w:r>
      <w:r w:rsidR="001E52A8" w:rsidRPr="00103D22">
        <w:rPr>
          <w:rFonts w:ascii="Times New Roman" w:hAnsi="Times New Roman"/>
          <w:bCs/>
          <w:szCs w:val="24"/>
        </w:rPr>
        <w:t xml:space="preserve">the European </w:t>
      </w:r>
      <w:r w:rsidRPr="00103D22">
        <w:rPr>
          <w:rFonts w:ascii="Times New Roman" w:hAnsi="Times New Roman"/>
          <w:bCs/>
          <w:szCs w:val="24"/>
        </w:rPr>
        <w:t xml:space="preserve">Parliament’s call to explore additional ways to ensure that local and regional authorities, civil society and other beneficiaries can continue to access EU funding in cases of breaches of the </w:t>
      </w:r>
      <w:r w:rsidR="000D40B1" w:rsidRPr="00103D22">
        <w:rPr>
          <w:rFonts w:ascii="Times New Roman" w:hAnsi="Times New Roman"/>
          <w:bCs/>
          <w:szCs w:val="24"/>
        </w:rPr>
        <w:t>R</w:t>
      </w:r>
      <w:r w:rsidRPr="00103D22">
        <w:rPr>
          <w:rFonts w:ascii="Times New Roman" w:hAnsi="Times New Roman"/>
          <w:bCs/>
          <w:szCs w:val="24"/>
        </w:rPr>
        <w:t xml:space="preserve">ule of </w:t>
      </w:r>
      <w:r w:rsidR="000D40B1" w:rsidRPr="00103D22">
        <w:rPr>
          <w:rFonts w:ascii="Times New Roman" w:hAnsi="Times New Roman"/>
          <w:bCs/>
          <w:szCs w:val="24"/>
        </w:rPr>
        <w:t>L</w:t>
      </w:r>
      <w:r w:rsidRPr="00103D22">
        <w:rPr>
          <w:rFonts w:ascii="Times New Roman" w:hAnsi="Times New Roman"/>
          <w:bCs/>
          <w:szCs w:val="24"/>
        </w:rPr>
        <w:t xml:space="preserve">aw by national governments, without weakening the application of the Conditionality Regulation. </w:t>
      </w:r>
    </w:p>
    <w:p w14:paraId="39387F14" w14:textId="5022F9DC" w:rsidR="00BD1374" w:rsidRPr="00103D22" w:rsidRDefault="00BD1374" w:rsidP="001E5EC7">
      <w:pPr>
        <w:widowControl w:val="0"/>
        <w:spacing w:before="120" w:after="0"/>
        <w:rPr>
          <w:rFonts w:ascii="Times New Roman" w:hAnsi="Times New Roman"/>
        </w:rPr>
      </w:pPr>
      <w:r w:rsidRPr="00103D22">
        <w:rPr>
          <w:rFonts w:ascii="Times New Roman" w:hAnsi="Times New Roman"/>
        </w:rPr>
        <w:t xml:space="preserve">The </w:t>
      </w:r>
      <w:r w:rsidR="00A673BD" w:rsidRPr="00103D22">
        <w:rPr>
          <w:rFonts w:ascii="Times New Roman" w:hAnsi="Times New Roman"/>
        </w:rPr>
        <w:t>legislative</w:t>
      </w:r>
      <w:r w:rsidRPr="00103D22">
        <w:rPr>
          <w:rFonts w:ascii="Times New Roman" w:hAnsi="Times New Roman"/>
        </w:rPr>
        <w:t xml:space="preserve"> proposal for the 2028</w:t>
      </w:r>
      <w:r w:rsidR="00C07E91" w:rsidRPr="00103D22">
        <w:rPr>
          <w:rFonts w:ascii="Times New Roman" w:hAnsi="Times New Roman"/>
        </w:rPr>
        <w:t>-</w:t>
      </w:r>
      <w:r w:rsidRPr="00103D22">
        <w:rPr>
          <w:rFonts w:ascii="Times New Roman" w:hAnsi="Times New Roman"/>
        </w:rPr>
        <w:t xml:space="preserve">2034 period includes </w:t>
      </w:r>
      <w:r w:rsidR="000D40B1" w:rsidRPr="00103D22">
        <w:rPr>
          <w:rFonts w:ascii="Times New Roman" w:hAnsi="Times New Roman"/>
        </w:rPr>
        <w:t xml:space="preserve">effective </w:t>
      </w:r>
      <w:r w:rsidRPr="00103D22">
        <w:rPr>
          <w:rFonts w:ascii="Times New Roman" w:hAnsi="Times New Roman"/>
        </w:rPr>
        <w:t xml:space="preserve">safeguards complementing the general regime of </w:t>
      </w:r>
      <w:r w:rsidR="14E47443" w:rsidRPr="00103D22">
        <w:rPr>
          <w:rFonts w:ascii="Times New Roman" w:hAnsi="Times New Roman"/>
        </w:rPr>
        <w:t>c</w:t>
      </w:r>
      <w:r w:rsidRPr="00103D22">
        <w:rPr>
          <w:rFonts w:ascii="Times New Roman" w:hAnsi="Times New Roman"/>
        </w:rPr>
        <w:t>onditionality</w:t>
      </w:r>
      <w:r w:rsidR="00C07E91" w:rsidRPr="00103D22">
        <w:rPr>
          <w:rFonts w:ascii="Times New Roman" w:hAnsi="Times New Roman"/>
        </w:rPr>
        <w:t>, which will continue to apply across the entire EU budget</w:t>
      </w:r>
      <w:r w:rsidRPr="00103D22">
        <w:rPr>
          <w:rFonts w:ascii="Times New Roman" w:hAnsi="Times New Roman"/>
        </w:rPr>
        <w:t>. These measures combine deterrent and supporting tools to protect the EU budget while promoting compliance with</w:t>
      </w:r>
      <w:r w:rsidR="000D40B1" w:rsidRPr="00103D22">
        <w:rPr>
          <w:rFonts w:ascii="Times New Roman" w:hAnsi="Times New Roman"/>
        </w:rPr>
        <w:t xml:space="preserve"> the principles of</w:t>
      </w:r>
      <w:r w:rsidRPr="00103D22">
        <w:rPr>
          <w:rFonts w:ascii="Times New Roman" w:hAnsi="Times New Roman"/>
        </w:rPr>
        <w:t xml:space="preserve"> the Rule of Law and the</w:t>
      </w:r>
      <w:r w:rsidR="000D40B1" w:rsidRPr="00103D22">
        <w:rPr>
          <w:rFonts w:ascii="Times New Roman" w:hAnsi="Times New Roman"/>
        </w:rPr>
        <w:t xml:space="preserve"> Fundamental Rights enshrined in the</w:t>
      </w:r>
      <w:r w:rsidRPr="00103D22">
        <w:rPr>
          <w:rFonts w:ascii="Times New Roman" w:hAnsi="Times New Roman"/>
        </w:rPr>
        <w:t xml:space="preserve"> Charter of Fundamental Rights</w:t>
      </w:r>
      <w:r w:rsidR="000D40B1" w:rsidRPr="00103D22">
        <w:rPr>
          <w:rFonts w:ascii="Times New Roman" w:hAnsi="Times New Roman"/>
        </w:rPr>
        <w:t xml:space="preserve"> of the European Union</w:t>
      </w:r>
      <w:r w:rsidRPr="00103D22">
        <w:rPr>
          <w:rFonts w:ascii="Times New Roman" w:hAnsi="Times New Roman"/>
        </w:rPr>
        <w:t xml:space="preserve"> throughout the implementation of the </w:t>
      </w:r>
      <w:r w:rsidR="00D50924" w:rsidRPr="00103D22">
        <w:rPr>
          <w:rFonts w:ascii="Times New Roman" w:hAnsi="Times New Roman"/>
        </w:rPr>
        <w:t>NRPPs</w:t>
      </w:r>
      <w:r w:rsidRPr="00103D22">
        <w:rPr>
          <w:rFonts w:ascii="Times New Roman" w:hAnsi="Times New Roman"/>
        </w:rPr>
        <w:t>.</w:t>
      </w:r>
    </w:p>
    <w:p w14:paraId="476FF583" w14:textId="4E0F909D" w:rsidR="00BD1374" w:rsidRPr="00103D22" w:rsidRDefault="00BD1374">
      <w:pPr>
        <w:widowControl w:val="0"/>
        <w:spacing w:before="120" w:after="0" w:line="259" w:lineRule="auto"/>
        <w:rPr>
          <w:rFonts w:ascii="Times New Roman" w:hAnsi="Times New Roman"/>
        </w:rPr>
      </w:pPr>
      <w:r w:rsidRPr="2BDDEFCA">
        <w:rPr>
          <w:rFonts w:ascii="Times New Roman" w:hAnsi="Times New Roman"/>
        </w:rPr>
        <w:t xml:space="preserve">Timely and proportionate responses are central to the framework: </w:t>
      </w:r>
      <w:r w:rsidR="288FC9CE" w:rsidRPr="2BDDEFCA">
        <w:rPr>
          <w:rFonts w:ascii="Times New Roman" w:hAnsi="Times New Roman"/>
        </w:rPr>
        <w:t>in case the Commission concludes that the Charter</w:t>
      </w:r>
      <w:r w:rsidR="00F55446" w:rsidRPr="2BDDEFCA">
        <w:rPr>
          <w:rFonts w:ascii="Times New Roman" w:hAnsi="Times New Roman"/>
        </w:rPr>
        <w:t xml:space="preserve"> or Rule of Law</w:t>
      </w:r>
      <w:r w:rsidR="288FC9CE" w:rsidRPr="2BDDEFCA">
        <w:rPr>
          <w:rFonts w:ascii="Times New Roman" w:hAnsi="Times New Roman"/>
        </w:rPr>
        <w:t xml:space="preserve"> horizontal condition</w:t>
      </w:r>
      <w:r w:rsidR="117C3833" w:rsidRPr="2BDDEFCA">
        <w:rPr>
          <w:rFonts w:ascii="Times New Roman" w:hAnsi="Times New Roman"/>
        </w:rPr>
        <w:t>s</w:t>
      </w:r>
      <w:r w:rsidR="288FC9CE" w:rsidRPr="2BDDEFCA">
        <w:rPr>
          <w:rFonts w:ascii="Times New Roman" w:hAnsi="Times New Roman"/>
        </w:rPr>
        <w:t xml:space="preserve"> </w:t>
      </w:r>
      <w:r w:rsidR="44E62B50" w:rsidRPr="2BDDEFCA">
        <w:rPr>
          <w:rFonts w:ascii="Times New Roman" w:hAnsi="Times New Roman"/>
        </w:rPr>
        <w:t>are</w:t>
      </w:r>
      <w:r w:rsidR="288FC9CE" w:rsidRPr="2BDDEFCA">
        <w:rPr>
          <w:rFonts w:ascii="Times New Roman" w:hAnsi="Times New Roman"/>
        </w:rPr>
        <w:t xml:space="preserve"> not fulfilled, it</w:t>
      </w:r>
      <w:r w:rsidR="45D81F69" w:rsidRPr="2BDDEFCA">
        <w:rPr>
          <w:rFonts w:ascii="Times New Roman" w:hAnsi="Times New Roman"/>
        </w:rPr>
        <w:t xml:space="preserve"> shall not make the </w:t>
      </w:r>
      <w:r w:rsidR="000D40B1" w:rsidRPr="2BDDEFCA">
        <w:rPr>
          <w:rFonts w:ascii="Times New Roman" w:hAnsi="Times New Roman"/>
        </w:rPr>
        <w:t xml:space="preserve">corresponding </w:t>
      </w:r>
      <w:r w:rsidRPr="2BDDEFCA">
        <w:rPr>
          <w:rFonts w:ascii="Times New Roman" w:hAnsi="Times New Roman"/>
        </w:rPr>
        <w:t xml:space="preserve">payments </w:t>
      </w:r>
      <w:r w:rsidR="63C7A64A" w:rsidRPr="2BDDEFCA">
        <w:rPr>
          <w:rFonts w:ascii="Times New Roman" w:hAnsi="Times New Roman"/>
        </w:rPr>
        <w:t xml:space="preserve"> until </w:t>
      </w:r>
      <w:r w:rsidR="17054C87" w:rsidRPr="2BDDEFCA">
        <w:rPr>
          <w:rFonts w:ascii="Times New Roman" w:hAnsi="Times New Roman"/>
        </w:rPr>
        <w:t>it considers the</w:t>
      </w:r>
      <w:r w:rsidR="5A2C6A04" w:rsidRPr="2BDDEFCA">
        <w:rPr>
          <w:rFonts w:ascii="Times New Roman" w:hAnsi="Times New Roman"/>
        </w:rPr>
        <w:t>se</w:t>
      </w:r>
      <w:r w:rsidR="17054C87" w:rsidRPr="2BDDEFCA">
        <w:rPr>
          <w:rFonts w:ascii="Times New Roman" w:hAnsi="Times New Roman"/>
        </w:rPr>
        <w:t xml:space="preserve"> condition</w:t>
      </w:r>
      <w:r w:rsidR="6C7705D1" w:rsidRPr="2BDDEFCA">
        <w:rPr>
          <w:rFonts w:ascii="Times New Roman" w:hAnsi="Times New Roman"/>
        </w:rPr>
        <w:t>s</w:t>
      </w:r>
      <w:r w:rsidR="17054C87" w:rsidRPr="2BDDEFCA">
        <w:rPr>
          <w:rFonts w:ascii="Times New Roman" w:hAnsi="Times New Roman"/>
        </w:rPr>
        <w:t xml:space="preserve"> f</w:t>
      </w:r>
      <w:r w:rsidR="63C7A64A" w:rsidRPr="2BDDEFCA">
        <w:rPr>
          <w:rFonts w:ascii="Times New Roman" w:hAnsi="Times New Roman"/>
        </w:rPr>
        <w:t>ulfilled</w:t>
      </w:r>
      <w:r w:rsidRPr="2BDDEFCA">
        <w:rPr>
          <w:rFonts w:ascii="Times New Roman" w:hAnsi="Times New Roman"/>
        </w:rPr>
        <w:t xml:space="preserve">. If a </w:t>
      </w:r>
      <w:r w:rsidR="000D40B1" w:rsidRPr="2BDDEFCA">
        <w:rPr>
          <w:rFonts w:ascii="Times New Roman" w:hAnsi="Times New Roman"/>
        </w:rPr>
        <w:t xml:space="preserve">decision determining the non-fulfilment of the Rule of Law or the Charter horizontal condition </w:t>
      </w:r>
      <w:r w:rsidRPr="2BDDEFCA">
        <w:rPr>
          <w:rFonts w:ascii="Times New Roman" w:hAnsi="Times New Roman"/>
        </w:rPr>
        <w:t xml:space="preserve">is not </w:t>
      </w:r>
      <w:r w:rsidR="000D40B1" w:rsidRPr="2BDDEFCA">
        <w:rPr>
          <w:rFonts w:ascii="Times New Roman" w:hAnsi="Times New Roman"/>
        </w:rPr>
        <w:t xml:space="preserve">repealed </w:t>
      </w:r>
      <w:r w:rsidRPr="2BDDEFCA">
        <w:rPr>
          <w:rFonts w:ascii="Times New Roman" w:hAnsi="Times New Roman"/>
        </w:rPr>
        <w:t>within one year</w:t>
      </w:r>
      <w:r w:rsidR="000D40B1" w:rsidRPr="2BDDEFCA">
        <w:rPr>
          <w:rFonts w:ascii="Times New Roman" w:hAnsi="Times New Roman"/>
        </w:rPr>
        <w:t xml:space="preserve"> of its adoption, the Union financial contribution will be proportionally reduced</w:t>
      </w:r>
      <w:r w:rsidRPr="2BDDEFCA">
        <w:rPr>
          <w:rFonts w:ascii="Times New Roman" w:hAnsi="Times New Roman"/>
        </w:rPr>
        <w:t xml:space="preserve">. </w:t>
      </w:r>
      <w:r w:rsidR="000D40B1" w:rsidRPr="2BDDEFCA">
        <w:rPr>
          <w:rFonts w:ascii="Times New Roman" w:hAnsi="Times New Roman"/>
        </w:rPr>
        <w:t>Moreover, the proposal prevents amendments of the specific measures identified in the implementing decisions until such decisions have been repealed, unless the amendment is intended to support measures that contribute to the fulfilment of the horizontal conditions</w:t>
      </w:r>
      <w:r w:rsidR="1FF71CD3" w:rsidRPr="2BDDEFCA">
        <w:rPr>
          <w:rFonts w:ascii="Times New Roman" w:hAnsi="Times New Roman"/>
        </w:rPr>
        <w:t xml:space="preserve"> or </w:t>
      </w:r>
      <w:r w:rsidR="00850D6A">
        <w:rPr>
          <w:rFonts w:ascii="Times New Roman" w:hAnsi="Times New Roman"/>
        </w:rPr>
        <w:t xml:space="preserve">, for the Charter condition, </w:t>
      </w:r>
      <w:r w:rsidR="1FF71CD3" w:rsidRPr="2BDDEFCA">
        <w:rPr>
          <w:rFonts w:ascii="Times New Roman" w:hAnsi="Times New Roman"/>
        </w:rPr>
        <w:t>if it contributes to addressing significant changes in the priorities of the Union, within the limit of 30% of the amounts associated with the specific measures concerned</w:t>
      </w:r>
      <w:r w:rsidR="000D40B1" w:rsidRPr="2BDDEFCA">
        <w:rPr>
          <w:rFonts w:ascii="Times New Roman" w:hAnsi="Times New Roman"/>
        </w:rPr>
        <w:t xml:space="preserve">. </w:t>
      </w:r>
      <w:r w:rsidRPr="2BDDEFCA">
        <w:rPr>
          <w:rFonts w:ascii="Times New Roman" w:hAnsi="Times New Roman"/>
        </w:rPr>
        <w:t>At the same time, the proposal provides safeguards to protect beneficiaries</w:t>
      </w:r>
      <w:r w:rsidR="00E13DB1" w:rsidRPr="2BDDEFCA">
        <w:rPr>
          <w:rFonts w:ascii="Times New Roman" w:hAnsi="Times New Roman"/>
        </w:rPr>
        <w:t>.</w:t>
      </w:r>
      <w:r w:rsidRPr="2BDDEFCA">
        <w:rPr>
          <w:rFonts w:ascii="Times New Roman" w:hAnsi="Times New Roman"/>
        </w:rPr>
        <w:t xml:space="preserve"> Member States are obliged to ensure appropriate arrangements for the continuation of payments, and decommitted amounts can be redirected to other</w:t>
      </w:r>
      <w:r w:rsidR="319D4655" w:rsidRPr="2BDDEFCA">
        <w:rPr>
          <w:rFonts w:ascii="Times New Roman" w:hAnsi="Times New Roman"/>
        </w:rPr>
        <w:t xml:space="preserve"> Unions instruments or</w:t>
      </w:r>
      <w:r w:rsidRPr="2BDDEFCA">
        <w:rPr>
          <w:rFonts w:ascii="Times New Roman" w:hAnsi="Times New Roman"/>
        </w:rPr>
        <w:t xml:space="preserve"> programmes</w:t>
      </w:r>
      <w:r w:rsidR="72320DC6" w:rsidRPr="2BDDEFCA">
        <w:rPr>
          <w:rFonts w:ascii="Times New Roman" w:hAnsi="Times New Roman"/>
        </w:rPr>
        <w:t xml:space="preserve"> under direct or indirect management</w:t>
      </w:r>
      <w:r w:rsidR="7A3F2F5E" w:rsidRPr="2BDDEFCA">
        <w:rPr>
          <w:rFonts w:ascii="Times New Roman" w:hAnsi="Times New Roman"/>
        </w:rPr>
        <w:t>, in particular those contributing to supporting Europe’s democracy, civil society, Union values or the fight against corruption</w:t>
      </w:r>
      <w:r w:rsidRPr="2BDDEFCA">
        <w:rPr>
          <w:rFonts w:ascii="Times New Roman" w:hAnsi="Times New Roman"/>
        </w:rPr>
        <w:t>.</w:t>
      </w:r>
    </w:p>
    <w:p w14:paraId="493DB064" w14:textId="462BBFA3" w:rsidR="003D6ED2" w:rsidRPr="00103D22" w:rsidRDefault="00BD1374" w:rsidP="001E5EC7">
      <w:pPr>
        <w:widowControl w:val="0"/>
        <w:spacing w:before="120" w:after="0"/>
        <w:rPr>
          <w:rFonts w:ascii="Times New Roman" w:hAnsi="Times New Roman"/>
          <w:bCs/>
          <w:szCs w:val="24"/>
        </w:rPr>
      </w:pPr>
      <w:r w:rsidRPr="00103D22">
        <w:rPr>
          <w:rFonts w:ascii="Times New Roman" w:hAnsi="Times New Roman"/>
          <w:bCs/>
          <w:szCs w:val="24"/>
        </w:rPr>
        <w:t xml:space="preserve">Furthermore, </w:t>
      </w:r>
      <w:r w:rsidR="00F876BA" w:rsidRPr="00103D22">
        <w:rPr>
          <w:rFonts w:ascii="Times New Roman" w:hAnsi="Times New Roman"/>
          <w:bCs/>
          <w:szCs w:val="24"/>
        </w:rPr>
        <w:t xml:space="preserve">the legislative proposal includes </w:t>
      </w:r>
      <w:r w:rsidRPr="00103D22">
        <w:rPr>
          <w:rFonts w:ascii="Times New Roman" w:hAnsi="Times New Roman"/>
          <w:bCs/>
          <w:szCs w:val="24"/>
        </w:rPr>
        <w:t xml:space="preserve">positive incentives </w:t>
      </w:r>
      <w:r w:rsidR="000D40B1" w:rsidRPr="00103D22">
        <w:rPr>
          <w:rFonts w:ascii="Times New Roman" w:hAnsi="Times New Roman"/>
          <w:bCs/>
          <w:szCs w:val="24"/>
        </w:rPr>
        <w:t xml:space="preserve">aiming at strengthening Europe’s democracy and supporting open, inclusive and rights-based societies through the financing of investments and reforms. </w:t>
      </w:r>
      <w:r w:rsidR="00276FBA">
        <w:rPr>
          <w:rFonts w:ascii="Times New Roman" w:hAnsi="Times New Roman"/>
          <w:bCs/>
          <w:szCs w:val="24"/>
        </w:rPr>
        <w:t>Overall</w:t>
      </w:r>
      <w:r w:rsidR="000D40B1" w:rsidRPr="00103D22">
        <w:rPr>
          <w:rFonts w:ascii="Times New Roman" w:hAnsi="Times New Roman"/>
          <w:bCs/>
          <w:szCs w:val="24"/>
        </w:rPr>
        <w:t>, the proposal strengthens the link between the EU financial support, the Rule of Law Report and the European Semester.</w:t>
      </w:r>
    </w:p>
    <w:p w14:paraId="539AFB9F" w14:textId="79BCA90D" w:rsidR="003E0A19" w:rsidRPr="00103D22" w:rsidRDefault="003E0A19" w:rsidP="001E5EC7">
      <w:pPr>
        <w:widowControl w:val="0"/>
        <w:spacing w:before="120" w:after="0"/>
        <w:rPr>
          <w:rFonts w:ascii="Times New Roman" w:hAnsi="Times New Roman"/>
          <w:i/>
          <w:iCs/>
        </w:rPr>
      </w:pPr>
      <w:r w:rsidRPr="00103D22">
        <w:rPr>
          <w:rFonts w:ascii="Times New Roman" w:hAnsi="Times New Roman"/>
          <w:i/>
          <w:iCs/>
        </w:rPr>
        <w:t>Paragraph 38 – Technical assistance</w:t>
      </w:r>
    </w:p>
    <w:p w14:paraId="587FF2DF" w14:textId="2E36E48B" w:rsidR="00774E94" w:rsidRPr="00103D22" w:rsidRDefault="7C5C06B0" w:rsidP="001E5EC7">
      <w:pPr>
        <w:widowControl w:val="0"/>
        <w:spacing w:before="120" w:after="0"/>
        <w:rPr>
          <w:rFonts w:ascii="Times New Roman" w:hAnsi="Times New Roman"/>
        </w:rPr>
      </w:pPr>
      <w:r w:rsidRPr="00103D22">
        <w:rPr>
          <w:rFonts w:ascii="Times New Roman" w:hAnsi="Times New Roman"/>
        </w:rPr>
        <w:t>As set out in the</w:t>
      </w:r>
      <w:r w:rsidR="007F1015" w:rsidRPr="00103D22">
        <w:rPr>
          <w:rFonts w:ascii="Times New Roman" w:hAnsi="Times New Roman"/>
        </w:rPr>
        <w:t xml:space="preserve"> proposal establishing the </w:t>
      </w:r>
      <w:r w:rsidR="00DE027A" w:rsidRPr="00103D22">
        <w:rPr>
          <w:rFonts w:ascii="Times New Roman" w:hAnsi="Times New Roman"/>
        </w:rPr>
        <w:t>NRP</w:t>
      </w:r>
      <w:r w:rsidR="6529DD62" w:rsidRPr="00103D22">
        <w:rPr>
          <w:rFonts w:ascii="Times New Roman" w:hAnsi="Times New Roman"/>
        </w:rPr>
        <w:t>P</w:t>
      </w:r>
      <w:r w:rsidR="00DE027A" w:rsidRPr="00103D22">
        <w:rPr>
          <w:rFonts w:ascii="Times New Roman" w:hAnsi="Times New Roman"/>
        </w:rPr>
        <w:t>s</w:t>
      </w:r>
      <w:r w:rsidR="00155BEC" w:rsidRPr="00103D22">
        <w:rPr>
          <w:rFonts w:ascii="Times New Roman" w:hAnsi="Times New Roman"/>
        </w:rPr>
        <w:t xml:space="preserve"> for 2028-2034</w:t>
      </w:r>
      <w:r w:rsidR="007F1015" w:rsidRPr="00103D22">
        <w:rPr>
          <w:rFonts w:ascii="Times New Roman" w:hAnsi="Times New Roman"/>
        </w:rPr>
        <w:t xml:space="preserve">, technical assistance </w:t>
      </w:r>
      <w:r w:rsidR="75DD5D01" w:rsidRPr="00103D22">
        <w:rPr>
          <w:rFonts w:ascii="Times New Roman" w:hAnsi="Times New Roman"/>
        </w:rPr>
        <w:t xml:space="preserve">plays an important role in supporting the implementation of the </w:t>
      </w:r>
      <w:r w:rsidR="00D50924" w:rsidRPr="00103D22">
        <w:rPr>
          <w:rFonts w:ascii="Times New Roman" w:hAnsi="Times New Roman"/>
        </w:rPr>
        <w:t>NRPPs</w:t>
      </w:r>
      <w:r w:rsidR="75DD5D01" w:rsidRPr="00103D22">
        <w:rPr>
          <w:rFonts w:ascii="Times New Roman" w:hAnsi="Times New Roman"/>
        </w:rPr>
        <w:t>.</w:t>
      </w:r>
      <w:r w:rsidR="007F1015" w:rsidRPr="00103D22">
        <w:rPr>
          <w:rFonts w:ascii="Times New Roman" w:hAnsi="Times New Roman"/>
        </w:rPr>
        <w:t xml:space="preserve"> This includes support for preparation, training, management, monitoring, evaluation, as well as information, visibility and communication.</w:t>
      </w:r>
      <w:r w:rsidR="760B5A3D" w:rsidRPr="00103D22">
        <w:rPr>
          <w:rFonts w:ascii="Times New Roman" w:hAnsi="Times New Roman"/>
        </w:rPr>
        <w:t xml:space="preserve"> </w:t>
      </w:r>
      <w:r w:rsidR="0404379B" w:rsidRPr="00103D22">
        <w:rPr>
          <w:rFonts w:ascii="Times New Roman" w:hAnsi="Times New Roman"/>
        </w:rPr>
        <w:t>With a view to simplification, tec</w:t>
      </w:r>
      <w:r w:rsidR="00C64D67" w:rsidRPr="00103D22">
        <w:rPr>
          <w:rFonts w:ascii="Times New Roman" w:hAnsi="Times New Roman"/>
        </w:rPr>
        <w:t>h</w:t>
      </w:r>
      <w:r w:rsidR="004A4C8A" w:rsidRPr="00103D22">
        <w:rPr>
          <w:rFonts w:ascii="Times New Roman" w:hAnsi="Times New Roman"/>
        </w:rPr>
        <w:t xml:space="preserve">nical assistance will </w:t>
      </w:r>
      <w:r w:rsidR="00F63DBB" w:rsidRPr="00103D22">
        <w:rPr>
          <w:rFonts w:ascii="Times New Roman" w:hAnsi="Times New Roman"/>
        </w:rPr>
        <w:t>be provided throughout implementation</w:t>
      </w:r>
      <w:r w:rsidR="008655A2" w:rsidRPr="00103D22">
        <w:rPr>
          <w:rFonts w:ascii="Times New Roman" w:hAnsi="Times New Roman"/>
        </w:rPr>
        <w:t xml:space="preserve"> via a flat-rate applicable to all payments.</w:t>
      </w:r>
      <w:r w:rsidR="0404379B" w:rsidRPr="00103D22">
        <w:rPr>
          <w:rFonts w:ascii="Times New Roman" w:hAnsi="Times New Roman"/>
        </w:rPr>
        <w:t xml:space="preserve"> </w:t>
      </w:r>
    </w:p>
    <w:p w14:paraId="285F539E" w14:textId="5E0A64BD" w:rsidR="002C2D9B" w:rsidRPr="00103D22" w:rsidRDefault="760B5A3D" w:rsidP="001E5EC7">
      <w:pPr>
        <w:widowControl w:val="0"/>
        <w:spacing w:before="120" w:after="0"/>
        <w:rPr>
          <w:rFonts w:ascii="Times New Roman" w:hAnsi="Times New Roman"/>
        </w:rPr>
      </w:pPr>
      <w:r w:rsidRPr="00103D22">
        <w:rPr>
          <w:rFonts w:ascii="Times New Roman" w:hAnsi="Times New Roman"/>
        </w:rPr>
        <w:t xml:space="preserve">In </w:t>
      </w:r>
      <w:r w:rsidR="00F23F67" w:rsidRPr="00103D22">
        <w:rPr>
          <w:rFonts w:ascii="Times New Roman" w:hAnsi="Times New Roman"/>
        </w:rPr>
        <w:t>addition and</w:t>
      </w:r>
      <w:r w:rsidR="00E55ADD" w:rsidRPr="00103D22">
        <w:rPr>
          <w:rFonts w:ascii="Times New Roman" w:hAnsi="Times New Roman"/>
        </w:rPr>
        <w:t xml:space="preserve"> building on the experience gained from the Technical Support Instrument (TSI)</w:t>
      </w:r>
      <w:r w:rsidRPr="00103D22">
        <w:rPr>
          <w:rFonts w:ascii="Times New Roman" w:hAnsi="Times New Roman"/>
        </w:rPr>
        <w:t xml:space="preserve">, </w:t>
      </w:r>
      <w:r w:rsidR="00E14174" w:rsidRPr="00103D22">
        <w:rPr>
          <w:rFonts w:ascii="Times New Roman" w:hAnsi="Times New Roman"/>
        </w:rPr>
        <w:t xml:space="preserve">the EU Facility will provide technical support to help, in particular, </w:t>
      </w:r>
      <w:r w:rsidRPr="00103D22">
        <w:rPr>
          <w:rFonts w:ascii="Times New Roman" w:hAnsi="Times New Roman"/>
        </w:rPr>
        <w:t xml:space="preserve">Member States </w:t>
      </w:r>
      <w:r w:rsidR="007A693E" w:rsidRPr="00103D22">
        <w:rPr>
          <w:rFonts w:ascii="Times New Roman" w:hAnsi="Times New Roman"/>
        </w:rPr>
        <w:t xml:space="preserve">carry out the measures set out in their </w:t>
      </w:r>
      <w:r w:rsidR="00E14174" w:rsidRPr="00103D22">
        <w:rPr>
          <w:rFonts w:ascii="Times New Roman" w:hAnsi="Times New Roman"/>
        </w:rPr>
        <w:t>NRP</w:t>
      </w:r>
      <w:r w:rsidR="008639D6" w:rsidRPr="00103D22">
        <w:rPr>
          <w:rFonts w:ascii="Times New Roman" w:hAnsi="Times New Roman"/>
        </w:rPr>
        <w:t>Ps</w:t>
      </w:r>
      <w:r w:rsidR="007A693E" w:rsidRPr="00103D22">
        <w:rPr>
          <w:rFonts w:ascii="Times New Roman" w:hAnsi="Times New Roman"/>
        </w:rPr>
        <w:t xml:space="preserve">, implement Union law, and further the policy objectives </w:t>
      </w:r>
      <w:r w:rsidR="00E14174" w:rsidRPr="00103D22">
        <w:rPr>
          <w:rFonts w:ascii="Times New Roman" w:hAnsi="Times New Roman"/>
        </w:rPr>
        <w:t xml:space="preserve">supported by the </w:t>
      </w:r>
      <w:r w:rsidR="00EA4A92" w:rsidRPr="00103D22">
        <w:rPr>
          <w:rFonts w:ascii="Times New Roman" w:hAnsi="Times New Roman"/>
        </w:rPr>
        <w:t>new Fund</w:t>
      </w:r>
      <w:r w:rsidR="004A6AC8" w:rsidRPr="00103D22">
        <w:rPr>
          <w:rFonts w:ascii="Times New Roman" w:hAnsi="Times New Roman"/>
        </w:rPr>
        <w:t>. This includes the provision of</w:t>
      </w:r>
      <w:r w:rsidRPr="00103D22">
        <w:rPr>
          <w:rFonts w:ascii="Times New Roman" w:hAnsi="Times New Roman"/>
        </w:rPr>
        <w:t xml:space="preserve"> expertise, </w:t>
      </w:r>
      <w:r w:rsidR="004A6AC8" w:rsidRPr="00103D22">
        <w:rPr>
          <w:rFonts w:ascii="Times New Roman" w:hAnsi="Times New Roman"/>
        </w:rPr>
        <w:t xml:space="preserve">the carrying out of </w:t>
      </w:r>
      <w:r w:rsidRPr="00103D22">
        <w:rPr>
          <w:rFonts w:ascii="Times New Roman" w:hAnsi="Times New Roman"/>
        </w:rPr>
        <w:t>studies, data</w:t>
      </w:r>
      <w:r w:rsidR="00E13DB1" w:rsidRPr="00103D22">
        <w:rPr>
          <w:rFonts w:ascii="Times New Roman" w:hAnsi="Times New Roman"/>
        </w:rPr>
        <w:t xml:space="preserve"> collection</w:t>
      </w:r>
      <w:r w:rsidRPr="00103D22">
        <w:rPr>
          <w:rFonts w:ascii="Times New Roman" w:hAnsi="Times New Roman"/>
        </w:rPr>
        <w:t xml:space="preserve">, </w:t>
      </w:r>
      <w:r w:rsidR="00074029" w:rsidRPr="00103D22">
        <w:rPr>
          <w:rFonts w:ascii="Times New Roman" w:hAnsi="Times New Roman"/>
        </w:rPr>
        <w:t xml:space="preserve">the </w:t>
      </w:r>
      <w:r w:rsidRPr="00103D22">
        <w:rPr>
          <w:rFonts w:ascii="Times New Roman" w:hAnsi="Times New Roman"/>
        </w:rPr>
        <w:t>development of common methodologies, capacity</w:t>
      </w:r>
      <w:r w:rsidR="00E13DB1" w:rsidRPr="00103D22">
        <w:rPr>
          <w:rFonts w:ascii="Times New Roman" w:hAnsi="Times New Roman"/>
        </w:rPr>
        <w:t>-</w:t>
      </w:r>
      <w:r w:rsidRPr="00103D22">
        <w:rPr>
          <w:rFonts w:ascii="Times New Roman" w:hAnsi="Times New Roman"/>
        </w:rPr>
        <w:t xml:space="preserve">building actions to increase knowledge, </w:t>
      </w:r>
      <w:r w:rsidR="00E13DB1" w:rsidRPr="00103D22">
        <w:rPr>
          <w:rFonts w:ascii="Times New Roman" w:hAnsi="Times New Roman"/>
        </w:rPr>
        <w:t>and</w:t>
      </w:r>
      <w:r w:rsidRPr="00103D22">
        <w:rPr>
          <w:rFonts w:ascii="Times New Roman" w:hAnsi="Times New Roman"/>
        </w:rPr>
        <w:t xml:space="preserve"> measures to improve systems, procedures, and organisational structures</w:t>
      </w:r>
      <w:r w:rsidR="088E3B96" w:rsidRPr="00103D22">
        <w:rPr>
          <w:rFonts w:ascii="Times New Roman" w:hAnsi="Times New Roman"/>
        </w:rPr>
        <w:t xml:space="preserve">, including </w:t>
      </w:r>
      <w:r w:rsidR="004A6AC8" w:rsidRPr="00103D22">
        <w:rPr>
          <w:rFonts w:ascii="Times New Roman" w:hAnsi="Times New Roman"/>
        </w:rPr>
        <w:t xml:space="preserve">– where relevant - </w:t>
      </w:r>
      <w:r w:rsidR="088E3B96" w:rsidRPr="00103D22">
        <w:rPr>
          <w:rFonts w:ascii="Times New Roman" w:hAnsi="Times New Roman"/>
        </w:rPr>
        <w:t>advisory support provided by the European Investment Bank in close cooperation with the Commission</w:t>
      </w:r>
      <w:r w:rsidRPr="00103D22">
        <w:rPr>
          <w:rFonts w:ascii="Times New Roman" w:hAnsi="Times New Roman"/>
        </w:rPr>
        <w:t xml:space="preserve">. </w:t>
      </w:r>
      <w:r w:rsidR="002C2D9B" w:rsidRPr="00103D22">
        <w:rPr>
          <w:rFonts w:ascii="Times New Roman" w:hAnsi="Times New Roman"/>
        </w:rPr>
        <w:t>As part of their NR</w:t>
      </w:r>
      <w:r w:rsidR="6D60AB38" w:rsidRPr="00103D22">
        <w:rPr>
          <w:rFonts w:ascii="Times New Roman" w:hAnsi="Times New Roman"/>
        </w:rPr>
        <w:t>P</w:t>
      </w:r>
      <w:r w:rsidR="002C2D9B" w:rsidRPr="00103D22">
        <w:rPr>
          <w:rFonts w:ascii="Times New Roman" w:hAnsi="Times New Roman"/>
        </w:rPr>
        <w:t xml:space="preserve">Ps, Member States will be required to identify potential technical support needs, </w:t>
      </w:r>
      <w:r w:rsidR="002C2D9B" w:rsidRPr="00103D22">
        <w:rPr>
          <w:rFonts w:ascii="Times New Roman" w:hAnsi="Times New Roman"/>
        </w:rPr>
        <w:lastRenderedPageBreak/>
        <w:t>including for the preparation of reforms</w:t>
      </w:r>
      <w:r w:rsidR="00491446" w:rsidRPr="00103D22">
        <w:rPr>
          <w:rFonts w:ascii="Times New Roman" w:hAnsi="Times New Roman"/>
        </w:rPr>
        <w:t xml:space="preserve"> included in their NRP</w:t>
      </w:r>
      <w:r w:rsidR="008639D6" w:rsidRPr="00103D22">
        <w:rPr>
          <w:rFonts w:ascii="Times New Roman" w:hAnsi="Times New Roman"/>
        </w:rPr>
        <w:t>Ps</w:t>
      </w:r>
      <w:r w:rsidR="00491446" w:rsidRPr="00103D22">
        <w:rPr>
          <w:rFonts w:ascii="Times New Roman" w:hAnsi="Times New Roman"/>
        </w:rPr>
        <w:t>.</w:t>
      </w:r>
    </w:p>
    <w:p w14:paraId="542F6FF3" w14:textId="4D9D58AA" w:rsidR="00552E0C" w:rsidRPr="00103D22" w:rsidRDefault="00E13DB1" w:rsidP="001E5EC7">
      <w:pPr>
        <w:widowControl w:val="0"/>
        <w:spacing w:before="120" w:after="0"/>
        <w:rPr>
          <w:rFonts w:ascii="Times New Roman" w:hAnsi="Times New Roman"/>
          <w:i/>
          <w:iCs/>
        </w:rPr>
      </w:pPr>
      <w:r w:rsidRPr="00103D22">
        <w:rPr>
          <w:rFonts w:ascii="Times New Roman" w:hAnsi="Times New Roman"/>
        </w:rPr>
        <w:t>E</w:t>
      </w:r>
      <w:r w:rsidR="760B5A3D" w:rsidRPr="00103D22">
        <w:rPr>
          <w:rFonts w:ascii="Times New Roman" w:hAnsi="Times New Roman"/>
        </w:rPr>
        <w:t xml:space="preserve">nhancing the efficiency of public administration and the institutional capacity of public authorities and stakeholders at national, regional and local level is </w:t>
      </w:r>
      <w:r w:rsidRPr="00103D22">
        <w:rPr>
          <w:rFonts w:ascii="Times New Roman" w:hAnsi="Times New Roman"/>
        </w:rPr>
        <w:t xml:space="preserve">also </w:t>
      </w:r>
      <w:r w:rsidR="760B5A3D" w:rsidRPr="00103D22">
        <w:rPr>
          <w:rFonts w:ascii="Times New Roman" w:hAnsi="Times New Roman"/>
        </w:rPr>
        <w:t xml:space="preserve">one of the proposed specific objectives under which corresponding investments and reforms can be supported.  </w:t>
      </w:r>
    </w:p>
    <w:p w14:paraId="158E3A53" w14:textId="24C99D39" w:rsidR="00552E0C" w:rsidRPr="00103D22" w:rsidRDefault="003D6ED2" w:rsidP="001E5EC7">
      <w:pPr>
        <w:widowControl w:val="0"/>
        <w:spacing w:before="120" w:after="0"/>
        <w:rPr>
          <w:rFonts w:ascii="Times New Roman" w:hAnsi="Times New Roman"/>
          <w:i/>
          <w:iCs/>
        </w:rPr>
      </w:pPr>
      <w:r w:rsidRPr="00103D22">
        <w:rPr>
          <w:rFonts w:ascii="Times New Roman" w:hAnsi="Times New Roman"/>
          <w:i/>
          <w:iCs/>
        </w:rPr>
        <w:t>Paragraph 30 –</w:t>
      </w:r>
      <w:r w:rsidR="00D42FDC" w:rsidRPr="00103D22">
        <w:rPr>
          <w:rFonts w:ascii="Times New Roman" w:hAnsi="Times New Roman"/>
          <w:i/>
          <w:iCs/>
        </w:rPr>
        <w:t xml:space="preserve"> </w:t>
      </w:r>
      <w:r w:rsidR="00586CB5" w:rsidRPr="00103D22">
        <w:rPr>
          <w:rFonts w:ascii="Times New Roman" w:hAnsi="Times New Roman"/>
          <w:i/>
          <w:iCs/>
        </w:rPr>
        <w:t>S</w:t>
      </w:r>
      <w:r w:rsidR="00D42FDC" w:rsidRPr="00103D22">
        <w:rPr>
          <w:rFonts w:ascii="Times New Roman" w:hAnsi="Times New Roman"/>
          <w:i/>
          <w:iCs/>
        </w:rPr>
        <w:t xml:space="preserve">upport to the </w:t>
      </w:r>
      <w:r w:rsidR="00DE0E37" w:rsidRPr="00103D22">
        <w:rPr>
          <w:rFonts w:ascii="Times New Roman" w:hAnsi="Times New Roman"/>
          <w:i/>
          <w:iCs/>
        </w:rPr>
        <w:t xml:space="preserve">EU </w:t>
      </w:r>
      <w:r w:rsidR="000055B8" w:rsidRPr="00103D22">
        <w:rPr>
          <w:rFonts w:ascii="Times New Roman" w:hAnsi="Times New Roman"/>
          <w:i/>
          <w:iCs/>
        </w:rPr>
        <w:t>e</w:t>
      </w:r>
      <w:r w:rsidR="00D42FDC" w:rsidRPr="00103D22">
        <w:rPr>
          <w:rFonts w:ascii="Times New Roman" w:hAnsi="Times New Roman"/>
          <w:i/>
          <w:iCs/>
        </w:rPr>
        <w:t>astern border regions</w:t>
      </w:r>
    </w:p>
    <w:p w14:paraId="19CEB403" w14:textId="092DC650" w:rsidR="002F5A4A" w:rsidRPr="00103D22" w:rsidRDefault="002F5A4A" w:rsidP="001E5EC7">
      <w:pPr>
        <w:widowControl w:val="0"/>
        <w:spacing w:before="120" w:after="0"/>
        <w:rPr>
          <w:rFonts w:ascii="Times New Roman" w:hAnsi="Times New Roman"/>
          <w:bCs/>
          <w:szCs w:val="24"/>
        </w:rPr>
      </w:pPr>
      <w:r w:rsidRPr="00103D22">
        <w:rPr>
          <w:rFonts w:ascii="Times New Roman" w:hAnsi="Times New Roman"/>
          <w:bCs/>
          <w:szCs w:val="24"/>
        </w:rPr>
        <w:t xml:space="preserve">The Commission shares the </w:t>
      </w:r>
      <w:r w:rsidR="001E52A8" w:rsidRPr="00103D22">
        <w:rPr>
          <w:rFonts w:ascii="Times New Roman" w:hAnsi="Times New Roman"/>
          <w:bCs/>
          <w:szCs w:val="24"/>
        </w:rPr>
        <w:t xml:space="preserve">European </w:t>
      </w:r>
      <w:r w:rsidRPr="00103D22">
        <w:rPr>
          <w:rFonts w:ascii="Times New Roman" w:hAnsi="Times New Roman"/>
          <w:bCs/>
          <w:szCs w:val="24"/>
        </w:rPr>
        <w:t xml:space="preserve">Parliament’ stance for </w:t>
      </w:r>
      <w:r w:rsidR="00AE443F" w:rsidRPr="00103D22">
        <w:rPr>
          <w:rFonts w:ascii="Times New Roman" w:hAnsi="Times New Roman"/>
          <w:bCs/>
          <w:szCs w:val="24"/>
        </w:rPr>
        <w:t xml:space="preserve">providing support to the </w:t>
      </w:r>
      <w:r w:rsidR="0025107D" w:rsidRPr="00103D22">
        <w:rPr>
          <w:rFonts w:ascii="Times New Roman" w:hAnsi="Times New Roman"/>
          <w:bCs/>
          <w:szCs w:val="24"/>
        </w:rPr>
        <w:t xml:space="preserve">EU </w:t>
      </w:r>
      <w:r w:rsidR="00AE443F" w:rsidRPr="00103D22">
        <w:rPr>
          <w:rFonts w:ascii="Times New Roman" w:hAnsi="Times New Roman"/>
          <w:bCs/>
          <w:szCs w:val="24"/>
        </w:rPr>
        <w:t>Eastern border regions</w:t>
      </w:r>
      <w:r w:rsidR="009A4E0D" w:rsidRPr="00103D22">
        <w:rPr>
          <w:rFonts w:ascii="Times New Roman" w:hAnsi="Times New Roman"/>
          <w:bCs/>
          <w:szCs w:val="24"/>
        </w:rPr>
        <w:t xml:space="preserve"> affected by Russia’s war of aggression in Ukraine</w:t>
      </w:r>
      <w:r w:rsidR="00AE443F" w:rsidRPr="00103D22">
        <w:rPr>
          <w:rFonts w:ascii="Times New Roman" w:hAnsi="Times New Roman"/>
          <w:bCs/>
          <w:szCs w:val="24"/>
        </w:rPr>
        <w:t xml:space="preserve">. </w:t>
      </w:r>
      <w:r w:rsidRPr="00103D22">
        <w:rPr>
          <w:rFonts w:ascii="Times New Roman" w:hAnsi="Times New Roman"/>
          <w:bCs/>
          <w:szCs w:val="24"/>
        </w:rPr>
        <w:t xml:space="preserve">In her mission letter to Executive Vice-President Fitto, the President of the Commission </w:t>
      </w:r>
      <w:r w:rsidR="009A4E0D" w:rsidRPr="00103D22">
        <w:rPr>
          <w:rFonts w:ascii="Times New Roman" w:hAnsi="Times New Roman"/>
          <w:bCs/>
          <w:szCs w:val="24"/>
        </w:rPr>
        <w:t>set</w:t>
      </w:r>
      <w:r w:rsidRPr="00103D22">
        <w:rPr>
          <w:rFonts w:ascii="Times New Roman" w:hAnsi="Times New Roman"/>
          <w:bCs/>
          <w:szCs w:val="24"/>
        </w:rPr>
        <w:t xml:space="preserve"> the objective ‘</w:t>
      </w:r>
      <w:r w:rsidRPr="00103D22">
        <w:rPr>
          <w:rFonts w:ascii="Times New Roman" w:hAnsi="Times New Roman"/>
          <w:bCs/>
          <w:i/>
          <w:iCs/>
          <w:szCs w:val="24"/>
        </w:rPr>
        <w:t xml:space="preserve">to work on providing support to </w:t>
      </w:r>
      <w:r w:rsidR="009A4E0D" w:rsidRPr="00103D22">
        <w:rPr>
          <w:rFonts w:ascii="Times New Roman" w:hAnsi="Times New Roman"/>
          <w:bCs/>
          <w:i/>
          <w:iCs/>
          <w:szCs w:val="24"/>
        </w:rPr>
        <w:t>[</w:t>
      </w:r>
      <w:r w:rsidRPr="00103D22">
        <w:rPr>
          <w:rFonts w:ascii="Times New Roman" w:hAnsi="Times New Roman"/>
          <w:bCs/>
          <w:i/>
          <w:iCs/>
          <w:szCs w:val="24"/>
        </w:rPr>
        <w:t>the</w:t>
      </w:r>
      <w:r w:rsidR="009A4E0D" w:rsidRPr="00103D22">
        <w:rPr>
          <w:rFonts w:ascii="Times New Roman" w:hAnsi="Times New Roman"/>
          <w:bCs/>
          <w:i/>
          <w:iCs/>
          <w:szCs w:val="24"/>
        </w:rPr>
        <w:t xml:space="preserve">se regions] </w:t>
      </w:r>
      <w:r w:rsidRPr="00103D22">
        <w:rPr>
          <w:rFonts w:ascii="Times New Roman" w:hAnsi="Times New Roman"/>
          <w:bCs/>
          <w:i/>
          <w:iCs/>
          <w:szCs w:val="24"/>
        </w:rPr>
        <w:t>to address their specific challenges and support them in the reorientation of their local economy</w:t>
      </w:r>
      <w:r w:rsidRPr="00103D22">
        <w:rPr>
          <w:rFonts w:ascii="Times New Roman" w:hAnsi="Times New Roman"/>
          <w:bCs/>
          <w:szCs w:val="24"/>
        </w:rPr>
        <w:t>’. The war</w:t>
      </w:r>
      <w:r w:rsidR="009A4E0D" w:rsidRPr="00103D22">
        <w:rPr>
          <w:rFonts w:ascii="Times New Roman" w:hAnsi="Times New Roman"/>
          <w:bCs/>
          <w:szCs w:val="24"/>
        </w:rPr>
        <w:t xml:space="preserve"> has</w:t>
      </w:r>
      <w:r w:rsidRPr="00103D22">
        <w:rPr>
          <w:rFonts w:ascii="Times New Roman" w:hAnsi="Times New Roman"/>
          <w:bCs/>
          <w:szCs w:val="24"/>
        </w:rPr>
        <w:t xml:space="preserve"> amplified existing vulnerabilities and created additional </w:t>
      </w:r>
      <w:r w:rsidR="009A4E0D" w:rsidRPr="00103D22">
        <w:rPr>
          <w:rFonts w:ascii="Times New Roman" w:hAnsi="Times New Roman"/>
          <w:bCs/>
          <w:szCs w:val="24"/>
        </w:rPr>
        <w:t xml:space="preserve">pressures, leaving these </w:t>
      </w:r>
      <w:r w:rsidRPr="00103D22">
        <w:rPr>
          <w:rFonts w:ascii="Times New Roman" w:hAnsi="Times New Roman"/>
          <w:bCs/>
          <w:szCs w:val="24"/>
        </w:rPr>
        <w:t xml:space="preserve">regions </w:t>
      </w:r>
      <w:r w:rsidR="009A4E0D" w:rsidRPr="00103D22">
        <w:rPr>
          <w:rFonts w:ascii="Times New Roman" w:hAnsi="Times New Roman"/>
          <w:bCs/>
          <w:szCs w:val="24"/>
        </w:rPr>
        <w:t>to both strengthen</w:t>
      </w:r>
      <w:r w:rsidRPr="00103D22">
        <w:rPr>
          <w:rFonts w:ascii="Times New Roman" w:hAnsi="Times New Roman"/>
          <w:bCs/>
          <w:szCs w:val="24"/>
        </w:rPr>
        <w:t xml:space="preserve"> security and revitalis</w:t>
      </w:r>
      <w:r w:rsidR="009A4E0D" w:rsidRPr="00103D22">
        <w:rPr>
          <w:rFonts w:ascii="Times New Roman" w:hAnsi="Times New Roman"/>
          <w:bCs/>
          <w:szCs w:val="24"/>
        </w:rPr>
        <w:t>e</w:t>
      </w:r>
      <w:r w:rsidRPr="00103D22">
        <w:rPr>
          <w:rFonts w:ascii="Times New Roman" w:hAnsi="Times New Roman"/>
          <w:bCs/>
          <w:szCs w:val="24"/>
        </w:rPr>
        <w:t xml:space="preserve"> their economic and social fabric.</w:t>
      </w:r>
      <w:r w:rsidR="00616A0B" w:rsidRPr="00103D22">
        <w:rPr>
          <w:rFonts w:ascii="Times New Roman" w:hAnsi="Times New Roman"/>
          <w:bCs/>
          <w:szCs w:val="24"/>
        </w:rPr>
        <w:t xml:space="preserve"> </w:t>
      </w:r>
      <w:r w:rsidR="00047631" w:rsidRPr="00103D22">
        <w:rPr>
          <w:rFonts w:ascii="Times New Roman" w:hAnsi="Times New Roman"/>
          <w:bCs/>
          <w:szCs w:val="24"/>
        </w:rPr>
        <w:t>After the war began, the Commission suspended cross-border cooperation programmes with Russia and Belarus</w:t>
      </w:r>
      <w:r w:rsidR="009A4E0D" w:rsidRPr="00103D22">
        <w:rPr>
          <w:rFonts w:ascii="Times New Roman" w:hAnsi="Times New Roman"/>
          <w:bCs/>
          <w:szCs w:val="24"/>
        </w:rPr>
        <w:t>, reallocating</w:t>
      </w:r>
      <w:r w:rsidR="00047631" w:rsidRPr="00103D22">
        <w:rPr>
          <w:rFonts w:ascii="Times New Roman" w:hAnsi="Times New Roman"/>
          <w:bCs/>
          <w:szCs w:val="24"/>
        </w:rPr>
        <w:t xml:space="preserve"> </w:t>
      </w:r>
      <w:r w:rsidR="009F7956" w:rsidRPr="00103D22">
        <w:rPr>
          <w:rFonts w:ascii="Times New Roman" w:hAnsi="Times New Roman"/>
          <w:bCs/>
          <w:szCs w:val="24"/>
        </w:rPr>
        <w:t xml:space="preserve">EUR </w:t>
      </w:r>
      <w:r w:rsidR="00047631" w:rsidRPr="00103D22">
        <w:rPr>
          <w:rFonts w:ascii="Times New Roman" w:hAnsi="Times New Roman"/>
          <w:bCs/>
          <w:szCs w:val="24"/>
        </w:rPr>
        <w:t xml:space="preserve">150 million from the </w:t>
      </w:r>
      <w:r w:rsidR="00DE027A" w:rsidRPr="00103D22">
        <w:rPr>
          <w:rFonts w:ascii="Times New Roman" w:hAnsi="Times New Roman"/>
          <w:bCs/>
          <w:szCs w:val="24"/>
        </w:rPr>
        <w:t>ERDF</w:t>
      </w:r>
      <w:r w:rsidR="00047631" w:rsidRPr="00103D22">
        <w:rPr>
          <w:rFonts w:ascii="Times New Roman" w:hAnsi="Times New Roman"/>
          <w:bCs/>
          <w:szCs w:val="24"/>
        </w:rPr>
        <w:t xml:space="preserve"> to internal cooperation programmes</w:t>
      </w:r>
      <w:r w:rsidR="009A4E0D" w:rsidRPr="00103D22">
        <w:rPr>
          <w:rFonts w:ascii="Times New Roman" w:hAnsi="Times New Roman"/>
          <w:bCs/>
          <w:szCs w:val="24"/>
        </w:rPr>
        <w:t xml:space="preserve"> and</w:t>
      </w:r>
      <w:r w:rsidR="00047631" w:rsidRPr="00103D22">
        <w:rPr>
          <w:rFonts w:ascii="Times New Roman" w:hAnsi="Times New Roman"/>
          <w:bCs/>
          <w:szCs w:val="24"/>
        </w:rPr>
        <w:t xml:space="preserve"> </w:t>
      </w:r>
      <w:r w:rsidR="009F7956" w:rsidRPr="00103D22">
        <w:rPr>
          <w:rFonts w:ascii="Times New Roman" w:hAnsi="Times New Roman"/>
          <w:bCs/>
          <w:szCs w:val="24"/>
        </w:rPr>
        <w:t xml:space="preserve">EUR </w:t>
      </w:r>
      <w:r w:rsidR="00047631" w:rsidRPr="00103D22">
        <w:rPr>
          <w:rFonts w:ascii="Times New Roman" w:hAnsi="Times New Roman"/>
          <w:bCs/>
          <w:szCs w:val="24"/>
        </w:rPr>
        <w:t xml:space="preserve">160 million from the Neighbourhood, Development and International Cooperation Instrument </w:t>
      </w:r>
      <w:r w:rsidR="00A00B33" w:rsidRPr="00103D22">
        <w:rPr>
          <w:rFonts w:ascii="Times New Roman" w:hAnsi="Times New Roman"/>
          <w:bCs/>
          <w:szCs w:val="24"/>
        </w:rPr>
        <w:t>–</w:t>
      </w:r>
      <w:r w:rsidR="00047631" w:rsidRPr="00103D22">
        <w:rPr>
          <w:rFonts w:ascii="Times New Roman" w:hAnsi="Times New Roman"/>
          <w:bCs/>
          <w:szCs w:val="24"/>
        </w:rPr>
        <w:t xml:space="preserve"> originall</w:t>
      </w:r>
      <w:r w:rsidR="00A00B33" w:rsidRPr="00103D22">
        <w:rPr>
          <w:rFonts w:ascii="Times New Roman" w:hAnsi="Times New Roman"/>
          <w:bCs/>
          <w:szCs w:val="24"/>
        </w:rPr>
        <w:t>y</w:t>
      </w:r>
      <w:r w:rsidR="00047631" w:rsidRPr="00103D22">
        <w:rPr>
          <w:rFonts w:ascii="Times New Roman" w:hAnsi="Times New Roman"/>
          <w:bCs/>
          <w:szCs w:val="24"/>
        </w:rPr>
        <w:t xml:space="preserve"> intended for programmes with Russia and Belarus </w:t>
      </w:r>
      <w:r w:rsidR="00A00B33" w:rsidRPr="00103D22">
        <w:rPr>
          <w:rFonts w:ascii="Times New Roman" w:hAnsi="Times New Roman"/>
          <w:bCs/>
          <w:szCs w:val="24"/>
        </w:rPr>
        <w:t>–</w:t>
      </w:r>
      <w:r w:rsidR="009A4E0D" w:rsidRPr="00103D22">
        <w:rPr>
          <w:rFonts w:ascii="Times New Roman" w:hAnsi="Times New Roman"/>
          <w:bCs/>
          <w:szCs w:val="24"/>
        </w:rPr>
        <w:t xml:space="preserve"> </w:t>
      </w:r>
      <w:r w:rsidR="00047631" w:rsidRPr="00103D22">
        <w:rPr>
          <w:rFonts w:ascii="Times New Roman" w:hAnsi="Times New Roman"/>
          <w:bCs/>
          <w:szCs w:val="24"/>
        </w:rPr>
        <w:t>to reinforce cross-border programmes along the borders with Ukraine and Moldova.</w:t>
      </w:r>
    </w:p>
    <w:p w14:paraId="773C05FB" w14:textId="18B271E5" w:rsidR="00DD1688" w:rsidRPr="00103D22" w:rsidRDefault="009F1DFB" w:rsidP="001E5EC7">
      <w:pPr>
        <w:widowControl w:val="0"/>
        <w:spacing w:before="120" w:after="0"/>
        <w:rPr>
          <w:rFonts w:ascii="Times New Roman" w:hAnsi="Times New Roman"/>
        </w:rPr>
      </w:pPr>
      <w:r w:rsidRPr="00103D22">
        <w:rPr>
          <w:rFonts w:ascii="Times New Roman" w:hAnsi="Times New Roman"/>
        </w:rPr>
        <w:t>On 20 September, Regulation</w:t>
      </w:r>
      <w:r w:rsidR="00E266DF" w:rsidRPr="00103D22">
        <w:rPr>
          <w:rFonts w:ascii="Times New Roman" w:hAnsi="Times New Roman"/>
        </w:rPr>
        <w:t>s</w:t>
      </w:r>
      <w:r w:rsidRPr="00103D22">
        <w:rPr>
          <w:rFonts w:ascii="Times New Roman" w:hAnsi="Times New Roman"/>
        </w:rPr>
        <w:t xml:space="preserve"> (EU) 2025/1914</w:t>
      </w:r>
      <w:r w:rsidR="00E266DF" w:rsidRPr="00103D22">
        <w:rPr>
          <w:rFonts w:ascii="Times New Roman" w:hAnsi="Times New Roman"/>
        </w:rPr>
        <w:t xml:space="preserve"> and (EU) 2025/1913</w:t>
      </w:r>
      <w:r w:rsidRPr="00103D22">
        <w:rPr>
          <w:rFonts w:ascii="Times New Roman" w:hAnsi="Times New Roman"/>
        </w:rPr>
        <w:t xml:space="preserve"> </w:t>
      </w:r>
      <w:r w:rsidR="000C243C" w:rsidRPr="00103D22">
        <w:rPr>
          <w:rFonts w:ascii="Times New Roman" w:hAnsi="Times New Roman"/>
        </w:rPr>
        <w:t xml:space="preserve">(“the mid-term review package”) </w:t>
      </w:r>
      <w:r w:rsidR="00D35290" w:rsidRPr="00103D22">
        <w:rPr>
          <w:rFonts w:ascii="Times New Roman" w:hAnsi="Times New Roman"/>
        </w:rPr>
        <w:t>entered into force.</w:t>
      </w:r>
      <w:r w:rsidR="006D616F" w:rsidRPr="00103D22">
        <w:rPr>
          <w:rFonts w:ascii="Times New Roman" w:hAnsi="Times New Roman"/>
        </w:rPr>
        <w:t xml:space="preserve"> </w:t>
      </w:r>
      <w:r w:rsidR="009A4E0D" w:rsidRPr="00103D22">
        <w:rPr>
          <w:rFonts w:ascii="Times New Roman" w:hAnsi="Times New Roman"/>
        </w:rPr>
        <w:t>They</w:t>
      </w:r>
      <w:r w:rsidR="004F4612" w:rsidRPr="00103D22">
        <w:rPr>
          <w:rFonts w:ascii="Times New Roman" w:hAnsi="Times New Roman"/>
        </w:rPr>
        <w:t xml:space="preserve"> place particular emphasis on addressing the challenges faced by Eastern border regions. </w:t>
      </w:r>
      <w:r w:rsidR="00C03BC7" w:rsidRPr="00103D22">
        <w:rPr>
          <w:rFonts w:ascii="Times New Roman" w:hAnsi="Times New Roman"/>
        </w:rPr>
        <w:t>P</w:t>
      </w:r>
      <w:r w:rsidR="00255A1B" w:rsidRPr="00103D22">
        <w:rPr>
          <w:rFonts w:ascii="Times New Roman" w:hAnsi="Times New Roman"/>
        </w:rPr>
        <w:t>rogrammes</w:t>
      </w:r>
      <w:r w:rsidR="00785436" w:rsidRPr="00103D22">
        <w:rPr>
          <w:rFonts w:ascii="Times New Roman" w:hAnsi="Times New Roman"/>
        </w:rPr>
        <w:t xml:space="preserve"> </w:t>
      </w:r>
      <w:r w:rsidR="009A4E0D" w:rsidRPr="00103D22">
        <w:rPr>
          <w:rFonts w:ascii="Times New Roman" w:hAnsi="Times New Roman"/>
        </w:rPr>
        <w:t>substantially reallocating</w:t>
      </w:r>
      <w:r w:rsidR="00C03BC7" w:rsidRPr="00103D22">
        <w:rPr>
          <w:rFonts w:ascii="Times New Roman" w:hAnsi="Times New Roman"/>
        </w:rPr>
        <w:t xml:space="preserve"> resources to new priorities and</w:t>
      </w:r>
      <w:r w:rsidR="00255A1B" w:rsidRPr="00103D22">
        <w:rPr>
          <w:rFonts w:ascii="Times New Roman" w:hAnsi="Times New Roman"/>
        </w:rPr>
        <w:t xml:space="preserve"> covering </w:t>
      </w:r>
      <w:r w:rsidR="000C6823" w:rsidRPr="00103D22">
        <w:rPr>
          <w:rFonts w:ascii="Times New Roman" w:hAnsi="Times New Roman"/>
        </w:rPr>
        <w:t xml:space="preserve">one or more NUTS level 2 </w:t>
      </w:r>
      <w:r w:rsidR="00255A1B" w:rsidRPr="00103D22">
        <w:rPr>
          <w:rFonts w:ascii="Times New Roman" w:hAnsi="Times New Roman"/>
        </w:rPr>
        <w:t xml:space="preserve">regions bordering Russia, Belarus or Ukraine </w:t>
      </w:r>
      <w:r w:rsidR="003B78CA" w:rsidRPr="00103D22">
        <w:rPr>
          <w:rFonts w:ascii="Times New Roman" w:hAnsi="Times New Roman"/>
        </w:rPr>
        <w:t>will</w:t>
      </w:r>
      <w:r w:rsidR="00255A1B" w:rsidRPr="00103D22">
        <w:rPr>
          <w:rFonts w:ascii="Times New Roman" w:hAnsi="Times New Roman"/>
        </w:rPr>
        <w:t xml:space="preserve"> benefit from </w:t>
      </w:r>
      <w:r w:rsidR="004067D7" w:rsidRPr="00103D22">
        <w:rPr>
          <w:rFonts w:ascii="Times New Roman" w:hAnsi="Times New Roman"/>
        </w:rPr>
        <w:t xml:space="preserve">a one-off </w:t>
      </w:r>
      <w:r w:rsidR="00F66B2C" w:rsidRPr="00103D22">
        <w:rPr>
          <w:rFonts w:ascii="Times New Roman" w:hAnsi="Times New Roman"/>
        </w:rPr>
        <w:t>+</w:t>
      </w:r>
      <w:r w:rsidR="004067D7" w:rsidRPr="00103D22">
        <w:rPr>
          <w:rFonts w:ascii="Times New Roman" w:hAnsi="Times New Roman"/>
        </w:rPr>
        <w:t>9.5% pre-financing</w:t>
      </w:r>
      <w:r w:rsidR="00925C7D" w:rsidRPr="00103D22">
        <w:rPr>
          <w:rFonts w:ascii="Times New Roman" w:hAnsi="Times New Roman"/>
        </w:rPr>
        <w:t xml:space="preserve"> and from a </w:t>
      </w:r>
      <w:r w:rsidR="00872A54" w:rsidRPr="00103D22">
        <w:rPr>
          <w:rFonts w:ascii="Times New Roman" w:hAnsi="Times New Roman"/>
        </w:rPr>
        <w:t>top-up of 10 percentage points to the maximum EU co-financing rates per category of regions</w:t>
      </w:r>
      <w:r w:rsidR="00462519" w:rsidRPr="00103D22">
        <w:rPr>
          <w:rFonts w:ascii="Times New Roman" w:hAnsi="Times New Roman"/>
        </w:rPr>
        <w:t>, provided they</w:t>
      </w:r>
      <w:r w:rsidR="00F5696B" w:rsidRPr="00103D22">
        <w:rPr>
          <w:rFonts w:ascii="Times New Roman" w:hAnsi="Times New Roman"/>
        </w:rPr>
        <w:t xml:space="preserve"> </w:t>
      </w:r>
      <w:r w:rsidR="00462519" w:rsidRPr="00103D22">
        <w:rPr>
          <w:rFonts w:ascii="Times New Roman" w:hAnsi="Times New Roman"/>
        </w:rPr>
        <w:t xml:space="preserve">do </w:t>
      </w:r>
      <w:r w:rsidR="00F5696B" w:rsidRPr="00103D22">
        <w:rPr>
          <w:rFonts w:ascii="Times New Roman" w:hAnsi="Times New Roman"/>
        </w:rPr>
        <w:t>not cover the entire territory of the Member State concerned, unless th</w:t>
      </w:r>
      <w:r w:rsidR="00C54029" w:rsidRPr="00103D22">
        <w:rPr>
          <w:rFonts w:ascii="Times New Roman" w:hAnsi="Times New Roman"/>
        </w:rPr>
        <w:t>o</w:t>
      </w:r>
      <w:r w:rsidR="00F5696B" w:rsidRPr="00103D22">
        <w:rPr>
          <w:rFonts w:ascii="Times New Roman" w:hAnsi="Times New Roman"/>
        </w:rPr>
        <w:t xml:space="preserve">se regions are included </w:t>
      </w:r>
      <w:r w:rsidR="007D675D" w:rsidRPr="00103D22">
        <w:rPr>
          <w:rFonts w:ascii="Times New Roman" w:hAnsi="Times New Roman"/>
        </w:rPr>
        <w:t>exclusively</w:t>
      </w:r>
      <w:r w:rsidR="00F5696B" w:rsidRPr="00103D22">
        <w:rPr>
          <w:rFonts w:ascii="Times New Roman" w:hAnsi="Times New Roman"/>
        </w:rPr>
        <w:t xml:space="preserve"> in </w:t>
      </w:r>
      <w:r w:rsidR="00C54029" w:rsidRPr="00103D22">
        <w:rPr>
          <w:rFonts w:ascii="Times New Roman" w:hAnsi="Times New Roman"/>
        </w:rPr>
        <w:t>that</w:t>
      </w:r>
      <w:r w:rsidR="00F5696B" w:rsidRPr="00103D22">
        <w:rPr>
          <w:rFonts w:ascii="Times New Roman" w:hAnsi="Times New Roman"/>
        </w:rPr>
        <w:t xml:space="preserve"> programme.</w:t>
      </w:r>
    </w:p>
    <w:p w14:paraId="1A26BC40" w14:textId="1D0F817D" w:rsidR="3DF4530C" w:rsidRPr="00103D22" w:rsidRDefault="3DF4530C" w:rsidP="001E5EC7">
      <w:pPr>
        <w:widowControl w:val="0"/>
        <w:spacing w:before="120" w:after="0"/>
        <w:rPr>
          <w:rFonts w:ascii="Times New Roman" w:hAnsi="Times New Roman"/>
        </w:rPr>
      </w:pPr>
      <w:r w:rsidRPr="00103D22">
        <w:rPr>
          <w:rFonts w:ascii="Times New Roman" w:hAnsi="Times New Roman"/>
        </w:rPr>
        <w:t xml:space="preserve">In </w:t>
      </w:r>
      <w:r w:rsidR="009A4E0D" w:rsidRPr="00103D22">
        <w:rPr>
          <w:rFonts w:ascii="Times New Roman" w:hAnsi="Times New Roman"/>
        </w:rPr>
        <w:t>its</w:t>
      </w:r>
      <w:r w:rsidR="2300290E" w:rsidRPr="00103D22">
        <w:rPr>
          <w:rFonts w:ascii="Times New Roman" w:hAnsi="Times New Roman"/>
        </w:rPr>
        <w:t xml:space="preserve"> </w:t>
      </w:r>
      <w:r w:rsidRPr="00103D22">
        <w:rPr>
          <w:rFonts w:ascii="Times New Roman" w:hAnsi="Times New Roman"/>
        </w:rPr>
        <w:t xml:space="preserve">proposal for the 2028-2034 MFF, </w:t>
      </w:r>
      <w:r w:rsidR="009A4E0D" w:rsidRPr="00103D22">
        <w:rPr>
          <w:rFonts w:ascii="Times New Roman" w:hAnsi="Times New Roman"/>
        </w:rPr>
        <w:t xml:space="preserve">the Commission </w:t>
      </w:r>
      <w:r w:rsidR="000C1456" w:rsidRPr="00103D22">
        <w:rPr>
          <w:rFonts w:ascii="Times New Roman" w:hAnsi="Times New Roman"/>
        </w:rPr>
        <w:t xml:space="preserve">expects </w:t>
      </w:r>
      <w:r w:rsidRPr="00103D22">
        <w:rPr>
          <w:rFonts w:ascii="Times New Roman" w:hAnsi="Times New Roman"/>
        </w:rPr>
        <w:t xml:space="preserve">Member States to </w:t>
      </w:r>
      <w:r w:rsidR="56F5E196" w:rsidRPr="00103D22">
        <w:rPr>
          <w:rFonts w:ascii="Times New Roman" w:hAnsi="Times New Roman"/>
        </w:rPr>
        <w:t>address under their NRP</w:t>
      </w:r>
      <w:r w:rsidR="256C63A0" w:rsidRPr="00103D22">
        <w:rPr>
          <w:rFonts w:ascii="Times New Roman" w:hAnsi="Times New Roman"/>
        </w:rPr>
        <w:t>P</w:t>
      </w:r>
      <w:r w:rsidR="56F5E196" w:rsidRPr="00103D22">
        <w:rPr>
          <w:rFonts w:ascii="Times New Roman" w:hAnsi="Times New Roman"/>
        </w:rPr>
        <w:t>s the specific needs and challenges faced by</w:t>
      </w:r>
      <w:r w:rsidRPr="00103D22">
        <w:rPr>
          <w:rFonts w:ascii="Times New Roman" w:hAnsi="Times New Roman"/>
        </w:rPr>
        <w:t xml:space="preserve"> Eastern border regions</w:t>
      </w:r>
      <w:r w:rsidR="50764C38" w:rsidRPr="00103D22">
        <w:rPr>
          <w:rFonts w:ascii="Times New Roman" w:hAnsi="Times New Roman"/>
        </w:rPr>
        <w:t>,</w:t>
      </w:r>
      <w:r w:rsidR="40C74241" w:rsidRPr="00103D22">
        <w:rPr>
          <w:rFonts w:ascii="Times New Roman" w:hAnsi="Times New Roman"/>
        </w:rPr>
        <w:t xml:space="preserve"> particularly in the areas of security, border management and economic development.</w:t>
      </w:r>
    </w:p>
    <w:p w14:paraId="2F675AC9" w14:textId="039E588A" w:rsidR="7145EB5A" w:rsidRPr="00622579" w:rsidRDefault="003B78CA" w:rsidP="001E5EC7">
      <w:pPr>
        <w:widowControl w:val="0"/>
        <w:spacing w:before="120" w:after="0"/>
        <w:rPr>
          <w:rFonts w:ascii="Times New Roman" w:hAnsi="Times New Roman"/>
          <w:b/>
          <w:bCs/>
        </w:rPr>
      </w:pPr>
      <w:r w:rsidRPr="00EA11FB">
        <w:rPr>
          <w:rFonts w:ascii="Times New Roman" w:hAnsi="Times New Roman"/>
        </w:rPr>
        <w:t xml:space="preserve">The Commission </w:t>
      </w:r>
      <w:r w:rsidR="00CB6DE0" w:rsidRPr="00EA11FB">
        <w:rPr>
          <w:rFonts w:ascii="Times New Roman" w:hAnsi="Times New Roman"/>
        </w:rPr>
        <w:t xml:space="preserve">has adopted a </w:t>
      </w:r>
      <w:r w:rsidR="00FC6F12" w:rsidRPr="00EA11FB">
        <w:rPr>
          <w:rFonts w:ascii="Times New Roman" w:hAnsi="Times New Roman"/>
        </w:rPr>
        <w:t>Communication</w:t>
      </w:r>
      <w:r w:rsidR="00971798" w:rsidRPr="00EA11FB">
        <w:rPr>
          <w:rFonts w:ascii="Times New Roman" w:hAnsi="Times New Roman"/>
        </w:rPr>
        <w:t xml:space="preserve"> </w:t>
      </w:r>
      <w:r w:rsidR="00FC6F12" w:rsidRPr="00EA11FB">
        <w:rPr>
          <w:rFonts w:ascii="Times New Roman" w:hAnsi="Times New Roman"/>
        </w:rPr>
        <w:t>on</w:t>
      </w:r>
      <w:r w:rsidRPr="00EA11FB">
        <w:rPr>
          <w:rFonts w:ascii="Times New Roman" w:hAnsi="Times New Roman"/>
        </w:rPr>
        <w:t xml:space="preserve"> Eastern </w:t>
      </w:r>
      <w:r w:rsidR="17C6317C" w:rsidRPr="00EA11FB">
        <w:rPr>
          <w:rFonts w:ascii="Times New Roman" w:hAnsi="Times New Roman"/>
        </w:rPr>
        <w:t>b</w:t>
      </w:r>
      <w:r w:rsidRPr="00EA11FB">
        <w:rPr>
          <w:rFonts w:ascii="Times New Roman" w:hAnsi="Times New Roman"/>
        </w:rPr>
        <w:t xml:space="preserve">order regions </w:t>
      </w:r>
      <w:r w:rsidR="00720AF4" w:rsidRPr="00EA11FB">
        <w:rPr>
          <w:rFonts w:ascii="Times New Roman" w:hAnsi="Times New Roman"/>
        </w:rPr>
        <w:t>to increase the</w:t>
      </w:r>
      <w:r w:rsidRPr="00EA11FB">
        <w:rPr>
          <w:rFonts w:ascii="Times New Roman" w:hAnsi="Times New Roman"/>
        </w:rPr>
        <w:t>ir</w:t>
      </w:r>
      <w:r w:rsidR="00720AF4" w:rsidRPr="00EA11FB">
        <w:rPr>
          <w:rFonts w:ascii="Times New Roman" w:hAnsi="Times New Roman"/>
        </w:rPr>
        <w:t xml:space="preserve"> resilience.</w:t>
      </w:r>
      <w:r w:rsidRPr="00EA11FB">
        <w:rPr>
          <w:rFonts w:ascii="Times New Roman" w:hAnsi="Times New Roman"/>
        </w:rPr>
        <w:t xml:space="preserve"> </w:t>
      </w:r>
      <w:r w:rsidR="00DE027A" w:rsidRPr="00EA11FB">
        <w:rPr>
          <w:rFonts w:ascii="Times New Roman" w:hAnsi="Times New Roman"/>
        </w:rPr>
        <w:t xml:space="preserve">This </w:t>
      </w:r>
      <w:r w:rsidR="00DA22AF" w:rsidRPr="00EA11FB">
        <w:rPr>
          <w:rFonts w:ascii="Times New Roman" w:hAnsi="Times New Roman"/>
        </w:rPr>
        <w:t>set</w:t>
      </w:r>
      <w:r w:rsidR="00514DC5" w:rsidRPr="00EA11FB">
        <w:rPr>
          <w:rFonts w:ascii="Times New Roman" w:hAnsi="Times New Roman"/>
        </w:rPr>
        <w:t>s</w:t>
      </w:r>
      <w:r w:rsidR="00995FD7" w:rsidRPr="00EA11FB">
        <w:rPr>
          <w:rFonts w:ascii="Times New Roman" w:hAnsi="Times New Roman"/>
        </w:rPr>
        <w:t xml:space="preserve"> out short</w:t>
      </w:r>
      <w:r w:rsidR="00DE027A" w:rsidRPr="00EA11FB">
        <w:rPr>
          <w:rFonts w:ascii="Times New Roman" w:hAnsi="Times New Roman"/>
        </w:rPr>
        <w:t>-</w:t>
      </w:r>
      <w:r w:rsidR="00995FD7" w:rsidRPr="00EA11FB">
        <w:rPr>
          <w:rFonts w:ascii="Times New Roman" w:hAnsi="Times New Roman"/>
        </w:rPr>
        <w:t>, medium</w:t>
      </w:r>
      <w:r w:rsidR="00DE027A" w:rsidRPr="00EA11FB">
        <w:rPr>
          <w:rFonts w:ascii="Times New Roman" w:hAnsi="Times New Roman"/>
        </w:rPr>
        <w:t>-</w:t>
      </w:r>
      <w:r w:rsidR="00995FD7" w:rsidRPr="00EA11FB">
        <w:rPr>
          <w:rFonts w:ascii="Times New Roman" w:hAnsi="Times New Roman"/>
        </w:rPr>
        <w:t xml:space="preserve"> and long-term</w:t>
      </w:r>
      <w:r w:rsidR="00DE027A" w:rsidRPr="00EA11FB">
        <w:rPr>
          <w:rFonts w:ascii="Times New Roman" w:hAnsi="Times New Roman"/>
        </w:rPr>
        <w:t xml:space="preserve"> actions</w:t>
      </w:r>
      <w:r w:rsidR="00995FD7" w:rsidRPr="00EA11FB">
        <w:rPr>
          <w:rFonts w:ascii="Times New Roman" w:hAnsi="Times New Roman"/>
        </w:rPr>
        <w:t xml:space="preserve"> to address complex challenges such as</w:t>
      </w:r>
      <w:r w:rsidR="00AE12E8" w:rsidRPr="00EA11FB">
        <w:rPr>
          <w:rFonts w:ascii="Times New Roman" w:hAnsi="Times New Roman"/>
        </w:rPr>
        <w:t xml:space="preserve"> </w:t>
      </w:r>
      <w:r w:rsidR="00995FD7" w:rsidRPr="00EA11FB">
        <w:rPr>
          <w:rFonts w:ascii="Times New Roman" w:hAnsi="Times New Roman"/>
        </w:rPr>
        <w:t>restrictions on cross-border contacts</w:t>
      </w:r>
      <w:r w:rsidR="00AE12E8" w:rsidRPr="00EA11FB">
        <w:rPr>
          <w:rFonts w:ascii="Times New Roman" w:hAnsi="Times New Roman"/>
        </w:rPr>
        <w:t xml:space="preserve">, </w:t>
      </w:r>
      <w:r w:rsidR="00995FD7" w:rsidRPr="00EA11FB">
        <w:rPr>
          <w:rFonts w:ascii="Times New Roman" w:hAnsi="Times New Roman"/>
        </w:rPr>
        <w:t>growing threats to physical security and cybersecurity</w:t>
      </w:r>
      <w:r w:rsidR="00AE12E8" w:rsidRPr="00EA11FB">
        <w:rPr>
          <w:rFonts w:ascii="Times New Roman" w:hAnsi="Times New Roman"/>
        </w:rPr>
        <w:t xml:space="preserve">, </w:t>
      </w:r>
      <w:r w:rsidR="00995FD7" w:rsidRPr="00EA11FB">
        <w:rPr>
          <w:rFonts w:ascii="Times New Roman" w:hAnsi="Times New Roman"/>
        </w:rPr>
        <w:t>the weaponisation of migration and disinformation</w:t>
      </w:r>
      <w:r w:rsidR="00AE12E8" w:rsidRPr="00EA11FB">
        <w:rPr>
          <w:rFonts w:ascii="Times New Roman" w:hAnsi="Times New Roman"/>
        </w:rPr>
        <w:t xml:space="preserve">, and the </w:t>
      </w:r>
      <w:r w:rsidR="00995FD7" w:rsidRPr="00EA11FB">
        <w:rPr>
          <w:rFonts w:ascii="Times New Roman" w:hAnsi="Times New Roman"/>
        </w:rPr>
        <w:t>economic underperformance.</w:t>
      </w:r>
      <w:r w:rsidR="00AE12E8" w:rsidRPr="00EA11FB">
        <w:rPr>
          <w:rFonts w:ascii="Times New Roman" w:hAnsi="Times New Roman"/>
        </w:rPr>
        <w:t xml:space="preserve"> It outline</w:t>
      </w:r>
      <w:r w:rsidR="00E42290" w:rsidRPr="00EA11FB">
        <w:rPr>
          <w:rFonts w:ascii="Times New Roman" w:hAnsi="Times New Roman"/>
        </w:rPr>
        <w:t>s</w:t>
      </w:r>
      <w:r w:rsidR="00AE12E8" w:rsidRPr="00EA11FB">
        <w:rPr>
          <w:rFonts w:ascii="Times New Roman" w:hAnsi="Times New Roman"/>
        </w:rPr>
        <w:t xml:space="preserve"> how EU </w:t>
      </w:r>
      <w:r w:rsidR="00DE027A" w:rsidRPr="00EA11FB">
        <w:rPr>
          <w:rFonts w:ascii="Times New Roman" w:hAnsi="Times New Roman"/>
        </w:rPr>
        <w:t xml:space="preserve">programmes and </w:t>
      </w:r>
      <w:r w:rsidR="00AE12E8" w:rsidRPr="00EA11FB">
        <w:rPr>
          <w:rFonts w:ascii="Times New Roman" w:hAnsi="Times New Roman"/>
        </w:rPr>
        <w:t xml:space="preserve">instruments can be mobilised to support these regions to strengthen their cohesion, resilience, security, and economic development, including in view of the </w:t>
      </w:r>
      <w:r w:rsidR="00DE027A" w:rsidRPr="00EA11FB">
        <w:rPr>
          <w:rFonts w:ascii="Times New Roman" w:hAnsi="Times New Roman"/>
        </w:rPr>
        <w:t>NRP</w:t>
      </w:r>
      <w:r w:rsidR="04914A73" w:rsidRPr="00EA11FB">
        <w:rPr>
          <w:rFonts w:ascii="Times New Roman" w:hAnsi="Times New Roman"/>
        </w:rPr>
        <w:t>P</w:t>
      </w:r>
      <w:r w:rsidR="00DE027A" w:rsidRPr="00EA11FB">
        <w:rPr>
          <w:rFonts w:ascii="Times New Roman" w:hAnsi="Times New Roman"/>
        </w:rPr>
        <w:t>s</w:t>
      </w:r>
      <w:r w:rsidR="00AE12E8" w:rsidRPr="00EA11FB">
        <w:rPr>
          <w:rFonts w:ascii="Times New Roman" w:hAnsi="Times New Roman"/>
        </w:rPr>
        <w:t xml:space="preserve"> 2028-2034. </w:t>
      </w:r>
      <w:r w:rsidR="00016AD5" w:rsidRPr="00EA11FB">
        <w:rPr>
          <w:rFonts w:ascii="Times New Roman" w:hAnsi="Times New Roman"/>
        </w:rPr>
        <w:t xml:space="preserve">It also </w:t>
      </w:r>
      <w:r w:rsidR="00AE12E8" w:rsidRPr="00EA11FB">
        <w:rPr>
          <w:rFonts w:ascii="Times New Roman" w:hAnsi="Times New Roman"/>
        </w:rPr>
        <w:t>highlight</w:t>
      </w:r>
      <w:r w:rsidR="00E42290" w:rsidRPr="00EA11FB">
        <w:rPr>
          <w:rFonts w:ascii="Times New Roman" w:hAnsi="Times New Roman"/>
        </w:rPr>
        <w:t>s</w:t>
      </w:r>
      <w:r w:rsidR="00AE12E8" w:rsidRPr="00EA11FB">
        <w:rPr>
          <w:rFonts w:ascii="Times New Roman" w:hAnsi="Times New Roman"/>
        </w:rPr>
        <w:t xml:space="preserve"> support for measures aimed at boosting regional investment, such as de-risking mechanisms and improved access to finance, rebranding the regions to enhance their attractiveness and building the capacity of local businesses and civil society</w:t>
      </w:r>
      <w:r w:rsidR="00016AD5" w:rsidRPr="00EA11FB">
        <w:rPr>
          <w:rFonts w:ascii="Times New Roman" w:hAnsi="Times New Roman"/>
        </w:rPr>
        <w:t>.</w:t>
      </w:r>
    </w:p>
    <w:sectPr w:rsidR="7145EB5A" w:rsidRPr="00622579" w:rsidSect="00812321">
      <w:footerReference w:type="even" r:id="rId14"/>
      <w:footerReference w:type="default" r:id="rId15"/>
      <w:footerReference w:type="first" r:id="rId16"/>
      <w:footnotePr>
        <w:pos w:val="beneathText"/>
        <w:numRestart w:val="eachSect"/>
      </w:footnotePr>
      <w:type w:val="continuous"/>
      <w:pgSz w:w="11906" w:h="16838" w:code="9"/>
      <w:pgMar w:top="1021" w:right="1416" w:bottom="1021" w:left="1588" w:header="601"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2F732" w14:textId="77777777" w:rsidR="00732B9E" w:rsidRDefault="00732B9E">
      <w:r>
        <w:separator/>
      </w:r>
    </w:p>
  </w:endnote>
  <w:endnote w:type="continuationSeparator" w:id="0">
    <w:p w14:paraId="778DC202" w14:textId="77777777" w:rsidR="00732B9E" w:rsidRDefault="00732B9E">
      <w:r>
        <w:continuationSeparator/>
      </w:r>
    </w:p>
  </w:endnote>
  <w:endnote w:type="continuationNotice" w:id="1">
    <w:p w14:paraId="29B82E1C" w14:textId="77777777" w:rsidR="00732B9E" w:rsidRDefault="00732B9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mbria"/>
    <w:charset w:val="00"/>
    <w:family w:val="auto"/>
    <w:pitch w:val="variable"/>
    <w:sig w:usb0="800002EF" w:usb1="1000E0FB" w:usb2="00000000" w:usb3="00000000" w:csb0="0000009F" w:csb1="00000000"/>
  </w:font>
  <w:font w:name="EC Square Sans Cond Pro">
    <w:panose1 w:val="020B0506040000020004"/>
    <w:charset w:val="00"/>
    <w:family w:val="swiss"/>
    <w:pitch w:val="variable"/>
    <w:sig w:usb0="20000287" w:usb1="00000001" w:usb2="00000000" w:usb3="00000000" w:csb0="0000019F"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2F22"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14:paraId="1CE8F934" w14:textId="77777777" w:rsidR="00471068" w:rsidRDefault="00471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9ED6"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41C4F">
      <w:rPr>
        <w:rStyle w:val="PageNumber"/>
        <w:noProof/>
      </w:rPr>
      <w:t>3</w:t>
    </w:r>
    <w:r>
      <w:rPr>
        <w:rStyle w:val="PageNumber"/>
      </w:rPr>
      <w:fldChar w:fldCharType="end"/>
    </w:r>
  </w:p>
  <w:p w14:paraId="76797D1D" w14:textId="77777777" w:rsidR="00471068" w:rsidRPr="008A6623" w:rsidRDefault="00471068" w:rsidP="008A6623">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EE69" w14:textId="77777777" w:rsidR="006B0483" w:rsidRDefault="006B0483" w:rsidP="006B04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233CD">
      <w:rPr>
        <w:rStyle w:val="PageNumber"/>
        <w:noProof/>
      </w:rPr>
      <w:t>1</w:t>
    </w:r>
    <w:r>
      <w:rPr>
        <w:rStyle w:val="PageNumber"/>
      </w:rPr>
      <w:fldChar w:fldCharType="end"/>
    </w:r>
  </w:p>
  <w:p w14:paraId="244C2131" w14:textId="77777777" w:rsidR="00471068" w:rsidRDefault="00471068" w:rsidP="00442B2E">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7960F" w14:textId="77777777" w:rsidR="00732B9E" w:rsidRDefault="00732B9E">
      <w:r>
        <w:separator/>
      </w:r>
    </w:p>
  </w:footnote>
  <w:footnote w:type="continuationSeparator" w:id="0">
    <w:p w14:paraId="1C2D7C00" w14:textId="77777777" w:rsidR="00732B9E" w:rsidRDefault="00732B9E">
      <w:r>
        <w:continuationSeparator/>
      </w:r>
    </w:p>
  </w:footnote>
  <w:footnote w:type="continuationNotice" w:id="1">
    <w:p w14:paraId="0B3CC9BA" w14:textId="77777777" w:rsidR="00732B9E" w:rsidRDefault="00732B9E">
      <w:pPr>
        <w:spacing w:after="0"/>
      </w:pPr>
    </w:p>
  </w:footnote>
  <w:footnote w:id="2">
    <w:p w14:paraId="3AE2D5C7" w14:textId="3B3A8759" w:rsidR="751D47EB" w:rsidRPr="002B53C5" w:rsidRDefault="751D47EB" w:rsidP="751D47EB">
      <w:pPr>
        <w:rPr>
          <w:rFonts w:ascii="Times New Roman" w:hAnsi="Times New Roman"/>
          <w:sz w:val="18"/>
          <w:szCs w:val="18"/>
        </w:rPr>
      </w:pPr>
      <w:r w:rsidRPr="002B53C5">
        <w:rPr>
          <w:rFonts w:ascii="Times New Roman" w:hAnsi="Times New Roman"/>
          <w:sz w:val="18"/>
          <w:szCs w:val="18"/>
          <w:vertAlign w:val="superscript"/>
        </w:rPr>
        <w:footnoteRef/>
      </w:r>
      <w:r w:rsidRPr="002B53C5">
        <w:rPr>
          <w:rFonts w:ascii="Times New Roman" w:hAnsi="Times New Roman"/>
          <w:sz w:val="18"/>
          <w:szCs w:val="18"/>
        </w:rPr>
        <w:t xml:space="preserve"> Study on the “Uptake of SCO and FNLC for the CPR Funds in the 2014-2020 and 2021-2027 programming periods” (2025), European Commission – DG for Regional and Urban Policy</w:t>
      </w:r>
    </w:p>
  </w:footnote>
  <w:footnote w:id="3">
    <w:p w14:paraId="0EC6620A" w14:textId="5F75BF26" w:rsidR="751D47EB" w:rsidRPr="002B53C5" w:rsidRDefault="751D47EB" w:rsidP="751D47EB">
      <w:pPr>
        <w:rPr>
          <w:rFonts w:ascii="Times New Roman" w:hAnsi="Times New Roman"/>
          <w:sz w:val="18"/>
          <w:szCs w:val="18"/>
        </w:rPr>
      </w:pPr>
      <w:r w:rsidRPr="002B53C5">
        <w:rPr>
          <w:rFonts w:ascii="Times New Roman" w:hAnsi="Times New Roman"/>
          <w:sz w:val="18"/>
          <w:szCs w:val="18"/>
          <w:vertAlign w:val="superscript"/>
        </w:rPr>
        <w:footnoteRef/>
      </w:r>
      <w:r w:rsidRPr="002B53C5">
        <w:rPr>
          <w:rFonts w:ascii="Times New Roman" w:hAnsi="Times New Roman"/>
          <w:sz w:val="18"/>
          <w:szCs w:val="18"/>
        </w:rPr>
        <w:t xml:space="preserve"> ERDF: EUR 37.4 bn (11,5% of the ERDF allocation and 7,1% of the total cohesion policy budget); C</w:t>
      </w:r>
      <w:r w:rsidR="002B53C5" w:rsidRPr="002B53C5">
        <w:rPr>
          <w:rFonts w:ascii="Times New Roman" w:hAnsi="Times New Roman"/>
          <w:sz w:val="18"/>
          <w:szCs w:val="18"/>
        </w:rPr>
        <w:t xml:space="preserve">ohesion </w:t>
      </w:r>
      <w:r w:rsidRPr="002B53C5">
        <w:rPr>
          <w:rFonts w:ascii="Times New Roman" w:hAnsi="Times New Roman"/>
          <w:sz w:val="18"/>
          <w:szCs w:val="18"/>
        </w:rPr>
        <w:t>F</w:t>
      </w:r>
      <w:r w:rsidR="002B53C5" w:rsidRPr="002B53C5">
        <w:rPr>
          <w:rFonts w:ascii="Times New Roman" w:hAnsi="Times New Roman"/>
          <w:sz w:val="18"/>
          <w:szCs w:val="18"/>
        </w:rPr>
        <w:t>und</w:t>
      </w:r>
      <w:r w:rsidRPr="002B53C5">
        <w:rPr>
          <w:rFonts w:ascii="Times New Roman" w:hAnsi="Times New Roman"/>
          <w:sz w:val="18"/>
          <w:szCs w:val="18"/>
        </w:rPr>
        <w:t>: EUR 1.1 bn (2,3% of the C</w:t>
      </w:r>
      <w:r w:rsidR="002B53C5" w:rsidRPr="002B53C5">
        <w:rPr>
          <w:rFonts w:ascii="Times New Roman" w:hAnsi="Times New Roman"/>
          <w:sz w:val="18"/>
          <w:szCs w:val="18"/>
        </w:rPr>
        <w:t xml:space="preserve">ohesion </w:t>
      </w:r>
      <w:r w:rsidRPr="002B53C5">
        <w:rPr>
          <w:rFonts w:ascii="Times New Roman" w:hAnsi="Times New Roman"/>
          <w:sz w:val="18"/>
          <w:szCs w:val="18"/>
        </w:rPr>
        <w:t>F</w:t>
      </w:r>
      <w:r w:rsidR="002B53C5" w:rsidRPr="002B53C5">
        <w:rPr>
          <w:rFonts w:ascii="Times New Roman" w:hAnsi="Times New Roman"/>
          <w:sz w:val="18"/>
          <w:szCs w:val="18"/>
        </w:rPr>
        <w:t>und</w:t>
      </w:r>
      <w:r w:rsidRPr="002B53C5">
        <w:rPr>
          <w:rFonts w:ascii="Times New Roman" w:hAnsi="Times New Roman"/>
          <w:sz w:val="18"/>
          <w:szCs w:val="18"/>
        </w:rPr>
        <w:t xml:space="preserve"> allocation and 0,2% of the total cohesion policy budget); J</w:t>
      </w:r>
      <w:r w:rsidR="002B53C5" w:rsidRPr="002B53C5">
        <w:rPr>
          <w:rFonts w:ascii="Times New Roman" w:hAnsi="Times New Roman"/>
          <w:sz w:val="18"/>
          <w:szCs w:val="18"/>
        </w:rPr>
        <w:t xml:space="preserve">ust </w:t>
      </w:r>
      <w:r w:rsidRPr="002B53C5">
        <w:rPr>
          <w:rFonts w:ascii="Times New Roman" w:hAnsi="Times New Roman"/>
          <w:sz w:val="18"/>
          <w:szCs w:val="18"/>
        </w:rPr>
        <w:t>T</w:t>
      </w:r>
      <w:r w:rsidR="002B53C5" w:rsidRPr="002B53C5">
        <w:rPr>
          <w:rFonts w:ascii="Times New Roman" w:hAnsi="Times New Roman"/>
          <w:sz w:val="18"/>
          <w:szCs w:val="18"/>
        </w:rPr>
        <w:t xml:space="preserve">ransition </w:t>
      </w:r>
      <w:r w:rsidRPr="002B53C5">
        <w:rPr>
          <w:rFonts w:ascii="Times New Roman" w:hAnsi="Times New Roman"/>
          <w:sz w:val="18"/>
          <w:szCs w:val="18"/>
        </w:rPr>
        <w:t>F</w:t>
      </w:r>
      <w:r w:rsidR="002B53C5" w:rsidRPr="002B53C5">
        <w:rPr>
          <w:rFonts w:ascii="Times New Roman" w:hAnsi="Times New Roman"/>
          <w:sz w:val="18"/>
          <w:szCs w:val="18"/>
        </w:rPr>
        <w:t>und</w:t>
      </w:r>
      <w:r w:rsidRPr="002B53C5">
        <w:rPr>
          <w:rFonts w:ascii="Times New Roman" w:hAnsi="Times New Roman"/>
          <w:sz w:val="18"/>
          <w:szCs w:val="18"/>
        </w:rPr>
        <w:t>: EUR 2,8 bn (10,4 % of the J</w:t>
      </w:r>
      <w:r w:rsidR="002B53C5" w:rsidRPr="002B53C5">
        <w:rPr>
          <w:rFonts w:ascii="Times New Roman" w:hAnsi="Times New Roman"/>
          <w:sz w:val="18"/>
          <w:szCs w:val="18"/>
        </w:rPr>
        <w:t xml:space="preserve">ust </w:t>
      </w:r>
      <w:r w:rsidRPr="002B53C5">
        <w:rPr>
          <w:rFonts w:ascii="Times New Roman" w:hAnsi="Times New Roman"/>
          <w:sz w:val="18"/>
          <w:szCs w:val="18"/>
        </w:rPr>
        <w:t>T</w:t>
      </w:r>
      <w:r w:rsidR="002B53C5" w:rsidRPr="002B53C5">
        <w:rPr>
          <w:rFonts w:ascii="Times New Roman" w:hAnsi="Times New Roman"/>
          <w:sz w:val="18"/>
          <w:szCs w:val="18"/>
        </w:rPr>
        <w:t xml:space="preserve">ransition </w:t>
      </w:r>
      <w:r w:rsidRPr="002B53C5">
        <w:rPr>
          <w:rFonts w:ascii="Times New Roman" w:hAnsi="Times New Roman"/>
          <w:sz w:val="18"/>
          <w:szCs w:val="18"/>
        </w:rPr>
        <w:t>F</w:t>
      </w:r>
      <w:r w:rsidR="002B53C5" w:rsidRPr="002B53C5">
        <w:rPr>
          <w:rFonts w:ascii="Times New Roman" w:hAnsi="Times New Roman"/>
          <w:sz w:val="18"/>
          <w:szCs w:val="18"/>
        </w:rPr>
        <w:t>und</w:t>
      </w:r>
      <w:r w:rsidRPr="002B53C5">
        <w:rPr>
          <w:rFonts w:ascii="Times New Roman" w:hAnsi="Times New Roman"/>
          <w:sz w:val="18"/>
          <w:szCs w:val="18"/>
        </w:rPr>
        <w:t xml:space="preserve"> allocation and 0,5% of the total cohesion policy budget</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15:restartNumberingAfterBreak="0">
    <w:nsid w:val="0AA7686E"/>
    <w:multiLevelType w:val="hybridMultilevel"/>
    <w:tmpl w:val="D1D45CA8"/>
    <w:lvl w:ilvl="0" w:tplc="26A4D58A">
      <w:start w:val="1"/>
      <w:numFmt w:val="decimal"/>
      <w:lvlText w:val="%1."/>
      <w:lvlJc w:val="left"/>
      <w:pPr>
        <w:ind w:left="1065" w:hanging="705"/>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831A51"/>
    <w:multiLevelType w:val="hybridMultilevel"/>
    <w:tmpl w:val="BCAED5BC"/>
    <w:lvl w:ilvl="0" w:tplc="7C765058">
      <w:start w:val="1"/>
      <w:numFmt w:val="decimal"/>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7" w15:restartNumberingAfterBreak="0">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8" w15:restartNumberingAfterBreak="0">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DA0D4D"/>
    <w:multiLevelType w:val="hybridMultilevel"/>
    <w:tmpl w:val="A71A327C"/>
    <w:lvl w:ilvl="0" w:tplc="47BEBF6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9A62EDF"/>
    <w:multiLevelType w:val="hybridMultilevel"/>
    <w:tmpl w:val="DDE2C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2" w15:restartNumberingAfterBreak="0">
    <w:nsid w:val="1D8653DD"/>
    <w:multiLevelType w:val="hybridMultilevel"/>
    <w:tmpl w:val="3056C994"/>
    <w:lvl w:ilvl="0" w:tplc="FD6CBB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97F4079"/>
    <w:multiLevelType w:val="hybridMultilevel"/>
    <w:tmpl w:val="B7327D56"/>
    <w:lvl w:ilvl="0" w:tplc="C14ACFAC">
      <w:start w:val="1"/>
      <w:numFmt w:val="bullet"/>
      <w:lvlText w:val="·"/>
      <w:lvlJc w:val="left"/>
      <w:pPr>
        <w:ind w:left="720" w:hanging="360"/>
      </w:pPr>
      <w:rPr>
        <w:rFonts w:ascii="Symbol" w:hAnsi="Symbol" w:hint="default"/>
      </w:rPr>
    </w:lvl>
    <w:lvl w:ilvl="1" w:tplc="AACA8CFA">
      <w:start w:val="1"/>
      <w:numFmt w:val="bullet"/>
      <w:lvlText w:val="o"/>
      <w:lvlJc w:val="left"/>
      <w:pPr>
        <w:ind w:left="1440" w:hanging="360"/>
      </w:pPr>
      <w:rPr>
        <w:rFonts w:ascii="Courier New" w:hAnsi="Courier New" w:hint="default"/>
      </w:rPr>
    </w:lvl>
    <w:lvl w:ilvl="2" w:tplc="E914230C">
      <w:start w:val="1"/>
      <w:numFmt w:val="bullet"/>
      <w:lvlText w:val=""/>
      <w:lvlJc w:val="left"/>
      <w:pPr>
        <w:ind w:left="2160" w:hanging="360"/>
      </w:pPr>
      <w:rPr>
        <w:rFonts w:ascii="Wingdings" w:hAnsi="Wingdings" w:hint="default"/>
      </w:rPr>
    </w:lvl>
    <w:lvl w:ilvl="3" w:tplc="E3D85662">
      <w:start w:val="1"/>
      <w:numFmt w:val="bullet"/>
      <w:lvlText w:val=""/>
      <w:lvlJc w:val="left"/>
      <w:pPr>
        <w:ind w:left="2880" w:hanging="360"/>
      </w:pPr>
      <w:rPr>
        <w:rFonts w:ascii="Symbol" w:hAnsi="Symbol" w:hint="default"/>
      </w:rPr>
    </w:lvl>
    <w:lvl w:ilvl="4" w:tplc="7C541AD2">
      <w:start w:val="1"/>
      <w:numFmt w:val="bullet"/>
      <w:lvlText w:val="o"/>
      <w:lvlJc w:val="left"/>
      <w:pPr>
        <w:ind w:left="3600" w:hanging="360"/>
      </w:pPr>
      <w:rPr>
        <w:rFonts w:ascii="Courier New" w:hAnsi="Courier New" w:hint="default"/>
      </w:rPr>
    </w:lvl>
    <w:lvl w:ilvl="5" w:tplc="67F0E860">
      <w:start w:val="1"/>
      <w:numFmt w:val="bullet"/>
      <w:lvlText w:val=""/>
      <w:lvlJc w:val="left"/>
      <w:pPr>
        <w:ind w:left="4320" w:hanging="360"/>
      </w:pPr>
      <w:rPr>
        <w:rFonts w:ascii="Wingdings" w:hAnsi="Wingdings" w:hint="default"/>
      </w:rPr>
    </w:lvl>
    <w:lvl w:ilvl="6" w:tplc="4C141674">
      <w:start w:val="1"/>
      <w:numFmt w:val="bullet"/>
      <w:lvlText w:val=""/>
      <w:lvlJc w:val="left"/>
      <w:pPr>
        <w:ind w:left="5040" w:hanging="360"/>
      </w:pPr>
      <w:rPr>
        <w:rFonts w:ascii="Symbol" w:hAnsi="Symbol" w:hint="default"/>
      </w:rPr>
    </w:lvl>
    <w:lvl w:ilvl="7" w:tplc="B418A32E">
      <w:start w:val="1"/>
      <w:numFmt w:val="bullet"/>
      <w:lvlText w:val="o"/>
      <w:lvlJc w:val="left"/>
      <w:pPr>
        <w:ind w:left="5760" w:hanging="360"/>
      </w:pPr>
      <w:rPr>
        <w:rFonts w:ascii="Courier New" w:hAnsi="Courier New" w:hint="default"/>
      </w:rPr>
    </w:lvl>
    <w:lvl w:ilvl="8" w:tplc="AC7E0B6C">
      <w:start w:val="1"/>
      <w:numFmt w:val="bullet"/>
      <w:lvlText w:val=""/>
      <w:lvlJc w:val="left"/>
      <w:pPr>
        <w:ind w:left="6480" w:hanging="360"/>
      </w:pPr>
      <w:rPr>
        <w:rFonts w:ascii="Wingdings" w:hAnsi="Wingdings" w:hint="default"/>
      </w:rPr>
    </w:lvl>
  </w:abstractNum>
  <w:abstractNum w:abstractNumId="15" w15:restartNumberingAfterBreak="0">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5CB661E"/>
    <w:multiLevelType w:val="hybridMultilevel"/>
    <w:tmpl w:val="257C8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9" w15:restartNumberingAfterBreak="0">
    <w:nsid w:val="36B6EEC4"/>
    <w:multiLevelType w:val="hybridMultilevel"/>
    <w:tmpl w:val="12AA474A"/>
    <w:lvl w:ilvl="0" w:tplc="7A0A4E64">
      <w:start w:val="1"/>
      <w:numFmt w:val="bullet"/>
      <w:lvlText w:val=""/>
      <w:lvlJc w:val="left"/>
      <w:pPr>
        <w:ind w:left="720" w:hanging="360"/>
      </w:pPr>
      <w:rPr>
        <w:rFonts w:ascii="Symbol" w:hAnsi="Symbol" w:hint="default"/>
      </w:rPr>
    </w:lvl>
    <w:lvl w:ilvl="1" w:tplc="E30A7388">
      <w:start w:val="1"/>
      <w:numFmt w:val="bullet"/>
      <w:lvlText w:val="o"/>
      <w:lvlJc w:val="left"/>
      <w:pPr>
        <w:ind w:left="1440" w:hanging="360"/>
      </w:pPr>
      <w:rPr>
        <w:rFonts w:ascii="Courier New" w:hAnsi="Courier New" w:hint="default"/>
      </w:rPr>
    </w:lvl>
    <w:lvl w:ilvl="2" w:tplc="9BFEF610">
      <w:start w:val="1"/>
      <w:numFmt w:val="bullet"/>
      <w:lvlText w:val=""/>
      <w:lvlJc w:val="left"/>
      <w:pPr>
        <w:ind w:left="2160" w:hanging="360"/>
      </w:pPr>
      <w:rPr>
        <w:rFonts w:ascii="Wingdings" w:hAnsi="Wingdings" w:hint="default"/>
      </w:rPr>
    </w:lvl>
    <w:lvl w:ilvl="3" w:tplc="61D6A9D2">
      <w:start w:val="1"/>
      <w:numFmt w:val="bullet"/>
      <w:lvlText w:val=""/>
      <w:lvlJc w:val="left"/>
      <w:pPr>
        <w:ind w:left="2880" w:hanging="360"/>
      </w:pPr>
      <w:rPr>
        <w:rFonts w:ascii="Symbol" w:hAnsi="Symbol" w:hint="default"/>
      </w:rPr>
    </w:lvl>
    <w:lvl w:ilvl="4" w:tplc="53F4292A">
      <w:start w:val="1"/>
      <w:numFmt w:val="bullet"/>
      <w:lvlText w:val="o"/>
      <w:lvlJc w:val="left"/>
      <w:pPr>
        <w:ind w:left="3600" w:hanging="360"/>
      </w:pPr>
      <w:rPr>
        <w:rFonts w:ascii="Courier New" w:hAnsi="Courier New" w:hint="default"/>
      </w:rPr>
    </w:lvl>
    <w:lvl w:ilvl="5" w:tplc="B50C3092">
      <w:start w:val="1"/>
      <w:numFmt w:val="bullet"/>
      <w:lvlText w:val=""/>
      <w:lvlJc w:val="left"/>
      <w:pPr>
        <w:ind w:left="4320" w:hanging="360"/>
      </w:pPr>
      <w:rPr>
        <w:rFonts w:ascii="Wingdings" w:hAnsi="Wingdings" w:hint="default"/>
      </w:rPr>
    </w:lvl>
    <w:lvl w:ilvl="6" w:tplc="D8561A56">
      <w:start w:val="1"/>
      <w:numFmt w:val="bullet"/>
      <w:lvlText w:val=""/>
      <w:lvlJc w:val="left"/>
      <w:pPr>
        <w:ind w:left="5040" w:hanging="360"/>
      </w:pPr>
      <w:rPr>
        <w:rFonts w:ascii="Symbol" w:hAnsi="Symbol" w:hint="default"/>
      </w:rPr>
    </w:lvl>
    <w:lvl w:ilvl="7" w:tplc="95D6B954">
      <w:start w:val="1"/>
      <w:numFmt w:val="bullet"/>
      <w:lvlText w:val="o"/>
      <w:lvlJc w:val="left"/>
      <w:pPr>
        <w:ind w:left="5760" w:hanging="360"/>
      </w:pPr>
      <w:rPr>
        <w:rFonts w:ascii="Courier New" w:hAnsi="Courier New" w:hint="default"/>
      </w:rPr>
    </w:lvl>
    <w:lvl w:ilvl="8" w:tplc="649E9BC4">
      <w:start w:val="1"/>
      <w:numFmt w:val="bullet"/>
      <w:lvlText w:val=""/>
      <w:lvlJc w:val="left"/>
      <w:pPr>
        <w:ind w:left="6480" w:hanging="360"/>
      </w:pPr>
      <w:rPr>
        <w:rFonts w:ascii="Wingdings" w:hAnsi="Wingdings" w:hint="default"/>
      </w:rPr>
    </w:lvl>
  </w:abstractNum>
  <w:abstractNum w:abstractNumId="20" w15:restartNumberingAfterBreak="0">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2D52663"/>
    <w:multiLevelType w:val="hybridMultilevel"/>
    <w:tmpl w:val="49FA7B1C"/>
    <w:lvl w:ilvl="0" w:tplc="585C461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4B60A1"/>
    <w:multiLevelType w:val="hybridMultilevel"/>
    <w:tmpl w:val="45E03A08"/>
    <w:lvl w:ilvl="0" w:tplc="18090001">
      <w:start w:val="1"/>
      <w:numFmt w:val="bullet"/>
      <w:lvlText w:val=""/>
      <w:lvlJc w:val="left"/>
      <w:pPr>
        <w:ind w:left="360" w:hanging="360"/>
      </w:pPr>
      <w:rPr>
        <w:rFonts w:ascii="Symbol" w:hAnsi="Symbol" w:hint="default"/>
        <w:b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92F607F"/>
    <w:multiLevelType w:val="hybridMultilevel"/>
    <w:tmpl w:val="2EAE1878"/>
    <w:lvl w:ilvl="0" w:tplc="3228B35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596461"/>
    <w:multiLevelType w:val="hybridMultilevel"/>
    <w:tmpl w:val="9DF09A94"/>
    <w:lvl w:ilvl="0" w:tplc="94A62EB0">
      <w:start w:val="1"/>
      <w:numFmt w:val="decimal"/>
      <w:lvlText w:val="%1."/>
      <w:lvlJc w:val="left"/>
      <w:pPr>
        <w:ind w:left="1429" w:hanging="360"/>
      </w:pPr>
      <w:rPr>
        <w:b/>
        <w:i w:val="0"/>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25" w15:restartNumberingAfterBreak="0">
    <w:nsid w:val="4B5F428A"/>
    <w:multiLevelType w:val="hybridMultilevel"/>
    <w:tmpl w:val="136C885A"/>
    <w:lvl w:ilvl="0" w:tplc="66B6DB7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FA6298"/>
    <w:multiLevelType w:val="hybridMultilevel"/>
    <w:tmpl w:val="68B8F702"/>
    <w:lvl w:ilvl="0" w:tplc="B8E4B348">
      <w:start w:val="1"/>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30" w15:restartNumberingAfterBreak="0">
    <w:nsid w:val="5EFF257D"/>
    <w:multiLevelType w:val="hybridMultilevel"/>
    <w:tmpl w:val="DD2A3844"/>
    <w:lvl w:ilvl="0" w:tplc="812854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B5A37B8"/>
    <w:multiLevelType w:val="hybridMultilevel"/>
    <w:tmpl w:val="AD1ECD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5" w15:restartNumberingAfterBreak="0">
    <w:nsid w:val="713A1E3E"/>
    <w:multiLevelType w:val="hybridMultilevel"/>
    <w:tmpl w:val="8B6C19E8"/>
    <w:lvl w:ilvl="0" w:tplc="4256353A">
      <w:start w:val="1"/>
      <w:numFmt w:val="bullet"/>
      <w:pStyle w:val="SpeakingPoin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40" w15:restartNumberingAfterBreak="0">
    <w:nsid w:val="78F525C6"/>
    <w:multiLevelType w:val="hybridMultilevel"/>
    <w:tmpl w:val="9BACA798"/>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95D3BA0"/>
    <w:multiLevelType w:val="hybridMultilevel"/>
    <w:tmpl w:val="4F76D5A2"/>
    <w:lvl w:ilvl="0" w:tplc="DE7488B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AAA2612"/>
    <w:multiLevelType w:val="hybridMultilevel"/>
    <w:tmpl w:val="8F2E6EC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350030657">
    <w:abstractNumId w:val="14"/>
  </w:num>
  <w:num w:numId="2" w16cid:durableId="16662710">
    <w:abstractNumId w:val="19"/>
  </w:num>
  <w:num w:numId="3" w16cid:durableId="209342734">
    <w:abstractNumId w:val="7"/>
  </w:num>
  <w:num w:numId="4" w16cid:durableId="148182179">
    <w:abstractNumId w:val="1"/>
  </w:num>
  <w:num w:numId="5" w16cid:durableId="505511010">
    <w:abstractNumId w:val="39"/>
  </w:num>
  <w:num w:numId="6" w16cid:durableId="580018736">
    <w:abstractNumId w:val="15"/>
  </w:num>
  <w:num w:numId="7" w16cid:durableId="221647625">
    <w:abstractNumId w:val="34"/>
  </w:num>
  <w:num w:numId="8" w16cid:durableId="298344620">
    <w:abstractNumId w:val="11"/>
  </w:num>
  <w:num w:numId="9" w16cid:durableId="58093387">
    <w:abstractNumId w:val="6"/>
  </w:num>
  <w:num w:numId="10" w16cid:durableId="1122530581">
    <w:abstractNumId w:val="18"/>
  </w:num>
  <w:num w:numId="11" w16cid:durableId="1479684095">
    <w:abstractNumId w:val="38"/>
  </w:num>
  <w:num w:numId="12" w16cid:durableId="340007303">
    <w:abstractNumId w:val="29"/>
  </w:num>
  <w:num w:numId="13" w16cid:durableId="346519941">
    <w:abstractNumId w:val="31"/>
  </w:num>
  <w:num w:numId="14" w16cid:durableId="691036718">
    <w:abstractNumId w:val="13"/>
  </w:num>
  <w:num w:numId="15" w16cid:durableId="1452093781">
    <w:abstractNumId w:val="20"/>
  </w:num>
  <w:num w:numId="16" w16cid:durableId="906961314">
    <w:abstractNumId w:val="36"/>
  </w:num>
  <w:num w:numId="17" w16cid:durableId="1388455259">
    <w:abstractNumId w:val="16"/>
  </w:num>
  <w:num w:numId="18" w16cid:durableId="1677533267">
    <w:abstractNumId w:val="43"/>
  </w:num>
  <w:num w:numId="19" w16cid:durableId="961619330">
    <w:abstractNumId w:val="37"/>
  </w:num>
  <w:num w:numId="20" w16cid:durableId="1095638383">
    <w:abstractNumId w:val="27"/>
  </w:num>
  <w:num w:numId="21" w16cid:durableId="357776219">
    <w:abstractNumId w:val="28"/>
  </w:num>
  <w:num w:numId="22" w16cid:durableId="1481578588">
    <w:abstractNumId w:val="33"/>
  </w:num>
  <w:num w:numId="23" w16cid:durableId="1812137613">
    <w:abstractNumId w:val="3"/>
  </w:num>
  <w:num w:numId="24" w16cid:durableId="370300677">
    <w:abstractNumId w:val="4"/>
  </w:num>
  <w:num w:numId="25" w16cid:durableId="1948660650">
    <w:abstractNumId w:val="5"/>
  </w:num>
  <w:num w:numId="26" w16cid:durableId="1221136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46547536">
    <w:abstractNumId w:val="41"/>
  </w:num>
  <w:num w:numId="28" w16cid:durableId="1203983393">
    <w:abstractNumId w:val="30"/>
  </w:num>
  <w:num w:numId="29" w16cid:durableId="1149204463">
    <w:abstractNumId w:val="21"/>
  </w:num>
  <w:num w:numId="30" w16cid:durableId="614867515">
    <w:abstractNumId w:val="42"/>
  </w:num>
  <w:num w:numId="31" w16cid:durableId="1513490821">
    <w:abstractNumId w:val="2"/>
  </w:num>
  <w:num w:numId="32" w16cid:durableId="1269506392">
    <w:abstractNumId w:val="26"/>
  </w:num>
  <w:num w:numId="33" w16cid:durableId="160509948">
    <w:abstractNumId w:val="25"/>
  </w:num>
  <w:num w:numId="34" w16cid:durableId="146094414">
    <w:abstractNumId w:val="9"/>
  </w:num>
  <w:num w:numId="35" w16cid:durableId="2145806991">
    <w:abstractNumId w:val="12"/>
  </w:num>
  <w:num w:numId="36" w16cid:durableId="1322079617">
    <w:abstractNumId w:val="24"/>
  </w:num>
  <w:num w:numId="37" w16cid:durableId="1661734410">
    <w:abstractNumId w:val="23"/>
  </w:num>
  <w:num w:numId="38" w16cid:durableId="1886991432">
    <w:abstractNumId w:val="35"/>
  </w:num>
  <w:num w:numId="39" w16cid:durableId="607392369">
    <w:abstractNumId w:val="10"/>
  </w:num>
  <w:num w:numId="40" w16cid:durableId="2090610938">
    <w:abstractNumId w:val="17"/>
  </w:num>
  <w:num w:numId="41" w16cid:durableId="1553733044">
    <w:abstractNumId w:val="40"/>
  </w:num>
  <w:num w:numId="42" w16cid:durableId="1251817929">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TEL"/>
  </w:docVars>
  <w:rsids>
    <w:rsidRoot w:val="009A3DA0"/>
    <w:rsid w:val="00000039"/>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A58"/>
    <w:rsid w:val="00004C3F"/>
    <w:rsid w:val="0000525F"/>
    <w:rsid w:val="000054A7"/>
    <w:rsid w:val="00005541"/>
    <w:rsid w:val="000055B8"/>
    <w:rsid w:val="000058C9"/>
    <w:rsid w:val="00005961"/>
    <w:rsid w:val="00005CE5"/>
    <w:rsid w:val="00005D46"/>
    <w:rsid w:val="00005DE3"/>
    <w:rsid w:val="0000613E"/>
    <w:rsid w:val="00006304"/>
    <w:rsid w:val="0000679D"/>
    <w:rsid w:val="000068F7"/>
    <w:rsid w:val="00006AE2"/>
    <w:rsid w:val="00006B10"/>
    <w:rsid w:val="00006C43"/>
    <w:rsid w:val="00006F0E"/>
    <w:rsid w:val="0000749B"/>
    <w:rsid w:val="000074BB"/>
    <w:rsid w:val="000075DF"/>
    <w:rsid w:val="000078A5"/>
    <w:rsid w:val="00007CED"/>
    <w:rsid w:val="00007ECC"/>
    <w:rsid w:val="0001047E"/>
    <w:rsid w:val="0001064E"/>
    <w:rsid w:val="000107D6"/>
    <w:rsid w:val="0001080A"/>
    <w:rsid w:val="00010AC9"/>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A71"/>
    <w:rsid w:val="00014CE1"/>
    <w:rsid w:val="00015264"/>
    <w:rsid w:val="000152CA"/>
    <w:rsid w:val="00015341"/>
    <w:rsid w:val="00015452"/>
    <w:rsid w:val="0001589A"/>
    <w:rsid w:val="00015A65"/>
    <w:rsid w:val="00015B9E"/>
    <w:rsid w:val="00015C38"/>
    <w:rsid w:val="00015EB6"/>
    <w:rsid w:val="00015ECC"/>
    <w:rsid w:val="00015F13"/>
    <w:rsid w:val="0001612D"/>
    <w:rsid w:val="000162A0"/>
    <w:rsid w:val="000164BD"/>
    <w:rsid w:val="000166D5"/>
    <w:rsid w:val="00016A8D"/>
    <w:rsid w:val="00016AD5"/>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88"/>
    <w:rsid w:val="000218F1"/>
    <w:rsid w:val="00021AEC"/>
    <w:rsid w:val="00021B43"/>
    <w:rsid w:val="00021BCD"/>
    <w:rsid w:val="00021EF0"/>
    <w:rsid w:val="00021FA4"/>
    <w:rsid w:val="0002207D"/>
    <w:rsid w:val="0002216F"/>
    <w:rsid w:val="000221F2"/>
    <w:rsid w:val="00022538"/>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D04"/>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10"/>
    <w:rsid w:val="000310AA"/>
    <w:rsid w:val="000310E8"/>
    <w:rsid w:val="000315BD"/>
    <w:rsid w:val="00031793"/>
    <w:rsid w:val="00031A4C"/>
    <w:rsid w:val="00031BDA"/>
    <w:rsid w:val="00031CA2"/>
    <w:rsid w:val="00031D00"/>
    <w:rsid w:val="00031DA3"/>
    <w:rsid w:val="00031F4C"/>
    <w:rsid w:val="0003243D"/>
    <w:rsid w:val="000326E6"/>
    <w:rsid w:val="00032766"/>
    <w:rsid w:val="00032792"/>
    <w:rsid w:val="000328B1"/>
    <w:rsid w:val="00032C06"/>
    <w:rsid w:val="00032DC3"/>
    <w:rsid w:val="00032E4F"/>
    <w:rsid w:val="00032EDB"/>
    <w:rsid w:val="000332F2"/>
    <w:rsid w:val="000332FE"/>
    <w:rsid w:val="000337C2"/>
    <w:rsid w:val="00033EA1"/>
    <w:rsid w:val="00033F57"/>
    <w:rsid w:val="000340CA"/>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6FEE"/>
    <w:rsid w:val="00037004"/>
    <w:rsid w:val="00037224"/>
    <w:rsid w:val="000372EF"/>
    <w:rsid w:val="0003737B"/>
    <w:rsid w:val="0003745C"/>
    <w:rsid w:val="0003758E"/>
    <w:rsid w:val="000375BA"/>
    <w:rsid w:val="00037990"/>
    <w:rsid w:val="00040060"/>
    <w:rsid w:val="00040281"/>
    <w:rsid w:val="00040A13"/>
    <w:rsid w:val="00040C7A"/>
    <w:rsid w:val="00040E6E"/>
    <w:rsid w:val="0004105D"/>
    <w:rsid w:val="0004146E"/>
    <w:rsid w:val="000414BC"/>
    <w:rsid w:val="0004189C"/>
    <w:rsid w:val="0004193F"/>
    <w:rsid w:val="0004195A"/>
    <w:rsid w:val="00041A87"/>
    <w:rsid w:val="00041C4F"/>
    <w:rsid w:val="00041F1F"/>
    <w:rsid w:val="0004209B"/>
    <w:rsid w:val="000420DB"/>
    <w:rsid w:val="000421A1"/>
    <w:rsid w:val="000423C1"/>
    <w:rsid w:val="00042508"/>
    <w:rsid w:val="00042A8B"/>
    <w:rsid w:val="00042F4E"/>
    <w:rsid w:val="000434BD"/>
    <w:rsid w:val="000436A8"/>
    <w:rsid w:val="00043B7B"/>
    <w:rsid w:val="00043E36"/>
    <w:rsid w:val="000443C3"/>
    <w:rsid w:val="0004455F"/>
    <w:rsid w:val="00044806"/>
    <w:rsid w:val="00044A42"/>
    <w:rsid w:val="00044AB8"/>
    <w:rsid w:val="000454B2"/>
    <w:rsid w:val="00045976"/>
    <w:rsid w:val="00045E41"/>
    <w:rsid w:val="0004610E"/>
    <w:rsid w:val="00046550"/>
    <w:rsid w:val="000466E7"/>
    <w:rsid w:val="000468E2"/>
    <w:rsid w:val="00046A3E"/>
    <w:rsid w:val="00046A42"/>
    <w:rsid w:val="00046C6A"/>
    <w:rsid w:val="00046D8E"/>
    <w:rsid w:val="0004701B"/>
    <w:rsid w:val="00047124"/>
    <w:rsid w:val="00047444"/>
    <w:rsid w:val="00047631"/>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0AFA"/>
    <w:rsid w:val="00051333"/>
    <w:rsid w:val="00051BA8"/>
    <w:rsid w:val="00051E3C"/>
    <w:rsid w:val="000520B1"/>
    <w:rsid w:val="00052241"/>
    <w:rsid w:val="00052672"/>
    <w:rsid w:val="00052814"/>
    <w:rsid w:val="000529E9"/>
    <w:rsid w:val="00053215"/>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78D"/>
    <w:rsid w:val="00055DF6"/>
    <w:rsid w:val="00055ED8"/>
    <w:rsid w:val="000568D7"/>
    <w:rsid w:val="000568F4"/>
    <w:rsid w:val="00056C02"/>
    <w:rsid w:val="00057006"/>
    <w:rsid w:val="00057285"/>
    <w:rsid w:val="0005742E"/>
    <w:rsid w:val="00057439"/>
    <w:rsid w:val="000574AC"/>
    <w:rsid w:val="0005753C"/>
    <w:rsid w:val="00057745"/>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3DCE"/>
    <w:rsid w:val="00063F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D35"/>
    <w:rsid w:val="00067155"/>
    <w:rsid w:val="00067567"/>
    <w:rsid w:val="00067C33"/>
    <w:rsid w:val="00067FB5"/>
    <w:rsid w:val="000703CB"/>
    <w:rsid w:val="000703FE"/>
    <w:rsid w:val="000705DD"/>
    <w:rsid w:val="000706D4"/>
    <w:rsid w:val="000712E0"/>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6A0"/>
    <w:rsid w:val="00073D03"/>
    <w:rsid w:val="00073F50"/>
    <w:rsid w:val="00074029"/>
    <w:rsid w:val="0007403A"/>
    <w:rsid w:val="000744AE"/>
    <w:rsid w:val="000744BA"/>
    <w:rsid w:val="000746BD"/>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800AF"/>
    <w:rsid w:val="00080191"/>
    <w:rsid w:val="0008029D"/>
    <w:rsid w:val="0008040A"/>
    <w:rsid w:val="000804D5"/>
    <w:rsid w:val="000807AE"/>
    <w:rsid w:val="000807B5"/>
    <w:rsid w:val="00080B91"/>
    <w:rsid w:val="00080CE2"/>
    <w:rsid w:val="00080F35"/>
    <w:rsid w:val="000811A4"/>
    <w:rsid w:val="000811D4"/>
    <w:rsid w:val="00081259"/>
    <w:rsid w:val="00081792"/>
    <w:rsid w:val="0008187A"/>
    <w:rsid w:val="0008189D"/>
    <w:rsid w:val="00081928"/>
    <w:rsid w:val="0008194D"/>
    <w:rsid w:val="0008216A"/>
    <w:rsid w:val="0008217D"/>
    <w:rsid w:val="000825F0"/>
    <w:rsid w:val="000827B9"/>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6F8"/>
    <w:rsid w:val="00084B4A"/>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6D2"/>
    <w:rsid w:val="0009096A"/>
    <w:rsid w:val="00090B6B"/>
    <w:rsid w:val="00090D4B"/>
    <w:rsid w:val="00090EA4"/>
    <w:rsid w:val="000910D7"/>
    <w:rsid w:val="00091470"/>
    <w:rsid w:val="0009166A"/>
    <w:rsid w:val="000918B2"/>
    <w:rsid w:val="00091992"/>
    <w:rsid w:val="00091CE2"/>
    <w:rsid w:val="0009205D"/>
    <w:rsid w:val="00092442"/>
    <w:rsid w:val="0009257A"/>
    <w:rsid w:val="00092B44"/>
    <w:rsid w:val="00092C2D"/>
    <w:rsid w:val="00092EB9"/>
    <w:rsid w:val="00093399"/>
    <w:rsid w:val="0009343D"/>
    <w:rsid w:val="00093617"/>
    <w:rsid w:val="00093E98"/>
    <w:rsid w:val="00093FDF"/>
    <w:rsid w:val="00094051"/>
    <w:rsid w:val="000942B9"/>
    <w:rsid w:val="00094353"/>
    <w:rsid w:val="000945D6"/>
    <w:rsid w:val="00094600"/>
    <w:rsid w:val="0009478F"/>
    <w:rsid w:val="00094AC0"/>
    <w:rsid w:val="00094B2F"/>
    <w:rsid w:val="0009571A"/>
    <w:rsid w:val="000957A2"/>
    <w:rsid w:val="00095892"/>
    <w:rsid w:val="00095A1A"/>
    <w:rsid w:val="00095A8C"/>
    <w:rsid w:val="00095C0B"/>
    <w:rsid w:val="00095C79"/>
    <w:rsid w:val="00096552"/>
    <w:rsid w:val="00096607"/>
    <w:rsid w:val="00096695"/>
    <w:rsid w:val="00096700"/>
    <w:rsid w:val="0009691F"/>
    <w:rsid w:val="00096925"/>
    <w:rsid w:val="0009694F"/>
    <w:rsid w:val="00096B06"/>
    <w:rsid w:val="0009706D"/>
    <w:rsid w:val="00097237"/>
    <w:rsid w:val="00097551"/>
    <w:rsid w:val="000975A5"/>
    <w:rsid w:val="00097833"/>
    <w:rsid w:val="000978DD"/>
    <w:rsid w:val="00097A89"/>
    <w:rsid w:val="00097E80"/>
    <w:rsid w:val="00097F2B"/>
    <w:rsid w:val="000A0424"/>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3FE3"/>
    <w:rsid w:val="000A44D4"/>
    <w:rsid w:val="000A4524"/>
    <w:rsid w:val="000A4554"/>
    <w:rsid w:val="000A4A38"/>
    <w:rsid w:val="000A4B74"/>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C9B"/>
    <w:rsid w:val="000A7F9D"/>
    <w:rsid w:val="000B01AF"/>
    <w:rsid w:val="000B0467"/>
    <w:rsid w:val="000B055C"/>
    <w:rsid w:val="000B09D0"/>
    <w:rsid w:val="000B0F74"/>
    <w:rsid w:val="000B1037"/>
    <w:rsid w:val="000B1471"/>
    <w:rsid w:val="000B16FC"/>
    <w:rsid w:val="000B1845"/>
    <w:rsid w:val="000B1B92"/>
    <w:rsid w:val="000B1CA5"/>
    <w:rsid w:val="000B250E"/>
    <w:rsid w:val="000B25E8"/>
    <w:rsid w:val="000B281C"/>
    <w:rsid w:val="000B28D1"/>
    <w:rsid w:val="000B29E5"/>
    <w:rsid w:val="000B2A6D"/>
    <w:rsid w:val="000B2C0D"/>
    <w:rsid w:val="000B2C17"/>
    <w:rsid w:val="000B2CE1"/>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4AE"/>
    <w:rsid w:val="000B58B6"/>
    <w:rsid w:val="000B58EA"/>
    <w:rsid w:val="000B595A"/>
    <w:rsid w:val="000B5A46"/>
    <w:rsid w:val="000B5C5B"/>
    <w:rsid w:val="000B5FF0"/>
    <w:rsid w:val="000B607D"/>
    <w:rsid w:val="000B6139"/>
    <w:rsid w:val="000B61F1"/>
    <w:rsid w:val="000B641A"/>
    <w:rsid w:val="000B64EA"/>
    <w:rsid w:val="000B66DF"/>
    <w:rsid w:val="000B67EE"/>
    <w:rsid w:val="000B6A5E"/>
    <w:rsid w:val="000B6D6D"/>
    <w:rsid w:val="000B70BC"/>
    <w:rsid w:val="000B739A"/>
    <w:rsid w:val="000B73B7"/>
    <w:rsid w:val="000B7631"/>
    <w:rsid w:val="000B776B"/>
    <w:rsid w:val="000B77B6"/>
    <w:rsid w:val="000B7910"/>
    <w:rsid w:val="000B7A33"/>
    <w:rsid w:val="000B7AF5"/>
    <w:rsid w:val="000B7B36"/>
    <w:rsid w:val="000B7E37"/>
    <w:rsid w:val="000C0100"/>
    <w:rsid w:val="000C027E"/>
    <w:rsid w:val="000C0681"/>
    <w:rsid w:val="000C0999"/>
    <w:rsid w:val="000C0E3A"/>
    <w:rsid w:val="000C0EAA"/>
    <w:rsid w:val="000C0FF7"/>
    <w:rsid w:val="000C109C"/>
    <w:rsid w:val="000C1456"/>
    <w:rsid w:val="000C1568"/>
    <w:rsid w:val="000C1898"/>
    <w:rsid w:val="000C1978"/>
    <w:rsid w:val="000C1A64"/>
    <w:rsid w:val="000C1ADA"/>
    <w:rsid w:val="000C1B81"/>
    <w:rsid w:val="000C1E86"/>
    <w:rsid w:val="000C1EEB"/>
    <w:rsid w:val="000C1F70"/>
    <w:rsid w:val="000C2046"/>
    <w:rsid w:val="000C243C"/>
    <w:rsid w:val="000C2A98"/>
    <w:rsid w:val="000C2CC9"/>
    <w:rsid w:val="000C2E50"/>
    <w:rsid w:val="000C2F19"/>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2B2"/>
    <w:rsid w:val="000C53D4"/>
    <w:rsid w:val="000C5518"/>
    <w:rsid w:val="000C5720"/>
    <w:rsid w:val="000C5790"/>
    <w:rsid w:val="000C5898"/>
    <w:rsid w:val="000C61AB"/>
    <w:rsid w:val="000C6494"/>
    <w:rsid w:val="000C6577"/>
    <w:rsid w:val="000C6610"/>
    <w:rsid w:val="000C6823"/>
    <w:rsid w:val="000C6902"/>
    <w:rsid w:val="000C69CA"/>
    <w:rsid w:val="000C71A3"/>
    <w:rsid w:val="000C728E"/>
    <w:rsid w:val="000C741E"/>
    <w:rsid w:val="000C755B"/>
    <w:rsid w:val="000C7646"/>
    <w:rsid w:val="000C7708"/>
    <w:rsid w:val="000C7914"/>
    <w:rsid w:val="000C7A75"/>
    <w:rsid w:val="000C7BE4"/>
    <w:rsid w:val="000C7E7C"/>
    <w:rsid w:val="000D02D7"/>
    <w:rsid w:val="000D0536"/>
    <w:rsid w:val="000D057B"/>
    <w:rsid w:val="000D0723"/>
    <w:rsid w:val="000D082B"/>
    <w:rsid w:val="000D0AEE"/>
    <w:rsid w:val="000D0FDF"/>
    <w:rsid w:val="000D1461"/>
    <w:rsid w:val="000D1C63"/>
    <w:rsid w:val="000D20A1"/>
    <w:rsid w:val="000D23CE"/>
    <w:rsid w:val="000D25EF"/>
    <w:rsid w:val="000D2718"/>
    <w:rsid w:val="000D280C"/>
    <w:rsid w:val="000D2901"/>
    <w:rsid w:val="000D313D"/>
    <w:rsid w:val="000D333F"/>
    <w:rsid w:val="000D34BD"/>
    <w:rsid w:val="000D3537"/>
    <w:rsid w:val="000D37B5"/>
    <w:rsid w:val="000D37F7"/>
    <w:rsid w:val="000D38B0"/>
    <w:rsid w:val="000D390C"/>
    <w:rsid w:val="000D3A17"/>
    <w:rsid w:val="000D40B1"/>
    <w:rsid w:val="000D414D"/>
    <w:rsid w:val="000D4395"/>
    <w:rsid w:val="000D45F1"/>
    <w:rsid w:val="000D46FC"/>
    <w:rsid w:val="000D47E4"/>
    <w:rsid w:val="000D4894"/>
    <w:rsid w:val="000D4E86"/>
    <w:rsid w:val="000D4EB1"/>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AA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6E"/>
    <w:rsid w:val="000E35F1"/>
    <w:rsid w:val="000E3A04"/>
    <w:rsid w:val="000E3A37"/>
    <w:rsid w:val="000E3A7F"/>
    <w:rsid w:val="000E3B7F"/>
    <w:rsid w:val="000E3C1E"/>
    <w:rsid w:val="000E3EC4"/>
    <w:rsid w:val="000E3FBC"/>
    <w:rsid w:val="000E4590"/>
    <w:rsid w:val="000E459D"/>
    <w:rsid w:val="000E4750"/>
    <w:rsid w:val="000E4788"/>
    <w:rsid w:val="000E4C9D"/>
    <w:rsid w:val="000E4E61"/>
    <w:rsid w:val="000E51A0"/>
    <w:rsid w:val="000E58E0"/>
    <w:rsid w:val="000E59FD"/>
    <w:rsid w:val="000E5C16"/>
    <w:rsid w:val="000E6201"/>
    <w:rsid w:val="000E6486"/>
    <w:rsid w:val="000E68CA"/>
    <w:rsid w:val="000E690A"/>
    <w:rsid w:val="000E695D"/>
    <w:rsid w:val="000E699A"/>
    <w:rsid w:val="000E6FA8"/>
    <w:rsid w:val="000E702D"/>
    <w:rsid w:val="000E719A"/>
    <w:rsid w:val="000E72A8"/>
    <w:rsid w:val="000E7303"/>
    <w:rsid w:val="000E75D1"/>
    <w:rsid w:val="000E7C38"/>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CC5"/>
    <w:rsid w:val="000F4D76"/>
    <w:rsid w:val="000F4E7E"/>
    <w:rsid w:val="000F514F"/>
    <w:rsid w:val="000F52C9"/>
    <w:rsid w:val="000F54AD"/>
    <w:rsid w:val="000F5A73"/>
    <w:rsid w:val="000F5F64"/>
    <w:rsid w:val="000F63D5"/>
    <w:rsid w:val="000F6650"/>
    <w:rsid w:val="000F6C35"/>
    <w:rsid w:val="000F6E53"/>
    <w:rsid w:val="000F7126"/>
    <w:rsid w:val="000F7275"/>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B50"/>
    <w:rsid w:val="00103CCA"/>
    <w:rsid w:val="00103D22"/>
    <w:rsid w:val="00103DE9"/>
    <w:rsid w:val="00103FA7"/>
    <w:rsid w:val="00104198"/>
    <w:rsid w:val="0010440E"/>
    <w:rsid w:val="00104613"/>
    <w:rsid w:val="00104824"/>
    <w:rsid w:val="001048AE"/>
    <w:rsid w:val="00104CC5"/>
    <w:rsid w:val="00104E16"/>
    <w:rsid w:val="0010517D"/>
    <w:rsid w:val="0010525A"/>
    <w:rsid w:val="001054F9"/>
    <w:rsid w:val="001055C5"/>
    <w:rsid w:val="0010582B"/>
    <w:rsid w:val="00105A47"/>
    <w:rsid w:val="00105ABA"/>
    <w:rsid w:val="00105C4F"/>
    <w:rsid w:val="00105EF6"/>
    <w:rsid w:val="0010606B"/>
    <w:rsid w:val="0010634A"/>
    <w:rsid w:val="00106376"/>
    <w:rsid w:val="001069D6"/>
    <w:rsid w:val="00106D10"/>
    <w:rsid w:val="00107244"/>
    <w:rsid w:val="0010748A"/>
    <w:rsid w:val="001074C9"/>
    <w:rsid w:val="001074E6"/>
    <w:rsid w:val="00107718"/>
    <w:rsid w:val="00107EB5"/>
    <w:rsid w:val="00110052"/>
    <w:rsid w:val="0011006F"/>
    <w:rsid w:val="00110158"/>
    <w:rsid w:val="001106DA"/>
    <w:rsid w:val="001107B9"/>
    <w:rsid w:val="00110B80"/>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A58"/>
    <w:rsid w:val="00112ED5"/>
    <w:rsid w:val="00113072"/>
    <w:rsid w:val="0011325C"/>
    <w:rsid w:val="0011381F"/>
    <w:rsid w:val="00113B42"/>
    <w:rsid w:val="00113E69"/>
    <w:rsid w:val="00113F1A"/>
    <w:rsid w:val="00114480"/>
    <w:rsid w:val="00114568"/>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043"/>
    <w:rsid w:val="00120230"/>
    <w:rsid w:val="00120411"/>
    <w:rsid w:val="0012079D"/>
    <w:rsid w:val="00120ADC"/>
    <w:rsid w:val="00120BD1"/>
    <w:rsid w:val="00120E34"/>
    <w:rsid w:val="00120E8D"/>
    <w:rsid w:val="0012121E"/>
    <w:rsid w:val="00121335"/>
    <w:rsid w:val="00121382"/>
    <w:rsid w:val="0012154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7F7"/>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AB7"/>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062"/>
    <w:rsid w:val="0014210A"/>
    <w:rsid w:val="00142485"/>
    <w:rsid w:val="001424F2"/>
    <w:rsid w:val="0014296A"/>
    <w:rsid w:val="00142FA5"/>
    <w:rsid w:val="00143061"/>
    <w:rsid w:val="00143335"/>
    <w:rsid w:val="00143391"/>
    <w:rsid w:val="0014367F"/>
    <w:rsid w:val="001438FC"/>
    <w:rsid w:val="00143DDE"/>
    <w:rsid w:val="00143F3D"/>
    <w:rsid w:val="0014413D"/>
    <w:rsid w:val="00144F48"/>
    <w:rsid w:val="00145AB8"/>
    <w:rsid w:val="00145BBD"/>
    <w:rsid w:val="00145D7D"/>
    <w:rsid w:val="00145F7E"/>
    <w:rsid w:val="001463CA"/>
    <w:rsid w:val="00146572"/>
    <w:rsid w:val="00146971"/>
    <w:rsid w:val="0014708A"/>
    <w:rsid w:val="00147197"/>
    <w:rsid w:val="0014769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2CF"/>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604"/>
    <w:rsid w:val="00154908"/>
    <w:rsid w:val="00154E3C"/>
    <w:rsid w:val="00154F3A"/>
    <w:rsid w:val="00155050"/>
    <w:rsid w:val="00155265"/>
    <w:rsid w:val="001559B7"/>
    <w:rsid w:val="00155BEC"/>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60197"/>
    <w:rsid w:val="00160355"/>
    <w:rsid w:val="00160A74"/>
    <w:rsid w:val="00160B1A"/>
    <w:rsid w:val="00160EB3"/>
    <w:rsid w:val="001616F0"/>
    <w:rsid w:val="00161826"/>
    <w:rsid w:val="00161B04"/>
    <w:rsid w:val="00161DD3"/>
    <w:rsid w:val="00162094"/>
    <w:rsid w:val="001623A4"/>
    <w:rsid w:val="001625B7"/>
    <w:rsid w:val="0016261F"/>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A0B"/>
    <w:rsid w:val="00165C19"/>
    <w:rsid w:val="00165D60"/>
    <w:rsid w:val="001660A9"/>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76B"/>
    <w:rsid w:val="00170888"/>
    <w:rsid w:val="00170AFC"/>
    <w:rsid w:val="00170BD3"/>
    <w:rsid w:val="00171357"/>
    <w:rsid w:val="001716AB"/>
    <w:rsid w:val="00171872"/>
    <w:rsid w:val="001718D9"/>
    <w:rsid w:val="001719EA"/>
    <w:rsid w:val="0017264A"/>
    <w:rsid w:val="00172D10"/>
    <w:rsid w:val="00172D59"/>
    <w:rsid w:val="00172ED9"/>
    <w:rsid w:val="00172F37"/>
    <w:rsid w:val="00172F62"/>
    <w:rsid w:val="00173099"/>
    <w:rsid w:val="001730C2"/>
    <w:rsid w:val="001730D9"/>
    <w:rsid w:val="001738A9"/>
    <w:rsid w:val="00173BC9"/>
    <w:rsid w:val="00173BFF"/>
    <w:rsid w:val="00173E07"/>
    <w:rsid w:val="00174654"/>
    <w:rsid w:val="001747EB"/>
    <w:rsid w:val="00174CD1"/>
    <w:rsid w:val="001750CD"/>
    <w:rsid w:val="001752C8"/>
    <w:rsid w:val="0017543A"/>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A3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B1D"/>
    <w:rsid w:val="00182D7D"/>
    <w:rsid w:val="00182F24"/>
    <w:rsid w:val="001831CD"/>
    <w:rsid w:val="001832C4"/>
    <w:rsid w:val="00183592"/>
    <w:rsid w:val="0018363F"/>
    <w:rsid w:val="00183764"/>
    <w:rsid w:val="001839A0"/>
    <w:rsid w:val="00183A22"/>
    <w:rsid w:val="00183EF3"/>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4BC"/>
    <w:rsid w:val="0018755E"/>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12E2"/>
    <w:rsid w:val="0019142F"/>
    <w:rsid w:val="00191A2A"/>
    <w:rsid w:val="00191BF5"/>
    <w:rsid w:val="00191C56"/>
    <w:rsid w:val="00191DD2"/>
    <w:rsid w:val="00191E0F"/>
    <w:rsid w:val="00191EC5"/>
    <w:rsid w:val="001920C5"/>
    <w:rsid w:val="001922AC"/>
    <w:rsid w:val="001922FE"/>
    <w:rsid w:val="0019262E"/>
    <w:rsid w:val="001929F3"/>
    <w:rsid w:val="00192DC8"/>
    <w:rsid w:val="00192E36"/>
    <w:rsid w:val="00192ED2"/>
    <w:rsid w:val="001930FC"/>
    <w:rsid w:val="001932A6"/>
    <w:rsid w:val="0019344A"/>
    <w:rsid w:val="00193567"/>
    <w:rsid w:val="001939BF"/>
    <w:rsid w:val="00193D1E"/>
    <w:rsid w:val="00193FA0"/>
    <w:rsid w:val="001946EE"/>
    <w:rsid w:val="0019484D"/>
    <w:rsid w:val="00194A0F"/>
    <w:rsid w:val="00195512"/>
    <w:rsid w:val="00196088"/>
    <w:rsid w:val="001962D1"/>
    <w:rsid w:val="00196902"/>
    <w:rsid w:val="00196AA8"/>
    <w:rsid w:val="00196BE4"/>
    <w:rsid w:val="00196CC1"/>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0F44"/>
    <w:rsid w:val="001A102F"/>
    <w:rsid w:val="001A14A4"/>
    <w:rsid w:val="001A1572"/>
    <w:rsid w:val="001A183D"/>
    <w:rsid w:val="001A1CA7"/>
    <w:rsid w:val="001A1DC1"/>
    <w:rsid w:val="001A2019"/>
    <w:rsid w:val="001A2024"/>
    <w:rsid w:val="001A2480"/>
    <w:rsid w:val="001A2787"/>
    <w:rsid w:val="001A2A80"/>
    <w:rsid w:val="001A2C40"/>
    <w:rsid w:val="001A2D05"/>
    <w:rsid w:val="001A3205"/>
    <w:rsid w:val="001A3266"/>
    <w:rsid w:val="001A332F"/>
    <w:rsid w:val="001A3653"/>
    <w:rsid w:val="001A3A1C"/>
    <w:rsid w:val="001A3A62"/>
    <w:rsid w:val="001A3C4B"/>
    <w:rsid w:val="001A4016"/>
    <w:rsid w:val="001A4259"/>
    <w:rsid w:val="001A446E"/>
    <w:rsid w:val="001A45AB"/>
    <w:rsid w:val="001A4891"/>
    <w:rsid w:val="001A4C2D"/>
    <w:rsid w:val="001A4D24"/>
    <w:rsid w:val="001A4FE4"/>
    <w:rsid w:val="001A5319"/>
    <w:rsid w:val="001A5720"/>
    <w:rsid w:val="001A58FB"/>
    <w:rsid w:val="001A59BE"/>
    <w:rsid w:val="001A5EB0"/>
    <w:rsid w:val="001A5EFC"/>
    <w:rsid w:val="001A5FC1"/>
    <w:rsid w:val="001A602A"/>
    <w:rsid w:val="001A61A3"/>
    <w:rsid w:val="001A63A1"/>
    <w:rsid w:val="001A63A2"/>
    <w:rsid w:val="001A65C7"/>
    <w:rsid w:val="001A66AA"/>
    <w:rsid w:val="001A6852"/>
    <w:rsid w:val="001A68DD"/>
    <w:rsid w:val="001A695B"/>
    <w:rsid w:val="001A6AC2"/>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5D9"/>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D7"/>
    <w:rsid w:val="001B274E"/>
    <w:rsid w:val="001B296B"/>
    <w:rsid w:val="001B2A14"/>
    <w:rsid w:val="001B2E73"/>
    <w:rsid w:val="001B31D0"/>
    <w:rsid w:val="001B31FB"/>
    <w:rsid w:val="001B35F9"/>
    <w:rsid w:val="001B3705"/>
    <w:rsid w:val="001B3734"/>
    <w:rsid w:val="001B3A7C"/>
    <w:rsid w:val="001B3EB5"/>
    <w:rsid w:val="001B400F"/>
    <w:rsid w:val="001B4075"/>
    <w:rsid w:val="001B42A3"/>
    <w:rsid w:val="001B43E8"/>
    <w:rsid w:val="001B4508"/>
    <w:rsid w:val="001B459A"/>
    <w:rsid w:val="001B4792"/>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0982"/>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00F"/>
    <w:rsid w:val="001C31B9"/>
    <w:rsid w:val="001C3321"/>
    <w:rsid w:val="001C394A"/>
    <w:rsid w:val="001C3D04"/>
    <w:rsid w:val="001C3EC5"/>
    <w:rsid w:val="001C4737"/>
    <w:rsid w:val="001C4833"/>
    <w:rsid w:val="001C48DA"/>
    <w:rsid w:val="001C580F"/>
    <w:rsid w:val="001C58C0"/>
    <w:rsid w:val="001C5C8A"/>
    <w:rsid w:val="001C6197"/>
    <w:rsid w:val="001C680C"/>
    <w:rsid w:val="001C68EB"/>
    <w:rsid w:val="001C6B35"/>
    <w:rsid w:val="001C6E36"/>
    <w:rsid w:val="001C6ECF"/>
    <w:rsid w:val="001C7433"/>
    <w:rsid w:val="001C77DB"/>
    <w:rsid w:val="001C79E6"/>
    <w:rsid w:val="001C7BBA"/>
    <w:rsid w:val="001C7C96"/>
    <w:rsid w:val="001C7CF5"/>
    <w:rsid w:val="001C7D9C"/>
    <w:rsid w:val="001D00BA"/>
    <w:rsid w:val="001D0217"/>
    <w:rsid w:val="001D03B9"/>
    <w:rsid w:val="001D091B"/>
    <w:rsid w:val="001D0991"/>
    <w:rsid w:val="001D0AC4"/>
    <w:rsid w:val="001D0D78"/>
    <w:rsid w:val="001D0FE7"/>
    <w:rsid w:val="001D112C"/>
    <w:rsid w:val="001D11F0"/>
    <w:rsid w:val="001D27B6"/>
    <w:rsid w:val="001D2BA0"/>
    <w:rsid w:val="001D35D5"/>
    <w:rsid w:val="001D3722"/>
    <w:rsid w:val="001D3813"/>
    <w:rsid w:val="001D39D7"/>
    <w:rsid w:val="001D3DAC"/>
    <w:rsid w:val="001D3F18"/>
    <w:rsid w:val="001D4080"/>
    <w:rsid w:val="001D4188"/>
    <w:rsid w:val="001D41D1"/>
    <w:rsid w:val="001D41E2"/>
    <w:rsid w:val="001D437D"/>
    <w:rsid w:val="001D45BA"/>
    <w:rsid w:val="001D4679"/>
    <w:rsid w:val="001D48E3"/>
    <w:rsid w:val="001D4B50"/>
    <w:rsid w:val="001D4D89"/>
    <w:rsid w:val="001D4F82"/>
    <w:rsid w:val="001D5226"/>
    <w:rsid w:val="001D5301"/>
    <w:rsid w:val="001D5466"/>
    <w:rsid w:val="001D585C"/>
    <w:rsid w:val="001D5903"/>
    <w:rsid w:val="001D595B"/>
    <w:rsid w:val="001D59BC"/>
    <w:rsid w:val="001D5B41"/>
    <w:rsid w:val="001D5C65"/>
    <w:rsid w:val="001D5D1B"/>
    <w:rsid w:val="001D670F"/>
    <w:rsid w:val="001D68FE"/>
    <w:rsid w:val="001D6923"/>
    <w:rsid w:val="001D6C21"/>
    <w:rsid w:val="001D6DC1"/>
    <w:rsid w:val="001D72EF"/>
    <w:rsid w:val="001D7541"/>
    <w:rsid w:val="001D7715"/>
    <w:rsid w:val="001D7ECC"/>
    <w:rsid w:val="001D7F5C"/>
    <w:rsid w:val="001E0259"/>
    <w:rsid w:val="001E035B"/>
    <w:rsid w:val="001E03CE"/>
    <w:rsid w:val="001E05B7"/>
    <w:rsid w:val="001E0A98"/>
    <w:rsid w:val="001E0B9A"/>
    <w:rsid w:val="001E0C41"/>
    <w:rsid w:val="001E0CEF"/>
    <w:rsid w:val="001E0F6D"/>
    <w:rsid w:val="001E15FE"/>
    <w:rsid w:val="001E161D"/>
    <w:rsid w:val="001E17B2"/>
    <w:rsid w:val="001E1BB8"/>
    <w:rsid w:val="001E2351"/>
    <w:rsid w:val="001E2525"/>
    <w:rsid w:val="001E2729"/>
    <w:rsid w:val="001E2862"/>
    <w:rsid w:val="001E295A"/>
    <w:rsid w:val="001E2A37"/>
    <w:rsid w:val="001E2C18"/>
    <w:rsid w:val="001E3584"/>
    <w:rsid w:val="001E3A51"/>
    <w:rsid w:val="001E3B09"/>
    <w:rsid w:val="001E3B15"/>
    <w:rsid w:val="001E3C0D"/>
    <w:rsid w:val="001E436A"/>
    <w:rsid w:val="001E44C6"/>
    <w:rsid w:val="001E45D5"/>
    <w:rsid w:val="001E462A"/>
    <w:rsid w:val="001E4C0D"/>
    <w:rsid w:val="001E506B"/>
    <w:rsid w:val="001E509F"/>
    <w:rsid w:val="001E519F"/>
    <w:rsid w:val="001E52A8"/>
    <w:rsid w:val="001E5308"/>
    <w:rsid w:val="001E5311"/>
    <w:rsid w:val="001E5462"/>
    <w:rsid w:val="001E5475"/>
    <w:rsid w:val="001E549E"/>
    <w:rsid w:val="001E58C1"/>
    <w:rsid w:val="001E5CE5"/>
    <w:rsid w:val="001E5D29"/>
    <w:rsid w:val="001E5E9C"/>
    <w:rsid w:val="001E5EC7"/>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A12"/>
    <w:rsid w:val="001F0B89"/>
    <w:rsid w:val="001F0C8D"/>
    <w:rsid w:val="001F0E7F"/>
    <w:rsid w:val="001F1458"/>
    <w:rsid w:val="001F1A7E"/>
    <w:rsid w:val="001F1ACF"/>
    <w:rsid w:val="001F1F32"/>
    <w:rsid w:val="001F201C"/>
    <w:rsid w:val="001F219E"/>
    <w:rsid w:val="001F2403"/>
    <w:rsid w:val="001F25EF"/>
    <w:rsid w:val="001F28BF"/>
    <w:rsid w:val="001F28DC"/>
    <w:rsid w:val="001F301E"/>
    <w:rsid w:val="001F34E1"/>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8BA"/>
    <w:rsid w:val="002079D9"/>
    <w:rsid w:val="00207EFD"/>
    <w:rsid w:val="00210269"/>
    <w:rsid w:val="002105BF"/>
    <w:rsid w:val="00210F5F"/>
    <w:rsid w:val="00210FDF"/>
    <w:rsid w:val="00210FF4"/>
    <w:rsid w:val="002110CF"/>
    <w:rsid w:val="002111C6"/>
    <w:rsid w:val="00211279"/>
    <w:rsid w:val="002118CB"/>
    <w:rsid w:val="0021193D"/>
    <w:rsid w:val="00211B2F"/>
    <w:rsid w:val="00211B32"/>
    <w:rsid w:val="00211D11"/>
    <w:rsid w:val="00211D71"/>
    <w:rsid w:val="00211FFF"/>
    <w:rsid w:val="002120C0"/>
    <w:rsid w:val="00212222"/>
    <w:rsid w:val="00212706"/>
    <w:rsid w:val="002128AE"/>
    <w:rsid w:val="00212B11"/>
    <w:rsid w:val="00212B99"/>
    <w:rsid w:val="00212FD8"/>
    <w:rsid w:val="0021304A"/>
    <w:rsid w:val="002130AE"/>
    <w:rsid w:val="002134DA"/>
    <w:rsid w:val="0021353E"/>
    <w:rsid w:val="0021365E"/>
    <w:rsid w:val="002136AD"/>
    <w:rsid w:val="0021393D"/>
    <w:rsid w:val="00213A2B"/>
    <w:rsid w:val="00213AA0"/>
    <w:rsid w:val="00213D55"/>
    <w:rsid w:val="002141CA"/>
    <w:rsid w:val="002142D3"/>
    <w:rsid w:val="0021443E"/>
    <w:rsid w:val="002144DE"/>
    <w:rsid w:val="002146CF"/>
    <w:rsid w:val="002147CD"/>
    <w:rsid w:val="002147D6"/>
    <w:rsid w:val="00214A3D"/>
    <w:rsid w:val="00214E34"/>
    <w:rsid w:val="00215065"/>
    <w:rsid w:val="002150B5"/>
    <w:rsid w:val="002152AB"/>
    <w:rsid w:val="00215329"/>
    <w:rsid w:val="0021540F"/>
    <w:rsid w:val="00215619"/>
    <w:rsid w:val="00215821"/>
    <w:rsid w:val="00215A04"/>
    <w:rsid w:val="00215C09"/>
    <w:rsid w:val="00215CD9"/>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86A"/>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989"/>
    <w:rsid w:val="00226C21"/>
    <w:rsid w:val="00227056"/>
    <w:rsid w:val="00227511"/>
    <w:rsid w:val="002276B7"/>
    <w:rsid w:val="00227749"/>
    <w:rsid w:val="00227794"/>
    <w:rsid w:val="00227EC2"/>
    <w:rsid w:val="00230277"/>
    <w:rsid w:val="0023029C"/>
    <w:rsid w:val="002302FC"/>
    <w:rsid w:val="002303C6"/>
    <w:rsid w:val="00230472"/>
    <w:rsid w:val="00230D30"/>
    <w:rsid w:val="00230DC9"/>
    <w:rsid w:val="00230ED8"/>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67F0"/>
    <w:rsid w:val="00236F3D"/>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24B"/>
    <w:rsid w:val="0024431C"/>
    <w:rsid w:val="0024456F"/>
    <w:rsid w:val="00244969"/>
    <w:rsid w:val="00244EA6"/>
    <w:rsid w:val="00244EAE"/>
    <w:rsid w:val="00245424"/>
    <w:rsid w:val="0024573A"/>
    <w:rsid w:val="002457C1"/>
    <w:rsid w:val="0024588B"/>
    <w:rsid w:val="00245A1F"/>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DC8"/>
    <w:rsid w:val="00250E62"/>
    <w:rsid w:val="0025107D"/>
    <w:rsid w:val="002512AA"/>
    <w:rsid w:val="00251401"/>
    <w:rsid w:val="00251693"/>
    <w:rsid w:val="002516B7"/>
    <w:rsid w:val="002517BC"/>
    <w:rsid w:val="002519D3"/>
    <w:rsid w:val="00251E29"/>
    <w:rsid w:val="00252029"/>
    <w:rsid w:val="00252072"/>
    <w:rsid w:val="00252528"/>
    <w:rsid w:val="00252719"/>
    <w:rsid w:val="00252890"/>
    <w:rsid w:val="00252898"/>
    <w:rsid w:val="00252CC6"/>
    <w:rsid w:val="00252F33"/>
    <w:rsid w:val="00252FE9"/>
    <w:rsid w:val="00253A58"/>
    <w:rsid w:val="00253D1B"/>
    <w:rsid w:val="00253F47"/>
    <w:rsid w:val="00253F7D"/>
    <w:rsid w:val="00253FB8"/>
    <w:rsid w:val="00254470"/>
    <w:rsid w:val="0025459C"/>
    <w:rsid w:val="002546A9"/>
    <w:rsid w:val="00255137"/>
    <w:rsid w:val="00255578"/>
    <w:rsid w:val="002556B3"/>
    <w:rsid w:val="002556E1"/>
    <w:rsid w:val="00255A1B"/>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877"/>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2DD9"/>
    <w:rsid w:val="002630EB"/>
    <w:rsid w:val="002631AE"/>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0EA3"/>
    <w:rsid w:val="00271269"/>
    <w:rsid w:val="002712AD"/>
    <w:rsid w:val="0027150C"/>
    <w:rsid w:val="002717B1"/>
    <w:rsid w:val="00271C81"/>
    <w:rsid w:val="00271E5E"/>
    <w:rsid w:val="00271EC6"/>
    <w:rsid w:val="00271FDE"/>
    <w:rsid w:val="00272266"/>
    <w:rsid w:val="00272751"/>
    <w:rsid w:val="00272A3D"/>
    <w:rsid w:val="00272D3A"/>
    <w:rsid w:val="00272F67"/>
    <w:rsid w:val="0027312B"/>
    <w:rsid w:val="00273231"/>
    <w:rsid w:val="00273473"/>
    <w:rsid w:val="0027352C"/>
    <w:rsid w:val="00273A74"/>
    <w:rsid w:val="00273A98"/>
    <w:rsid w:val="00273C44"/>
    <w:rsid w:val="00273F7F"/>
    <w:rsid w:val="00274104"/>
    <w:rsid w:val="00274C62"/>
    <w:rsid w:val="00274E39"/>
    <w:rsid w:val="00274E49"/>
    <w:rsid w:val="00275026"/>
    <w:rsid w:val="0027504D"/>
    <w:rsid w:val="002750EB"/>
    <w:rsid w:val="0027528D"/>
    <w:rsid w:val="00275370"/>
    <w:rsid w:val="002756D4"/>
    <w:rsid w:val="00275A6F"/>
    <w:rsid w:val="00275BAA"/>
    <w:rsid w:val="00275E50"/>
    <w:rsid w:val="00276574"/>
    <w:rsid w:val="00276944"/>
    <w:rsid w:val="00276CAD"/>
    <w:rsid w:val="00276FBA"/>
    <w:rsid w:val="0027701F"/>
    <w:rsid w:val="00277198"/>
    <w:rsid w:val="002772F2"/>
    <w:rsid w:val="00277399"/>
    <w:rsid w:val="0027789B"/>
    <w:rsid w:val="00277C97"/>
    <w:rsid w:val="00277DBC"/>
    <w:rsid w:val="00277F8B"/>
    <w:rsid w:val="00280616"/>
    <w:rsid w:val="002806D9"/>
    <w:rsid w:val="0028080A"/>
    <w:rsid w:val="00280966"/>
    <w:rsid w:val="00280C3A"/>
    <w:rsid w:val="00280D64"/>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747"/>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3D8"/>
    <w:rsid w:val="002914DF"/>
    <w:rsid w:val="002914FC"/>
    <w:rsid w:val="002918D9"/>
    <w:rsid w:val="00291DA7"/>
    <w:rsid w:val="002922CA"/>
    <w:rsid w:val="002924ED"/>
    <w:rsid w:val="00292578"/>
    <w:rsid w:val="00292752"/>
    <w:rsid w:val="0029277C"/>
    <w:rsid w:val="002927D0"/>
    <w:rsid w:val="002928F4"/>
    <w:rsid w:val="002929EE"/>
    <w:rsid w:val="00292AE0"/>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3FA"/>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B82"/>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12D"/>
    <w:rsid w:val="002A52D1"/>
    <w:rsid w:val="002A5A9A"/>
    <w:rsid w:val="002A5B34"/>
    <w:rsid w:val="002A5BCC"/>
    <w:rsid w:val="002A648C"/>
    <w:rsid w:val="002A6A37"/>
    <w:rsid w:val="002A728E"/>
    <w:rsid w:val="002A7347"/>
    <w:rsid w:val="002A75AE"/>
    <w:rsid w:val="002A7744"/>
    <w:rsid w:val="002A7A3E"/>
    <w:rsid w:val="002A7B9D"/>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3F77"/>
    <w:rsid w:val="002B4078"/>
    <w:rsid w:val="002B45F9"/>
    <w:rsid w:val="002B4722"/>
    <w:rsid w:val="002B47A1"/>
    <w:rsid w:val="002B5080"/>
    <w:rsid w:val="002B534A"/>
    <w:rsid w:val="002B53C5"/>
    <w:rsid w:val="002B558F"/>
    <w:rsid w:val="002B5875"/>
    <w:rsid w:val="002B606D"/>
    <w:rsid w:val="002B60CB"/>
    <w:rsid w:val="002B627D"/>
    <w:rsid w:val="002B649E"/>
    <w:rsid w:val="002B64A3"/>
    <w:rsid w:val="002B65C7"/>
    <w:rsid w:val="002B6882"/>
    <w:rsid w:val="002B6B4F"/>
    <w:rsid w:val="002B6C64"/>
    <w:rsid w:val="002B6CFB"/>
    <w:rsid w:val="002B6D3A"/>
    <w:rsid w:val="002B6E97"/>
    <w:rsid w:val="002B72C1"/>
    <w:rsid w:val="002B7AD5"/>
    <w:rsid w:val="002B7BAF"/>
    <w:rsid w:val="002B7BEB"/>
    <w:rsid w:val="002B7CCD"/>
    <w:rsid w:val="002C0046"/>
    <w:rsid w:val="002C00E0"/>
    <w:rsid w:val="002C05F0"/>
    <w:rsid w:val="002C0661"/>
    <w:rsid w:val="002C06EB"/>
    <w:rsid w:val="002C089B"/>
    <w:rsid w:val="002C093A"/>
    <w:rsid w:val="002C0C05"/>
    <w:rsid w:val="002C0D7A"/>
    <w:rsid w:val="002C0FF0"/>
    <w:rsid w:val="002C1656"/>
    <w:rsid w:val="002C17DF"/>
    <w:rsid w:val="002C1C93"/>
    <w:rsid w:val="002C1D99"/>
    <w:rsid w:val="002C2151"/>
    <w:rsid w:val="002C230C"/>
    <w:rsid w:val="002C2311"/>
    <w:rsid w:val="002C24F2"/>
    <w:rsid w:val="002C2802"/>
    <w:rsid w:val="002C28C3"/>
    <w:rsid w:val="002C2CDB"/>
    <w:rsid w:val="002C2D9B"/>
    <w:rsid w:val="002C2E02"/>
    <w:rsid w:val="002C2EC3"/>
    <w:rsid w:val="002C2ECE"/>
    <w:rsid w:val="002C2F3D"/>
    <w:rsid w:val="002C30C5"/>
    <w:rsid w:val="002C33B4"/>
    <w:rsid w:val="002C33B8"/>
    <w:rsid w:val="002C3623"/>
    <w:rsid w:val="002C3AE6"/>
    <w:rsid w:val="002C3C14"/>
    <w:rsid w:val="002C3CD0"/>
    <w:rsid w:val="002C3FDC"/>
    <w:rsid w:val="002C4287"/>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6ED4"/>
    <w:rsid w:val="002C7857"/>
    <w:rsid w:val="002C7B8E"/>
    <w:rsid w:val="002C7DAE"/>
    <w:rsid w:val="002C7E85"/>
    <w:rsid w:val="002C7F07"/>
    <w:rsid w:val="002C7FA2"/>
    <w:rsid w:val="002D032B"/>
    <w:rsid w:val="002D0428"/>
    <w:rsid w:val="002D0AE3"/>
    <w:rsid w:val="002D0C3B"/>
    <w:rsid w:val="002D0C57"/>
    <w:rsid w:val="002D0C79"/>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AD8"/>
    <w:rsid w:val="002D3BEB"/>
    <w:rsid w:val="002D3F07"/>
    <w:rsid w:val="002D4088"/>
    <w:rsid w:val="002D409F"/>
    <w:rsid w:val="002D40F0"/>
    <w:rsid w:val="002D4273"/>
    <w:rsid w:val="002D4719"/>
    <w:rsid w:val="002D49E1"/>
    <w:rsid w:val="002D5184"/>
    <w:rsid w:val="002D55EB"/>
    <w:rsid w:val="002D563C"/>
    <w:rsid w:val="002D58F7"/>
    <w:rsid w:val="002D5C45"/>
    <w:rsid w:val="002D5CF9"/>
    <w:rsid w:val="002D5E62"/>
    <w:rsid w:val="002D5FFF"/>
    <w:rsid w:val="002D62A4"/>
    <w:rsid w:val="002D62A9"/>
    <w:rsid w:val="002D6CF0"/>
    <w:rsid w:val="002D6F7B"/>
    <w:rsid w:val="002D6FFE"/>
    <w:rsid w:val="002D7047"/>
    <w:rsid w:val="002D70C1"/>
    <w:rsid w:val="002D7523"/>
    <w:rsid w:val="002D784E"/>
    <w:rsid w:val="002D7930"/>
    <w:rsid w:val="002D7B18"/>
    <w:rsid w:val="002D7B49"/>
    <w:rsid w:val="002E090F"/>
    <w:rsid w:val="002E0967"/>
    <w:rsid w:val="002E0F16"/>
    <w:rsid w:val="002E0FA2"/>
    <w:rsid w:val="002E13A0"/>
    <w:rsid w:val="002E185A"/>
    <w:rsid w:val="002E18DE"/>
    <w:rsid w:val="002E1C42"/>
    <w:rsid w:val="002E1E26"/>
    <w:rsid w:val="002E2748"/>
    <w:rsid w:val="002E2A70"/>
    <w:rsid w:val="002E2B77"/>
    <w:rsid w:val="002E3159"/>
    <w:rsid w:val="002E37B5"/>
    <w:rsid w:val="002E380E"/>
    <w:rsid w:val="002E3B41"/>
    <w:rsid w:val="002E3DF0"/>
    <w:rsid w:val="002E4608"/>
    <w:rsid w:val="002E4671"/>
    <w:rsid w:val="002E4907"/>
    <w:rsid w:val="002E4E82"/>
    <w:rsid w:val="002E4EE2"/>
    <w:rsid w:val="002E5335"/>
    <w:rsid w:val="002E5734"/>
    <w:rsid w:val="002E5811"/>
    <w:rsid w:val="002E5AF7"/>
    <w:rsid w:val="002E5CF2"/>
    <w:rsid w:val="002E6529"/>
    <w:rsid w:val="002E660A"/>
    <w:rsid w:val="002E6799"/>
    <w:rsid w:val="002E6C40"/>
    <w:rsid w:val="002E6CCF"/>
    <w:rsid w:val="002E6E72"/>
    <w:rsid w:val="002E706B"/>
    <w:rsid w:val="002E7523"/>
    <w:rsid w:val="002E7AA9"/>
    <w:rsid w:val="002E7ABC"/>
    <w:rsid w:val="002E7BCD"/>
    <w:rsid w:val="002F0567"/>
    <w:rsid w:val="002F077D"/>
    <w:rsid w:val="002F08DC"/>
    <w:rsid w:val="002F0A6D"/>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A9B"/>
    <w:rsid w:val="002F4BDF"/>
    <w:rsid w:val="002F4C97"/>
    <w:rsid w:val="002F4FC1"/>
    <w:rsid w:val="002F50A4"/>
    <w:rsid w:val="002F538A"/>
    <w:rsid w:val="002F5A4A"/>
    <w:rsid w:val="002F60CF"/>
    <w:rsid w:val="002F6268"/>
    <w:rsid w:val="002F688E"/>
    <w:rsid w:val="002F6B0D"/>
    <w:rsid w:val="002F6B84"/>
    <w:rsid w:val="002F6D2F"/>
    <w:rsid w:val="002F6D5F"/>
    <w:rsid w:val="002F76CC"/>
    <w:rsid w:val="002F77DD"/>
    <w:rsid w:val="002F78D9"/>
    <w:rsid w:val="002F793B"/>
    <w:rsid w:val="002F7AC3"/>
    <w:rsid w:val="003001EC"/>
    <w:rsid w:val="00300613"/>
    <w:rsid w:val="003008AD"/>
    <w:rsid w:val="003008E3"/>
    <w:rsid w:val="00300C7C"/>
    <w:rsid w:val="00300C85"/>
    <w:rsid w:val="00300EF7"/>
    <w:rsid w:val="0030122E"/>
    <w:rsid w:val="00301354"/>
    <w:rsid w:val="0030179B"/>
    <w:rsid w:val="00301BE1"/>
    <w:rsid w:val="00302431"/>
    <w:rsid w:val="003026DD"/>
    <w:rsid w:val="003026F0"/>
    <w:rsid w:val="0030276D"/>
    <w:rsid w:val="00302946"/>
    <w:rsid w:val="00302A86"/>
    <w:rsid w:val="00302B76"/>
    <w:rsid w:val="00302BD0"/>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BE4"/>
    <w:rsid w:val="00304E0B"/>
    <w:rsid w:val="00304E21"/>
    <w:rsid w:val="00304E88"/>
    <w:rsid w:val="00305165"/>
    <w:rsid w:val="003051C3"/>
    <w:rsid w:val="00305253"/>
    <w:rsid w:val="003052FF"/>
    <w:rsid w:val="003053C2"/>
    <w:rsid w:val="003054C3"/>
    <w:rsid w:val="00305895"/>
    <w:rsid w:val="00305CA8"/>
    <w:rsid w:val="00305CD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51A"/>
    <w:rsid w:val="003107E7"/>
    <w:rsid w:val="00310AF2"/>
    <w:rsid w:val="00310B02"/>
    <w:rsid w:val="00310CE4"/>
    <w:rsid w:val="0031100E"/>
    <w:rsid w:val="00311194"/>
    <w:rsid w:val="0031125F"/>
    <w:rsid w:val="0031136C"/>
    <w:rsid w:val="0031177F"/>
    <w:rsid w:val="00311B7B"/>
    <w:rsid w:val="00311F51"/>
    <w:rsid w:val="003122E8"/>
    <w:rsid w:val="00312635"/>
    <w:rsid w:val="00312B28"/>
    <w:rsid w:val="00312B96"/>
    <w:rsid w:val="00313B7C"/>
    <w:rsid w:val="00313C32"/>
    <w:rsid w:val="00314017"/>
    <w:rsid w:val="00314034"/>
    <w:rsid w:val="00314129"/>
    <w:rsid w:val="00314397"/>
    <w:rsid w:val="003144BA"/>
    <w:rsid w:val="00314523"/>
    <w:rsid w:val="00314645"/>
    <w:rsid w:val="003149A3"/>
    <w:rsid w:val="00315000"/>
    <w:rsid w:val="0031550B"/>
    <w:rsid w:val="00315540"/>
    <w:rsid w:val="00315A9D"/>
    <w:rsid w:val="00315E08"/>
    <w:rsid w:val="00316755"/>
    <w:rsid w:val="003169B6"/>
    <w:rsid w:val="00316C4B"/>
    <w:rsid w:val="00316C69"/>
    <w:rsid w:val="003171CB"/>
    <w:rsid w:val="00317261"/>
    <w:rsid w:val="0031736F"/>
    <w:rsid w:val="00317766"/>
    <w:rsid w:val="003179CF"/>
    <w:rsid w:val="00317E3D"/>
    <w:rsid w:val="00320010"/>
    <w:rsid w:val="003201FF"/>
    <w:rsid w:val="00320682"/>
    <w:rsid w:val="00320862"/>
    <w:rsid w:val="00320881"/>
    <w:rsid w:val="00320DCB"/>
    <w:rsid w:val="003214CE"/>
    <w:rsid w:val="00321665"/>
    <w:rsid w:val="00321A5B"/>
    <w:rsid w:val="00321D00"/>
    <w:rsid w:val="00321D56"/>
    <w:rsid w:val="00321F48"/>
    <w:rsid w:val="00321FB7"/>
    <w:rsid w:val="003220F3"/>
    <w:rsid w:val="0032220B"/>
    <w:rsid w:val="0032238A"/>
    <w:rsid w:val="00322A19"/>
    <w:rsid w:val="00322B6A"/>
    <w:rsid w:val="00322C92"/>
    <w:rsid w:val="00322CD0"/>
    <w:rsid w:val="00322ED9"/>
    <w:rsid w:val="00322FA3"/>
    <w:rsid w:val="00323450"/>
    <w:rsid w:val="00323BC5"/>
    <w:rsid w:val="00323BEB"/>
    <w:rsid w:val="00324673"/>
    <w:rsid w:val="00324B9B"/>
    <w:rsid w:val="00324D46"/>
    <w:rsid w:val="00324DE1"/>
    <w:rsid w:val="003250DD"/>
    <w:rsid w:val="003257CD"/>
    <w:rsid w:val="00325B0D"/>
    <w:rsid w:val="00325B56"/>
    <w:rsid w:val="00325DF1"/>
    <w:rsid w:val="003264E9"/>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F5F"/>
    <w:rsid w:val="003313FF"/>
    <w:rsid w:val="0033145E"/>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5D3"/>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3"/>
    <w:rsid w:val="00350EDC"/>
    <w:rsid w:val="003510D7"/>
    <w:rsid w:val="0035152F"/>
    <w:rsid w:val="00351630"/>
    <w:rsid w:val="00351C0B"/>
    <w:rsid w:val="00351FC7"/>
    <w:rsid w:val="003520DC"/>
    <w:rsid w:val="00352337"/>
    <w:rsid w:val="003524DB"/>
    <w:rsid w:val="00352522"/>
    <w:rsid w:val="003525B9"/>
    <w:rsid w:val="003528A2"/>
    <w:rsid w:val="0035296F"/>
    <w:rsid w:val="00352E69"/>
    <w:rsid w:val="00352EE8"/>
    <w:rsid w:val="00352EF6"/>
    <w:rsid w:val="003530CF"/>
    <w:rsid w:val="003530D4"/>
    <w:rsid w:val="00353333"/>
    <w:rsid w:val="0035338C"/>
    <w:rsid w:val="003536C8"/>
    <w:rsid w:val="00353907"/>
    <w:rsid w:val="00353C8B"/>
    <w:rsid w:val="00353E7D"/>
    <w:rsid w:val="003542D4"/>
    <w:rsid w:val="003543DA"/>
    <w:rsid w:val="00354514"/>
    <w:rsid w:val="0035483F"/>
    <w:rsid w:val="00354B65"/>
    <w:rsid w:val="00354B6B"/>
    <w:rsid w:val="00354B7A"/>
    <w:rsid w:val="00355439"/>
    <w:rsid w:val="003555F5"/>
    <w:rsid w:val="00355B3F"/>
    <w:rsid w:val="00356138"/>
    <w:rsid w:val="0035616C"/>
    <w:rsid w:val="00356450"/>
    <w:rsid w:val="003567FB"/>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993"/>
    <w:rsid w:val="00362CBC"/>
    <w:rsid w:val="00362D9A"/>
    <w:rsid w:val="00362F6B"/>
    <w:rsid w:val="00362F78"/>
    <w:rsid w:val="00363328"/>
    <w:rsid w:val="0036335B"/>
    <w:rsid w:val="003636C9"/>
    <w:rsid w:val="00363D5D"/>
    <w:rsid w:val="00363F44"/>
    <w:rsid w:val="003641FE"/>
    <w:rsid w:val="003642E2"/>
    <w:rsid w:val="003644C1"/>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56F"/>
    <w:rsid w:val="00367716"/>
    <w:rsid w:val="00367745"/>
    <w:rsid w:val="00367746"/>
    <w:rsid w:val="00367816"/>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C58"/>
    <w:rsid w:val="00371ECA"/>
    <w:rsid w:val="0037209F"/>
    <w:rsid w:val="003726B7"/>
    <w:rsid w:val="00372741"/>
    <w:rsid w:val="00372984"/>
    <w:rsid w:val="00372AE1"/>
    <w:rsid w:val="00372B4A"/>
    <w:rsid w:val="00372DC2"/>
    <w:rsid w:val="00373254"/>
    <w:rsid w:val="003733D9"/>
    <w:rsid w:val="003734B6"/>
    <w:rsid w:val="00373684"/>
    <w:rsid w:val="003738DA"/>
    <w:rsid w:val="00373AFB"/>
    <w:rsid w:val="00373CCC"/>
    <w:rsid w:val="00373F24"/>
    <w:rsid w:val="0037417E"/>
    <w:rsid w:val="00374622"/>
    <w:rsid w:val="00374747"/>
    <w:rsid w:val="0037480E"/>
    <w:rsid w:val="00374CBC"/>
    <w:rsid w:val="00374E3A"/>
    <w:rsid w:val="00374FE9"/>
    <w:rsid w:val="0037539C"/>
    <w:rsid w:val="00375424"/>
    <w:rsid w:val="003754E1"/>
    <w:rsid w:val="00375597"/>
    <w:rsid w:val="00375630"/>
    <w:rsid w:val="00375BF6"/>
    <w:rsid w:val="00375CBE"/>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BCA"/>
    <w:rsid w:val="00381E30"/>
    <w:rsid w:val="0038251C"/>
    <w:rsid w:val="0038264C"/>
    <w:rsid w:val="00382880"/>
    <w:rsid w:val="00382A18"/>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1FA"/>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EA9"/>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53"/>
    <w:rsid w:val="00393EFB"/>
    <w:rsid w:val="00394172"/>
    <w:rsid w:val="003942F1"/>
    <w:rsid w:val="00394705"/>
    <w:rsid w:val="0039480F"/>
    <w:rsid w:val="00394B28"/>
    <w:rsid w:val="00395151"/>
    <w:rsid w:val="0039525E"/>
    <w:rsid w:val="00395514"/>
    <w:rsid w:val="0039554E"/>
    <w:rsid w:val="003957BB"/>
    <w:rsid w:val="00395C25"/>
    <w:rsid w:val="00395C2B"/>
    <w:rsid w:val="00395C4B"/>
    <w:rsid w:val="00395C7A"/>
    <w:rsid w:val="00395CC6"/>
    <w:rsid w:val="00395E22"/>
    <w:rsid w:val="00395FEF"/>
    <w:rsid w:val="003961B5"/>
    <w:rsid w:val="0039638D"/>
    <w:rsid w:val="003966F6"/>
    <w:rsid w:val="00396828"/>
    <w:rsid w:val="00396E02"/>
    <w:rsid w:val="00397119"/>
    <w:rsid w:val="0039723A"/>
    <w:rsid w:val="003975C0"/>
    <w:rsid w:val="00397D6F"/>
    <w:rsid w:val="003A0146"/>
    <w:rsid w:val="003A03F0"/>
    <w:rsid w:val="003A0743"/>
    <w:rsid w:val="003A0C86"/>
    <w:rsid w:val="003A0EBC"/>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0A"/>
    <w:rsid w:val="003A4264"/>
    <w:rsid w:val="003A4296"/>
    <w:rsid w:val="003A42CC"/>
    <w:rsid w:val="003A4319"/>
    <w:rsid w:val="003A4523"/>
    <w:rsid w:val="003A4954"/>
    <w:rsid w:val="003A4AA7"/>
    <w:rsid w:val="003A4AD7"/>
    <w:rsid w:val="003A4D30"/>
    <w:rsid w:val="003A50F8"/>
    <w:rsid w:val="003A52C4"/>
    <w:rsid w:val="003A5735"/>
    <w:rsid w:val="003A58C7"/>
    <w:rsid w:val="003A5ACF"/>
    <w:rsid w:val="003A618E"/>
    <w:rsid w:val="003A66D7"/>
    <w:rsid w:val="003A6CDC"/>
    <w:rsid w:val="003A7265"/>
    <w:rsid w:val="003A7367"/>
    <w:rsid w:val="003A797C"/>
    <w:rsid w:val="003A7A6F"/>
    <w:rsid w:val="003A7FF6"/>
    <w:rsid w:val="003B03F4"/>
    <w:rsid w:val="003B0413"/>
    <w:rsid w:val="003B0677"/>
    <w:rsid w:val="003B083A"/>
    <w:rsid w:val="003B0A0F"/>
    <w:rsid w:val="003B0B9C"/>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4F2E"/>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8CA"/>
    <w:rsid w:val="003B7A53"/>
    <w:rsid w:val="003B7B24"/>
    <w:rsid w:val="003B7BB9"/>
    <w:rsid w:val="003B7BEB"/>
    <w:rsid w:val="003B7ECE"/>
    <w:rsid w:val="003C00AB"/>
    <w:rsid w:val="003C041C"/>
    <w:rsid w:val="003C08DB"/>
    <w:rsid w:val="003C0F40"/>
    <w:rsid w:val="003C0F54"/>
    <w:rsid w:val="003C0FEF"/>
    <w:rsid w:val="003C121D"/>
    <w:rsid w:val="003C1658"/>
    <w:rsid w:val="003C1867"/>
    <w:rsid w:val="003C188E"/>
    <w:rsid w:val="003C1937"/>
    <w:rsid w:val="003C2034"/>
    <w:rsid w:val="003C260C"/>
    <w:rsid w:val="003C277F"/>
    <w:rsid w:val="003C281D"/>
    <w:rsid w:val="003C2897"/>
    <w:rsid w:val="003C29EE"/>
    <w:rsid w:val="003C2C8D"/>
    <w:rsid w:val="003C2E50"/>
    <w:rsid w:val="003C3016"/>
    <w:rsid w:val="003C319E"/>
    <w:rsid w:val="003C33A3"/>
    <w:rsid w:val="003C387E"/>
    <w:rsid w:val="003C3ACE"/>
    <w:rsid w:val="003C3CCD"/>
    <w:rsid w:val="003C3D25"/>
    <w:rsid w:val="003C3DB9"/>
    <w:rsid w:val="003C3F26"/>
    <w:rsid w:val="003C40A4"/>
    <w:rsid w:val="003C44E3"/>
    <w:rsid w:val="003C45A6"/>
    <w:rsid w:val="003C4DC1"/>
    <w:rsid w:val="003C4ED1"/>
    <w:rsid w:val="003C4EEA"/>
    <w:rsid w:val="003C511B"/>
    <w:rsid w:val="003C53A9"/>
    <w:rsid w:val="003C587F"/>
    <w:rsid w:val="003C5A7A"/>
    <w:rsid w:val="003C6073"/>
    <w:rsid w:val="003C6286"/>
    <w:rsid w:val="003C62C0"/>
    <w:rsid w:val="003C64B5"/>
    <w:rsid w:val="003C64F7"/>
    <w:rsid w:val="003C675B"/>
    <w:rsid w:val="003C690E"/>
    <w:rsid w:val="003C6C49"/>
    <w:rsid w:val="003C6D10"/>
    <w:rsid w:val="003C6D72"/>
    <w:rsid w:val="003C6FBE"/>
    <w:rsid w:val="003C6FFB"/>
    <w:rsid w:val="003C74C2"/>
    <w:rsid w:val="003C757F"/>
    <w:rsid w:val="003C75B1"/>
    <w:rsid w:val="003C75B4"/>
    <w:rsid w:val="003C7820"/>
    <w:rsid w:val="003C79A3"/>
    <w:rsid w:val="003D00D2"/>
    <w:rsid w:val="003D056E"/>
    <w:rsid w:val="003D0AFB"/>
    <w:rsid w:val="003D0BD2"/>
    <w:rsid w:val="003D0BE3"/>
    <w:rsid w:val="003D1331"/>
    <w:rsid w:val="003D1730"/>
    <w:rsid w:val="003D184B"/>
    <w:rsid w:val="003D1C0A"/>
    <w:rsid w:val="003D1C91"/>
    <w:rsid w:val="003D1EFA"/>
    <w:rsid w:val="003D21F7"/>
    <w:rsid w:val="003D228D"/>
    <w:rsid w:val="003D23EE"/>
    <w:rsid w:val="003D2589"/>
    <w:rsid w:val="003D25F4"/>
    <w:rsid w:val="003D26D5"/>
    <w:rsid w:val="003D26F7"/>
    <w:rsid w:val="003D2CD5"/>
    <w:rsid w:val="003D2CEE"/>
    <w:rsid w:val="003D2D9D"/>
    <w:rsid w:val="003D2F99"/>
    <w:rsid w:val="003D30D6"/>
    <w:rsid w:val="003D3325"/>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D2"/>
    <w:rsid w:val="003D6EE8"/>
    <w:rsid w:val="003D6F6F"/>
    <w:rsid w:val="003D728F"/>
    <w:rsid w:val="003D746B"/>
    <w:rsid w:val="003D76CD"/>
    <w:rsid w:val="003D76F9"/>
    <w:rsid w:val="003D7B0C"/>
    <w:rsid w:val="003D7CF1"/>
    <w:rsid w:val="003E012E"/>
    <w:rsid w:val="003E025F"/>
    <w:rsid w:val="003E0730"/>
    <w:rsid w:val="003E0A19"/>
    <w:rsid w:val="003E0A59"/>
    <w:rsid w:val="003E0B19"/>
    <w:rsid w:val="003E0E48"/>
    <w:rsid w:val="003E1178"/>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540"/>
    <w:rsid w:val="003E2AA8"/>
    <w:rsid w:val="003E2D9E"/>
    <w:rsid w:val="003E2ED0"/>
    <w:rsid w:val="003E3331"/>
    <w:rsid w:val="003E33DF"/>
    <w:rsid w:val="003E35BF"/>
    <w:rsid w:val="003E3637"/>
    <w:rsid w:val="003E37EE"/>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592"/>
    <w:rsid w:val="003E5B22"/>
    <w:rsid w:val="003E5D70"/>
    <w:rsid w:val="003E5FD6"/>
    <w:rsid w:val="003E603E"/>
    <w:rsid w:val="003E61D8"/>
    <w:rsid w:val="003E629E"/>
    <w:rsid w:val="003E6517"/>
    <w:rsid w:val="003E6906"/>
    <w:rsid w:val="003E6985"/>
    <w:rsid w:val="003E6BF2"/>
    <w:rsid w:val="003E6D22"/>
    <w:rsid w:val="003E6D70"/>
    <w:rsid w:val="003E6FA0"/>
    <w:rsid w:val="003E7016"/>
    <w:rsid w:val="003E71CD"/>
    <w:rsid w:val="003E7991"/>
    <w:rsid w:val="003F01F6"/>
    <w:rsid w:val="003F020C"/>
    <w:rsid w:val="003F033C"/>
    <w:rsid w:val="003F03C4"/>
    <w:rsid w:val="003F04C5"/>
    <w:rsid w:val="003F066F"/>
    <w:rsid w:val="003F07C3"/>
    <w:rsid w:val="003F0C9B"/>
    <w:rsid w:val="003F110B"/>
    <w:rsid w:val="003F1299"/>
    <w:rsid w:val="003F1C0F"/>
    <w:rsid w:val="003F1EA9"/>
    <w:rsid w:val="003F1F1D"/>
    <w:rsid w:val="003F232B"/>
    <w:rsid w:val="003F2A8C"/>
    <w:rsid w:val="003F2B7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321"/>
    <w:rsid w:val="003F647C"/>
    <w:rsid w:val="003F6545"/>
    <w:rsid w:val="003F66F8"/>
    <w:rsid w:val="003F6ABD"/>
    <w:rsid w:val="003F6B6C"/>
    <w:rsid w:val="003F6F06"/>
    <w:rsid w:val="003F6F6C"/>
    <w:rsid w:val="003F703F"/>
    <w:rsid w:val="003F711F"/>
    <w:rsid w:val="003F7546"/>
    <w:rsid w:val="003F77D2"/>
    <w:rsid w:val="003F77F7"/>
    <w:rsid w:val="003F78D8"/>
    <w:rsid w:val="003F7E7E"/>
    <w:rsid w:val="004000F9"/>
    <w:rsid w:val="004001FC"/>
    <w:rsid w:val="00400398"/>
    <w:rsid w:val="004003A6"/>
    <w:rsid w:val="004007D0"/>
    <w:rsid w:val="0040082E"/>
    <w:rsid w:val="00400A90"/>
    <w:rsid w:val="00400B2C"/>
    <w:rsid w:val="00400D42"/>
    <w:rsid w:val="004010A5"/>
    <w:rsid w:val="004013E1"/>
    <w:rsid w:val="0040198F"/>
    <w:rsid w:val="00401A04"/>
    <w:rsid w:val="00401A6B"/>
    <w:rsid w:val="00401C60"/>
    <w:rsid w:val="00401D05"/>
    <w:rsid w:val="00401FCB"/>
    <w:rsid w:val="0040203A"/>
    <w:rsid w:val="00402B30"/>
    <w:rsid w:val="00402C69"/>
    <w:rsid w:val="0040305F"/>
    <w:rsid w:val="004030CE"/>
    <w:rsid w:val="004034C1"/>
    <w:rsid w:val="004034E5"/>
    <w:rsid w:val="00403504"/>
    <w:rsid w:val="00403633"/>
    <w:rsid w:val="00403812"/>
    <w:rsid w:val="00403959"/>
    <w:rsid w:val="00403B3C"/>
    <w:rsid w:val="00403DE5"/>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10"/>
    <w:rsid w:val="004065C4"/>
    <w:rsid w:val="004066EE"/>
    <w:rsid w:val="00406765"/>
    <w:rsid w:val="004067D7"/>
    <w:rsid w:val="00406B99"/>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0ACF"/>
    <w:rsid w:val="004112AE"/>
    <w:rsid w:val="00411903"/>
    <w:rsid w:val="00411CCB"/>
    <w:rsid w:val="00411E7E"/>
    <w:rsid w:val="00411F4F"/>
    <w:rsid w:val="00412042"/>
    <w:rsid w:val="004124B3"/>
    <w:rsid w:val="00412535"/>
    <w:rsid w:val="004126DB"/>
    <w:rsid w:val="00412A7B"/>
    <w:rsid w:val="00412B5E"/>
    <w:rsid w:val="00412C90"/>
    <w:rsid w:val="00412D0B"/>
    <w:rsid w:val="0041303A"/>
    <w:rsid w:val="00413097"/>
    <w:rsid w:val="004134C0"/>
    <w:rsid w:val="004137E5"/>
    <w:rsid w:val="00413C08"/>
    <w:rsid w:val="00413FFE"/>
    <w:rsid w:val="004140A0"/>
    <w:rsid w:val="00414299"/>
    <w:rsid w:val="004145B4"/>
    <w:rsid w:val="00414967"/>
    <w:rsid w:val="00414B5B"/>
    <w:rsid w:val="00414C19"/>
    <w:rsid w:val="00414CAD"/>
    <w:rsid w:val="004150F4"/>
    <w:rsid w:val="00415563"/>
    <w:rsid w:val="00415BC5"/>
    <w:rsid w:val="00415DB8"/>
    <w:rsid w:val="00415EE3"/>
    <w:rsid w:val="00415F40"/>
    <w:rsid w:val="0041604E"/>
    <w:rsid w:val="004161DD"/>
    <w:rsid w:val="00416341"/>
    <w:rsid w:val="004173EB"/>
    <w:rsid w:val="00417496"/>
    <w:rsid w:val="00417B31"/>
    <w:rsid w:val="0042018B"/>
    <w:rsid w:val="004203E3"/>
    <w:rsid w:val="0042055A"/>
    <w:rsid w:val="00420BD0"/>
    <w:rsid w:val="00420CB0"/>
    <w:rsid w:val="00420F40"/>
    <w:rsid w:val="0042114F"/>
    <w:rsid w:val="00421840"/>
    <w:rsid w:val="00421975"/>
    <w:rsid w:val="00421BB3"/>
    <w:rsid w:val="00421F35"/>
    <w:rsid w:val="0042208B"/>
    <w:rsid w:val="00422404"/>
    <w:rsid w:val="004229AD"/>
    <w:rsid w:val="00422C05"/>
    <w:rsid w:val="00422F45"/>
    <w:rsid w:val="0042304A"/>
    <w:rsid w:val="004232DA"/>
    <w:rsid w:val="004238F9"/>
    <w:rsid w:val="00423967"/>
    <w:rsid w:val="00423A38"/>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7696"/>
    <w:rsid w:val="00427865"/>
    <w:rsid w:val="00427876"/>
    <w:rsid w:val="004278E6"/>
    <w:rsid w:val="00427D09"/>
    <w:rsid w:val="00430012"/>
    <w:rsid w:val="004302B7"/>
    <w:rsid w:val="0043054F"/>
    <w:rsid w:val="00430567"/>
    <w:rsid w:val="0043063B"/>
    <w:rsid w:val="004308E5"/>
    <w:rsid w:val="004309E8"/>
    <w:rsid w:val="00430DFD"/>
    <w:rsid w:val="00431096"/>
    <w:rsid w:val="004322D4"/>
    <w:rsid w:val="00432570"/>
    <w:rsid w:val="0043269D"/>
    <w:rsid w:val="00432A76"/>
    <w:rsid w:val="00432F05"/>
    <w:rsid w:val="004330BC"/>
    <w:rsid w:val="004335FB"/>
    <w:rsid w:val="00433783"/>
    <w:rsid w:val="0043387E"/>
    <w:rsid w:val="0043396B"/>
    <w:rsid w:val="00433AD1"/>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9E9"/>
    <w:rsid w:val="00435D10"/>
    <w:rsid w:val="004362BB"/>
    <w:rsid w:val="004368AE"/>
    <w:rsid w:val="004369C6"/>
    <w:rsid w:val="00436CDF"/>
    <w:rsid w:val="00437330"/>
    <w:rsid w:val="004378EC"/>
    <w:rsid w:val="004379D0"/>
    <w:rsid w:val="00440018"/>
    <w:rsid w:val="0044040B"/>
    <w:rsid w:val="00440604"/>
    <w:rsid w:val="00440DFC"/>
    <w:rsid w:val="00440E5B"/>
    <w:rsid w:val="00440FD7"/>
    <w:rsid w:val="0044129B"/>
    <w:rsid w:val="004412D1"/>
    <w:rsid w:val="0044130F"/>
    <w:rsid w:val="00441AFE"/>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2DD"/>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5EE1"/>
    <w:rsid w:val="00446095"/>
    <w:rsid w:val="004460FE"/>
    <w:rsid w:val="0044680C"/>
    <w:rsid w:val="00446A40"/>
    <w:rsid w:val="00446CE8"/>
    <w:rsid w:val="0044772B"/>
    <w:rsid w:val="004477EF"/>
    <w:rsid w:val="00447895"/>
    <w:rsid w:val="00447A38"/>
    <w:rsid w:val="00447BCF"/>
    <w:rsid w:val="00450446"/>
    <w:rsid w:val="004504D6"/>
    <w:rsid w:val="004507E5"/>
    <w:rsid w:val="00450AC0"/>
    <w:rsid w:val="00450D71"/>
    <w:rsid w:val="004512E4"/>
    <w:rsid w:val="004516D6"/>
    <w:rsid w:val="004516F2"/>
    <w:rsid w:val="004518A5"/>
    <w:rsid w:val="0045191E"/>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2D1"/>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519"/>
    <w:rsid w:val="004627BC"/>
    <w:rsid w:val="00462C57"/>
    <w:rsid w:val="00462F8E"/>
    <w:rsid w:val="004630A2"/>
    <w:rsid w:val="00463226"/>
    <w:rsid w:val="004635B5"/>
    <w:rsid w:val="00463769"/>
    <w:rsid w:val="00463BA9"/>
    <w:rsid w:val="00463C42"/>
    <w:rsid w:val="00463F28"/>
    <w:rsid w:val="004643B9"/>
    <w:rsid w:val="0046458A"/>
    <w:rsid w:val="004646EE"/>
    <w:rsid w:val="004648AF"/>
    <w:rsid w:val="004649AB"/>
    <w:rsid w:val="004649B8"/>
    <w:rsid w:val="00464DCD"/>
    <w:rsid w:val="00464DED"/>
    <w:rsid w:val="00464FC4"/>
    <w:rsid w:val="004651D0"/>
    <w:rsid w:val="0046566C"/>
    <w:rsid w:val="0046581F"/>
    <w:rsid w:val="00465877"/>
    <w:rsid w:val="00465A90"/>
    <w:rsid w:val="00465AEB"/>
    <w:rsid w:val="00465CC2"/>
    <w:rsid w:val="00466357"/>
    <w:rsid w:val="004663EC"/>
    <w:rsid w:val="004665D2"/>
    <w:rsid w:val="0046689D"/>
    <w:rsid w:val="004669A8"/>
    <w:rsid w:val="00466AB7"/>
    <w:rsid w:val="00466B35"/>
    <w:rsid w:val="00466C93"/>
    <w:rsid w:val="00466D14"/>
    <w:rsid w:val="00466DE0"/>
    <w:rsid w:val="00467357"/>
    <w:rsid w:val="00467610"/>
    <w:rsid w:val="004677AB"/>
    <w:rsid w:val="00467906"/>
    <w:rsid w:val="00467909"/>
    <w:rsid w:val="00467B7D"/>
    <w:rsid w:val="00467CFF"/>
    <w:rsid w:val="00467E58"/>
    <w:rsid w:val="00467FAA"/>
    <w:rsid w:val="00467FFC"/>
    <w:rsid w:val="00470031"/>
    <w:rsid w:val="004700AF"/>
    <w:rsid w:val="0047030E"/>
    <w:rsid w:val="0047041D"/>
    <w:rsid w:val="004707D6"/>
    <w:rsid w:val="00470B1D"/>
    <w:rsid w:val="00470D18"/>
    <w:rsid w:val="00470F57"/>
    <w:rsid w:val="0047102C"/>
    <w:rsid w:val="00471068"/>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75A"/>
    <w:rsid w:val="00474BEC"/>
    <w:rsid w:val="00474BF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163"/>
    <w:rsid w:val="00477402"/>
    <w:rsid w:val="00477631"/>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E57"/>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95F"/>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446"/>
    <w:rsid w:val="00491A0A"/>
    <w:rsid w:val="00491E7D"/>
    <w:rsid w:val="00491FDA"/>
    <w:rsid w:val="0049203F"/>
    <w:rsid w:val="00492284"/>
    <w:rsid w:val="004924A9"/>
    <w:rsid w:val="00492730"/>
    <w:rsid w:val="00492788"/>
    <w:rsid w:val="00492A71"/>
    <w:rsid w:val="00492AA1"/>
    <w:rsid w:val="00492D47"/>
    <w:rsid w:val="00492DA2"/>
    <w:rsid w:val="00492E70"/>
    <w:rsid w:val="00492E75"/>
    <w:rsid w:val="004934CD"/>
    <w:rsid w:val="00493B0F"/>
    <w:rsid w:val="00493B38"/>
    <w:rsid w:val="00493B68"/>
    <w:rsid w:val="00493BA4"/>
    <w:rsid w:val="00493CCF"/>
    <w:rsid w:val="0049425D"/>
    <w:rsid w:val="0049439A"/>
    <w:rsid w:val="00494683"/>
    <w:rsid w:val="00494858"/>
    <w:rsid w:val="004949AD"/>
    <w:rsid w:val="00494CC3"/>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D55"/>
    <w:rsid w:val="004A2F7C"/>
    <w:rsid w:val="004A3254"/>
    <w:rsid w:val="004A3261"/>
    <w:rsid w:val="004A34F8"/>
    <w:rsid w:val="004A3878"/>
    <w:rsid w:val="004A3E7B"/>
    <w:rsid w:val="004A3FB2"/>
    <w:rsid w:val="004A4356"/>
    <w:rsid w:val="004A4627"/>
    <w:rsid w:val="004A4629"/>
    <w:rsid w:val="004A4774"/>
    <w:rsid w:val="004A492E"/>
    <w:rsid w:val="004A4B32"/>
    <w:rsid w:val="004A4C8A"/>
    <w:rsid w:val="004A4CFD"/>
    <w:rsid w:val="004A537E"/>
    <w:rsid w:val="004A545D"/>
    <w:rsid w:val="004A5541"/>
    <w:rsid w:val="004A5660"/>
    <w:rsid w:val="004A5E07"/>
    <w:rsid w:val="004A5F03"/>
    <w:rsid w:val="004A5F07"/>
    <w:rsid w:val="004A6334"/>
    <w:rsid w:val="004A643D"/>
    <w:rsid w:val="004A6AC8"/>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2BC"/>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4DB6"/>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71A4"/>
    <w:rsid w:val="004C0571"/>
    <w:rsid w:val="004C093C"/>
    <w:rsid w:val="004C0BC9"/>
    <w:rsid w:val="004C0DF1"/>
    <w:rsid w:val="004C0DF8"/>
    <w:rsid w:val="004C0E96"/>
    <w:rsid w:val="004C0EF6"/>
    <w:rsid w:val="004C1479"/>
    <w:rsid w:val="004C14A0"/>
    <w:rsid w:val="004C1697"/>
    <w:rsid w:val="004C1747"/>
    <w:rsid w:val="004C17DD"/>
    <w:rsid w:val="004C1A61"/>
    <w:rsid w:val="004C1D49"/>
    <w:rsid w:val="004C1E97"/>
    <w:rsid w:val="004C2009"/>
    <w:rsid w:val="004C2076"/>
    <w:rsid w:val="004C236F"/>
    <w:rsid w:val="004C243B"/>
    <w:rsid w:val="004C246F"/>
    <w:rsid w:val="004C2683"/>
    <w:rsid w:val="004C26BA"/>
    <w:rsid w:val="004C27DD"/>
    <w:rsid w:val="004C2843"/>
    <w:rsid w:val="004C284E"/>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C4"/>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CF609"/>
    <w:rsid w:val="004D05F3"/>
    <w:rsid w:val="004D08BF"/>
    <w:rsid w:val="004D0B9F"/>
    <w:rsid w:val="004D0C77"/>
    <w:rsid w:val="004D0DD6"/>
    <w:rsid w:val="004D0FF1"/>
    <w:rsid w:val="004D1027"/>
    <w:rsid w:val="004D12D2"/>
    <w:rsid w:val="004D13B6"/>
    <w:rsid w:val="004D156A"/>
    <w:rsid w:val="004D1B28"/>
    <w:rsid w:val="004D1D5E"/>
    <w:rsid w:val="004D1D88"/>
    <w:rsid w:val="004D1E00"/>
    <w:rsid w:val="004D1FEF"/>
    <w:rsid w:val="004D238F"/>
    <w:rsid w:val="004D241D"/>
    <w:rsid w:val="004D323C"/>
    <w:rsid w:val="004D35C6"/>
    <w:rsid w:val="004D378E"/>
    <w:rsid w:val="004D3797"/>
    <w:rsid w:val="004D3A2C"/>
    <w:rsid w:val="004D3B94"/>
    <w:rsid w:val="004D3BF7"/>
    <w:rsid w:val="004D3FDF"/>
    <w:rsid w:val="004D4312"/>
    <w:rsid w:val="004D4337"/>
    <w:rsid w:val="004D4544"/>
    <w:rsid w:val="004D4647"/>
    <w:rsid w:val="004D4767"/>
    <w:rsid w:val="004D4C47"/>
    <w:rsid w:val="004D5477"/>
    <w:rsid w:val="004D5745"/>
    <w:rsid w:val="004D593D"/>
    <w:rsid w:val="004D5CD9"/>
    <w:rsid w:val="004D5E82"/>
    <w:rsid w:val="004D5F42"/>
    <w:rsid w:val="004D5FE3"/>
    <w:rsid w:val="004D602D"/>
    <w:rsid w:val="004D6CF4"/>
    <w:rsid w:val="004D6E44"/>
    <w:rsid w:val="004D6EDA"/>
    <w:rsid w:val="004D6F65"/>
    <w:rsid w:val="004D7442"/>
    <w:rsid w:val="004D76BF"/>
    <w:rsid w:val="004D771F"/>
    <w:rsid w:val="004D7841"/>
    <w:rsid w:val="004D79F3"/>
    <w:rsid w:val="004D7B81"/>
    <w:rsid w:val="004E00C1"/>
    <w:rsid w:val="004E0480"/>
    <w:rsid w:val="004E0734"/>
    <w:rsid w:val="004E07AA"/>
    <w:rsid w:val="004E0DAB"/>
    <w:rsid w:val="004E0E58"/>
    <w:rsid w:val="004E0E80"/>
    <w:rsid w:val="004E0E9C"/>
    <w:rsid w:val="004E1013"/>
    <w:rsid w:val="004E1294"/>
    <w:rsid w:val="004E1447"/>
    <w:rsid w:val="004E18DF"/>
    <w:rsid w:val="004E1905"/>
    <w:rsid w:val="004E1992"/>
    <w:rsid w:val="004E1FDF"/>
    <w:rsid w:val="004E2138"/>
    <w:rsid w:val="004E21C6"/>
    <w:rsid w:val="004E22A4"/>
    <w:rsid w:val="004E2726"/>
    <w:rsid w:val="004E281C"/>
    <w:rsid w:val="004E283A"/>
    <w:rsid w:val="004E2A17"/>
    <w:rsid w:val="004E2ADF"/>
    <w:rsid w:val="004E2CE5"/>
    <w:rsid w:val="004E2E35"/>
    <w:rsid w:val="004E3200"/>
    <w:rsid w:val="004E3415"/>
    <w:rsid w:val="004E3543"/>
    <w:rsid w:val="004E3660"/>
    <w:rsid w:val="004E366E"/>
    <w:rsid w:val="004E39FA"/>
    <w:rsid w:val="004E3AE0"/>
    <w:rsid w:val="004E3C70"/>
    <w:rsid w:val="004E3EEC"/>
    <w:rsid w:val="004E3EFB"/>
    <w:rsid w:val="004E4161"/>
    <w:rsid w:val="004E438B"/>
    <w:rsid w:val="004E443C"/>
    <w:rsid w:val="004E451A"/>
    <w:rsid w:val="004E4B90"/>
    <w:rsid w:val="004E4BD4"/>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4F3"/>
    <w:rsid w:val="004F2D15"/>
    <w:rsid w:val="004F3127"/>
    <w:rsid w:val="004F313B"/>
    <w:rsid w:val="004F34D9"/>
    <w:rsid w:val="004F38E8"/>
    <w:rsid w:val="004F3B07"/>
    <w:rsid w:val="004F3B17"/>
    <w:rsid w:val="004F3D83"/>
    <w:rsid w:val="004F3E85"/>
    <w:rsid w:val="004F4071"/>
    <w:rsid w:val="004F41DE"/>
    <w:rsid w:val="004F4612"/>
    <w:rsid w:val="004F4638"/>
    <w:rsid w:val="004F4655"/>
    <w:rsid w:val="004F481D"/>
    <w:rsid w:val="004F498B"/>
    <w:rsid w:val="004F49C5"/>
    <w:rsid w:val="004F4C1A"/>
    <w:rsid w:val="004F514F"/>
    <w:rsid w:val="004F58C9"/>
    <w:rsid w:val="004F5A1A"/>
    <w:rsid w:val="004F5AA1"/>
    <w:rsid w:val="004F5AE3"/>
    <w:rsid w:val="004F5B97"/>
    <w:rsid w:val="004F6187"/>
    <w:rsid w:val="004F68F7"/>
    <w:rsid w:val="004F6C03"/>
    <w:rsid w:val="004F6E44"/>
    <w:rsid w:val="004F7584"/>
    <w:rsid w:val="004F75B9"/>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BFC"/>
    <w:rsid w:val="00501CE9"/>
    <w:rsid w:val="00501E2E"/>
    <w:rsid w:val="00501E42"/>
    <w:rsid w:val="00501E71"/>
    <w:rsid w:val="0050214A"/>
    <w:rsid w:val="00502387"/>
    <w:rsid w:val="00502D0D"/>
    <w:rsid w:val="00502D67"/>
    <w:rsid w:val="00502F22"/>
    <w:rsid w:val="0050310D"/>
    <w:rsid w:val="0050336F"/>
    <w:rsid w:val="0050345A"/>
    <w:rsid w:val="005035BF"/>
    <w:rsid w:val="0050397D"/>
    <w:rsid w:val="0050461E"/>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DC5"/>
    <w:rsid w:val="00514E17"/>
    <w:rsid w:val="005152C9"/>
    <w:rsid w:val="0051551E"/>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ABB"/>
    <w:rsid w:val="0052209B"/>
    <w:rsid w:val="005221B2"/>
    <w:rsid w:val="005223A5"/>
    <w:rsid w:val="0052243A"/>
    <w:rsid w:val="0052299E"/>
    <w:rsid w:val="00522DDE"/>
    <w:rsid w:val="0052304E"/>
    <w:rsid w:val="00523157"/>
    <w:rsid w:val="005233F5"/>
    <w:rsid w:val="0052349A"/>
    <w:rsid w:val="005235CB"/>
    <w:rsid w:val="005236AB"/>
    <w:rsid w:val="005237B8"/>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4E0"/>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75"/>
    <w:rsid w:val="0053698E"/>
    <w:rsid w:val="00536B68"/>
    <w:rsid w:val="00536B76"/>
    <w:rsid w:val="00536D4D"/>
    <w:rsid w:val="00537035"/>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54D"/>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5F99"/>
    <w:rsid w:val="005462CB"/>
    <w:rsid w:val="00546375"/>
    <w:rsid w:val="0054653E"/>
    <w:rsid w:val="00546B02"/>
    <w:rsid w:val="00546D0E"/>
    <w:rsid w:val="00546D78"/>
    <w:rsid w:val="0054707A"/>
    <w:rsid w:val="005473EA"/>
    <w:rsid w:val="005475E1"/>
    <w:rsid w:val="0054763F"/>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EB0"/>
    <w:rsid w:val="00551FED"/>
    <w:rsid w:val="00552018"/>
    <w:rsid w:val="00552C21"/>
    <w:rsid w:val="00552DB9"/>
    <w:rsid w:val="00552E0C"/>
    <w:rsid w:val="00553081"/>
    <w:rsid w:val="005535AA"/>
    <w:rsid w:val="0055362B"/>
    <w:rsid w:val="005536A7"/>
    <w:rsid w:val="005537A2"/>
    <w:rsid w:val="00553DAD"/>
    <w:rsid w:val="00554683"/>
    <w:rsid w:val="00554758"/>
    <w:rsid w:val="00554ACD"/>
    <w:rsid w:val="00554C20"/>
    <w:rsid w:val="00554D72"/>
    <w:rsid w:val="00554DAD"/>
    <w:rsid w:val="00554FA2"/>
    <w:rsid w:val="005550E6"/>
    <w:rsid w:val="0055520C"/>
    <w:rsid w:val="005554BC"/>
    <w:rsid w:val="005558D9"/>
    <w:rsid w:val="00555B72"/>
    <w:rsid w:val="00555BD7"/>
    <w:rsid w:val="00555CF6"/>
    <w:rsid w:val="0055604F"/>
    <w:rsid w:val="00556361"/>
    <w:rsid w:val="005564B8"/>
    <w:rsid w:val="005569FC"/>
    <w:rsid w:val="00556A21"/>
    <w:rsid w:val="00556B63"/>
    <w:rsid w:val="00556E35"/>
    <w:rsid w:val="00556F11"/>
    <w:rsid w:val="00556FD5"/>
    <w:rsid w:val="00557019"/>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1FED"/>
    <w:rsid w:val="005621A6"/>
    <w:rsid w:val="005623E8"/>
    <w:rsid w:val="005625F4"/>
    <w:rsid w:val="005626BF"/>
    <w:rsid w:val="005629B1"/>
    <w:rsid w:val="00562BBA"/>
    <w:rsid w:val="00562E7F"/>
    <w:rsid w:val="0056371A"/>
    <w:rsid w:val="00563955"/>
    <w:rsid w:val="005639FD"/>
    <w:rsid w:val="00563B74"/>
    <w:rsid w:val="00563D08"/>
    <w:rsid w:val="00563DFF"/>
    <w:rsid w:val="00563E54"/>
    <w:rsid w:val="00563F16"/>
    <w:rsid w:val="00563F47"/>
    <w:rsid w:val="00563F55"/>
    <w:rsid w:val="00564021"/>
    <w:rsid w:val="0056431B"/>
    <w:rsid w:val="005643B1"/>
    <w:rsid w:val="005647DB"/>
    <w:rsid w:val="005648E4"/>
    <w:rsid w:val="00564B70"/>
    <w:rsid w:val="00565272"/>
    <w:rsid w:val="00565921"/>
    <w:rsid w:val="00565D02"/>
    <w:rsid w:val="00565F56"/>
    <w:rsid w:val="0056637F"/>
    <w:rsid w:val="00566394"/>
    <w:rsid w:val="00566803"/>
    <w:rsid w:val="005668BB"/>
    <w:rsid w:val="0056697E"/>
    <w:rsid w:val="00566AB4"/>
    <w:rsid w:val="00566BF7"/>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623"/>
    <w:rsid w:val="00570AEF"/>
    <w:rsid w:val="00570F91"/>
    <w:rsid w:val="005712A4"/>
    <w:rsid w:val="005718A8"/>
    <w:rsid w:val="00571942"/>
    <w:rsid w:val="00571B5A"/>
    <w:rsid w:val="00571B64"/>
    <w:rsid w:val="005721A4"/>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822"/>
    <w:rsid w:val="00575E87"/>
    <w:rsid w:val="0057604C"/>
    <w:rsid w:val="00576147"/>
    <w:rsid w:val="00576436"/>
    <w:rsid w:val="00576564"/>
    <w:rsid w:val="005767C0"/>
    <w:rsid w:val="00576DD5"/>
    <w:rsid w:val="00576E83"/>
    <w:rsid w:val="00576EAA"/>
    <w:rsid w:val="00576FFD"/>
    <w:rsid w:val="005773DC"/>
    <w:rsid w:val="00577618"/>
    <w:rsid w:val="005776CB"/>
    <w:rsid w:val="00577812"/>
    <w:rsid w:val="005779D6"/>
    <w:rsid w:val="00577DE7"/>
    <w:rsid w:val="0058007E"/>
    <w:rsid w:val="0058019F"/>
    <w:rsid w:val="00580408"/>
    <w:rsid w:val="00580664"/>
    <w:rsid w:val="00580CCE"/>
    <w:rsid w:val="005814E6"/>
    <w:rsid w:val="0058172C"/>
    <w:rsid w:val="00581958"/>
    <w:rsid w:val="00581A42"/>
    <w:rsid w:val="00581C03"/>
    <w:rsid w:val="00581D7D"/>
    <w:rsid w:val="005821CC"/>
    <w:rsid w:val="00582D68"/>
    <w:rsid w:val="00582E7D"/>
    <w:rsid w:val="00582E8D"/>
    <w:rsid w:val="005833D3"/>
    <w:rsid w:val="00583944"/>
    <w:rsid w:val="00583E5F"/>
    <w:rsid w:val="00584205"/>
    <w:rsid w:val="00584757"/>
    <w:rsid w:val="00584BFE"/>
    <w:rsid w:val="00584D23"/>
    <w:rsid w:val="00584EC4"/>
    <w:rsid w:val="00585172"/>
    <w:rsid w:val="00585537"/>
    <w:rsid w:val="005855E7"/>
    <w:rsid w:val="00585692"/>
    <w:rsid w:val="00585CF3"/>
    <w:rsid w:val="00585F57"/>
    <w:rsid w:val="00586025"/>
    <w:rsid w:val="005860DE"/>
    <w:rsid w:val="0058624B"/>
    <w:rsid w:val="00586302"/>
    <w:rsid w:val="005864D9"/>
    <w:rsid w:val="0058654F"/>
    <w:rsid w:val="0058662C"/>
    <w:rsid w:val="0058693D"/>
    <w:rsid w:val="00586ACB"/>
    <w:rsid w:val="00586CB5"/>
    <w:rsid w:val="00586CF9"/>
    <w:rsid w:val="00586E61"/>
    <w:rsid w:val="00586F26"/>
    <w:rsid w:val="005870C8"/>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6E2"/>
    <w:rsid w:val="005927CE"/>
    <w:rsid w:val="005929F2"/>
    <w:rsid w:val="00592AA8"/>
    <w:rsid w:val="005931F5"/>
    <w:rsid w:val="00593202"/>
    <w:rsid w:val="0059340C"/>
    <w:rsid w:val="00593546"/>
    <w:rsid w:val="00593DE3"/>
    <w:rsid w:val="005940A3"/>
    <w:rsid w:val="00594376"/>
    <w:rsid w:val="00594451"/>
    <w:rsid w:val="0059465D"/>
    <w:rsid w:val="005949B6"/>
    <w:rsid w:val="00594A07"/>
    <w:rsid w:val="00594A50"/>
    <w:rsid w:val="005951D7"/>
    <w:rsid w:val="0059526A"/>
    <w:rsid w:val="005958A4"/>
    <w:rsid w:val="005958A8"/>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80"/>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51"/>
    <w:rsid w:val="005A36B6"/>
    <w:rsid w:val="005A3DA1"/>
    <w:rsid w:val="005A4315"/>
    <w:rsid w:val="005A4487"/>
    <w:rsid w:val="005A4977"/>
    <w:rsid w:val="005A4A3A"/>
    <w:rsid w:val="005A4ECB"/>
    <w:rsid w:val="005A5135"/>
    <w:rsid w:val="005A54D4"/>
    <w:rsid w:val="005A58D1"/>
    <w:rsid w:val="005A5B14"/>
    <w:rsid w:val="005A5BDE"/>
    <w:rsid w:val="005A5FDC"/>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A7D49"/>
    <w:rsid w:val="005B0135"/>
    <w:rsid w:val="005B0157"/>
    <w:rsid w:val="005B045A"/>
    <w:rsid w:val="005B08D3"/>
    <w:rsid w:val="005B0963"/>
    <w:rsid w:val="005B0BE8"/>
    <w:rsid w:val="005B0C83"/>
    <w:rsid w:val="005B10C2"/>
    <w:rsid w:val="005B1338"/>
    <w:rsid w:val="005B141E"/>
    <w:rsid w:val="005B18B3"/>
    <w:rsid w:val="005B1AB3"/>
    <w:rsid w:val="005B1CF5"/>
    <w:rsid w:val="005B1F12"/>
    <w:rsid w:val="005B20C7"/>
    <w:rsid w:val="005B215A"/>
    <w:rsid w:val="005B25EC"/>
    <w:rsid w:val="005B2820"/>
    <w:rsid w:val="005B2CBF"/>
    <w:rsid w:val="005B31C8"/>
    <w:rsid w:val="005B3204"/>
    <w:rsid w:val="005B363A"/>
    <w:rsid w:val="005B4138"/>
    <w:rsid w:val="005B466D"/>
    <w:rsid w:val="005B4BB9"/>
    <w:rsid w:val="005B4EE9"/>
    <w:rsid w:val="005B4F48"/>
    <w:rsid w:val="005B5615"/>
    <w:rsid w:val="005B56F3"/>
    <w:rsid w:val="005B5751"/>
    <w:rsid w:val="005B57A5"/>
    <w:rsid w:val="005B5CB2"/>
    <w:rsid w:val="005B5CFC"/>
    <w:rsid w:val="005B60C7"/>
    <w:rsid w:val="005B60D6"/>
    <w:rsid w:val="005B636A"/>
    <w:rsid w:val="005B640F"/>
    <w:rsid w:val="005B6763"/>
    <w:rsid w:val="005B69F0"/>
    <w:rsid w:val="005B6A18"/>
    <w:rsid w:val="005B7207"/>
    <w:rsid w:val="005B780A"/>
    <w:rsid w:val="005B7913"/>
    <w:rsid w:val="005B7E45"/>
    <w:rsid w:val="005B7F65"/>
    <w:rsid w:val="005C0039"/>
    <w:rsid w:val="005C0448"/>
    <w:rsid w:val="005C0981"/>
    <w:rsid w:val="005C098F"/>
    <w:rsid w:val="005C0A8D"/>
    <w:rsid w:val="005C0B6C"/>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E2"/>
    <w:rsid w:val="005C456E"/>
    <w:rsid w:val="005C469E"/>
    <w:rsid w:val="005C4877"/>
    <w:rsid w:val="005C4892"/>
    <w:rsid w:val="005C4922"/>
    <w:rsid w:val="005C4EAA"/>
    <w:rsid w:val="005C5095"/>
    <w:rsid w:val="005C53DD"/>
    <w:rsid w:val="005C5A7E"/>
    <w:rsid w:val="005C5B7B"/>
    <w:rsid w:val="005C5BE0"/>
    <w:rsid w:val="005C5DF6"/>
    <w:rsid w:val="005C5EE0"/>
    <w:rsid w:val="005C604A"/>
    <w:rsid w:val="005C6425"/>
    <w:rsid w:val="005C64A9"/>
    <w:rsid w:val="005C65AB"/>
    <w:rsid w:val="005C684A"/>
    <w:rsid w:val="005C69BE"/>
    <w:rsid w:val="005C6A03"/>
    <w:rsid w:val="005C6ADA"/>
    <w:rsid w:val="005C6C3D"/>
    <w:rsid w:val="005C6DDF"/>
    <w:rsid w:val="005C71A6"/>
    <w:rsid w:val="005C71EA"/>
    <w:rsid w:val="005C730E"/>
    <w:rsid w:val="005C74DA"/>
    <w:rsid w:val="005C75F3"/>
    <w:rsid w:val="005C78FE"/>
    <w:rsid w:val="005C7BF3"/>
    <w:rsid w:val="005C7DFF"/>
    <w:rsid w:val="005D0215"/>
    <w:rsid w:val="005D027C"/>
    <w:rsid w:val="005D077F"/>
    <w:rsid w:val="005D07C9"/>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DE9"/>
    <w:rsid w:val="005D2F3A"/>
    <w:rsid w:val="005D3430"/>
    <w:rsid w:val="005D360C"/>
    <w:rsid w:val="005D36CE"/>
    <w:rsid w:val="005D39EF"/>
    <w:rsid w:val="005D3B50"/>
    <w:rsid w:val="005D3E72"/>
    <w:rsid w:val="005D4028"/>
    <w:rsid w:val="005D4565"/>
    <w:rsid w:val="005D4997"/>
    <w:rsid w:val="005D4D3C"/>
    <w:rsid w:val="005D51F0"/>
    <w:rsid w:val="005D5298"/>
    <w:rsid w:val="005D52A1"/>
    <w:rsid w:val="005D532B"/>
    <w:rsid w:val="005D5392"/>
    <w:rsid w:val="005D53AF"/>
    <w:rsid w:val="005D54EF"/>
    <w:rsid w:val="005D5533"/>
    <w:rsid w:val="005D55A7"/>
    <w:rsid w:val="005D55D2"/>
    <w:rsid w:val="005D56BC"/>
    <w:rsid w:val="005D5C1F"/>
    <w:rsid w:val="005D603E"/>
    <w:rsid w:val="005D60C9"/>
    <w:rsid w:val="005D613F"/>
    <w:rsid w:val="005D6198"/>
    <w:rsid w:val="005D660C"/>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1E55"/>
    <w:rsid w:val="005E1F3F"/>
    <w:rsid w:val="005E2005"/>
    <w:rsid w:val="005E209C"/>
    <w:rsid w:val="005E224F"/>
    <w:rsid w:val="005E2460"/>
    <w:rsid w:val="005E262C"/>
    <w:rsid w:val="005E2A6D"/>
    <w:rsid w:val="005E2B22"/>
    <w:rsid w:val="005E2C61"/>
    <w:rsid w:val="005E2CA4"/>
    <w:rsid w:val="005E3046"/>
    <w:rsid w:val="005E3462"/>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000"/>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1D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1F2"/>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815"/>
    <w:rsid w:val="006009AC"/>
    <w:rsid w:val="006009F3"/>
    <w:rsid w:val="00600DA2"/>
    <w:rsid w:val="00600E99"/>
    <w:rsid w:val="006011BA"/>
    <w:rsid w:val="0060144C"/>
    <w:rsid w:val="00601957"/>
    <w:rsid w:val="00602081"/>
    <w:rsid w:val="00602180"/>
    <w:rsid w:val="006021C9"/>
    <w:rsid w:val="00602383"/>
    <w:rsid w:val="006023DB"/>
    <w:rsid w:val="006026AC"/>
    <w:rsid w:val="006026E6"/>
    <w:rsid w:val="00602987"/>
    <w:rsid w:val="00602BEF"/>
    <w:rsid w:val="00602E57"/>
    <w:rsid w:val="00603012"/>
    <w:rsid w:val="006030BB"/>
    <w:rsid w:val="006030BD"/>
    <w:rsid w:val="00603808"/>
    <w:rsid w:val="00603C02"/>
    <w:rsid w:val="00603C48"/>
    <w:rsid w:val="006047B1"/>
    <w:rsid w:val="006047D4"/>
    <w:rsid w:val="00604C70"/>
    <w:rsid w:val="00604DE8"/>
    <w:rsid w:val="006051F3"/>
    <w:rsid w:val="00605261"/>
    <w:rsid w:val="0060548A"/>
    <w:rsid w:val="006054D2"/>
    <w:rsid w:val="006055B8"/>
    <w:rsid w:val="0060563D"/>
    <w:rsid w:val="006056E0"/>
    <w:rsid w:val="00605BE0"/>
    <w:rsid w:val="00605BE6"/>
    <w:rsid w:val="00605FAA"/>
    <w:rsid w:val="006064F1"/>
    <w:rsid w:val="00606608"/>
    <w:rsid w:val="0060683B"/>
    <w:rsid w:val="00606BA1"/>
    <w:rsid w:val="00606C07"/>
    <w:rsid w:val="00606C4D"/>
    <w:rsid w:val="00606D9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0FCD"/>
    <w:rsid w:val="00611228"/>
    <w:rsid w:val="0061156F"/>
    <w:rsid w:val="00611990"/>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3D2"/>
    <w:rsid w:val="00613534"/>
    <w:rsid w:val="0061373D"/>
    <w:rsid w:val="0061388C"/>
    <w:rsid w:val="006139BA"/>
    <w:rsid w:val="00613A9B"/>
    <w:rsid w:val="00613B66"/>
    <w:rsid w:val="00613CCA"/>
    <w:rsid w:val="00614424"/>
    <w:rsid w:val="00614B43"/>
    <w:rsid w:val="00614C5D"/>
    <w:rsid w:val="00614D6C"/>
    <w:rsid w:val="00614E47"/>
    <w:rsid w:val="0061530F"/>
    <w:rsid w:val="006154AB"/>
    <w:rsid w:val="006154FB"/>
    <w:rsid w:val="00615572"/>
    <w:rsid w:val="0061557B"/>
    <w:rsid w:val="006160C4"/>
    <w:rsid w:val="00616265"/>
    <w:rsid w:val="006163CF"/>
    <w:rsid w:val="0061668C"/>
    <w:rsid w:val="00616A0B"/>
    <w:rsid w:val="00616B95"/>
    <w:rsid w:val="00617344"/>
    <w:rsid w:val="00617401"/>
    <w:rsid w:val="006176D6"/>
    <w:rsid w:val="00617784"/>
    <w:rsid w:val="00617EA9"/>
    <w:rsid w:val="00617EEA"/>
    <w:rsid w:val="006206B5"/>
    <w:rsid w:val="006207FC"/>
    <w:rsid w:val="006208FF"/>
    <w:rsid w:val="00620D96"/>
    <w:rsid w:val="00621183"/>
    <w:rsid w:val="0062190D"/>
    <w:rsid w:val="006219AD"/>
    <w:rsid w:val="00621B7A"/>
    <w:rsid w:val="00621C4D"/>
    <w:rsid w:val="00621D64"/>
    <w:rsid w:val="00621E7D"/>
    <w:rsid w:val="00622278"/>
    <w:rsid w:val="0062254B"/>
    <w:rsid w:val="00622552"/>
    <w:rsid w:val="00622579"/>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415F"/>
    <w:rsid w:val="00624376"/>
    <w:rsid w:val="0062460B"/>
    <w:rsid w:val="0062479F"/>
    <w:rsid w:val="0062495F"/>
    <w:rsid w:val="00624A70"/>
    <w:rsid w:val="00624AB7"/>
    <w:rsid w:val="00624B39"/>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2AD"/>
    <w:rsid w:val="006306A9"/>
    <w:rsid w:val="006307DF"/>
    <w:rsid w:val="00630A60"/>
    <w:rsid w:val="00630D50"/>
    <w:rsid w:val="00630EB3"/>
    <w:rsid w:val="00630F9E"/>
    <w:rsid w:val="006312D6"/>
    <w:rsid w:val="0063139E"/>
    <w:rsid w:val="006314DF"/>
    <w:rsid w:val="00631605"/>
    <w:rsid w:val="00631610"/>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40AF"/>
    <w:rsid w:val="006341F7"/>
    <w:rsid w:val="00634297"/>
    <w:rsid w:val="00634A6B"/>
    <w:rsid w:val="00634C12"/>
    <w:rsid w:val="00634C5F"/>
    <w:rsid w:val="00634CB5"/>
    <w:rsid w:val="00634D24"/>
    <w:rsid w:val="00634ECD"/>
    <w:rsid w:val="00634F72"/>
    <w:rsid w:val="00634FBC"/>
    <w:rsid w:val="00635127"/>
    <w:rsid w:val="00635301"/>
    <w:rsid w:val="00635317"/>
    <w:rsid w:val="00635457"/>
    <w:rsid w:val="00635485"/>
    <w:rsid w:val="0063561D"/>
    <w:rsid w:val="0063563F"/>
    <w:rsid w:val="0063580C"/>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32E"/>
    <w:rsid w:val="0064346C"/>
    <w:rsid w:val="006434A3"/>
    <w:rsid w:val="00643563"/>
    <w:rsid w:val="006439A0"/>
    <w:rsid w:val="006439E9"/>
    <w:rsid w:val="00643AE4"/>
    <w:rsid w:val="00643DE6"/>
    <w:rsid w:val="006441C9"/>
    <w:rsid w:val="00644553"/>
    <w:rsid w:val="00644E7A"/>
    <w:rsid w:val="00644E7E"/>
    <w:rsid w:val="00644E87"/>
    <w:rsid w:val="0064511E"/>
    <w:rsid w:val="00645339"/>
    <w:rsid w:val="00645512"/>
    <w:rsid w:val="006457C8"/>
    <w:rsid w:val="00645D23"/>
    <w:rsid w:val="00646231"/>
    <w:rsid w:val="00646235"/>
    <w:rsid w:val="00646259"/>
    <w:rsid w:val="0064625A"/>
    <w:rsid w:val="006469BA"/>
    <w:rsid w:val="00646E88"/>
    <w:rsid w:val="00646EE8"/>
    <w:rsid w:val="0064706F"/>
    <w:rsid w:val="0064732A"/>
    <w:rsid w:val="006474B3"/>
    <w:rsid w:val="006474F2"/>
    <w:rsid w:val="00647B3E"/>
    <w:rsid w:val="00647EB2"/>
    <w:rsid w:val="00647FD7"/>
    <w:rsid w:val="0065008E"/>
    <w:rsid w:val="00650092"/>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CC1"/>
    <w:rsid w:val="0065326D"/>
    <w:rsid w:val="0065343C"/>
    <w:rsid w:val="0065343E"/>
    <w:rsid w:val="0065373D"/>
    <w:rsid w:val="0065376B"/>
    <w:rsid w:val="00653842"/>
    <w:rsid w:val="006538B8"/>
    <w:rsid w:val="006539EE"/>
    <w:rsid w:val="00653B69"/>
    <w:rsid w:val="00653E17"/>
    <w:rsid w:val="00653EE3"/>
    <w:rsid w:val="00654090"/>
    <w:rsid w:val="00654280"/>
    <w:rsid w:val="006542F2"/>
    <w:rsid w:val="006543E4"/>
    <w:rsid w:val="006546BB"/>
    <w:rsid w:val="0065481D"/>
    <w:rsid w:val="00654876"/>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675"/>
    <w:rsid w:val="00660BE4"/>
    <w:rsid w:val="00660E89"/>
    <w:rsid w:val="00660EFE"/>
    <w:rsid w:val="006619C8"/>
    <w:rsid w:val="00661EB1"/>
    <w:rsid w:val="006621A6"/>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08"/>
    <w:rsid w:val="00665A2E"/>
    <w:rsid w:val="00665AD4"/>
    <w:rsid w:val="00665C42"/>
    <w:rsid w:val="00665C96"/>
    <w:rsid w:val="00665CEA"/>
    <w:rsid w:val="00666084"/>
    <w:rsid w:val="006661EA"/>
    <w:rsid w:val="00666215"/>
    <w:rsid w:val="00666499"/>
    <w:rsid w:val="0066655F"/>
    <w:rsid w:val="006665CB"/>
    <w:rsid w:val="0066661F"/>
    <w:rsid w:val="00666B90"/>
    <w:rsid w:val="00666C1E"/>
    <w:rsid w:val="006675B0"/>
    <w:rsid w:val="00667961"/>
    <w:rsid w:val="00667D30"/>
    <w:rsid w:val="0067002B"/>
    <w:rsid w:val="00670147"/>
    <w:rsid w:val="0067029D"/>
    <w:rsid w:val="00670403"/>
    <w:rsid w:val="006704C3"/>
    <w:rsid w:val="00670B0C"/>
    <w:rsid w:val="00670F2F"/>
    <w:rsid w:val="00671028"/>
    <w:rsid w:val="006711BF"/>
    <w:rsid w:val="00671299"/>
    <w:rsid w:val="006713DF"/>
    <w:rsid w:val="0067143B"/>
    <w:rsid w:val="00671487"/>
    <w:rsid w:val="006715B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034"/>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0F3"/>
    <w:rsid w:val="00677604"/>
    <w:rsid w:val="00677861"/>
    <w:rsid w:val="0067798F"/>
    <w:rsid w:val="00677AD6"/>
    <w:rsid w:val="006800E7"/>
    <w:rsid w:val="00680197"/>
    <w:rsid w:val="006804C4"/>
    <w:rsid w:val="00680500"/>
    <w:rsid w:val="006806CA"/>
    <w:rsid w:val="00680ED3"/>
    <w:rsid w:val="00680F0D"/>
    <w:rsid w:val="00680F69"/>
    <w:rsid w:val="00681293"/>
    <w:rsid w:val="006816AC"/>
    <w:rsid w:val="00681933"/>
    <w:rsid w:val="0068194A"/>
    <w:rsid w:val="00681A7A"/>
    <w:rsid w:val="00681C42"/>
    <w:rsid w:val="00681EF1"/>
    <w:rsid w:val="006825F9"/>
    <w:rsid w:val="00682847"/>
    <w:rsid w:val="0068291A"/>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6F1"/>
    <w:rsid w:val="006858DF"/>
    <w:rsid w:val="00685A4D"/>
    <w:rsid w:val="00685ACD"/>
    <w:rsid w:val="00685B24"/>
    <w:rsid w:val="006861E9"/>
    <w:rsid w:val="00686313"/>
    <w:rsid w:val="0068655A"/>
    <w:rsid w:val="00686C7F"/>
    <w:rsid w:val="0068775A"/>
    <w:rsid w:val="00687BC0"/>
    <w:rsid w:val="00687E54"/>
    <w:rsid w:val="00687EB7"/>
    <w:rsid w:val="00690013"/>
    <w:rsid w:val="0069026C"/>
    <w:rsid w:val="00690509"/>
    <w:rsid w:val="0069071A"/>
    <w:rsid w:val="00690823"/>
    <w:rsid w:val="00690A1B"/>
    <w:rsid w:val="00690BDE"/>
    <w:rsid w:val="00690C39"/>
    <w:rsid w:val="00690D30"/>
    <w:rsid w:val="00690F7C"/>
    <w:rsid w:val="00690FD2"/>
    <w:rsid w:val="00691180"/>
    <w:rsid w:val="006913CA"/>
    <w:rsid w:val="00691460"/>
    <w:rsid w:val="0069149A"/>
    <w:rsid w:val="006915DD"/>
    <w:rsid w:val="00691935"/>
    <w:rsid w:val="00691ABB"/>
    <w:rsid w:val="00691B2F"/>
    <w:rsid w:val="00691B50"/>
    <w:rsid w:val="00691C9D"/>
    <w:rsid w:val="006920F4"/>
    <w:rsid w:val="00692480"/>
    <w:rsid w:val="0069258D"/>
    <w:rsid w:val="00692D95"/>
    <w:rsid w:val="00693086"/>
    <w:rsid w:val="0069346F"/>
    <w:rsid w:val="0069360E"/>
    <w:rsid w:val="0069389B"/>
    <w:rsid w:val="00693943"/>
    <w:rsid w:val="00693A6B"/>
    <w:rsid w:val="00693AC5"/>
    <w:rsid w:val="00693D4E"/>
    <w:rsid w:val="00693F81"/>
    <w:rsid w:val="006941FD"/>
    <w:rsid w:val="0069432C"/>
    <w:rsid w:val="00694527"/>
    <w:rsid w:val="006945B4"/>
    <w:rsid w:val="00694630"/>
    <w:rsid w:val="0069471C"/>
    <w:rsid w:val="00694A94"/>
    <w:rsid w:val="00694C68"/>
    <w:rsid w:val="00694E98"/>
    <w:rsid w:val="0069509A"/>
    <w:rsid w:val="006952CE"/>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97F35"/>
    <w:rsid w:val="006A01DE"/>
    <w:rsid w:val="006A024D"/>
    <w:rsid w:val="006A0927"/>
    <w:rsid w:val="006A0A0A"/>
    <w:rsid w:val="006A0C73"/>
    <w:rsid w:val="006A0D67"/>
    <w:rsid w:val="006A114D"/>
    <w:rsid w:val="006A153A"/>
    <w:rsid w:val="006A1831"/>
    <w:rsid w:val="006A1981"/>
    <w:rsid w:val="006A1C0D"/>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3E18"/>
    <w:rsid w:val="006A44FD"/>
    <w:rsid w:val="006A4694"/>
    <w:rsid w:val="006A4C45"/>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7C7"/>
    <w:rsid w:val="006A7DBE"/>
    <w:rsid w:val="006A7F52"/>
    <w:rsid w:val="006A7FF0"/>
    <w:rsid w:val="006B028F"/>
    <w:rsid w:val="006B0483"/>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4CE5"/>
    <w:rsid w:val="006B570A"/>
    <w:rsid w:val="006B5715"/>
    <w:rsid w:val="006B5A61"/>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069"/>
    <w:rsid w:val="006C1729"/>
    <w:rsid w:val="006C192D"/>
    <w:rsid w:val="006C1C38"/>
    <w:rsid w:val="006C1CD1"/>
    <w:rsid w:val="006C208F"/>
    <w:rsid w:val="006C2550"/>
    <w:rsid w:val="006C2678"/>
    <w:rsid w:val="006C29F9"/>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D21"/>
    <w:rsid w:val="006C4EB7"/>
    <w:rsid w:val="006C52E8"/>
    <w:rsid w:val="006C5346"/>
    <w:rsid w:val="006C583D"/>
    <w:rsid w:val="006C589E"/>
    <w:rsid w:val="006C58E9"/>
    <w:rsid w:val="006C5B44"/>
    <w:rsid w:val="006C5F68"/>
    <w:rsid w:val="006C61F8"/>
    <w:rsid w:val="006C64D5"/>
    <w:rsid w:val="006C67DA"/>
    <w:rsid w:val="006C684F"/>
    <w:rsid w:val="006C6D0C"/>
    <w:rsid w:val="006C6E6D"/>
    <w:rsid w:val="006C7242"/>
    <w:rsid w:val="006C74DD"/>
    <w:rsid w:val="006C79A8"/>
    <w:rsid w:val="006C7AE2"/>
    <w:rsid w:val="006C7CC7"/>
    <w:rsid w:val="006D077B"/>
    <w:rsid w:val="006D0974"/>
    <w:rsid w:val="006D09D2"/>
    <w:rsid w:val="006D0A72"/>
    <w:rsid w:val="006D0C8A"/>
    <w:rsid w:val="006D0D92"/>
    <w:rsid w:val="006D121E"/>
    <w:rsid w:val="006D13F9"/>
    <w:rsid w:val="006D176E"/>
    <w:rsid w:val="006D1BD4"/>
    <w:rsid w:val="006D1EE5"/>
    <w:rsid w:val="006D2145"/>
    <w:rsid w:val="006D28D9"/>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C90"/>
    <w:rsid w:val="006D4D3F"/>
    <w:rsid w:val="006D4F23"/>
    <w:rsid w:val="006D5154"/>
    <w:rsid w:val="006D517D"/>
    <w:rsid w:val="006D518F"/>
    <w:rsid w:val="006D5268"/>
    <w:rsid w:val="006D58DB"/>
    <w:rsid w:val="006D5C2B"/>
    <w:rsid w:val="006D5C96"/>
    <w:rsid w:val="006D6010"/>
    <w:rsid w:val="006D6080"/>
    <w:rsid w:val="006D616F"/>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EAC"/>
    <w:rsid w:val="006E1F52"/>
    <w:rsid w:val="006E22E1"/>
    <w:rsid w:val="006E2554"/>
    <w:rsid w:val="006E2653"/>
    <w:rsid w:val="006E27DA"/>
    <w:rsid w:val="006E2875"/>
    <w:rsid w:val="006E2D3E"/>
    <w:rsid w:val="006E329A"/>
    <w:rsid w:val="006E3477"/>
    <w:rsid w:val="006E358D"/>
    <w:rsid w:val="006E3A90"/>
    <w:rsid w:val="006E3CC7"/>
    <w:rsid w:val="006E4585"/>
    <w:rsid w:val="006E4900"/>
    <w:rsid w:val="006E4923"/>
    <w:rsid w:val="006E4960"/>
    <w:rsid w:val="006E4DC4"/>
    <w:rsid w:val="006E4FEC"/>
    <w:rsid w:val="006E5332"/>
    <w:rsid w:val="006E533F"/>
    <w:rsid w:val="006E53A3"/>
    <w:rsid w:val="006E5696"/>
    <w:rsid w:val="006E5BBA"/>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604B"/>
    <w:rsid w:val="006F6337"/>
    <w:rsid w:val="006F6502"/>
    <w:rsid w:val="006F6847"/>
    <w:rsid w:val="006F7262"/>
    <w:rsid w:val="006F73B3"/>
    <w:rsid w:val="006F73B4"/>
    <w:rsid w:val="006F73FC"/>
    <w:rsid w:val="006F7524"/>
    <w:rsid w:val="006F7546"/>
    <w:rsid w:val="006F76C5"/>
    <w:rsid w:val="006F78B1"/>
    <w:rsid w:val="006F794B"/>
    <w:rsid w:val="006F7A24"/>
    <w:rsid w:val="006F7CA3"/>
    <w:rsid w:val="006F7E88"/>
    <w:rsid w:val="007003D9"/>
    <w:rsid w:val="0070089D"/>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43A"/>
    <w:rsid w:val="007035D6"/>
    <w:rsid w:val="007035E8"/>
    <w:rsid w:val="007039BA"/>
    <w:rsid w:val="00703AFB"/>
    <w:rsid w:val="00703EFD"/>
    <w:rsid w:val="007040E6"/>
    <w:rsid w:val="007044BB"/>
    <w:rsid w:val="0070488F"/>
    <w:rsid w:val="00704F73"/>
    <w:rsid w:val="00705306"/>
    <w:rsid w:val="007053A6"/>
    <w:rsid w:val="007054E5"/>
    <w:rsid w:val="00705554"/>
    <w:rsid w:val="00705812"/>
    <w:rsid w:val="00705E55"/>
    <w:rsid w:val="00706076"/>
    <w:rsid w:val="007060FC"/>
    <w:rsid w:val="00706625"/>
    <w:rsid w:val="007068BB"/>
    <w:rsid w:val="0070690C"/>
    <w:rsid w:val="00706952"/>
    <w:rsid w:val="00706B0E"/>
    <w:rsid w:val="00706B40"/>
    <w:rsid w:val="00706C63"/>
    <w:rsid w:val="00706FC4"/>
    <w:rsid w:val="007073B1"/>
    <w:rsid w:val="0070768C"/>
    <w:rsid w:val="007076E6"/>
    <w:rsid w:val="00707D18"/>
    <w:rsid w:val="00707F91"/>
    <w:rsid w:val="00710129"/>
    <w:rsid w:val="00710736"/>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85C"/>
    <w:rsid w:val="007138DE"/>
    <w:rsid w:val="00713970"/>
    <w:rsid w:val="00714A31"/>
    <w:rsid w:val="00714A43"/>
    <w:rsid w:val="007150B0"/>
    <w:rsid w:val="007155A6"/>
    <w:rsid w:val="00715797"/>
    <w:rsid w:val="00715A9A"/>
    <w:rsid w:val="00715B97"/>
    <w:rsid w:val="00716314"/>
    <w:rsid w:val="00716813"/>
    <w:rsid w:val="00716926"/>
    <w:rsid w:val="00716979"/>
    <w:rsid w:val="00716A08"/>
    <w:rsid w:val="00716B77"/>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AF4"/>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B1C"/>
    <w:rsid w:val="00722D3C"/>
    <w:rsid w:val="00722F29"/>
    <w:rsid w:val="0072327F"/>
    <w:rsid w:val="0072339E"/>
    <w:rsid w:val="007233C9"/>
    <w:rsid w:val="0072350A"/>
    <w:rsid w:val="00723619"/>
    <w:rsid w:val="00723859"/>
    <w:rsid w:val="00723CC8"/>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A05"/>
    <w:rsid w:val="00730C79"/>
    <w:rsid w:val="007312CA"/>
    <w:rsid w:val="007317E5"/>
    <w:rsid w:val="0073183B"/>
    <w:rsid w:val="00731859"/>
    <w:rsid w:val="007318DD"/>
    <w:rsid w:val="00731D48"/>
    <w:rsid w:val="00731DB2"/>
    <w:rsid w:val="00732583"/>
    <w:rsid w:val="00732779"/>
    <w:rsid w:val="00732854"/>
    <w:rsid w:val="00732B9E"/>
    <w:rsid w:val="00732C89"/>
    <w:rsid w:val="00732C99"/>
    <w:rsid w:val="00732DFE"/>
    <w:rsid w:val="00732FCA"/>
    <w:rsid w:val="007330EB"/>
    <w:rsid w:val="007334CA"/>
    <w:rsid w:val="007334CC"/>
    <w:rsid w:val="007335B6"/>
    <w:rsid w:val="007336DE"/>
    <w:rsid w:val="00733C00"/>
    <w:rsid w:val="0073402E"/>
    <w:rsid w:val="00734033"/>
    <w:rsid w:val="007344BB"/>
    <w:rsid w:val="007346F5"/>
    <w:rsid w:val="0073489F"/>
    <w:rsid w:val="007349EC"/>
    <w:rsid w:val="00734C92"/>
    <w:rsid w:val="00734ED8"/>
    <w:rsid w:val="007352FB"/>
    <w:rsid w:val="0073538B"/>
    <w:rsid w:val="00735467"/>
    <w:rsid w:val="007354B7"/>
    <w:rsid w:val="00735528"/>
    <w:rsid w:val="00735777"/>
    <w:rsid w:val="0073590F"/>
    <w:rsid w:val="00735A18"/>
    <w:rsid w:val="00735BA3"/>
    <w:rsid w:val="00736037"/>
    <w:rsid w:val="0073605C"/>
    <w:rsid w:val="007364DE"/>
    <w:rsid w:val="007365B7"/>
    <w:rsid w:val="00736924"/>
    <w:rsid w:val="00736971"/>
    <w:rsid w:val="00736A21"/>
    <w:rsid w:val="00736AEF"/>
    <w:rsid w:val="0073718C"/>
    <w:rsid w:val="007371C1"/>
    <w:rsid w:val="007371F5"/>
    <w:rsid w:val="007373D9"/>
    <w:rsid w:val="00737595"/>
    <w:rsid w:val="00737925"/>
    <w:rsid w:val="00737C55"/>
    <w:rsid w:val="00737D5E"/>
    <w:rsid w:val="0074002E"/>
    <w:rsid w:val="00740045"/>
    <w:rsid w:val="007401CE"/>
    <w:rsid w:val="00740260"/>
    <w:rsid w:val="0074028F"/>
    <w:rsid w:val="007402F4"/>
    <w:rsid w:val="0074107F"/>
    <w:rsid w:val="0074122F"/>
    <w:rsid w:val="00741684"/>
    <w:rsid w:val="00741714"/>
    <w:rsid w:val="007417A9"/>
    <w:rsid w:val="0074185E"/>
    <w:rsid w:val="0074188B"/>
    <w:rsid w:val="007418E5"/>
    <w:rsid w:val="00741A20"/>
    <w:rsid w:val="00741B43"/>
    <w:rsid w:val="00741F41"/>
    <w:rsid w:val="00741FFB"/>
    <w:rsid w:val="00742016"/>
    <w:rsid w:val="00742242"/>
    <w:rsid w:val="00742245"/>
    <w:rsid w:val="007423BB"/>
    <w:rsid w:val="00742666"/>
    <w:rsid w:val="00742862"/>
    <w:rsid w:val="00742B32"/>
    <w:rsid w:val="00742C5E"/>
    <w:rsid w:val="00743169"/>
    <w:rsid w:val="0074338A"/>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3A"/>
    <w:rsid w:val="00752E92"/>
    <w:rsid w:val="00752EC6"/>
    <w:rsid w:val="00752FB3"/>
    <w:rsid w:val="00752FD3"/>
    <w:rsid w:val="0075320A"/>
    <w:rsid w:val="007532EE"/>
    <w:rsid w:val="007536E9"/>
    <w:rsid w:val="0075393B"/>
    <w:rsid w:val="00753A31"/>
    <w:rsid w:val="00754589"/>
    <w:rsid w:val="00754F4E"/>
    <w:rsid w:val="00754F9F"/>
    <w:rsid w:val="00755089"/>
    <w:rsid w:val="00755223"/>
    <w:rsid w:val="00755262"/>
    <w:rsid w:val="0075527B"/>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64A"/>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CA3"/>
    <w:rsid w:val="00762D6F"/>
    <w:rsid w:val="00763648"/>
    <w:rsid w:val="007636BD"/>
    <w:rsid w:val="00763CB7"/>
    <w:rsid w:val="00763D1B"/>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5D"/>
    <w:rsid w:val="0076687C"/>
    <w:rsid w:val="00766F38"/>
    <w:rsid w:val="007675D8"/>
    <w:rsid w:val="0076768E"/>
    <w:rsid w:val="007676E5"/>
    <w:rsid w:val="00767700"/>
    <w:rsid w:val="0076771A"/>
    <w:rsid w:val="00767D35"/>
    <w:rsid w:val="00767E15"/>
    <w:rsid w:val="00767FD9"/>
    <w:rsid w:val="007700F8"/>
    <w:rsid w:val="007703E0"/>
    <w:rsid w:val="00770B7A"/>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5A3"/>
    <w:rsid w:val="007735FD"/>
    <w:rsid w:val="0077367E"/>
    <w:rsid w:val="007736A6"/>
    <w:rsid w:val="00773830"/>
    <w:rsid w:val="007738D3"/>
    <w:rsid w:val="00773FF9"/>
    <w:rsid w:val="00774581"/>
    <w:rsid w:val="00774779"/>
    <w:rsid w:val="007748BB"/>
    <w:rsid w:val="00774A0D"/>
    <w:rsid w:val="00774AAA"/>
    <w:rsid w:val="00774AD8"/>
    <w:rsid w:val="00774E94"/>
    <w:rsid w:val="00774FCC"/>
    <w:rsid w:val="0077510C"/>
    <w:rsid w:val="00775284"/>
    <w:rsid w:val="00775886"/>
    <w:rsid w:val="00775934"/>
    <w:rsid w:val="00775974"/>
    <w:rsid w:val="00775CBC"/>
    <w:rsid w:val="00775F0A"/>
    <w:rsid w:val="007762E2"/>
    <w:rsid w:val="00776B7F"/>
    <w:rsid w:val="00776DA5"/>
    <w:rsid w:val="0077711A"/>
    <w:rsid w:val="007773AE"/>
    <w:rsid w:val="00777789"/>
    <w:rsid w:val="0077778C"/>
    <w:rsid w:val="00777CD2"/>
    <w:rsid w:val="00777D1A"/>
    <w:rsid w:val="00777D49"/>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3CA"/>
    <w:rsid w:val="007834F3"/>
    <w:rsid w:val="00783A1E"/>
    <w:rsid w:val="00783B53"/>
    <w:rsid w:val="0078476D"/>
    <w:rsid w:val="007847CD"/>
    <w:rsid w:val="00784840"/>
    <w:rsid w:val="00784C02"/>
    <w:rsid w:val="00784C1B"/>
    <w:rsid w:val="00784D76"/>
    <w:rsid w:val="00784E22"/>
    <w:rsid w:val="00784FC2"/>
    <w:rsid w:val="007853A5"/>
    <w:rsid w:val="00785436"/>
    <w:rsid w:val="00785562"/>
    <w:rsid w:val="007857D2"/>
    <w:rsid w:val="00785A27"/>
    <w:rsid w:val="00785F6D"/>
    <w:rsid w:val="0078660B"/>
    <w:rsid w:val="00786A73"/>
    <w:rsid w:val="00786ACC"/>
    <w:rsid w:val="00786C57"/>
    <w:rsid w:val="00786CE9"/>
    <w:rsid w:val="00786D0E"/>
    <w:rsid w:val="00786D77"/>
    <w:rsid w:val="00787634"/>
    <w:rsid w:val="0078784E"/>
    <w:rsid w:val="00787999"/>
    <w:rsid w:val="0079035A"/>
    <w:rsid w:val="007906A1"/>
    <w:rsid w:val="007906F9"/>
    <w:rsid w:val="007907BA"/>
    <w:rsid w:val="00790A2B"/>
    <w:rsid w:val="00790A2F"/>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48E"/>
    <w:rsid w:val="007935C4"/>
    <w:rsid w:val="007936A6"/>
    <w:rsid w:val="007936F3"/>
    <w:rsid w:val="00793884"/>
    <w:rsid w:val="00794503"/>
    <w:rsid w:val="007946CE"/>
    <w:rsid w:val="00794740"/>
    <w:rsid w:val="007948B5"/>
    <w:rsid w:val="007949EC"/>
    <w:rsid w:val="00794BA7"/>
    <w:rsid w:val="00794F8E"/>
    <w:rsid w:val="00795330"/>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42A"/>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93E"/>
    <w:rsid w:val="007A6ED6"/>
    <w:rsid w:val="007A71D7"/>
    <w:rsid w:val="007A7320"/>
    <w:rsid w:val="007A7453"/>
    <w:rsid w:val="007A7600"/>
    <w:rsid w:val="007A7960"/>
    <w:rsid w:val="007B0002"/>
    <w:rsid w:val="007B017D"/>
    <w:rsid w:val="007B01AF"/>
    <w:rsid w:val="007B075C"/>
    <w:rsid w:val="007B083D"/>
    <w:rsid w:val="007B09B4"/>
    <w:rsid w:val="007B09D1"/>
    <w:rsid w:val="007B0ACC"/>
    <w:rsid w:val="007B0E47"/>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219"/>
    <w:rsid w:val="007B5366"/>
    <w:rsid w:val="007B5419"/>
    <w:rsid w:val="007B544B"/>
    <w:rsid w:val="007B55D0"/>
    <w:rsid w:val="007B58B3"/>
    <w:rsid w:val="007B5B06"/>
    <w:rsid w:val="007B5E6F"/>
    <w:rsid w:val="007B5F7A"/>
    <w:rsid w:val="007B6199"/>
    <w:rsid w:val="007B63AE"/>
    <w:rsid w:val="007B6412"/>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8BA"/>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C83"/>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527"/>
    <w:rsid w:val="007D0846"/>
    <w:rsid w:val="007D0C47"/>
    <w:rsid w:val="007D0D50"/>
    <w:rsid w:val="007D0DD4"/>
    <w:rsid w:val="007D0EF7"/>
    <w:rsid w:val="007D16FF"/>
    <w:rsid w:val="007D1A42"/>
    <w:rsid w:val="007D1A5A"/>
    <w:rsid w:val="007D1AFC"/>
    <w:rsid w:val="007D1DCE"/>
    <w:rsid w:val="007D1DE9"/>
    <w:rsid w:val="007D221D"/>
    <w:rsid w:val="007D2473"/>
    <w:rsid w:val="007D2541"/>
    <w:rsid w:val="007D269C"/>
    <w:rsid w:val="007D26D0"/>
    <w:rsid w:val="007D2B58"/>
    <w:rsid w:val="007D2B94"/>
    <w:rsid w:val="007D2CAF"/>
    <w:rsid w:val="007D31A0"/>
    <w:rsid w:val="007D34B9"/>
    <w:rsid w:val="007D35B2"/>
    <w:rsid w:val="007D3AEC"/>
    <w:rsid w:val="007D3EC8"/>
    <w:rsid w:val="007D3FD8"/>
    <w:rsid w:val="007D45DC"/>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551"/>
    <w:rsid w:val="007D675D"/>
    <w:rsid w:val="007D67A4"/>
    <w:rsid w:val="007D69BC"/>
    <w:rsid w:val="007D6AFB"/>
    <w:rsid w:val="007D6BAA"/>
    <w:rsid w:val="007D6D02"/>
    <w:rsid w:val="007D6D5E"/>
    <w:rsid w:val="007D6FC8"/>
    <w:rsid w:val="007D7175"/>
    <w:rsid w:val="007D73E1"/>
    <w:rsid w:val="007D769B"/>
    <w:rsid w:val="007D76AE"/>
    <w:rsid w:val="007D77C7"/>
    <w:rsid w:val="007D7CC8"/>
    <w:rsid w:val="007D9176"/>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3ACA"/>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FAA"/>
    <w:rsid w:val="007E7501"/>
    <w:rsid w:val="007E756C"/>
    <w:rsid w:val="007E7B9F"/>
    <w:rsid w:val="007E7D0D"/>
    <w:rsid w:val="007E7E1C"/>
    <w:rsid w:val="007F0776"/>
    <w:rsid w:val="007F07F4"/>
    <w:rsid w:val="007F07FD"/>
    <w:rsid w:val="007F0814"/>
    <w:rsid w:val="007F0BF6"/>
    <w:rsid w:val="007F0CB8"/>
    <w:rsid w:val="007F0FD2"/>
    <w:rsid w:val="007F1015"/>
    <w:rsid w:val="007F1016"/>
    <w:rsid w:val="007F10FC"/>
    <w:rsid w:val="007F142B"/>
    <w:rsid w:val="007F190C"/>
    <w:rsid w:val="007F19AA"/>
    <w:rsid w:val="007F2272"/>
    <w:rsid w:val="007F2306"/>
    <w:rsid w:val="007F26DB"/>
    <w:rsid w:val="007F2C18"/>
    <w:rsid w:val="007F2DF4"/>
    <w:rsid w:val="007F2F43"/>
    <w:rsid w:val="007F2F4D"/>
    <w:rsid w:val="007F37AD"/>
    <w:rsid w:val="007F37AE"/>
    <w:rsid w:val="007F38D3"/>
    <w:rsid w:val="007F3C73"/>
    <w:rsid w:val="007F42CF"/>
    <w:rsid w:val="007F4331"/>
    <w:rsid w:val="007F48BB"/>
    <w:rsid w:val="007F48ED"/>
    <w:rsid w:val="007F4D56"/>
    <w:rsid w:val="007F4D74"/>
    <w:rsid w:val="007F4F16"/>
    <w:rsid w:val="007F53A9"/>
    <w:rsid w:val="007F54AA"/>
    <w:rsid w:val="007F55F1"/>
    <w:rsid w:val="007F5C43"/>
    <w:rsid w:val="007F5D52"/>
    <w:rsid w:val="007F5EAD"/>
    <w:rsid w:val="007F5F33"/>
    <w:rsid w:val="007F6724"/>
    <w:rsid w:val="007F67A9"/>
    <w:rsid w:val="007F691E"/>
    <w:rsid w:val="007F6E0C"/>
    <w:rsid w:val="007F727C"/>
    <w:rsid w:val="007F73E2"/>
    <w:rsid w:val="007F748F"/>
    <w:rsid w:val="007F7624"/>
    <w:rsid w:val="007F76BB"/>
    <w:rsid w:val="007F7703"/>
    <w:rsid w:val="007F7E2B"/>
    <w:rsid w:val="0080043A"/>
    <w:rsid w:val="00800555"/>
    <w:rsid w:val="00800593"/>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776"/>
    <w:rsid w:val="008037DB"/>
    <w:rsid w:val="008039AB"/>
    <w:rsid w:val="00803B4B"/>
    <w:rsid w:val="008040B3"/>
    <w:rsid w:val="008040BC"/>
    <w:rsid w:val="008040E8"/>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DE6"/>
    <w:rsid w:val="00805E70"/>
    <w:rsid w:val="00805FB9"/>
    <w:rsid w:val="00806141"/>
    <w:rsid w:val="00806932"/>
    <w:rsid w:val="00806B10"/>
    <w:rsid w:val="00806BF8"/>
    <w:rsid w:val="00807241"/>
    <w:rsid w:val="00807252"/>
    <w:rsid w:val="00807383"/>
    <w:rsid w:val="00807419"/>
    <w:rsid w:val="008076A5"/>
    <w:rsid w:val="008077B2"/>
    <w:rsid w:val="0080780B"/>
    <w:rsid w:val="008078B7"/>
    <w:rsid w:val="00807C1A"/>
    <w:rsid w:val="00807CE2"/>
    <w:rsid w:val="00807CE5"/>
    <w:rsid w:val="00810474"/>
    <w:rsid w:val="008106B4"/>
    <w:rsid w:val="00810A5B"/>
    <w:rsid w:val="00810AE5"/>
    <w:rsid w:val="008111F2"/>
    <w:rsid w:val="0081147E"/>
    <w:rsid w:val="008119CA"/>
    <w:rsid w:val="00812128"/>
    <w:rsid w:val="00812176"/>
    <w:rsid w:val="00812321"/>
    <w:rsid w:val="00812AAE"/>
    <w:rsid w:val="00812AF2"/>
    <w:rsid w:val="00812D5C"/>
    <w:rsid w:val="00812E06"/>
    <w:rsid w:val="00813274"/>
    <w:rsid w:val="00813288"/>
    <w:rsid w:val="00813315"/>
    <w:rsid w:val="008133B2"/>
    <w:rsid w:val="008136B2"/>
    <w:rsid w:val="00813804"/>
    <w:rsid w:val="00813855"/>
    <w:rsid w:val="00813888"/>
    <w:rsid w:val="00813B99"/>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76"/>
    <w:rsid w:val="00824BE7"/>
    <w:rsid w:val="00824D37"/>
    <w:rsid w:val="00824D4D"/>
    <w:rsid w:val="00824E46"/>
    <w:rsid w:val="00824FC3"/>
    <w:rsid w:val="00825189"/>
    <w:rsid w:val="0082519E"/>
    <w:rsid w:val="008252D3"/>
    <w:rsid w:val="00825335"/>
    <w:rsid w:val="008253A1"/>
    <w:rsid w:val="008257AA"/>
    <w:rsid w:val="0082585C"/>
    <w:rsid w:val="008259D7"/>
    <w:rsid w:val="00825B33"/>
    <w:rsid w:val="00825C27"/>
    <w:rsid w:val="00825CBB"/>
    <w:rsid w:val="00825DFA"/>
    <w:rsid w:val="00825FA7"/>
    <w:rsid w:val="0082635A"/>
    <w:rsid w:val="008263BD"/>
    <w:rsid w:val="008264D6"/>
    <w:rsid w:val="0082663A"/>
    <w:rsid w:val="008266F1"/>
    <w:rsid w:val="008268CA"/>
    <w:rsid w:val="00826994"/>
    <w:rsid w:val="008269A8"/>
    <w:rsid w:val="00826EB4"/>
    <w:rsid w:val="008270CD"/>
    <w:rsid w:val="00827117"/>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3E6"/>
    <w:rsid w:val="00831943"/>
    <w:rsid w:val="00831B63"/>
    <w:rsid w:val="00831BD2"/>
    <w:rsid w:val="00831E69"/>
    <w:rsid w:val="00831EFF"/>
    <w:rsid w:val="00831F1E"/>
    <w:rsid w:val="0083219B"/>
    <w:rsid w:val="0083247A"/>
    <w:rsid w:val="008327E6"/>
    <w:rsid w:val="0083293C"/>
    <w:rsid w:val="00832DA5"/>
    <w:rsid w:val="00832FA8"/>
    <w:rsid w:val="008331E9"/>
    <w:rsid w:val="008332FE"/>
    <w:rsid w:val="00833474"/>
    <w:rsid w:val="00833663"/>
    <w:rsid w:val="008336D4"/>
    <w:rsid w:val="008337A8"/>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126"/>
    <w:rsid w:val="00836715"/>
    <w:rsid w:val="00836E03"/>
    <w:rsid w:val="00836EFF"/>
    <w:rsid w:val="00836F2C"/>
    <w:rsid w:val="00837848"/>
    <w:rsid w:val="008379C8"/>
    <w:rsid w:val="00837D08"/>
    <w:rsid w:val="0084005D"/>
    <w:rsid w:val="0084068D"/>
    <w:rsid w:val="00840853"/>
    <w:rsid w:val="0084097C"/>
    <w:rsid w:val="00840AAC"/>
    <w:rsid w:val="00840B80"/>
    <w:rsid w:val="00841076"/>
    <w:rsid w:val="00841088"/>
    <w:rsid w:val="008416C0"/>
    <w:rsid w:val="008416F2"/>
    <w:rsid w:val="008418B1"/>
    <w:rsid w:val="008418F3"/>
    <w:rsid w:val="008419C5"/>
    <w:rsid w:val="00841BFE"/>
    <w:rsid w:val="00841C7E"/>
    <w:rsid w:val="00841F59"/>
    <w:rsid w:val="00841F66"/>
    <w:rsid w:val="0084226A"/>
    <w:rsid w:val="00842BB3"/>
    <w:rsid w:val="00842F90"/>
    <w:rsid w:val="0084310E"/>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5F26"/>
    <w:rsid w:val="00846069"/>
    <w:rsid w:val="008460AE"/>
    <w:rsid w:val="008462C7"/>
    <w:rsid w:val="0084644F"/>
    <w:rsid w:val="008464D2"/>
    <w:rsid w:val="008465E6"/>
    <w:rsid w:val="00846905"/>
    <w:rsid w:val="00846A7E"/>
    <w:rsid w:val="00847379"/>
    <w:rsid w:val="00847536"/>
    <w:rsid w:val="008476AA"/>
    <w:rsid w:val="008477BD"/>
    <w:rsid w:val="0084781B"/>
    <w:rsid w:val="00847842"/>
    <w:rsid w:val="0084791B"/>
    <w:rsid w:val="0084796D"/>
    <w:rsid w:val="00847B3A"/>
    <w:rsid w:val="00847CB1"/>
    <w:rsid w:val="00847D3B"/>
    <w:rsid w:val="00847ED7"/>
    <w:rsid w:val="00847F2D"/>
    <w:rsid w:val="008500FA"/>
    <w:rsid w:val="00850396"/>
    <w:rsid w:val="008506D0"/>
    <w:rsid w:val="00850895"/>
    <w:rsid w:val="008509E2"/>
    <w:rsid w:val="00850CC6"/>
    <w:rsid w:val="00850D6A"/>
    <w:rsid w:val="00850DEB"/>
    <w:rsid w:val="008511B7"/>
    <w:rsid w:val="008512A6"/>
    <w:rsid w:val="008513C5"/>
    <w:rsid w:val="008513EA"/>
    <w:rsid w:val="008514DE"/>
    <w:rsid w:val="008514F5"/>
    <w:rsid w:val="0085174F"/>
    <w:rsid w:val="008517C9"/>
    <w:rsid w:val="008517EE"/>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B7"/>
    <w:rsid w:val="00860DD6"/>
    <w:rsid w:val="00860F8F"/>
    <w:rsid w:val="00860F9B"/>
    <w:rsid w:val="00860FAE"/>
    <w:rsid w:val="00861272"/>
    <w:rsid w:val="00861477"/>
    <w:rsid w:val="008614CA"/>
    <w:rsid w:val="0086179E"/>
    <w:rsid w:val="00862226"/>
    <w:rsid w:val="00862902"/>
    <w:rsid w:val="00862C4F"/>
    <w:rsid w:val="00862CD3"/>
    <w:rsid w:val="00862DAC"/>
    <w:rsid w:val="00863378"/>
    <w:rsid w:val="008637E9"/>
    <w:rsid w:val="00863958"/>
    <w:rsid w:val="008639D6"/>
    <w:rsid w:val="00863D7C"/>
    <w:rsid w:val="00863DF7"/>
    <w:rsid w:val="00863E90"/>
    <w:rsid w:val="00863EF6"/>
    <w:rsid w:val="0086409B"/>
    <w:rsid w:val="00864660"/>
    <w:rsid w:val="00864B33"/>
    <w:rsid w:val="00864B88"/>
    <w:rsid w:val="0086511E"/>
    <w:rsid w:val="0086530E"/>
    <w:rsid w:val="008654CA"/>
    <w:rsid w:val="00865506"/>
    <w:rsid w:val="008655A2"/>
    <w:rsid w:val="0086566F"/>
    <w:rsid w:val="008656F8"/>
    <w:rsid w:val="008658AA"/>
    <w:rsid w:val="00865A75"/>
    <w:rsid w:val="00865C52"/>
    <w:rsid w:val="00865D6C"/>
    <w:rsid w:val="00865DC7"/>
    <w:rsid w:val="00865FE9"/>
    <w:rsid w:val="00866341"/>
    <w:rsid w:val="0086637F"/>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3EC"/>
    <w:rsid w:val="00872461"/>
    <w:rsid w:val="008724E3"/>
    <w:rsid w:val="0087271B"/>
    <w:rsid w:val="00872852"/>
    <w:rsid w:val="00872A54"/>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51"/>
    <w:rsid w:val="00874DD4"/>
    <w:rsid w:val="00874E18"/>
    <w:rsid w:val="008751E6"/>
    <w:rsid w:val="0087531F"/>
    <w:rsid w:val="0087548D"/>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10C"/>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2250"/>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3A5"/>
    <w:rsid w:val="00896575"/>
    <w:rsid w:val="00896612"/>
    <w:rsid w:val="008968D9"/>
    <w:rsid w:val="0089690E"/>
    <w:rsid w:val="00896A26"/>
    <w:rsid w:val="00896BC5"/>
    <w:rsid w:val="00896ED7"/>
    <w:rsid w:val="0089797E"/>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6F0"/>
    <w:rsid w:val="008A37E5"/>
    <w:rsid w:val="008A401D"/>
    <w:rsid w:val="008A4256"/>
    <w:rsid w:val="008A451C"/>
    <w:rsid w:val="008A47DC"/>
    <w:rsid w:val="008A4824"/>
    <w:rsid w:val="008A49B1"/>
    <w:rsid w:val="008A4F1E"/>
    <w:rsid w:val="008A529E"/>
    <w:rsid w:val="008A53F8"/>
    <w:rsid w:val="008A56DC"/>
    <w:rsid w:val="008A5771"/>
    <w:rsid w:val="008A57FB"/>
    <w:rsid w:val="008A5E33"/>
    <w:rsid w:val="008A5ED4"/>
    <w:rsid w:val="008A63B0"/>
    <w:rsid w:val="008A65AB"/>
    <w:rsid w:val="008A6623"/>
    <w:rsid w:val="008A663D"/>
    <w:rsid w:val="008A680F"/>
    <w:rsid w:val="008A6A40"/>
    <w:rsid w:val="008A728F"/>
    <w:rsid w:val="008A73C1"/>
    <w:rsid w:val="008A74D2"/>
    <w:rsid w:val="008A76A5"/>
    <w:rsid w:val="008B007B"/>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52F"/>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149"/>
    <w:rsid w:val="008B71D6"/>
    <w:rsid w:val="008B723D"/>
    <w:rsid w:val="008B76EE"/>
    <w:rsid w:val="008B7721"/>
    <w:rsid w:val="008B77E9"/>
    <w:rsid w:val="008B781A"/>
    <w:rsid w:val="008B7CB2"/>
    <w:rsid w:val="008C0597"/>
    <w:rsid w:val="008C081E"/>
    <w:rsid w:val="008C0BCD"/>
    <w:rsid w:val="008C0E6B"/>
    <w:rsid w:val="008C1B54"/>
    <w:rsid w:val="008C23C8"/>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3C9"/>
    <w:rsid w:val="008C4456"/>
    <w:rsid w:val="008C47FA"/>
    <w:rsid w:val="008C488B"/>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9B9"/>
    <w:rsid w:val="008C7B2E"/>
    <w:rsid w:val="008C7C58"/>
    <w:rsid w:val="008C7C7C"/>
    <w:rsid w:val="008D052F"/>
    <w:rsid w:val="008D06AC"/>
    <w:rsid w:val="008D06CF"/>
    <w:rsid w:val="008D0782"/>
    <w:rsid w:val="008D0833"/>
    <w:rsid w:val="008D0D2A"/>
    <w:rsid w:val="008D0DAA"/>
    <w:rsid w:val="008D115B"/>
    <w:rsid w:val="008D122C"/>
    <w:rsid w:val="008D1351"/>
    <w:rsid w:val="008D13C6"/>
    <w:rsid w:val="008D18A6"/>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7AC"/>
    <w:rsid w:val="008D582A"/>
    <w:rsid w:val="008D5960"/>
    <w:rsid w:val="008D5A82"/>
    <w:rsid w:val="008D5C2B"/>
    <w:rsid w:val="008D6132"/>
    <w:rsid w:val="008D6163"/>
    <w:rsid w:val="008D64F3"/>
    <w:rsid w:val="008D6627"/>
    <w:rsid w:val="008D684F"/>
    <w:rsid w:val="008D6B42"/>
    <w:rsid w:val="008D6B6B"/>
    <w:rsid w:val="008D6CA4"/>
    <w:rsid w:val="008D6CCB"/>
    <w:rsid w:val="008D6EF6"/>
    <w:rsid w:val="008D71C6"/>
    <w:rsid w:val="008D754B"/>
    <w:rsid w:val="008D7579"/>
    <w:rsid w:val="008D7731"/>
    <w:rsid w:val="008D77CB"/>
    <w:rsid w:val="008D7B61"/>
    <w:rsid w:val="008D7FB4"/>
    <w:rsid w:val="008E05F9"/>
    <w:rsid w:val="008E0629"/>
    <w:rsid w:val="008E06C1"/>
    <w:rsid w:val="008E089A"/>
    <w:rsid w:val="008E08AC"/>
    <w:rsid w:val="008E0967"/>
    <w:rsid w:val="008E0AE2"/>
    <w:rsid w:val="008E0DAC"/>
    <w:rsid w:val="008E0F86"/>
    <w:rsid w:val="008E116D"/>
    <w:rsid w:val="008E14A9"/>
    <w:rsid w:val="008E1615"/>
    <w:rsid w:val="008E171E"/>
    <w:rsid w:val="008E1816"/>
    <w:rsid w:val="008E1A26"/>
    <w:rsid w:val="008E1CA0"/>
    <w:rsid w:val="008E2A23"/>
    <w:rsid w:val="008E2ABF"/>
    <w:rsid w:val="008E2B9C"/>
    <w:rsid w:val="008E2C87"/>
    <w:rsid w:val="008E37BC"/>
    <w:rsid w:val="008E3A51"/>
    <w:rsid w:val="008E3D95"/>
    <w:rsid w:val="008E3EDB"/>
    <w:rsid w:val="008E3FEB"/>
    <w:rsid w:val="008E4256"/>
    <w:rsid w:val="008E45AD"/>
    <w:rsid w:val="008E45F0"/>
    <w:rsid w:val="008E460F"/>
    <w:rsid w:val="008E48AD"/>
    <w:rsid w:val="008E48E8"/>
    <w:rsid w:val="008E4B6C"/>
    <w:rsid w:val="008E4F0C"/>
    <w:rsid w:val="008E503F"/>
    <w:rsid w:val="008E5070"/>
    <w:rsid w:val="008E53A2"/>
    <w:rsid w:val="008E5434"/>
    <w:rsid w:val="008E5B2F"/>
    <w:rsid w:val="008E5E6B"/>
    <w:rsid w:val="008E62A2"/>
    <w:rsid w:val="008E6841"/>
    <w:rsid w:val="008E694A"/>
    <w:rsid w:val="008E6BB6"/>
    <w:rsid w:val="008E6BBA"/>
    <w:rsid w:val="008E6E8C"/>
    <w:rsid w:val="008E6F38"/>
    <w:rsid w:val="008E7006"/>
    <w:rsid w:val="008E706E"/>
    <w:rsid w:val="008E7163"/>
    <w:rsid w:val="008E72F9"/>
    <w:rsid w:val="008E75DC"/>
    <w:rsid w:val="008E7B49"/>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CA6"/>
    <w:rsid w:val="008F2D5A"/>
    <w:rsid w:val="008F2E11"/>
    <w:rsid w:val="008F2E39"/>
    <w:rsid w:val="008F2EDB"/>
    <w:rsid w:val="008F313B"/>
    <w:rsid w:val="008F3270"/>
    <w:rsid w:val="008F3286"/>
    <w:rsid w:val="008F337D"/>
    <w:rsid w:val="008F3411"/>
    <w:rsid w:val="008F3484"/>
    <w:rsid w:val="008F389C"/>
    <w:rsid w:val="008F393E"/>
    <w:rsid w:val="008F4055"/>
    <w:rsid w:val="008F45B6"/>
    <w:rsid w:val="008F45F2"/>
    <w:rsid w:val="008F46DA"/>
    <w:rsid w:val="008F4920"/>
    <w:rsid w:val="008F4C85"/>
    <w:rsid w:val="008F4E07"/>
    <w:rsid w:val="008F4F30"/>
    <w:rsid w:val="008F4F8E"/>
    <w:rsid w:val="008F55E8"/>
    <w:rsid w:val="008F56EA"/>
    <w:rsid w:val="008F596E"/>
    <w:rsid w:val="008F5F8F"/>
    <w:rsid w:val="008F638D"/>
    <w:rsid w:val="008F68DC"/>
    <w:rsid w:val="008F6AFF"/>
    <w:rsid w:val="008F6CB2"/>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D4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0F"/>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6D50"/>
    <w:rsid w:val="009070A1"/>
    <w:rsid w:val="00907123"/>
    <w:rsid w:val="00907197"/>
    <w:rsid w:val="009073ED"/>
    <w:rsid w:val="00907604"/>
    <w:rsid w:val="00907AC2"/>
    <w:rsid w:val="00907B27"/>
    <w:rsid w:val="00907BBE"/>
    <w:rsid w:val="00907E9A"/>
    <w:rsid w:val="00910259"/>
    <w:rsid w:val="00910422"/>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BDE"/>
    <w:rsid w:val="00912EEE"/>
    <w:rsid w:val="00912F51"/>
    <w:rsid w:val="009131EC"/>
    <w:rsid w:val="0091324D"/>
    <w:rsid w:val="00913445"/>
    <w:rsid w:val="00913659"/>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BD3"/>
    <w:rsid w:val="00916CF7"/>
    <w:rsid w:val="00916EB2"/>
    <w:rsid w:val="00917175"/>
    <w:rsid w:val="0091762D"/>
    <w:rsid w:val="009177D8"/>
    <w:rsid w:val="00917A4F"/>
    <w:rsid w:val="00917B90"/>
    <w:rsid w:val="0092005C"/>
    <w:rsid w:val="009201DB"/>
    <w:rsid w:val="00920209"/>
    <w:rsid w:val="0092033B"/>
    <w:rsid w:val="009204C4"/>
    <w:rsid w:val="009205C1"/>
    <w:rsid w:val="0092067F"/>
    <w:rsid w:val="00920923"/>
    <w:rsid w:val="00920ADB"/>
    <w:rsid w:val="00920B54"/>
    <w:rsid w:val="00920BF1"/>
    <w:rsid w:val="00920C92"/>
    <w:rsid w:val="00920CBF"/>
    <w:rsid w:val="00920D77"/>
    <w:rsid w:val="009210F0"/>
    <w:rsid w:val="009211D1"/>
    <w:rsid w:val="009213ED"/>
    <w:rsid w:val="009214CD"/>
    <w:rsid w:val="009217D6"/>
    <w:rsid w:val="009217EE"/>
    <w:rsid w:val="00921846"/>
    <w:rsid w:val="0092184A"/>
    <w:rsid w:val="00921CAD"/>
    <w:rsid w:val="00921EE6"/>
    <w:rsid w:val="00922481"/>
    <w:rsid w:val="009226FB"/>
    <w:rsid w:val="00922ECF"/>
    <w:rsid w:val="00923092"/>
    <w:rsid w:val="009231BC"/>
    <w:rsid w:val="009231DC"/>
    <w:rsid w:val="0092330D"/>
    <w:rsid w:val="009233CD"/>
    <w:rsid w:val="009234A1"/>
    <w:rsid w:val="00923881"/>
    <w:rsid w:val="00923A7F"/>
    <w:rsid w:val="00923B39"/>
    <w:rsid w:val="00923CAC"/>
    <w:rsid w:val="00923D1C"/>
    <w:rsid w:val="00924208"/>
    <w:rsid w:val="00924631"/>
    <w:rsid w:val="009246EF"/>
    <w:rsid w:val="0092498B"/>
    <w:rsid w:val="009249A3"/>
    <w:rsid w:val="00924B8D"/>
    <w:rsid w:val="00924D43"/>
    <w:rsid w:val="00924F9A"/>
    <w:rsid w:val="0092510C"/>
    <w:rsid w:val="009251E1"/>
    <w:rsid w:val="009252F0"/>
    <w:rsid w:val="00925946"/>
    <w:rsid w:val="00925AD5"/>
    <w:rsid w:val="00925C7D"/>
    <w:rsid w:val="00925FBF"/>
    <w:rsid w:val="0092606F"/>
    <w:rsid w:val="009263BA"/>
    <w:rsid w:val="0092657E"/>
    <w:rsid w:val="00926837"/>
    <w:rsid w:val="00926A86"/>
    <w:rsid w:val="00926CC3"/>
    <w:rsid w:val="00927126"/>
    <w:rsid w:val="009276B5"/>
    <w:rsid w:val="00927913"/>
    <w:rsid w:val="00927987"/>
    <w:rsid w:val="00927B2F"/>
    <w:rsid w:val="00927C80"/>
    <w:rsid w:val="00927F58"/>
    <w:rsid w:val="00930063"/>
    <w:rsid w:val="009305F1"/>
    <w:rsid w:val="0093065A"/>
    <w:rsid w:val="00930A42"/>
    <w:rsid w:val="00930B2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374"/>
    <w:rsid w:val="00934709"/>
    <w:rsid w:val="00934800"/>
    <w:rsid w:val="0093481E"/>
    <w:rsid w:val="0093485C"/>
    <w:rsid w:val="00934C2A"/>
    <w:rsid w:val="00934E49"/>
    <w:rsid w:val="00934F9A"/>
    <w:rsid w:val="00935410"/>
    <w:rsid w:val="009355EC"/>
    <w:rsid w:val="009355F5"/>
    <w:rsid w:val="00935B2B"/>
    <w:rsid w:val="00935B74"/>
    <w:rsid w:val="00935C37"/>
    <w:rsid w:val="00935F85"/>
    <w:rsid w:val="00936658"/>
    <w:rsid w:val="00936CCE"/>
    <w:rsid w:val="00936CF4"/>
    <w:rsid w:val="00936E80"/>
    <w:rsid w:val="009370A1"/>
    <w:rsid w:val="00937175"/>
    <w:rsid w:val="00937760"/>
    <w:rsid w:val="009377E4"/>
    <w:rsid w:val="00937BB5"/>
    <w:rsid w:val="0094008E"/>
    <w:rsid w:val="00940266"/>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89C"/>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28F"/>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4C6"/>
    <w:rsid w:val="00950937"/>
    <w:rsid w:val="00950AD0"/>
    <w:rsid w:val="00950AEF"/>
    <w:rsid w:val="009510C4"/>
    <w:rsid w:val="0095114E"/>
    <w:rsid w:val="0095147A"/>
    <w:rsid w:val="009516C4"/>
    <w:rsid w:val="009519DA"/>
    <w:rsid w:val="00951B64"/>
    <w:rsid w:val="00952202"/>
    <w:rsid w:val="00952225"/>
    <w:rsid w:val="0095239B"/>
    <w:rsid w:val="009525CB"/>
    <w:rsid w:val="009527EB"/>
    <w:rsid w:val="009529F3"/>
    <w:rsid w:val="00952A1B"/>
    <w:rsid w:val="00952CFE"/>
    <w:rsid w:val="00952E5F"/>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52EA"/>
    <w:rsid w:val="0095582B"/>
    <w:rsid w:val="009559B6"/>
    <w:rsid w:val="00955DDE"/>
    <w:rsid w:val="00955EC7"/>
    <w:rsid w:val="009561EF"/>
    <w:rsid w:val="00956793"/>
    <w:rsid w:val="00956827"/>
    <w:rsid w:val="009568F4"/>
    <w:rsid w:val="00956C96"/>
    <w:rsid w:val="00956E87"/>
    <w:rsid w:val="00956FD3"/>
    <w:rsid w:val="009571A6"/>
    <w:rsid w:val="0095738D"/>
    <w:rsid w:val="00957501"/>
    <w:rsid w:val="00957C78"/>
    <w:rsid w:val="00957CEF"/>
    <w:rsid w:val="00957E04"/>
    <w:rsid w:val="0096018A"/>
    <w:rsid w:val="0096034D"/>
    <w:rsid w:val="009603BD"/>
    <w:rsid w:val="00960559"/>
    <w:rsid w:val="009606F6"/>
    <w:rsid w:val="00960972"/>
    <w:rsid w:val="00960A6A"/>
    <w:rsid w:val="00960C62"/>
    <w:rsid w:val="00960C9C"/>
    <w:rsid w:val="00960FEE"/>
    <w:rsid w:val="009616EC"/>
    <w:rsid w:val="0096174B"/>
    <w:rsid w:val="00961909"/>
    <w:rsid w:val="00961B9A"/>
    <w:rsid w:val="00961D17"/>
    <w:rsid w:val="00961EA3"/>
    <w:rsid w:val="00961F76"/>
    <w:rsid w:val="00961FCD"/>
    <w:rsid w:val="0096203D"/>
    <w:rsid w:val="00962117"/>
    <w:rsid w:val="0096215D"/>
    <w:rsid w:val="009621C5"/>
    <w:rsid w:val="0096221B"/>
    <w:rsid w:val="00962243"/>
    <w:rsid w:val="00962362"/>
    <w:rsid w:val="00962A49"/>
    <w:rsid w:val="00962AF0"/>
    <w:rsid w:val="00962CC0"/>
    <w:rsid w:val="00962DA1"/>
    <w:rsid w:val="00962F80"/>
    <w:rsid w:val="00962FDA"/>
    <w:rsid w:val="00963025"/>
    <w:rsid w:val="00963187"/>
    <w:rsid w:val="00963420"/>
    <w:rsid w:val="009635A6"/>
    <w:rsid w:val="00963885"/>
    <w:rsid w:val="00963AC8"/>
    <w:rsid w:val="00963EC6"/>
    <w:rsid w:val="00963FBD"/>
    <w:rsid w:val="0096417C"/>
    <w:rsid w:val="00964247"/>
    <w:rsid w:val="009645D2"/>
    <w:rsid w:val="00964834"/>
    <w:rsid w:val="00964EA4"/>
    <w:rsid w:val="00964F50"/>
    <w:rsid w:val="009653A7"/>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29"/>
    <w:rsid w:val="009702C1"/>
    <w:rsid w:val="00970389"/>
    <w:rsid w:val="0097041A"/>
    <w:rsid w:val="00970687"/>
    <w:rsid w:val="00970793"/>
    <w:rsid w:val="00970810"/>
    <w:rsid w:val="0097083A"/>
    <w:rsid w:val="00970974"/>
    <w:rsid w:val="00970CD4"/>
    <w:rsid w:val="00970F19"/>
    <w:rsid w:val="00971146"/>
    <w:rsid w:val="009711A9"/>
    <w:rsid w:val="009711CD"/>
    <w:rsid w:val="00971798"/>
    <w:rsid w:val="0097195B"/>
    <w:rsid w:val="00971E6E"/>
    <w:rsid w:val="00971FCF"/>
    <w:rsid w:val="00971FDE"/>
    <w:rsid w:val="00972316"/>
    <w:rsid w:val="0097242F"/>
    <w:rsid w:val="00972E0C"/>
    <w:rsid w:val="00972F5B"/>
    <w:rsid w:val="00973169"/>
    <w:rsid w:val="009733B4"/>
    <w:rsid w:val="009733D4"/>
    <w:rsid w:val="009734B2"/>
    <w:rsid w:val="00973604"/>
    <w:rsid w:val="00973607"/>
    <w:rsid w:val="009736F3"/>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6B3F"/>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187"/>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0BA"/>
    <w:rsid w:val="0099135D"/>
    <w:rsid w:val="0099148F"/>
    <w:rsid w:val="0099168F"/>
    <w:rsid w:val="009918EC"/>
    <w:rsid w:val="00991A1B"/>
    <w:rsid w:val="00991C1D"/>
    <w:rsid w:val="00991D3C"/>
    <w:rsid w:val="00991D93"/>
    <w:rsid w:val="0099234E"/>
    <w:rsid w:val="00992394"/>
    <w:rsid w:val="0099261C"/>
    <w:rsid w:val="0099264F"/>
    <w:rsid w:val="009928FA"/>
    <w:rsid w:val="00992B2B"/>
    <w:rsid w:val="00992B68"/>
    <w:rsid w:val="00992D80"/>
    <w:rsid w:val="00993183"/>
    <w:rsid w:val="009932C9"/>
    <w:rsid w:val="00993329"/>
    <w:rsid w:val="0099366C"/>
    <w:rsid w:val="00993A2A"/>
    <w:rsid w:val="00993B08"/>
    <w:rsid w:val="00993B7B"/>
    <w:rsid w:val="00993B7C"/>
    <w:rsid w:val="00993CC2"/>
    <w:rsid w:val="00993DF8"/>
    <w:rsid w:val="0099414F"/>
    <w:rsid w:val="00994284"/>
    <w:rsid w:val="009945D8"/>
    <w:rsid w:val="0099470F"/>
    <w:rsid w:val="00994959"/>
    <w:rsid w:val="00994B76"/>
    <w:rsid w:val="00994CA4"/>
    <w:rsid w:val="00995104"/>
    <w:rsid w:val="009951D8"/>
    <w:rsid w:val="00995295"/>
    <w:rsid w:val="00995AC7"/>
    <w:rsid w:val="00995D14"/>
    <w:rsid w:val="00995D18"/>
    <w:rsid w:val="00995E52"/>
    <w:rsid w:val="00995E56"/>
    <w:rsid w:val="00995FD7"/>
    <w:rsid w:val="009960AC"/>
    <w:rsid w:val="009965FE"/>
    <w:rsid w:val="009966ED"/>
    <w:rsid w:val="00996960"/>
    <w:rsid w:val="00996ABB"/>
    <w:rsid w:val="00996CF0"/>
    <w:rsid w:val="00996F81"/>
    <w:rsid w:val="00996FA9"/>
    <w:rsid w:val="0099721B"/>
    <w:rsid w:val="00997369"/>
    <w:rsid w:val="0099745B"/>
    <w:rsid w:val="0099757A"/>
    <w:rsid w:val="0099773F"/>
    <w:rsid w:val="00997C66"/>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5CF"/>
    <w:rsid w:val="009A174C"/>
    <w:rsid w:val="009A1896"/>
    <w:rsid w:val="009A1CB7"/>
    <w:rsid w:val="009A1F37"/>
    <w:rsid w:val="009A2048"/>
    <w:rsid w:val="009A207E"/>
    <w:rsid w:val="009A2518"/>
    <w:rsid w:val="009A25D5"/>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E0D"/>
    <w:rsid w:val="009A4F66"/>
    <w:rsid w:val="009A50A4"/>
    <w:rsid w:val="009A597B"/>
    <w:rsid w:val="009A60B8"/>
    <w:rsid w:val="009A6382"/>
    <w:rsid w:val="009A6A1A"/>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F4B"/>
    <w:rsid w:val="009B106D"/>
    <w:rsid w:val="009B1547"/>
    <w:rsid w:val="009B1561"/>
    <w:rsid w:val="009B15F1"/>
    <w:rsid w:val="009B172E"/>
    <w:rsid w:val="009B1742"/>
    <w:rsid w:val="009B1935"/>
    <w:rsid w:val="009B1BCA"/>
    <w:rsid w:val="009B1CD1"/>
    <w:rsid w:val="009B1E2D"/>
    <w:rsid w:val="009B21AF"/>
    <w:rsid w:val="009B283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02"/>
    <w:rsid w:val="009B57EC"/>
    <w:rsid w:val="009B5BA4"/>
    <w:rsid w:val="009B5E8D"/>
    <w:rsid w:val="009B5F42"/>
    <w:rsid w:val="009B5FC2"/>
    <w:rsid w:val="009B61B8"/>
    <w:rsid w:val="009B6596"/>
    <w:rsid w:val="009B65AD"/>
    <w:rsid w:val="009B6B3D"/>
    <w:rsid w:val="009B6DA1"/>
    <w:rsid w:val="009B6F81"/>
    <w:rsid w:val="009B7003"/>
    <w:rsid w:val="009B753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4D0"/>
    <w:rsid w:val="009C3526"/>
    <w:rsid w:val="009C3623"/>
    <w:rsid w:val="009C3A20"/>
    <w:rsid w:val="009C3CD6"/>
    <w:rsid w:val="009C3E2F"/>
    <w:rsid w:val="009C3E87"/>
    <w:rsid w:val="009C40AA"/>
    <w:rsid w:val="009C40EF"/>
    <w:rsid w:val="009C46AC"/>
    <w:rsid w:val="009C4B49"/>
    <w:rsid w:val="009C4BBB"/>
    <w:rsid w:val="009C4C6C"/>
    <w:rsid w:val="009C4D2B"/>
    <w:rsid w:val="009C4F45"/>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E2A"/>
    <w:rsid w:val="009C6E94"/>
    <w:rsid w:val="009C6F03"/>
    <w:rsid w:val="009C7016"/>
    <w:rsid w:val="009C704D"/>
    <w:rsid w:val="009C7070"/>
    <w:rsid w:val="009C7289"/>
    <w:rsid w:val="009C72D9"/>
    <w:rsid w:val="009C7315"/>
    <w:rsid w:val="009C7770"/>
    <w:rsid w:val="009C7C5D"/>
    <w:rsid w:val="009C7D03"/>
    <w:rsid w:val="009C7D9F"/>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68F"/>
    <w:rsid w:val="009D2740"/>
    <w:rsid w:val="009D2B9C"/>
    <w:rsid w:val="009D2BD0"/>
    <w:rsid w:val="009D2DE3"/>
    <w:rsid w:val="009D38C0"/>
    <w:rsid w:val="009D3A3D"/>
    <w:rsid w:val="009D3B39"/>
    <w:rsid w:val="009D3C12"/>
    <w:rsid w:val="009D3D89"/>
    <w:rsid w:val="009D4016"/>
    <w:rsid w:val="009D4291"/>
    <w:rsid w:val="009D4627"/>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112"/>
    <w:rsid w:val="009D72DF"/>
    <w:rsid w:val="009D755F"/>
    <w:rsid w:val="009D7797"/>
    <w:rsid w:val="009D7B15"/>
    <w:rsid w:val="009D7E7F"/>
    <w:rsid w:val="009E00DB"/>
    <w:rsid w:val="009E0625"/>
    <w:rsid w:val="009E0768"/>
    <w:rsid w:val="009E07CF"/>
    <w:rsid w:val="009E0978"/>
    <w:rsid w:val="009E0AD2"/>
    <w:rsid w:val="009E0B18"/>
    <w:rsid w:val="009E0FCC"/>
    <w:rsid w:val="009E0FE9"/>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D74"/>
    <w:rsid w:val="009E2FE1"/>
    <w:rsid w:val="009E2FF2"/>
    <w:rsid w:val="009E3297"/>
    <w:rsid w:val="009E3E52"/>
    <w:rsid w:val="009E3EBA"/>
    <w:rsid w:val="009E430F"/>
    <w:rsid w:val="009E449A"/>
    <w:rsid w:val="009E44BB"/>
    <w:rsid w:val="009E4A53"/>
    <w:rsid w:val="009E4C2D"/>
    <w:rsid w:val="009E4CA1"/>
    <w:rsid w:val="009E4CC5"/>
    <w:rsid w:val="009E4E2D"/>
    <w:rsid w:val="009E4F89"/>
    <w:rsid w:val="009E5394"/>
    <w:rsid w:val="009E53D3"/>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CDE"/>
    <w:rsid w:val="009E71AF"/>
    <w:rsid w:val="009E72D8"/>
    <w:rsid w:val="009E734D"/>
    <w:rsid w:val="009E7364"/>
    <w:rsid w:val="009E74F7"/>
    <w:rsid w:val="009E76F9"/>
    <w:rsid w:val="009E77FC"/>
    <w:rsid w:val="009E7C1D"/>
    <w:rsid w:val="009F0014"/>
    <w:rsid w:val="009F028D"/>
    <w:rsid w:val="009F09D7"/>
    <w:rsid w:val="009F0A1D"/>
    <w:rsid w:val="009F0BB9"/>
    <w:rsid w:val="009F0DCC"/>
    <w:rsid w:val="009F0E1A"/>
    <w:rsid w:val="009F122A"/>
    <w:rsid w:val="009F13D3"/>
    <w:rsid w:val="009F15AA"/>
    <w:rsid w:val="009F18BA"/>
    <w:rsid w:val="009F1C9B"/>
    <w:rsid w:val="009F1CE6"/>
    <w:rsid w:val="009F1D06"/>
    <w:rsid w:val="009F1DFB"/>
    <w:rsid w:val="009F2269"/>
    <w:rsid w:val="009F27B5"/>
    <w:rsid w:val="009F28B5"/>
    <w:rsid w:val="009F2E5F"/>
    <w:rsid w:val="009F2F2C"/>
    <w:rsid w:val="009F3077"/>
    <w:rsid w:val="009F30A9"/>
    <w:rsid w:val="009F3581"/>
    <w:rsid w:val="009F3A71"/>
    <w:rsid w:val="009F3DD0"/>
    <w:rsid w:val="009F3DE5"/>
    <w:rsid w:val="009F3FB2"/>
    <w:rsid w:val="009F3FE8"/>
    <w:rsid w:val="009F410E"/>
    <w:rsid w:val="009F4261"/>
    <w:rsid w:val="009F4450"/>
    <w:rsid w:val="009F48C0"/>
    <w:rsid w:val="009F4955"/>
    <w:rsid w:val="009F4E2E"/>
    <w:rsid w:val="009F4E3D"/>
    <w:rsid w:val="009F4F1F"/>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956"/>
    <w:rsid w:val="009F7A94"/>
    <w:rsid w:val="009F7D59"/>
    <w:rsid w:val="009F7D5D"/>
    <w:rsid w:val="00A0010B"/>
    <w:rsid w:val="00A0055E"/>
    <w:rsid w:val="00A00B33"/>
    <w:rsid w:val="00A010DC"/>
    <w:rsid w:val="00A012C7"/>
    <w:rsid w:val="00A01677"/>
    <w:rsid w:val="00A01B12"/>
    <w:rsid w:val="00A01E2A"/>
    <w:rsid w:val="00A01E81"/>
    <w:rsid w:val="00A022D4"/>
    <w:rsid w:val="00A023B0"/>
    <w:rsid w:val="00A029F2"/>
    <w:rsid w:val="00A02A02"/>
    <w:rsid w:val="00A02B1C"/>
    <w:rsid w:val="00A02B5C"/>
    <w:rsid w:val="00A02D43"/>
    <w:rsid w:val="00A02D4C"/>
    <w:rsid w:val="00A038E0"/>
    <w:rsid w:val="00A03ADC"/>
    <w:rsid w:val="00A03AE3"/>
    <w:rsid w:val="00A03CB8"/>
    <w:rsid w:val="00A042BE"/>
    <w:rsid w:val="00A0454F"/>
    <w:rsid w:val="00A0458F"/>
    <w:rsid w:val="00A04690"/>
    <w:rsid w:val="00A046FB"/>
    <w:rsid w:val="00A04765"/>
    <w:rsid w:val="00A0492A"/>
    <w:rsid w:val="00A04B93"/>
    <w:rsid w:val="00A04C26"/>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649"/>
    <w:rsid w:val="00A10808"/>
    <w:rsid w:val="00A10CC6"/>
    <w:rsid w:val="00A10D11"/>
    <w:rsid w:val="00A10F29"/>
    <w:rsid w:val="00A110CE"/>
    <w:rsid w:val="00A11444"/>
    <w:rsid w:val="00A116E5"/>
    <w:rsid w:val="00A11800"/>
    <w:rsid w:val="00A1197C"/>
    <w:rsid w:val="00A11A9A"/>
    <w:rsid w:val="00A11AB8"/>
    <w:rsid w:val="00A11C0C"/>
    <w:rsid w:val="00A11D59"/>
    <w:rsid w:val="00A11D5C"/>
    <w:rsid w:val="00A11D91"/>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41BA"/>
    <w:rsid w:val="00A14210"/>
    <w:rsid w:val="00A142AE"/>
    <w:rsid w:val="00A148BF"/>
    <w:rsid w:val="00A14A24"/>
    <w:rsid w:val="00A15108"/>
    <w:rsid w:val="00A1521B"/>
    <w:rsid w:val="00A159F7"/>
    <w:rsid w:val="00A15B94"/>
    <w:rsid w:val="00A15C50"/>
    <w:rsid w:val="00A15CF5"/>
    <w:rsid w:val="00A15F89"/>
    <w:rsid w:val="00A1649C"/>
    <w:rsid w:val="00A1660F"/>
    <w:rsid w:val="00A16616"/>
    <w:rsid w:val="00A16B1D"/>
    <w:rsid w:val="00A16C9D"/>
    <w:rsid w:val="00A16EBB"/>
    <w:rsid w:val="00A1735A"/>
    <w:rsid w:val="00A1785B"/>
    <w:rsid w:val="00A178CF"/>
    <w:rsid w:val="00A17926"/>
    <w:rsid w:val="00A17DAE"/>
    <w:rsid w:val="00A203C1"/>
    <w:rsid w:val="00A203E2"/>
    <w:rsid w:val="00A20603"/>
    <w:rsid w:val="00A20925"/>
    <w:rsid w:val="00A20A4E"/>
    <w:rsid w:val="00A20C1B"/>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01"/>
    <w:rsid w:val="00A244A8"/>
    <w:rsid w:val="00A2480A"/>
    <w:rsid w:val="00A24CB3"/>
    <w:rsid w:val="00A253A6"/>
    <w:rsid w:val="00A25A78"/>
    <w:rsid w:val="00A25ACB"/>
    <w:rsid w:val="00A25B9E"/>
    <w:rsid w:val="00A2642F"/>
    <w:rsid w:val="00A26B77"/>
    <w:rsid w:val="00A26E28"/>
    <w:rsid w:val="00A26E31"/>
    <w:rsid w:val="00A26E59"/>
    <w:rsid w:val="00A272CE"/>
    <w:rsid w:val="00A2750B"/>
    <w:rsid w:val="00A275C3"/>
    <w:rsid w:val="00A276B9"/>
    <w:rsid w:val="00A2774B"/>
    <w:rsid w:val="00A27A5F"/>
    <w:rsid w:val="00A27B69"/>
    <w:rsid w:val="00A27D4B"/>
    <w:rsid w:val="00A27EB5"/>
    <w:rsid w:val="00A3002C"/>
    <w:rsid w:val="00A3022B"/>
    <w:rsid w:val="00A30338"/>
    <w:rsid w:val="00A303BB"/>
    <w:rsid w:val="00A3090E"/>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3FC5"/>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5E65"/>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DD3"/>
    <w:rsid w:val="00A41F5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EC"/>
    <w:rsid w:val="00A44758"/>
    <w:rsid w:val="00A447DD"/>
    <w:rsid w:val="00A44806"/>
    <w:rsid w:val="00A449DF"/>
    <w:rsid w:val="00A44AA7"/>
    <w:rsid w:val="00A44B87"/>
    <w:rsid w:val="00A44BF3"/>
    <w:rsid w:val="00A44C6A"/>
    <w:rsid w:val="00A44C83"/>
    <w:rsid w:val="00A44C96"/>
    <w:rsid w:val="00A44F67"/>
    <w:rsid w:val="00A45218"/>
    <w:rsid w:val="00A454CE"/>
    <w:rsid w:val="00A45893"/>
    <w:rsid w:val="00A45CF3"/>
    <w:rsid w:val="00A45D05"/>
    <w:rsid w:val="00A45D78"/>
    <w:rsid w:val="00A45E1D"/>
    <w:rsid w:val="00A46189"/>
    <w:rsid w:val="00A46772"/>
    <w:rsid w:val="00A467B3"/>
    <w:rsid w:val="00A46FB6"/>
    <w:rsid w:val="00A4708A"/>
    <w:rsid w:val="00A4723A"/>
    <w:rsid w:val="00A47B6C"/>
    <w:rsid w:val="00A47CB5"/>
    <w:rsid w:val="00A47E64"/>
    <w:rsid w:val="00A50335"/>
    <w:rsid w:val="00A509F0"/>
    <w:rsid w:val="00A511D6"/>
    <w:rsid w:val="00A516D5"/>
    <w:rsid w:val="00A5191C"/>
    <w:rsid w:val="00A51C35"/>
    <w:rsid w:val="00A51C53"/>
    <w:rsid w:val="00A520B6"/>
    <w:rsid w:val="00A5217E"/>
    <w:rsid w:val="00A522FF"/>
    <w:rsid w:val="00A523E0"/>
    <w:rsid w:val="00A52402"/>
    <w:rsid w:val="00A52580"/>
    <w:rsid w:val="00A525D8"/>
    <w:rsid w:val="00A528BA"/>
    <w:rsid w:val="00A52A26"/>
    <w:rsid w:val="00A52D50"/>
    <w:rsid w:val="00A52F74"/>
    <w:rsid w:val="00A530E3"/>
    <w:rsid w:val="00A5337F"/>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9C2"/>
    <w:rsid w:val="00A54A3E"/>
    <w:rsid w:val="00A54C1D"/>
    <w:rsid w:val="00A54DE9"/>
    <w:rsid w:val="00A54E4D"/>
    <w:rsid w:val="00A54FC0"/>
    <w:rsid w:val="00A55157"/>
    <w:rsid w:val="00A554D2"/>
    <w:rsid w:val="00A5572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40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C4B"/>
    <w:rsid w:val="00A65D68"/>
    <w:rsid w:val="00A66005"/>
    <w:rsid w:val="00A6607F"/>
    <w:rsid w:val="00A6632C"/>
    <w:rsid w:val="00A6636C"/>
    <w:rsid w:val="00A66431"/>
    <w:rsid w:val="00A664E3"/>
    <w:rsid w:val="00A6659E"/>
    <w:rsid w:val="00A668DD"/>
    <w:rsid w:val="00A66C3D"/>
    <w:rsid w:val="00A66C8C"/>
    <w:rsid w:val="00A671FA"/>
    <w:rsid w:val="00A67383"/>
    <w:rsid w:val="00A673BD"/>
    <w:rsid w:val="00A67710"/>
    <w:rsid w:val="00A677C7"/>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B7D"/>
    <w:rsid w:val="00A71C84"/>
    <w:rsid w:val="00A71DB5"/>
    <w:rsid w:val="00A71E21"/>
    <w:rsid w:val="00A71E6D"/>
    <w:rsid w:val="00A7208A"/>
    <w:rsid w:val="00A721AB"/>
    <w:rsid w:val="00A728E1"/>
    <w:rsid w:val="00A72AF3"/>
    <w:rsid w:val="00A72C65"/>
    <w:rsid w:val="00A730ED"/>
    <w:rsid w:val="00A73139"/>
    <w:rsid w:val="00A731F9"/>
    <w:rsid w:val="00A7327E"/>
    <w:rsid w:val="00A7340E"/>
    <w:rsid w:val="00A73437"/>
    <w:rsid w:val="00A73621"/>
    <w:rsid w:val="00A73811"/>
    <w:rsid w:val="00A7392A"/>
    <w:rsid w:val="00A73D03"/>
    <w:rsid w:val="00A73F50"/>
    <w:rsid w:val="00A7428C"/>
    <w:rsid w:val="00A74790"/>
    <w:rsid w:val="00A749D2"/>
    <w:rsid w:val="00A74AC8"/>
    <w:rsid w:val="00A74DB9"/>
    <w:rsid w:val="00A751EF"/>
    <w:rsid w:val="00A752D8"/>
    <w:rsid w:val="00A75423"/>
    <w:rsid w:val="00A75E8D"/>
    <w:rsid w:val="00A75F81"/>
    <w:rsid w:val="00A762AA"/>
    <w:rsid w:val="00A766FF"/>
    <w:rsid w:val="00A76B4A"/>
    <w:rsid w:val="00A76E00"/>
    <w:rsid w:val="00A76EE9"/>
    <w:rsid w:val="00A7700E"/>
    <w:rsid w:val="00A77131"/>
    <w:rsid w:val="00A7746B"/>
    <w:rsid w:val="00A77620"/>
    <w:rsid w:val="00A77845"/>
    <w:rsid w:val="00A77B53"/>
    <w:rsid w:val="00A77C7B"/>
    <w:rsid w:val="00A77D15"/>
    <w:rsid w:val="00A77D19"/>
    <w:rsid w:val="00A77D45"/>
    <w:rsid w:val="00A77E99"/>
    <w:rsid w:val="00A8050B"/>
    <w:rsid w:val="00A80624"/>
    <w:rsid w:val="00A8094A"/>
    <w:rsid w:val="00A80A31"/>
    <w:rsid w:val="00A80C47"/>
    <w:rsid w:val="00A80C7A"/>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619"/>
    <w:rsid w:val="00A8597C"/>
    <w:rsid w:val="00A859E5"/>
    <w:rsid w:val="00A85C13"/>
    <w:rsid w:val="00A85C6A"/>
    <w:rsid w:val="00A861D1"/>
    <w:rsid w:val="00A862C5"/>
    <w:rsid w:val="00A86418"/>
    <w:rsid w:val="00A86617"/>
    <w:rsid w:val="00A86A63"/>
    <w:rsid w:val="00A86E24"/>
    <w:rsid w:val="00A86F95"/>
    <w:rsid w:val="00A870D1"/>
    <w:rsid w:val="00A87180"/>
    <w:rsid w:val="00A87261"/>
    <w:rsid w:val="00A87514"/>
    <w:rsid w:val="00A87648"/>
    <w:rsid w:val="00A878D1"/>
    <w:rsid w:val="00A87CC9"/>
    <w:rsid w:val="00A90154"/>
    <w:rsid w:val="00A90272"/>
    <w:rsid w:val="00A90657"/>
    <w:rsid w:val="00A906FA"/>
    <w:rsid w:val="00A90944"/>
    <w:rsid w:val="00A90A7F"/>
    <w:rsid w:val="00A90AAD"/>
    <w:rsid w:val="00A90B82"/>
    <w:rsid w:val="00A90FFA"/>
    <w:rsid w:val="00A91051"/>
    <w:rsid w:val="00A91215"/>
    <w:rsid w:val="00A9132A"/>
    <w:rsid w:val="00A9134F"/>
    <w:rsid w:val="00A91BCE"/>
    <w:rsid w:val="00A91D78"/>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757"/>
    <w:rsid w:val="00AA181B"/>
    <w:rsid w:val="00AA1907"/>
    <w:rsid w:val="00AA2221"/>
    <w:rsid w:val="00AA2801"/>
    <w:rsid w:val="00AA29BD"/>
    <w:rsid w:val="00AA2BE2"/>
    <w:rsid w:val="00AA3671"/>
    <w:rsid w:val="00AA3712"/>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09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447"/>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960"/>
    <w:rsid w:val="00AB39B3"/>
    <w:rsid w:val="00AB3A69"/>
    <w:rsid w:val="00AB3B56"/>
    <w:rsid w:val="00AB3E86"/>
    <w:rsid w:val="00AB4299"/>
    <w:rsid w:val="00AB442F"/>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612"/>
    <w:rsid w:val="00AC0AB1"/>
    <w:rsid w:val="00AC1217"/>
    <w:rsid w:val="00AC1346"/>
    <w:rsid w:val="00AC1380"/>
    <w:rsid w:val="00AC18D9"/>
    <w:rsid w:val="00AC2487"/>
    <w:rsid w:val="00AC27FF"/>
    <w:rsid w:val="00AC2A2F"/>
    <w:rsid w:val="00AC2C04"/>
    <w:rsid w:val="00AC2C70"/>
    <w:rsid w:val="00AC2C9A"/>
    <w:rsid w:val="00AC31EC"/>
    <w:rsid w:val="00AC31FD"/>
    <w:rsid w:val="00AC3293"/>
    <w:rsid w:val="00AC3624"/>
    <w:rsid w:val="00AC39FE"/>
    <w:rsid w:val="00AC3A2B"/>
    <w:rsid w:val="00AC3B0B"/>
    <w:rsid w:val="00AC3B27"/>
    <w:rsid w:val="00AC410C"/>
    <w:rsid w:val="00AC429F"/>
    <w:rsid w:val="00AC4321"/>
    <w:rsid w:val="00AC4557"/>
    <w:rsid w:val="00AC49CF"/>
    <w:rsid w:val="00AC4A47"/>
    <w:rsid w:val="00AC4B2B"/>
    <w:rsid w:val="00AC527B"/>
    <w:rsid w:val="00AC53F6"/>
    <w:rsid w:val="00AC542C"/>
    <w:rsid w:val="00AC59A7"/>
    <w:rsid w:val="00AC5B6C"/>
    <w:rsid w:val="00AC5BE8"/>
    <w:rsid w:val="00AC5C06"/>
    <w:rsid w:val="00AC5EFE"/>
    <w:rsid w:val="00AC616B"/>
    <w:rsid w:val="00AC68C8"/>
    <w:rsid w:val="00AC6955"/>
    <w:rsid w:val="00AC6AFA"/>
    <w:rsid w:val="00AC6F35"/>
    <w:rsid w:val="00AC717A"/>
    <w:rsid w:val="00AC77CB"/>
    <w:rsid w:val="00AC782D"/>
    <w:rsid w:val="00AC7908"/>
    <w:rsid w:val="00AC79A0"/>
    <w:rsid w:val="00AC7A16"/>
    <w:rsid w:val="00AC7A3F"/>
    <w:rsid w:val="00AC7C5A"/>
    <w:rsid w:val="00AC7E54"/>
    <w:rsid w:val="00AD0009"/>
    <w:rsid w:val="00AD012E"/>
    <w:rsid w:val="00AD069D"/>
    <w:rsid w:val="00AD081B"/>
    <w:rsid w:val="00AD084B"/>
    <w:rsid w:val="00AD0A55"/>
    <w:rsid w:val="00AD0C38"/>
    <w:rsid w:val="00AD0C45"/>
    <w:rsid w:val="00AD101C"/>
    <w:rsid w:val="00AD1295"/>
    <w:rsid w:val="00AD12AC"/>
    <w:rsid w:val="00AD14C1"/>
    <w:rsid w:val="00AD15B4"/>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88"/>
    <w:rsid w:val="00AD38A2"/>
    <w:rsid w:val="00AD38EF"/>
    <w:rsid w:val="00AD3A52"/>
    <w:rsid w:val="00AD3A59"/>
    <w:rsid w:val="00AD3F62"/>
    <w:rsid w:val="00AD4035"/>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2B"/>
    <w:rsid w:val="00AD6C74"/>
    <w:rsid w:val="00AD7007"/>
    <w:rsid w:val="00AD7053"/>
    <w:rsid w:val="00AD748B"/>
    <w:rsid w:val="00AD7659"/>
    <w:rsid w:val="00AD7895"/>
    <w:rsid w:val="00AD79F1"/>
    <w:rsid w:val="00AD79F4"/>
    <w:rsid w:val="00AD7B8E"/>
    <w:rsid w:val="00AD7DEB"/>
    <w:rsid w:val="00AD7FC8"/>
    <w:rsid w:val="00AE00E2"/>
    <w:rsid w:val="00AE01CF"/>
    <w:rsid w:val="00AE01E4"/>
    <w:rsid w:val="00AE0677"/>
    <w:rsid w:val="00AE0A3A"/>
    <w:rsid w:val="00AE0C87"/>
    <w:rsid w:val="00AE0DCC"/>
    <w:rsid w:val="00AE12E8"/>
    <w:rsid w:val="00AE1315"/>
    <w:rsid w:val="00AE1842"/>
    <w:rsid w:val="00AE1C39"/>
    <w:rsid w:val="00AE2025"/>
    <w:rsid w:val="00AE2421"/>
    <w:rsid w:val="00AE2423"/>
    <w:rsid w:val="00AE26DD"/>
    <w:rsid w:val="00AE2A19"/>
    <w:rsid w:val="00AE2EA0"/>
    <w:rsid w:val="00AE368F"/>
    <w:rsid w:val="00AE386E"/>
    <w:rsid w:val="00AE41B1"/>
    <w:rsid w:val="00AE4240"/>
    <w:rsid w:val="00AE43E9"/>
    <w:rsid w:val="00AE443F"/>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30"/>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6E1"/>
    <w:rsid w:val="00AF79E5"/>
    <w:rsid w:val="00AF7A9B"/>
    <w:rsid w:val="00AF7E92"/>
    <w:rsid w:val="00B00018"/>
    <w:rsid w:val="00B000BE"/>
    <w:rsid w:val="00B0030E"/>
    <w:rsid w:val="00B00356"/>
    <w:rsid w:val="00B00879"/>
    <w:rsid w:val="00B00938"/>
    <w:rsid w:val="00B00C29"/>
    <w:rsid w:val="00B00D80"/>
    <w:rsid w:val="00B01162"/>
    <w:rsid w:val="00B012CA"/>
    <w:rsid w:val="00B01369"/>
    <w:rsid w:val="00B01739"/>
    <w:rsid w:val="00B01D56"/>
    <w:rsid w:val="00B01E3F"/>
    <w:rsid w:val="00B023FD"/>
    <w:rsid w:val="00B0249F"/>
    <w:rsid w:val="00B02584"/>
    <w:rsid w:val="00B029D0"/>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72"/>
    <w:rsid w:val="00B052F6"/>
    <w:rsid w:val="00B05423"/>
    <w:rsid w:val="00B05D68"/>
    <w:rsid w:val="00B05FEC"/>
    <w:rsid w:val="00B061A0"/>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D95"/>
    <w:rsid w:val="00B11F81"/>
    <w:rsid w:val="00B121CA"/>
    <w:rsid w:val="00B12266"/>
    <w:rsid w:val="00B12319"/>
    <w:rsid w:val="00B1265F"/>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3EAF"/>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6C"/>
    <w:rsid w:val="00B20090"/>
    <w:rsid w:val="00B202D4"/>
    <w:rsid w:val="00B20515"/>
    <w:rsid w:val="00B2097D"/>
    <w:rsid w:val="00B20CBF"/>
    <w:rsid w:val="00B20E42"/>
    <w:rsid w:val="00B20E6A"/>
    <w:rsid w:val="00B20E83"/>
    <w:rsid w:val="00B21057"/>
    <w:rsid w:val="00B2112B"/>
    <w:rsid w:val="00B216EC"/>
    <w:rsid w:val="00B21868"/>
    <w:rsid w:val="00B21A36"/>
    <w:rsid w:val="00B21A6C"/>
    <w:rsid w:val="00B21B7A"/>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03B"/>
    <w:rsid w:val="00B261AA"/>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35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50F"/>
    <w:rsid w:val="00B37757"/>
    <w:rsid w:val="00B37D40"/>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451"/>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39"/>
    <w:rsid w:val="00B45AF9"/>
    <w:rsid w:val="00B45B79"/>
    <w:rsid w:val="00B45B7A"/>
    <w:rsid w:val="00B46B64"/>
    <w:rsid w:val="00B46BDD"/>
    <w:rsid w:val="00B46CC1"/>
    <w:rsid w:val="00B46DBE"/>
    <w:rsid w:val="00B470EA"/>
    <w:rsid w:val="00B47394"/>
    <w:rsid w:val="00B47428"/>
    <w:rsid w:val="00B475A9"/>
    <w:rsid w:val="00B4799D"/>
    <w:rsid w:val="00B47A89"/>
    <w:rsid w:val="00B47D66"/>
    <w:rsid w:val="00B47F0C"/>
    <w:rsid w:val="00B50331"/>
    <w:rsid w:val="00B50334"/>
    <w:rsid w:val="00B50C5A"/>
    <w:rsid w:val="00B50D1D"/>
    <w:rsid w:val="00B50DBD"/>
    <w:rsid w:val="00B50EB7"/>
    <w:rsid w:val="00B50EBE"/>
    <w:rsid w:val="00B5135D"/>
    <w:rsid w:val="00B51422"/>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2F34"/>
    <w:rsid w:val="00B52F92"/>
    <w:rsid w:val="00B530DC"/>
    <w:rsid w:val="00B5313E"/>
    <w:rsid w:val="00B53267"/>
    <w:rsid w:val="00B53387"/>
    <w:rsid w:val="00B534F0"/>
    <w:rsid w:val="00B53AEF"/>
    <w:rsid w:val="00B53BC9"/>
    <w:rsid w:val="00B53D03"/>
    <w:rsid w:val="00B53E86"/>
    <w:rsid w:val="00B5417C"/>
    <w:rsid w:val="00B546E2"/>
    <w:rsid w:val="00B5548E"/>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272"/>
    <w:rsid w:val="00B612DE"/>
    <w:rsid w:val="00B6132E"/>
    <w:rsid w:val="00B613EC"/>
    <w:rsid w:val="00B615D3"/>
    <w:rsid w:val="00B61650"/>
    <w:rsid w:val="00B61EB6"/>
    <w:rsid w:val="00B62148"/>
    <w:rsid w:val="00B62226"/>
    <w:rsid w:val="00B6224E"/>
    <w:rsid w:val="00B62649"/>
    <w:rsid w:val="00B626A3"/>
    <w:rsid w:val="00B62746"/>
    <w:rsid w:val="00B62954"/>
    <w:rsid w:val="00B62DAF"/>
    <w:rsid w:val="00B62E1E"/>
    <w:rsid w:val="00B62F2A"/>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D39"/>
    <w:rsid w:val="00B65EDD"/>
    <w:rsid w:val="00B65F1D"/>
    <w:rsid w:val="00B65FEF"/>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1ED2"/>
    <w:rsid w:val="00B72018"/>
    <w:rsid w:val="00B72633"/>
    <w:rsid w:val="00B727D2"/>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B2C"/>
    <w:rsid w:val="00B75E18"/>
    <w:rsid w:val="00B76067"/>
    <w:rsid w:val="00B76260"/>
    <w:rsid w:val="00B76399"/>
    <w:rsid w:val="00B76706"/>
    <w:rsid w:val="00B7696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36"/>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711"/>
    <w:rsid w:val="00B83E46"/>
    <w:rsid w:val="00B843B6"/>
    <w:rsid w:val="00B84689"/>
    <w:rsid w:val="00B849C9"/>
    <w:rsid w:val="00B84A62"/>
    <w:rsid w:val="00B84C10"/>
    <w:rsid w:val="00B84ED3"/>
    <w:rsid w:val="00B84F34"/>
    <w:rsid w:val="00B84F7F"/>
    <w:rsid w:val="00B853C7"/>
    <w:rsid w:val="00B85414"/>
    <w:rsid w:val="00B85465"/>
    <w:rsid w:val="00B85747"/>
    <w:rsid w:val="00B8645C"/>
    <w:rsid w:val="00B86801"/>
    <w:rsid w:val="00B86933"/>
    <w:rsid w:val="00B86BB1"/>
    <w:rsid w:val="00B86C48"/>
    <w:rsid w:val="00B87258"/>
    <w:rsid w:val="00B87688"/>
    <w:rsid w:val="00B8777E"/>
    <w:rsid w:val="00B87BFF"/>
    <w:rsid w:val="00B87D7A"/>
    <w:rsid w:val="00B908F8"/>
    <w:rsid w:val="00B90B26"/>
    <w:rsid w:val="00B90D71"/>
    <w:rsid w:val="00B90DBE"/>
    <w:rsid w:val="00B90DC1"/>
    <w:rsid w:val="00B9101E"/>
    <w:rsid w:val="00B91027"/>
    <w:rsid w:val="00B9111B"/>
    <w:rsid w:val="00B911E7"/>
    <w:rsid w:val="00B91223"/>
    <w:rsid w:val="00B9141B"/>
    <w:rsid w:val="00B91487"/>
    <w:rsid w:val="00B917C1"/>
    <w:rsid w:val="00B91C66"/>
    <w:rsid w:val="00B91CB6"/>
    <w:rsid w:val="00B91D5A"/>
    <w:rsid w:val="00B91F97"/>
    <w:rsid w:val="00B921B0"/>
    <w:rsid w:val="00B9259E"/>
    <w:rsid w:val="00B927CB"/>
    <w:rsid w:val="00B92CB2"/>
    <w:rsid w:val="00B92DCC"/>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1C82"/>
    <w:rsid w:val="00BA1C8A"/>
    <w:rsid w:val="00BA2652"/>
    <w:rsid w:val="00BA2914"/>
    <w:rsid w:val="00BA2B6F"/>
    <w:rsid w:val="00BA2DD7"/>
    <w:rsid w:val="00BA3072"/>
    <w:rsid w:val="00BA30C7"/>
    <w:rsid w:val="00BA35C5"/>
    <w:rsid w:val="00BA3857"/>
    <w:rsid w:val="00BA3A00"/>
    <w:rsid w:val="00BA3CB8"/>
    <w:rsid w:val="00BA3CFD"/>
    <w:rsid w:val="00BA3D55"/>
    <w:rsid w:val="00BA409C"/>
    <w:rsid w:val="00BA4183"/>
    <w:rsid w:val="00BA449D"/>
    <w:rsid w:val="00BA45D8"/>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7246"/>
    <w:rsid w:val="00BA7262"/>
    <w:rsid w:val="00BA7269"/>
    <w:rsid w:val="00BA757B"/>
    <w:rsid w:val="00BA7716"/>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6B1"/>
    <w:rsid w:val="00BB372A"/>
    <w:rsid w:val="00BB3895"/>
    <w:rsid w:val="00BB3990"/>
    <w:rsid w:val="00BB3F05"/>
    <w:rsid w:val="00BB4035"/>
    <w:rsid w:val="00BB434B"/>
    <w:rsid w:val="00BB4485"/>
    <w:rsid w:val="00BB4AEA"/>
    <w:rsid w:val="00BB4AF7"/>
    <w:rsid w:val="00BB4B7E"/>
    <w:rsid w:val="00BB4F35"/>
    <w:rsid w:val="00BB5318"/>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AB0"/>
    <w:rsid w:val="00BC0C75"/>
    <w:rsid w:val="00BC0E32"/>
    <w:rsid w:val="00BC0E33"/>
    <w:rsid w:val="00BC0F7E"/>
    <w:rsid w:val="00BC126B"/>
    <w:rsid w:val="00BC130F"/>
    <w:rsid w:val="00BC18C9"/>
    <w:rsid w:val="00BC1918"/>
    <w:rsid w:val="00BC1A76"/>
    <w:rsid w:val="00BC1AB4"/>
    <w:rsid w:val="00BC1B77"/>
    <w:rsid w:val="00BC1FFB"/>
    <w:rsid w:val="00BC2122"/>
    <w:rsid w:val="00BC23A5"/>
    <w:rsid w:val="00BC265E"/>
    <w:rsid w:val="00BC268D"/>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267"/>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374"/>
    <w:rsid w:val="00BD1838"/>
    <w:rsid w:val="00BD1BAB"/>
    <w:rsid w:val="00BD1CFD"/>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53E"/>
    <w:rsid w:val="00BD460A"/>
    <w:rsid w:val="00BD4D9A"/>
    <w:rsid w:val="00BD4FEC"/>
    <w:rsid w:val="00BD503E"/>
    <w:rsid w:val="00BD5550"/>
    <w:rsid w:val="00BD559C"/>
    <w:rsid w:val="00BD56B8"/>
    <w:rsid w:val="00BD5802"/>
    <w:rsid w:val="00BD618C"/>
    <w:rsid w:val="00BD64BE"/>
    <w:rsid w:val="00BD6593"/>
    <w:rsid w:val="00BD6630"/>
    <w:rsid w:val="00BD6C37"/>
    <w:rsid w:val="00BD6DFD"/>
    <w:rsid w:val="00BD6FDD"/>
    <w:rsid w:val="00BD7460"/>
    <w:rsid w:val="00BD74BF"/>
    <w:rsid w:val="00BE0156"/>
    <w:rsid w:val="00BE05B9"/>
    <w:rsid w:val="00BE0AA9"/>
    <w:rsid w:val="00BE0AC6"/>
    <w:rsid w:val="00BE0F8B"/>
    <w:rsid w:val="00BE0F99"/>
    <w:rsid w:val="00BE101D"/>
    <w:rsid w:val="00BE1176"/>
    <w:rsid w:val="00BE12C9"/>
    <w:rsid w:val="00BE140E"/>
    <w:rsid w:val="00BE1529"/>
    <w:rsid w:val="00BE15FC"/>
    <w:rsid w:val="00BE16AB"/>
    <w:rsid w:val="00BE1CB8"/>
    <w:rsid w:val="00BE1EB7"/>
    <w:rsid w:val="00BE2334"/>
    <w:rsid w:val="00BE2550"/>
    <w:rsid w:val="00BE2748"/>
    <w:rsid w:val="00BE2A26"/>
    <w:rsid w:val="00BE2A83"/>
    <w:rsid w:val="00BE2A90"/>
    <w:rsid w:val="00BE2C59"/>
    <w:rsid w:val="00BE2F12"/>
    <w:rsid w:val="00BE3137"/>
    <w:rsid w:val="00BE3459"/>
    <w:rsid w:val="00BE3651"/>
    <w:rsid w:val="00BE37FF"/>
    <w:rsid w:val="00BE39B4"/>
    <w:rsid w:val="00BE39DE"/>
    <w:rsid w:val="00BE3AD1"/>
    <w:rsid w:val="00BE3D57"/>
    <w:rsid w:val="00BE3DBE"/>
    <w:rsid w:val="00BE3E6B"/>
    <w:rsid w:val="00BE410A"/>
    <w:rsid w:val="00BE47DD"/>
    <w:rsid w:val="00BE48C0"/>
    <w:rsid w:val="00BE48E6"/>
    <w:rsid w:val="00BE4DC7"/>
    <w:rsid w:val="00BE4DE9"/>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3E"/>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E4"/>
    <w:rsid w:val="00BF4F5D"/>
    <w:rsid w:val="00BF5122"/>
    <w:rsid w:val="00BF5455"/>
    <w:rsid w:val="00BF5B8E"/>
    <w:rsid w:val="00BF62E6"/>
    <w:rsid w:val="00BF63B6"/>
    <w:rsid w:val="00BF653F"/>
    <w:rsid w:val="00BF65A5"/>
    <w:rsid w:val="00BF676E"/>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716"/>
    <w:rsid w:val="00C01844"/>
    <w:rsid w:val="00C01876"/>
    <w:rsid w:val="00C018AE"/>
    <w:rsid w:val="00C01B16"/>
    <w:rsid w:val="00C024A0"/>
    <w:rsid w:val="00C0297F"/>
    <w:rsid w:val="00C029D7"/>
    <w:rsid w:val="00C02B4A"/>
    <w:rsid w:val="00C02BD0"/>
    <w:rsid w:val="00C02D1E"/>
    <w:rsid w:val="00C03093"/>
    <w:rsid w:val="00C030FE"/>
    <w:rsid w:val="00C03530"/>
    <w:rsid w:val="00C036B9"/>
    <w:rsid w:val="00C0370B"/>
    <w:rsid w:val="00C03BC7"/>
    <w:rsid w:val="00C03F43"/>
    <w:rsid w:val="00C03F48"/>
    <w:rsid w:val="00C03FD8"/>
    <w:rsid w:val="00C04513"/>
    <w:rsid w:val="00C04557"/>
    <w:rsid w:val="00C04CDB"/>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6FD0"/>
    <w:rsid w:val="00C0707C"/>
    <w:rsid w:val="00C07267"/>
    <w:rsid w:val="00C0747B"/>
    <w:rsid w:val="00C076C2"/>
    <w:rsid w:val="00C07972"/>
    <w:rsid w:val="00C07E81"/>
    <w:rsid w:val="00C07E9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A64"/>
    <w:rsid w:val="00C12DD6"/>
    <w:rsid w:val="00C138AF"/>
    <w:rsid w:val="00C13C42"/>
    <w:rsid w:val="00C13D9B"/>
    <w:rsid w:val="00C14C63"/>
    <w:rsid w:val="00C14F48"/>
    <w:rsid w:val="00C151E3"/>
    <w:rsid w:val="00C15221"/>
    <w:rsid w:val="00C152E3"/>
    <w:rsid w:val="00C154CD"/>
    <w:rsid w:val="00C15507"/>
    <w:rsid w:val="00C15671"/>
    <w:rsid w:val="00C158D3"/>
    <w:rsid w:val="00C158DA"/>
    <w:rsid w:val="00C15C10"/>
    <w:rsid w:val="00C160CD"/>
    <w:rsid w:val="00C165B2"/>
    <w:rsid w:val="00C16703"/>
    <w:rsid w:val="00C16AB2"/>
    <w:rsid w:val="00C16C05"/>
    <w:rsid w:val="00C17036"/>
    <w:rsid w:val="00C17215"/>
    <w:rsid w:val="00C173AD"/>
    <w:rsid w:val="00C1758F"/>
    <w:rsid w:val="00C176CB"/>
    <w:rsid w:val="00C17B66"/>
    <w:rsid w:val="00C17DE5"/>
    <w:rsid w:val="00C17E68"/>
    <w:rsid w:val="00C17F3E"/>
    <w:rsid w:val="00C17FB2"/>
    <w:rsid w:val="00C208D5"/>
    <w:rsid w:val="00C20B43"/>
    <w:rsid w:val="00C20CAB"/>
    <w:rsid w:val="00C20F7A"/>
    <w:rsid w:val="00C21163"/>
    <w:rsid w:val="00C2128A"/>
    <w:rsid w:val="00C214C5"/>
    <w:rsid w:val="00C214E6"/>
    <w:rsid w:val="00C2151A"/>
    <w:rsid w:val="00C219FD"/>
    <w:rsid w:val="00C21A38"/>
    <w:rsid w:val="00C21C30"/>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3F67"/>
    <w:rsid w:val="00C240BF"/>
    <w:rsid w:val="00C24245"/>
    <w:rsid w:val="00C2479D"/>
    <w:rsid w:val="00C247BF"/>
    <w:rsid w:val="00C24BE2"/>
    <w:rsid w:val="00C24ED1"/>
    <w:rsid w:val="00C24F1D"/>
    <w:rsid w:val="00C24F6C"/>
    <w:rsid w:val="00C25159"/>
    <w:rsid w:val="00C2536C"/>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C7F"/>
    <w:rsid w:val="00C30E82"/>
    <w:rsid w:val="00C3105A"/>
    <w:rsid w:val="00C31313"/>
    <w:rsid w:val="00C313F4"/>
    <w:rsid w:val="00C3143C"/>
    <w:rsid w:val="00C3166A"/>
    <w:rsid w:val="00C31810"/>
    <w:rsid w:val="00C3184B"/>
    <w:rsid w:val="00C318E5"/>
    <w:rsid w:val="00C31D95"/>
    <w:rsid w:val="00C31DE4"/>
    <w:rsid w:val="00C31FBA"/>
    <w:rsid w:val="00C323D1"/>
    <w:rsid w:val="00C32576"/>
    <w:rsid w:val="00C325F9"/>
    <w:rsid w:val="00C32AFA"/>
    <w:rsid w:val="00C32C12"/>
    <w:rsid w:val="00C32C39"/>
    <w:rsid w:val="00C32E32"/>
    <w:rsid w:val="00C33439"/>
    <w:rsid w:val="00C33DAD"/>
    <w:rsid w:val="00C348C9"/>
    <w:rsid w:val="00C349B8"/>
    <w:rsid w:val="00C34A49"/>
    <w:rsid w:val="00C34BAA"/>
    <w:rsid w:val="00C34F1C"/>
    <w:rsid w:val="00C35415"/>
    <w:rsid w:val="00C354E3"/>
    <w:rsid w:val="00C355EB"/>
    <w:rsid w:val="00C35D6A"/>
    <w:rsid w:val="00C35E06"/>
    <w:rsid w:val="00C35FB5"/>
    <w:rsid w:val="00C36132"/>
    <w:rsid w:val="00C36168"/>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3DC2"/>
    <w:rsid w:val="00C44069"/>
    <w:rsid w:val="00C443DF"/>
    <w:rsid w:val="00C44476"/>
    <w:rsid w:val="00C4500C"/>
    <w:rsid w:val="00C4504E"/>
    <w:rsid w:val="00C45414"/>
    <w:rsid w:val="00C4545E"/>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831"/>
    <w:rsid w:val="00C47A2C"/>
    <w:rsid w:val="00C47AA1"/>
    <w:rsid w:val="00C47C2D"/>
    <w:rsid w:val="00C50676"/>
    <w:rsid w:val="00C50A03"/>
    <w:rsid w:val="00C5100D"/>
    <w:rsid w:val="00C51307"/>
    <w:rsid w:val="00C513CC"/>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029"/>
    <w:rsid w:val="00C540EA"/>
    <w:rsid w:val="00C54667"/>
    <w:rsid w:val="00C54668"/>
    <w:rsid w:val="00C546C6"/>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C67"/>
    <w:rsid w:val="00C612E0"/>
    <w:rsid w:val="00C61516"/>
    <w:rsid w:val="00C61646"/>
    <w:rsid w:val="00C616E3"/>
    <w:rsid w:val="00C61856"/>
    <w:rsid w:val="00C618C3"/>
    <w:rsid w:val="00C61916"/>
    <w:rsid w:val="00C619ED"/>
    <w:rsid w:val="00C61E6A"/>
    <w:rsid w:val="00C62091"/>
    <w:rsid w:val="00C62171"/>
    <w:rsid w:val="00C622F5"/>
    <w:rsid w:val="00C62699"/>
    <w:rsid w:val="00C626A2"/>
    <w:rsid w:val="00C626E0"/>
    <w:rsid w:val="00C62853"/>
    <w:rsid w:val="00C62975"/>
    <w:rsid w:val="00C629C6"/>
    <w:rsid w:val="00C62E15"/>
    <w:rsid w:val="00C62E42"/>
    <w:rsid w:val="00C62F90"/>
    <w:rsid w:val="00C63051"/>
    <w:rsid w:val="00C630A4"/>
    <w:rsid w:val="00C632C3"/>
    <w:rsid w:val="00C636CC"/>
    <w:rsid w:val="00C6371E"/>
    <w:rsid w:val="00C6373D"/>
    <w:rsid w:val="00C6376F"/>
    <w:rsid w:val="00C6386F"/>
    <w:rsid w:val="00C63F0A"/>
    <w:rsid w:val="00C641E9"/>
    <w:rsid w:val="00C646E0"/>
    <w:rsid w:val="00C646F0"/>
    <w:rsid w:val="00C6492D"/>
    <w:rsid w:val="00C64AF1"/>
    <w:rsid w:val="00C64B75"/>
    <w:rsid w:val="00C64CA8"/>
    <w:rsid w:val="00C64D67"/>
    <w:rsid w:val="00C64E07"/>
    <w:rsid w:val="00C652DA"/>
    <w:rsid w:val="00C65572"/>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70017"/>
    <w:rsid w:val="00C7026C"/>
    <w:rsid w:val="00C7031D"/>
    <w:rsid w:val="00C704C0"/>
    <w:rsid w:val="00C704C9"/>
    <w:rsid w:val="00C70720"/>
    <w:rsid w:val="00C70A1C"/>
    <w:rsid w:val="00C70BC1"/>
    <w:rsid w:val="00C70ED2"/>
    <w:rsid w:val="00C71189"/>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228"/>
    <w:rsid w:val="00C764E4"/>
    <w:rsid w:val="00C76AAB"/>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75"/>
    <w:rsid w:val="00C82EBF"/>
    <w:rsid w:val="00C82ED3"/>
    <w:rsid w:val="00C82FB5"/>
    <w:rsid w:val="00C83405"/>
    <w:rsid w:val="00C83613"/>
    <w:rsid w:val="00C83958"/>
    <w:rsid w:val="00C83B3C"/>
    <w:rsid w:val="00C83F9A"/>
    <w:rsid w:val="00C84324"/>
    <w:rsid w:val="00C8434D"/>
    <w:rsid w:val="00C84898"/>
    <w:rsid w:val="00C848A0"/>
    <w:rsid w:val="00C84A98"/>
    <w:rsid w:val="00C84AE5"/>
    <w:rsid w:val="00C84D61"/>
    <w:rsid w:val="00C850F8"/>
    <w:rsid w:val="00C85145"/>
    <w:rsid w:val="00C85608"/>
    <w:rsid w:val="00C85B6F"/>
    <w:rsid w:val="00C86183"/>
    <w:rsid w:val="00C861EB"/>
    <w:rsid w:val="00C86245"/>
    <w:rsid w:val="00C86370"/>
    <w:rsid w:val="00C867AE"/>
    <w:rsid w:val="00C867E1"/>
    <w:rsid w:val="00C86D7B"/>
    <w:rsid w:val="00C86EEC"/>
    <w:rsid w:val="00C87145"/>
    <w:rsid w:val="00C87318"/>
    <w:rsid w:val="00C875F0"/>
    <w:rsid w:val="00C8771A"/>
    <w:rsid w:val="00C87C1D"/>
    <w:rsid w:val="00C904A8"/>
    <w:rsid w:val="00C90603"/>
    <w:rsid w:val="00C90DA1"/>
    <w:rsid w:val="00C90F11"/>
    <w:rsid w:val="00C9131E"/>
    <w:rsid w:val="00C915A0"/>
    <w:rsid w:val="00C9185A"/>
    <w:rsid w:val="00C919DA"/>
    <w:rsid w:val="00C91A1D"/>
    <w:rsid w:val="00C91AB0"/>
    <w:rsid w:val="00C91BE3"/>
    <w:rsid w:val="00C91E07"/>
    <w:rsid w:val="00C91E8F"/>
    <w:rsid w:val="00C91F7A"/>
    <w:rsid w:val="00C9215C"/>
    <w:rsid w:val="00C92222"/>
    <w:rsid w:val="00C9268B"/>
    <w:rsid w:val="00C9268D"/>
    <w:rsid w:val="00C92957"/>
    <w:rsid w:val="00C92C0C"/>
    <w:rsid w:val="00C92CFA"/>
    <w:rsid w:val="00C92F0A"/>
    <w:rsid w:val="00C92F77"/>
    <w:rsid w:val="00C930C9"/>
    <w:rsid w:val="00C9310B"/>
    <w:rsid w:val="00C93579"/>
    <w:rsid w:val="00C937E9"/>
    <w:rsid w:val="00C93A91"/>
    <w:rsid w:val="00C93C21"/>
    <w:rsid w:val="00C93CB0"/>
    <w:rsid w:val="00C941E2"/>
    <w:rsid w:val="00C942CD"/>
    <w:rsid w:val="00C945E1"/>
    <w:rsid w:val="00C95083"/>
    <w:rsid w:val="00C95241"/>
    <w:rsid w:val="00C953CB"/>
    <w:rsid w:val="00C95639"/>
    <w:rsid w:val="00C95761"/>
    <w:rsid w:val="00C95ED5"/>
    <w:rsid w:val="00C9653E"/>
    <w:rsid w:val="00C966AC"/>
    <w:rsid w:val="00C969DE"/>
    <w:rsid w:val="00C96B91"/>
    <w:rsid w:val="00C96FEF"/>
    <w:rsid w:val="00C976D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94"/>
    <w:rsid w:val="00CA23ED"/>
    <w:rsid w:val="00CA24D9"/>
    <w:rsid w:val="00CA28F3"/>
    <w:rsid w:val="00CA2EE2"/>
    <w:rsid w:val="00CA326D"/>
    <w:rsid w:val="00CA3AD1"/>
    <w:rsid w:val="00CA3CDD"/>
    <w:rsid w:val="00CA3DCC"/>
    <w:rsid w:val="00CA404F"/>
    <w:rsid w:val="00CA463C"/>
    <w:rsid w:val="00CA474B"/>
    <w:rsid w:val="00CA4760"/>
    <w:rsid w:val="00CA4814"/>
    <w:rsid w:val="00CA4863"/>
    <w:rsid w:val="00CA4C2D"/>
    <w:rsid w:val="00CA4C6A"/>
    <w:rsid w:val="00CA51C3"/>
    <w:rsid w:val="00CA54B8"/>
    <w:rsid w:val="00CA5B28"/>
    <w:rsid w:val="00CA5CEA"/>
    <w:rsid w:val="00CA5D19"/>
    <w:rsid w:val="00CA633D"/>
    <w:rsid w:val="00CA63D9"/>
    <w:rsid w:val="00CA6759"/>
    <w:rsid w:val="00CA7560"/>
    <w:rsid w:val="00CA76F9"/>
    <w:rsid w:val="00CA7700"/>
    <w:rsid w:val="00CA7755"/>
    <w:rsid w:val="00CA776B"/>
    <w:rsid w:val="00CA777E"/>
    <w:rsid w:val="00CA7A40"/>
    <w:rsid w:val="00CA7AA0"/>
    <w:rsid w:val="00CA7BAC"/>
    <w:rsid w:val="00CA7D9A"/>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1C7"/>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2FD"/>
    <w:rsid w:val="00CB5470"/>
    <w:rsid w:val="00CB56EC"/>
    <w:rsid w:val="00CB56F2"/>
    <w:rsid w:val="00CB5A25"/>
    <w:rsid w:val="00CB5AB2"/>
    <w:rsid w:val="00CB5B93"/>
    <w:rsid w:val="00CB5C0F"/>
    <w:rsid w:val="00CB5E6C"/>
    <w:rsid w:val="00CB5F55"/>
    <w:rsid w:val="00CB623C"/>
    <w:rsid w:val="00CB6733"/>
    <w:rsid w:val="00CB6737"/>
    <w:rsid w:val="00CB6A01"/>
    <w:rsid w:val="00CB6DE0"/>
    <w:rsid w:val="00CB6FA6"/>
    <w:rsid w:val="00CB7274"/>
    <w:rsid w:val="00CB72C9"/>
    <w:rsid w:val="00CB740D"/>
    <w:rsid w:val="00CB7483"/>
    <w:rsid w:val="00CB78B6"/>
    <w:rsid w:val="00CB7B22"/>
    <w:rsid w:val="00CB7C5C"/>
    <w:rsid w:val="00CB7DE0"/>
    <w:rsid w:val="00CC0543"/>
    <w:rsid w:val="00CC05D3"/>
    <w:rsid w:val="00CC0609"/>
    <w:rsid w:val="00CC071E"/>
    <w:rsid w:val="00CC083E"/>
    <w:rsid w:val="00CC1463"/>
    <w:rsid w:val="00CC158D"/>
    <w:rsid w:val="00CC168E"/>
    <w:rsid w:val="00CC1C59"/>
    <w:rsid w:val="00CC1D4B"/>
    <w:rsid w:val="00CC1E96"/>
    <w:rsid w:val="00CC20BF"/>
    <w:rsid w:val="00CC2255"/>
    <w:rsid w:val="00CC237C"/>
    <w:rsid w:val="00CC246F"/>
    <w:rsid w:val="00CC25A8"/>
    <w:rsid w:val="00CC263C"/>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05"/>
    <w:rsid w:val="00CC5180"/>
    <w:rsid w:val="00CC51D6"/>
    <w:rsid w:val="00CC5280"/>
    <w:rsid w:val="00CC52A6"/>
    <w:rsid w:val="00CC539E"/>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C3B"/>
    <w:rsid w:val="00CD2E1F"/>
    <w:rsid w:val="00CD2EB3"/>
    <w:rsid w:val="00CD30ED"/>
    <w:rsid w:val="00CD3197"/>
    <w:rsid w:val="00CD34DD"/>
    <w:rsid w:val="00CD34FA"/>
    <w:rsid w:val="00CD3544"/>
    <w:rsid w:val="00CD3E8B"/>
    <w:rsid w:val="00CD41DD"/>
    <w:rsid w:val="00CD47F2"/>
    <w:rsid w:val="00CD4ADC"/>
    <w:rsid w:val="00CD4E1C"/>
    <w:rsid w:val="00CD4EBB"/>
    <w:rsid w:val="00CD5571"/>
    <w:rsid w:val="00CD5991"/>
    <w:rsid w:val="00CD5AC0"/>
    <w:rsid w:val="00CD5DA8"/>
    <w:rsid w:val="00CD5DAA"/>
    <w:rsid w:val="00CD5F0A"/>
    <w:rsid w:val="00CD5F4D"/>
    <w:rsid w:val="00CD6331"/>
    <w:rsid w:val="00CD6406"/>
    <w:rsid w:val="00CD64C9"/>
    <w:rsid w:val="00CD6540"/>
    <w:rsid w:val="00CD6703"/>
    <w:rsid w:val="00CD6A12"/>
    <w:rsid w:val="00CD6C0A"/>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A4D"/>
    <w:rsid w:val="00CE2C4C"/>
    <w:rsid w:val="00CE2DA8"/>
    <w:rsid w:val="00CE2FEC"/>
    <w:rsid w:val="00CE3343"/>
    <w:rsid w:val="00CE3552"/>
    <w:rsid w:val="00CE3589"/>
    <w:rsid w:val="00CE3B0E"/>
    <w:rsid w:val="00CE3C8A"/>
    <w:rsid w:val="00CE3D2A"/>
    <w:rsid w:val="00CE436D"/>
    <w:rsid w:val="00CE44A8"/>
    <w:rsid w:val="00CE48FA"/>
    <w:rsid w:val="00CE495C"/>
    <w:rsid w:val="00CE495F"/>
    <w:rsid w:val="00CE5216"/>
    <w:rsid w:val="00CE52E3"/>
    <w:rsid w:val="00CE5986"/>
    <w:rsid w:val="00CE5DD1"/>
    <w:rsid w:val="00CE5E30"/>
    <w:rsid w:val="00CE5E85"/>
    <w:rsid w:val="00CE5FAA"/>
    <w:rsid w:val="00CE63FA"/>
    <w:rsid w:val="00CE6EC3"/>
    <w:rsid w:val="00CE6EEE"/>
    <w:rsid w:val="00CE7572"/>
    <w:rsid w:val="00CE76EE"/>
    <w:rsid w:val="00CE7B52"/>
    <w:rsid w:val="00CE7DE9"/>
    <w:rsid w:val="00CE7E4D"/>
    <w:rsid w:val="00CE7E70"/>
    <w:rsid w:val="00CF0243"/>
    <w:rsid w:val="00CF02A7"/>
    <w:rsid w:val="00CF02FB"/>
    <w:rsid w:val="00CF0607"/>
    <w:rsid w:val="00CF0D39"/>
    <w:rsid w:val="00CF0E85"/>
    <w:rsid w:val="00CF0FAC"/>
    <w:rsid w:val="00CF0FFE"/>
    <w:rsid w:val="00CF101F"/>
    <w:rsid w:val="00CF132F"/>
    <w:rsid w:val="00CF14AD"/>
    <w:rsid w:val="00CF1558"/>
    <w:rsid w:val="00CF1565"/>
    <w:rsid w:val="00CF162A"/>
    <w:rsid w:val="00CF177B"/>
    <w:rsid w:val="00CF192F"/>
    <w:rsid w:val="00CF194F"/>
    <w:rsid w:val="00CF1A06"/>
    <w:rsid w:val="00CF1B1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BFD"/>
    <w:rsid w:val="00CF7D09"/>
    <w:rsid w:val="00CF7E82"/>
    <w:rsid w:val="00D00051"/>
    <w:rsid w:val="00D00195"/>
    <w:rsid w:val="00D00243"/>
    <w:rsid w:val="00D00402"/>
    <w:rsid w:val="00D0064D"/>
    <w:rsid w:val="00D00664"/>
    <w:rsid w:val="00D0075D"/>
    <w:rsid w:val="00D007E4"/>
    <w:rsid w:val="00D008E3"/>
    <w:rsid w:val="00D00993"/>
    <w:rsid w:val="00D0099E"/>
    <w:rsid w:val="00D009AA"/>
    <w:rsid w:val="00D009BA"/>
    <w:rsid w:val="00D00B45"/>
    <w:rsid w:val="00D00C3D"/>
    <w:rsid w:val="00D00CA9"/>
    <w:rsid w:val="00D00DC1"/>
    <w:rsid w:val="00D0114A"/>
    <w:rsid w:val="00D01342"/>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84"/>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FA5"/>
    <w:rsid w:val="00D14003"/>
    <w:rsid w:val="00D14040"/>
    <w:rsid w:val="00D14131"/>
    <w:rsid w:val="00D1414C"/>
    <w:rsid w:val="00D142FA"/>
    <w:rsid w:val="00D148DD"/>
    <w:rsid w:val="00D14B57"/>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5A"/>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50"/>
    <w:rsid w:val="00D23769"/>
    <w:rsid w:val="00D237B5"/>
    <w:rsid w:val="00D2381F"/>
    <w:rsid w:val="00D23A25"/>
    <w:rsid w:val="00D23B3B"/>
    <w:rsid w:val="00D23D17"/>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41F"/>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6FC"/>
    <w:rsid w:val="00D307D9"/>
    <w:rsid w:val="00D30DEE"/>
    <w:rsid w:val="00D30E78"/>
    <w:rsid w:val="00D31170"/>
    <w:rsid w:val="00D311E7"/>
    <w:rsid w:val="00D31348"/>
    <w:rsid w:val="00D314AD"/>
    <w:rsid w:val="00D31582"/>
    <w:rsid w:val="00D31BDD"/>
    <w:rsid w:val="00D32151"/>
    <w:rsid w:val="00D324FC"/>
    <w:rsid w:val="00D32558"/>
    <w:rsid w:val="00D32912"/>
    <w:rsid w:val="00D32A27"/>
    <w:rsid w:val="00D32F54"/>
    <w:rsid w:val="00D3320F"/>
    <w:rsid w:val="00D3343E"/>
    <w:rsid w:val="00D334D5"/>
    <w:rsid w:val="00D33919"/>
    <w:rsid w:val="00D339A8"/>
    <w:rsid w:val="00D33AAD"/>
    <w:rsid w:val="00D33B8B"/>
    <w:rsid w:val="00D34189"/>
    <w:rsid w:val="00D343D7"/>
    <w:rsid w:val="00D34589"/>
    <w:rsid w:val="00D34757"/>
    <w:rsid w:val="00D349D7"/>
    <w:rsid w:val="00D34CAB"/>
    <w:rsid w:val="00D34FE4"/>
    <w:rsid w:val="00D35223"/>
    <w:rsid w:val="00D35290"/>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0E6"/>
    <w:rsid w:val="00D4030A"/>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DC"/>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7C5"/>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924"/>
    <w:rsid w:val="00D50B35"/>
    <w:rsid w:val="00D50CCE"/>
    <w:rsid w:val="00D50F49"/>
    <w:rsid w:val="00D50FEC"/>
    <w:rsid w:val="00D5145E"/>
    <w:rsid w:val="00D51AB2"/>
    <w:rsid w:val="00D51D3E"/>
    <w:rsid w:val="00D51D9F"/>
    <w:rsid w:val="00D51ED2"/>
    <w:rsid w:val="00D51F0A"/>
    <w:rsid w:val="00D5200B"/>
    <w:rsid w:val="00D52478"/>
    <w:rsid w:val="00D524BE"/>
    <w:rsid w:val="00D527E5"/>
    <w:rsid w:val="00D52956"/>
    <w:rsid w:val="00D529BE"/>
    <w:rsid w:val="00D52BBC"/>
    <w:rsid w:val="00D52C38"/>
    <w:rsid w:val="00D52CE1"/>
    <w:rsid w:val="00D52CE3"/>
    <w:rsid w:val="00D53235"/>
    <w:rsid w:val="00D536A4"/>
    <w:rsid w:val="00D5392B"/>
    <w:rsid w:val="00D53980"/>
    <w:rsid w:val="00D53989"/>
    <w:rsid w:val="00D5399E"/>
    <w:rsid w:val="00D539DD"/>
    <w:rsid w:val="00D53E5D"/>
    <w:rsid w:val="00D53FF4"/>
    <w:rsid w:val="00D5468E"/>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446"/>
    <w:rsid w:val="00D576BC"/>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20"/>
    <w:rsid w:val="00D6183D"/>
    <w:rsid w:val="00D61A02"/>
    <w:rsid w:val="00D62208"/>
    <w:rsid w:val="00D625F2"/>
    <w:rsid w:val="00D629C9"/>
    <w:rsid w:val="00D62AAF"/>
    <w:rsid w:val="00D62B8A"/>
    <w:rsid w:val="00D634A7"/>
    <w:rsid w:val="00D634E9"/>
    <w:rsid w:val="00D636AA"/>
    <w:rsid w:val="00D63CDA"/>
    <w:rsid w:val="00D643C5"/>
    <w:rsid w:val="00D64791"/>
    <w:rsid w:val="00D647D7"/>
    <w:rsid w:val="00D6480C"/>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0FF1"/>
    <w:rsid w:val="00D711FF"/>
    <w:rsid w:val="00D714AE"/>
    <w:rsid w:val="00D7165F"/>
    <w:rsid w:val="00D717C5"/>
    <w:rsid w:val="00D724E2"/>
    <w:rsid w:val="00D72500"/>
    <w:rsid w:val="00D72826"/>
    <w:rsid w:val="00D728E2"/>
    <w:rsid w:val="00D729DC"/>
    <w:rsid w:val="00D72B1F"/>
    <w:rsid w:val="00D72C29"/>
    <w:rsid w:val="00D72D1D"/>
    <w:rsid w:val="00D72E6F"/>
    <w:rsid w:val="00D72F3C"/>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19F"/>
    <w:rsid w:val="00D765A0"/>
    <w:rsid w:val="00D765D0"/>
    <w:rsid w:val="00D76709"/>
    <w:rsid w:val="00D767A0"/>
    <w:rsid w:val="00D7682A"/>
    <w:rsid w:val="00D76E51"/>
    <w:rsid w:val="00D7703D"/>
    <w:rsid w:val="00D776D4"/>
    <w:rsid w:val="00D77800"/>
    <w:rsid w:val="00D779F9"/>
    <w:rsid w:val="00D77BBF"/>
    <w:rsid w:val="00D802A6"/>
    <w:rsid w:val="00D8040B"/>
    <w:rsid w:val="00D80512"/>
    <w:rsid w:val="00D80567"/>
    <w:rsid w:val="00D80889"/>
    <w:rsid w:val="00D8088B"/>
    <w:rsid w:val="00D80912"/>
    <w:rsid w:val="00D809AE"/>
    <w:rsid w:val="00D80AF6"/>
    <w:rsid w:val="00D80C3D"/>
    <w:rsid w:val="00D80FB0"/>
    <w:rsid w:val="00D812B7"/>
    <w:rsid w:val="00D81550"/>
    <w:rsid w:val="00D818DD"/>
    <w:rsid w:val="00D81DF1"/>
    <w:rsid w:val="00D820EF"/>
    <w:rsid w:val="00D8231D"/>
    <w:rsid w:val="00D82569"/>
    <w:rsid w:val="00D825DD"/>
    <w:rsid w:val="00D82658"/>
    <w:rsid w:val="00D8297C"/>
    <w:rsid w:val="00D82A80"/>
    <w:rsid w:val="00D82B72"/>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10"/>
    <w:rsid w:val="00D87A6E"/>
    <w:rsid w:val="00D87EAA"/>
    <w:rsid w:val="00D900EF"/>
    <w:rsid w:val="00D90555"/>
    <w:rsid w:val="00D907B3"/>
    <w:rsid w:val="00D9089A"/>
    <w:rsid w:val="00D90932"/>
    <w:rsid w:val="00D90C91"/>
    <w:rsid w:val="00D90CD2"/>
    <w:rsid w:val="00D912E6"/>
    <w:rsid w:val="00D913F5"/>
    <w:rsid w:val="00D91D74"/>
    <w:rsid w:val="00D91E52"/>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84A"/>
    <w:rsid w:val="00D978DD"/>
    <w:rsid w:val="00D978E5"/>
    <w:rsid w:val="00D97D00"/>
    <w:rsid w:val="00D97EFE"/>
    <w:rsid w:val="00DA008F"/>
    <w:rsid w:val="00DA01BF"/>
    <w:rsid w:val="00DA08BB"/>
    <w:rsid w:val="00DA09AF"/>
    <w:rsid w:val="00DA09D2"/>
    <w:rsid w:val="00DA0B44"/>
    <w:rsid w:val="00DA14F6"/>
    <w:rsid w:val="00DA1801"/>
    <w:rsid w:val="00DA1803"/>
    <w:rsid w:val="00DA1923"/>
    <w:rsid w:val="00DA1F2D"/>
    <w:rsid w:val="00DA1F83"/>
    <w:rsid w:val="00DA2176"/>
    <w:rsid w:val="00DA2223"/>
    <w:rsid w:val="00DA22AF"/>
    <w:rsid w:val="00DA22ED"/>
    <w:rsid w:val="00DA24E6"/>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281"/>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B99"/>
    <w:rsid w:val="00DB1C33"/>
    <w:rsid w:val="00DB1D3E"/>
    <w:rsid w:val="00DB1EF5"/>
    <w:rsid w:val="00DB1F51"/>
    <w:rsid w:val="00DB1FE2"/>
    <w:rsid w:val="00DB2327"/>
    <w:rsid w:val="00DB24BC"/>
    <w:rsid w:val="00DB256C"/>
    <w:rsid w:val="00DB27C6"/>
    <w:rsid w:val="00DB28E3"/>
    <w:rsid w:val="00DB3507"/>
    <w:rsid w:val="00DB37CD"/>
    <w:rsid w:val="00DB39D1"/>
    <w:rsid w:val="00DB3F0A"/>
    <w:rsid w:val="00DB41CC"/>
    <w:rsid w:val="00DB4665"/>
    <w:rsid w:val="00DB46B9"/>
    <w:rsid w:val="00DB49E5"/>
    <w:rsid w:val="00DB4AFF"/>
    <w:rsid w:val="00DB4B12"/>
    <w:rsid w:val="00DB4B7C"/>
    <w:rsid w:val="00DB4C97"/>
    <w:rsid w:val="00DB4E2A"/>
    <w:rsid w:val="00DB52BA"/>
    <w:rsid w:val="00DB53FD"/>
    <w:rsid w:val="00DB54EB"/>
    <w:rsid w:val="00DB5A4C"/>
    <w:rsid w:val="00DB5AA2"/>
    <w:rsid w:val="00DB5B85"/>
    <w:rsid w:val="00DB5E56"/>
    <w:rsid w:val="00DB6066"/>
    <w:rsid w:val="00DB6115"/>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04"/>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502"/>
    <w:rsid w:val="00DC479B"/>
    <w:rsid w:val="00DC4BFC"/>
    <w:rsid w:val="00DC4C60"/>
    <w:rsid w:val="00DC50D3"/>
    <w:rsid w:val="00DC511F"/>
    <w:rsid w:val="00DC551C"/>
    <w:rsid w:val="00DC58BD"/>
    <w:rsid w:val="00DC5931"/>
    <w:rsid w:val="00DC5A0D"/>
    <w:rsid w:val="00DC5C6C"/>
    <w:rsid w:val="00DC5E12"/>
    <w:rsid w:val="00DC5F93"/>
    <w:rsid w:val="00DC6203"/>
    <w:rsid w:val="00DC6387"/>
    <w:rsid w:val="00DC6685"/>
    <w:rsid w:val="00DC6868"/>
    <w:rsid w:val="00DC6B52"/>
    <w:rsid w:val="00DC6DCC"/>
    <w:rsid w:val="00DC6F0E"/>
    <w:rsid w:val="00DC7000"/>
    <w:rsid w:val="00DC742E"/>
    <w:rsid w:val="00DC78B7"/>
    <w:rsid w:val="00DC7FD6"/>
    <w:rsid w:val="00DD0135"/>
    <w:rsid w:val="00DD0249"/>
    <w:rsid w:val="00DD042F"/>
    <w:rsid w:val="00DD05DC"/>
    <w:rsid w:val="00DD061A"/>
    <w:rsid w:val="00DD0948"/>
    <w:rsid w:val="00DD0A7A"/>
    <w:rsid w:val="00DD0B37"/>
    <w:rsid w:val="00DD0DAF"/>
    <w:rsid w:val="00DD1017"/>
    <w:rsid w:val="00DD1042"/>
    <w:rsid w:val="00DD1105"/>
    <w:rsid w:val="00DD1213"/>
    <w:rsid w:val="00DD12B1"/>
    <w:rsid w:val="00DD14EB"/>
    <w:rsid w:val="00DD1511"/>
    <w:rsid w:val="00DD1688"/>
    <w:rsid w:val="00DD168F"/>
    <w:rsid w:val="00DD16DB"/>
    <w:rsid w:val="00DD17AC"/>
    <w:rsid w:val="00DD1B07"/>
    <w:rsid w:val="00DD1CDB"/>
    <w:rsid w:val="00DD20D2"/>
    <w:rsid w:val="00DD247B"/>
    <w:rsid w:val="00DD255F"/>
    <w:rsid w:val="00DD270C"/>
    <w:rsid w:val="00DD274B"/>
    <w:rsid w:val="00DD277A"/>
    <w:rsid w:val="00DD2A72"/>
    <w:rsid w:val="00DD2AAB"/>
    <w:rsid w:val="00DD2F61"/>
    <w:rsid w:val="00DD30B6"/>
    <w:rsid w:val="00DD3386"/>
    <w:rsid w:val="00DD3534"/>
    <w:rsid w:val="00DD38C7"/>
    <w:rsid w:val="00DD3AB4"/>
    <w:rsid w:val="00DD3AEB"/>
    <w:rsid w:val="00DD3C15"/>
    <w:rsid w:val="00DD4022"/>
    <w:rsid w:val="00DD419B"/>
    <w:rsid w:val="00DD42BA"/>
    <w:rsid w:val="00DD453D"/>
    <w:rsid w:val="00DD4556"/>
    <w:rsid w:val="00DD473F"/>
    <w:rsid w:val="00DD478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27A"/>
    <w:rsid w:val="00DE0556"/>
    <w:rsid w:val="00DE074F"/>
    <w:rsid w:val="00DE0B91"/>
    <w:rsid w:val="00DE0CD8"/>
    <w:rsid w:val="00DE0E37"/>
    <w:rsid w:val="00DE0EA8"/>
    <w:rsid w:val="00DE110E"/>
    <w:rsid w:val="00DE12F3"/>
    <w:rsid w:val="00DE1911"/>
    <w:rsid w:val="00DE1B4F"/>
    <w:rsid w:val="00DE1D2D"/>
    <w:rsid w:val="00DE1D7C"/>
    <w:rsid w:val="00DE2066"/>
    <w:rsid w:val="00DE20C9"/>
    <w:rsid w:val="00DE28F2"/>
    <w:rsid w:val="00DE291A"/>
    <w:rsid w:val="00DE2C38"/>
    <w:rsid w:val="00DE305A"/>
    <w:rsid w:val="00DE30C2"/>
    <w:rsid w:val="00DE33E1"/>
    <w:rsid w:val="00DE352E"/>
    <w:rsid w:val="00DE354E"/>
    <w:rsid w:val="00DE35B6"/>
    <w:rsid w:val="00DE3600"/>
    <w:rsid w:val="00DE3658"/>
    <w:rsid w:val="00DE3660"/>
    <w:rsid w:val="00DE3678"/>
    <w:rsid w:val="00DE3740"/>
    <w:rsid w:val="00DE3825"/>
    <w:rsid w:val="00DE4462"/>
    <w:rsid w:val="00DE4561"/>
    <w:rsid w:val="00DE4976"/>
    <w:rsid w:val="00DE4C64"/>
    <w:rsid w:val="00DE4ED8"/>
    <w:rsid w:val="00DE5337"/>
    <w:rsid w:val="00DE534B"/>
    <w:rsid w:val="00DE5D92"/>
    <w:rsid w:val="00DE5DAE"/>
    <w:rsid w:val="00DE5F9A"/>
    <w:rsid w:val="00DE6233"/>
    <w:rsid w:val="00DE6364"/>
    <w:rsid w:val="00DE63B4"/>
    <w:rsid w:val="00DE6412"/>
    <w:rsid w:val="00DE6922"/>
    <w:rsid w:val="00DE6CE1"/>
    <w:rsid w:val="00DE7073"/>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BE3"/>
    <w:rsid w:val="00DF5D06"/>
    <w:rsid w:val="00DF5F70"/>
    <w:rsid w:val="00DF6122"/>
    <w:rsid w:val="00DF61C5"/>
    <w:rsid w:val="00DF62DB"/>
    <w:rsid w:val="00DF6667"/>
    <w:rsid w:val="00DF66B7"/>
    <w:rsid w:val="00DF68C4"/>
    <w:rsid w:val="00DF6C35"/>
    <w:rsid w:val="00DF6DD9"/>
    <w:rsid w:val="00DF7124"/>
    <w:rsid w:val="00DF7233"/>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7F5"/>
    <w:rsid w:val="00E019FC"/>
    <w:rsid w:val="00E01A90"/>
    <w:rsid w:val="00E0209A"/>
    <w:rsid w:val="00E02147"/>
    <w:rsid w:val="00E026E6"/>
    <w:rsid w:val="00E02795"/>
    <w:rsid w:val="00E02815"/>
    <w:rsid w:val="00E0316F"/>
    <w:rsid w:val="00E0353D"/>
    <w:rsid w:val="00E03549"/>
    <w:rsid w:val="00E03709"/>
    <w:rsid w:val="00E0370A"/>
    <w:rsid w:val="00E03898"/>
    <w:rsid w:val="00E0398C"/>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C46"/>
    <w:rsid w:val="00E06E26"/>
    <w:rsid w:val="00E0712A"/>
    <w:rsid w:val="00E07179"/>
    <w:rsid w:val="00E07511"/>
    <w:rsid w:val="00E07955"/>
    <w:rsid w:val="00E07B62"/>
    <w:rsid w:val="00E07DD8"/>
    <w:rsid w:val="00E07E21"/>
    <w:rsid w:val="00E07E9C"/>
    <w:rsid w:val="00E07EB8"/>
    <w:rsid w:val="00E07F78"/>
    <w:rsid w:val="00E1015B"/>
    <w:rsid w:val="00E10385"/>
    <w:rsid w:val="00E103F8"/>
    <w:rsid w:val="00E114E8"/>
    <w:rsid w:val="00E11A5E"/>
    <w:rsid w:val="00E11A99"/>
    <w:rsid w:val="00E11B19"/>
    <w:rsid w:val="00E11BAF"/>
    <w:rsid w:val="00E11BE3"/>
    <w:rsid w:val="00E11E7E"/>
    <w:rsid w:val="00E12054"/>
    <w:rsid w:val="00E12088"/>
    <w:rsid w:val="00E120CF"/>
    <w:rsid w:val="00E121DE"/>
    <w:rsid w:val="00E122A5"/>
    <w:rsid w:val="00E12419"/>
    <w:rsid w:val="00E1247E"/>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D6C"/>
    <w:rsid w:val="00E13DB1"/>
    <w:rsid w:val="00E13E35"/>
    <w:rsid w:val="00E13EF6"/>
    <w:rsid w:val="00E14174"/>
    <w:rsid w:val="00E143C6"/>
    <w:rsid w:val="00E14731"/>
    <w:rsid w:val="00E14759"/>
    <w:rsid w:val="00E148D1"/>
    <w:rsid w:val="00E149FB"/>
    <w:rsid w:val="00E14A5F"/>
    <w:rsid w:val="00E14E2B"/>
    <w:rsid w:val="00E1524E"/>
    <w:rsid w:val="00E152EE"/>
    <w:rsid w:val="00E15474"/>
    <w:rsid w:val="00E15572"/>
    <w:rsid w:val="00E159CE"/>
    <w:rsid w:val="00E15A95"/>
    <w:rsid w:val="00E15B88"/>
    <w:rsid w:val="00E15BFF"/>
    <w:rsid w:val="00E15E01"/>
    <w:rsid w:val="00E15FE0"/>
    <w:rsid w:val="00E1639C"/>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4CA"/>
    <w:rsid w:val="00E21697"/>
    <w:rsid w:val="00E21791"/>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D7B"/>
    <w:rsid w:val="00E23E77"/>
    <w:rsid w:val="00E24102"/>
    <w:rsid w:val="00E24196"/>
    <w:rsid w:val="00E243FC"/>
    <w:rsid w:val="00E24559"/>
    <w:rsid w:val="00E24633"/>
    <w:rsid w:val="00E247A6"/>
    <w:rsid w:val="00E24BC9"/>
    <w:rsid w:val="00E24DE0"/>
    <w:rsid w:val="00E24ED2"/>
    <w:rsid w:val="00E25A72"/>
    <w:rsid w:val="00E25B4C"/>
    <w:rsid w:val="00E25CCF"/>
    <w:rsid w:val="00E25D73"/>
    <w:rsid w:val="00E25F74"/>
    <w:rsid w:val="00E25FD4"/>
    <w:rsid w:val="00E26300"/>
    <w:rsid w:val="00E263D8"/>
    <w:rsid w:val="00E266DF"/>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972"/>
    <w:rsid w:val="00E33A4C"/>
    <w:rsid w:val="00E33A50"/>
    <w:rsid w:val="00E33BD0"/>
    <w:rsid w:val="00E33C5E"/>
    <w:rsid w:val="00E33CEC"/>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19B"/>
    <w:rsid w:val="00E4081E"/>
    <w:rsid w:val="00E40AEB"/>
    <w:rsid w:val="00E40F6D"/>
    <w:rsid w:val="00E410A5"/>
    <w:rsid w:val="00E413E9"/>
    <w:rsid w:val="00E41728"/>
    <w:rsid w:val="00E418F5"/>
    <w:rsid w:val="00E4198A"/>
    <w:rsid w:val="00E42218"/>
    <w:rsid w:val="00E42290"/>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35"/>
    <w:rsid w:val="00E44521"/>
    <w:rsid w:val="00E445A4"/>
    <w:rsid w:val="00E44813"/>
    <w:rsid w:val="00E44907"/>
    <w:rsid w:val="00E45159"/>
    <w:rsid w:val="00E4522F"/>
    <w:rsid w:val="00E4531F"/>
    <w:rsid w:val="00E455C8"/>
    <w:rsid w:val="00E456B8"/>
    <w:rsid w:val="00E456D5"/>
    <w:rsid w:val="00E45D0B"/>
    <w:rsid w:val="00E45DD3"/>
    <w:rsid w:val="00E45E50"/>
    <w:rsid w:val="00E460D5"/>
    <w:rsid w:val="00E46116"/>
    <w:rsid w:val="00E46235"/>
    <w:rsid w:val="00E4656D"/>
    <w:rsid w:val="00E46676"/>
    <w:rsid w:val="00E46989"/>
    <w:rsid w:val="00E46CB0"/>
    <w:rsid w:val="00E46D65"/>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2BE6"/>
    <w:rsid w:val="00E53101"/>
    <w:rsid w:val="00E53182"/>
    <w:rsid w:val="00E533B0"/>
    <w:rsid w:val="00E53404"/>
    <w:rsid w:val="00E53541"/>
    <w:rsid w:val="00E53810"/>
    <w:rsid w:val="00E539B9"/>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ADD"/>
    <w:rsid w:val="00E55F2E"/>
    <w:rsid w:val="00E561B5"/>
    <w:rsid w:val="00E5640A"/>
    <w:rsid w:val="00E56599"/>
    <w:rsid w:val="00E568A7"/>
    <w:rsid w:val="00E56C87"/>
    <w:rsid w:val="00E56F06"/>
    <w:rsid w:val="00E57AE6"/>
    <w:rsid w:val="00E57B97"/>
    <w:rsid w:val="00E57CA4"/>
    <w:rsid w:val="00E57CB5"/>
    <w:rsid w:val="00E57EEF"/>
    <w:rsid w:val="00E60523"/>
    <w:rsid w:val="00E60648"/>
    <w:rsid w:val="00E608B4"/>
    <w:rsid w:val="00E608D3"/>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37"/>
    <w:rsid w:val="00E630DE"/>
    <w:rsid w:val="00E635A3"/>
    <w:rsid w:val="00E6372E"/>
    <w:rsid w:val="00E637E2"/>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F28"/>
    <w:rsid w:val="00E67357"/>
    <w:rsid w:val="00E674BF"/>
    <w:rsid w:val="00E67998"/>
    <w:rsid w:val="00E67BA0"/>
    <w:rsid w:val="00E67E01"/>
    <w:rsid w:val="00E70014"/>
    <w:rsid w:val="00E701EB"/>
    <w:rsid w:val="00E701F9"/>
    <w:rsid w:val="00E7034D"/>
    <w:rsid w:val="00E703D6"/>
    <w:rsid w:val="00E705A6"/>
    <w:rsid w:val="00E7065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7D"/>
    <w:rsid w:val="00E71ACB"/>
    <w:rsid w:val="00E71AFB"/>
    <w:rsid w:val="00E71CB7"/>
    <w:rsid w:val="00E71DA5"/>
    <w:rsid w:val="00E7206D"/>
    <w:rsid w:val="00E720FB"/>
    <w:rsid w:val="00E72697"/>
    <w:rsid w:val="00E72926"/>
    <w:rsid w:val="00E72C50"/>
    <w:rsid w:val="00E72ECE"/>
    <w:rsid w:val="00E72F7C"/>
    <w:rsid w:val="00E7337C"/>
    <w:rsid w:val="00E7358F"/>
    <w:rsid w:val="00E73745"/>
    <w:rsid w:val="00E73865"/>
    <w:rsid w:val="00E73A7D"/>
    <w:rsid w:val="00E73BF9"/>
    <w:rsid w:val="00E74064"/>
    <w:rsid w:val="00E740BA"/>
    <w:rsid w:val="00E74148"/>
    <w:rsid w:val="00E74228"/>
    <w:rsid w:val="00E74BA6"/>
    <w:rsid w:val="00E74ED0"/>
    <w:rsid w:val="00E750C5"/>
    <w:rsid w:val="00E75156"/>
    <w:rsid w:val="00E75422"/>
    <w:rsid w:val="00E75467"/>
    <w:rsid w:val="00E75947"/>
    <w:rsid w:val="00E7596A"/>
    <w:rsid w:val="00E75984"/>
    <w:rsid w:val="00E759B2"/>
    <w:rsid w:val="00E75B45"/>
    <w:rsid w:val="00E75FC2"/>
    <w:rsid w:val="00E76045"/>
    <w:rsid w:val="00E762C5"/>
    <w:rsid w:val="00E763A2"/>
    <w:rsid w:val="00E7641C"/>
    <w:rsid w:val="00E7642C"/>
    <w:rsid w:val="00E764AC"/>
    <w:rsid w:val="00E765E8"/>
    <w:rsid w:val="00E77057"/>
    <w:rsid w:val="00E771EC"/>
    <w:rsid w:val="00E7732E"/>
    <w:rsid w:val="00E773E4"/>
    <w:rsid w:val="00E7740C"/>
    <w:rsid w:val="00E77432"/>
    <w:rsid w:val="00E776BB"/>
    <w:rsid w:val="00E777E4"/>
    <w:rsid w:val="00E77A3F"/>
    <w:rsid w:val="00E77B4C"/>
    <w:rsid w:val="00E77CAD"/>
    <w:rsid w:val="00E77FA8"/>
    <w:rsid w:val="00E80015"/>
    <w:rsid w:val="00E8026D"/>
    <w:rsid w:val="00E8030A"/>
    <w:rsid w:val="00E8033A"/>
    <w:rsid w:val="00E80500"/>
    <w:rsid w:val="00E8094F"/>
    <w:rsid w:val="00E809D0"/>
    <w:rsid w:val="00E80A2B"/>
    <w:rsid w:val="00E80C42"/>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39D"/>
    <w:rsid w:val="00E835C1"/>
    <w:rsid w:val="00E83F5F"/>
    <w:rsid w:val="00E83F95"/>
    <w:rsid w:val="00E8407F"/>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8C"/>
    <w:rsid w:val="00E876B0"/>
    <w:rsid w:val="00E87722"/>
    <w:rsid w:val="00E87744"/>
    <w:rsid w:val="00E87A47"/>
    <w:rsid w:val="00E87B9F"/>
    <w:rsid w:val="00E87D94"/>
    <w:rsid w:val="00E87F55"/>
    <w:rsid w:val="00E87FC4"/>
    <w:rsid w:val="00E90A1C"/>
    <w:rsid w:val="00E91109"/>
    <w:rsid w:val="00E9155C"/>
    <w:rsid w:val="00E9161A"/>
    <w:rsid w:val="00E918A6"/>
    <w:rsid w:val="00E918CE"/>
    <w:rsid w:val="00E91BB1"/>
    <w:rsid w:val="00E91BB4"/>
    <w:rsid w:val="00E91C63"/>
    <w:rsid w:val="00E91CD1"/>
    <w:rsid w:val="00E91E00"/>
    <w:rsid w:val="00E922BF"/>
    <w:rsid w:val="00E9259F"/>
    <w:rsid w:val="00E926C9"/>
    <w:rsid w:val="00E92755"/>
    <w:rsid w:val="00E92762"/>
    <w:rsid w:val="00E92AEE"/>
    <w:rsid w:val="00E92CAE"/>
    <w:rsid w:val="00E93126"/>
    <w:rsid w:val="00E93279"/>
    <w:rsid w:val="00E93799"/>
    <w:rsid w:val="00E93D4E"/>
    <w:rsid w:val="00E93FE0"/>
    <w:rsid w:val="00E946BB"/>
    <w:rsid w:val="00E9543D"/>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1FB"/>
    <w:rsid w:val="00EA135B"/>
    <w:rsid w:val="00EA1460"/>
    <w:rsid w:val="00EA16CF"/>
    <w:rsid w:val="00EA196E"/>
    <w:rsid w:val="00EA1A07"/>
    <w:rsid w:val="00EA1A27"/>
    <w:rsid w:val="00EA1B8C"/>
    <w:rsid w:val="00EA2194"/>
    <w:rsid w:val="00EA2267"/>
    <w:rsid w:val="00EA2441"/>
    <w:rsid w:val="00EA2741"/>
    <w:rsid w:val="00EA2903"/>
    <w:rsid w:val="00EA298F"/>
    <w:rsid w:val="00EA2A5C"/>
    <w:rsid w:val="00EA2B7A"/>
    <w:rsid w:val="00EA2F75"/>
    <w:rsid w:val="00EA3018"/>
    <w:rsid w:val="00EA3324"/>
    <w:rsid w:val="00EA33A6"/>
    <w:rsid w:val="00EA3E2B"/>
    <w:rsid w:val="00EA4240"/>
    <w:rsid w:val="00EA42F1"/>
    <w:rsid w:val="00EA4682"/>
    <w:rsid w:val="00EA4794"/>
    <w:rsid w:val="00EA487F"/>
    <w:rsid w:val="00EA49CD"/>
    <w:rsid w:val="00EA4A6D"/>
    <w:rsid w:val="00EA4A92"/>
    <w:rsid w:val="00EA4AAC"/>
    <w:rsid w:val="00EA4EA4"/>
    <w:rsid w:val="00EA4EA8"/>
    <w:rsid w:val="00EA50D8"/>
    <w:rsid w:val="00EA522B"/>
    <w:rsid w:val="00EA5A22"/>
    <w:rsid w:val="00EA5A4F"/>
    <w:rsid w:val="00EA5AFA"/>
    <w:rsid w:val="00EA5B6F"/>
    <w:rsid w:val="00EA5B73"/>
    <w:rsid w:val="00EA6602"/>
    <w:rsid w:val="00EA6ECA"/>
    <w:rsid w:val="00EA7007"/>
    <w:rsid w:val="00EA73A2"/>
    <w:rsid w:val="00EA75DC"/>
    <w:rsid w:val="00EA7828"/>
    <w:rsid w:val="00EA7A72"/>
    <w:rsid w:val="00EA7C4C"/>
    <w:rsid w:val="00EA7CA9"/>
    <w:rsid w:val="00EB0340"/>
    <w:rsid w:val="00EB077B"/>
    <w:rsid w:val="00EB099B"/>
    <w:rsid w:val="00EB0B6C"/>
    <w:rsid w:val="00EB0EB9"/>
    <w:rsid w:val="00EB0EEC"/>
    <w:rsid w:val="00EB190B"/>
    <w:rsid w:val="00EB1CD5"/>
    <w:rsid w:val="00EB1CE6"/>
    <w:rsid w:val="00EB1DAC"/>
    <w:rsid w:val="00EB1E29"/>
    <w:rsid w:val="00EB269A"/>
    <w:rsid w:val="00EB2769"/>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AF8"/>
    <w:rsid w:val="00EB5B9D"/>
    <w:rsid w:val="00EB68EF"/>
    <w:rsid w:val="00EB6B54"/>
    <w:rsid w:val="00EB6BF9"/>
    <w:rsid w:val="00EB7333"/>
    <w:rsid w:val="00EB749E"/>
    <w:rsid w:val="00EB74A6"/>
    <w:rsid w:val="00EB76E7"/>
    <w:rsid w:val="00EB7788"/>
    <w:rsid w:val="00EB7AE0"/>
    <w:rsid w:val="00EB7EDD"/>
    <w:rsid w:val="00EB7EF5"/>
    <w:rsid w:val="00EB7F52"/>
    <w:rsid w:val="00EB7FF5"/>
    <w:rsid w:val="00EC01B0"/>
    <w:rsid w:val="00EC02E9"/>
    <w:rsid w:val="00EC0667"/>
    <w:rsid w:val="00EC0743"/>
    <w:rsid w:val="00EC094E"/>
    <w:rsid w:val="00EC0B35"/>
    <w:rsid w:val="00EC0E2D"/>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8B5"/>
    <w:rsid w:val="00EC39C6"/>
    <w:rsid w:val="00EC3A6B"/>
    <w:rsid w:val="00EC3D09"/>
    <w:rsid w:val="00EC3F3C"/>
    <w:rsid w:val="00EC4050"/>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AC5"/>
    <w:rsid w:val="00ED2C72"/>
    <w:rsid w:val="00ED370C"/>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CE8"/>
    <w:rsid w:val="00EE0D82"/>
    <w:rsid w:val="00EE0DA7"/>
    <w:rsid w:val="00EE0ED5"/>
    <w:rsid w:val="00EE1019"/>
    <w:rsid w:val="00EE10D5"/>
    <w:rsid w:val="00EE14B1"/>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916"/>
    <w:rsid w:val="00EE3964"/>
    <w:rsid w:val="00EE3A1E"/>
    <w:rsid w:val="00EE3B00"/>
    <w:rsid w:val="00EE442F"/>
    <w:rsid w:val="00EE4465"/>
    <w:rsid w:val="00EE45B8"/>
    <w:rsid w:val="00EE4A2C"/>
    <w:rsid w:val="00EE4AA2"/>
    <w:rsid w:val="00EE4BBF"/>
    <w:rsid w:val="00EE4EC1"/>
    <w:rsid w:val="00EE5154"/>
    <w:rsid w:val="00EE56C9"/>
    <w:rsid w:val="00EE5AAD"/>
    <w:rsid w:val="00EE5ADD"/>
    <w:rsid w:val="00EE5D24"/>
    <w:rsid w:val="00EE5F0D"/>
    <w:rsid w:val="00EE623A"/>
    <w:rsid w:val="00EE664D"/>
    <w:rsid w:val="00EE67DD"/>
    <w:rsid w:val="00EE6C68"/>
    <w:rsid w:val="00EE6F30"/>
    <w:rsid w:val="00EE72E4"/>
    <w:rsid w:val="00EE7551"/>
    <w:rsid w:val="00EE7572"/>
    <w:rsid w:val="00EE75D7"/>
    <w:rsid w:val="00EE77A2"/>
    <w:rsid w:val="00EE7D22"/>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BB"/>
    <w:rsid w:val="00F00AD5"/>
    <w:rsid w:val="00F00B17"/>
    <w:rsid w:val="00F0135A"/>
    <w:rsid w:val="00F01A65"/>
    <w:rsid w:val="00F02197"/>
    <w:rsid w:val="00F0219B"/>
    <w:rsid w:val="00F023D8"/>
    <w:rsid w:val="00F02440"/>
    <w:rsid w:val="00F02465"/>
    <w:rsid w:val="00F02500"/>
    <w:rsid w:val="00F02759"/>
    <w:rsid w:val="00F027C0"/>
    <w:rsid w:val="00F02862"/>
    <w:rsid w:val="00F02901"/>
    <w:rsid w:val="00F037F9"/>
    <w:rsid w:val="00F03837"/>
    <w:rsid w:val="00F03934"/>
    <w:rsid w:val="00F03A8E"/>
    <w:rsid w:val="00F03A90"/>
    <w:rsid w:val="00F03B2B"/>
    <w:rsid w:val="00F03B5F"/>
    <w:rsid w:val="00F03DB0"/>
    <w:rsid w:val="00F04484"/>
    <w:rsid w:val="00F0455B"/>
    <w:rsid w:val="00F045F1"/>
    <w:rsid w:val="00F0480B"/>
    <w:rsid w:val="00F0481A"/>
    <w:rsid w:val="00F049E6"/>
    <w:rsid w:val="00F049E8"/>
    <w:rsid w:val="00F04ADD"/>
    <w:rsid w:val="00F04F72"/>
    <w:rsid w:val="00F05043"/>
    <w:rsid w:val="00F050D8"/>
    <w:rsid w:val="00F0544C"/>
    <w:rsid w:val="00F054F5"/>
    <w:rsid w:val="00F05602"/>
    <w:rsid w:val="00F05A7F"/>
    <w:rsid w:val="00F05A8D"/>
    <w:rsid w:val="00F05C9A"/>
    <w:rsid w:val="00F05D80"/>
    <w:rsid w:val="00F0683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2E19"/>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DAA"/>
    <w:rsid w:val="00F14E67"/>
    <w:rsid w:val="00F14FC2"/>
    <w:rsid w:val="00F150F8"/>
    <w:rsid w:val="00F152BC"/>
    <w:rsid w:val="00F15614"/>
    <w:rsid w:val="00F15A67"/>
    <w:rsid w:val="00F15A89"/>
    <w:rsid w:val="00F15D1D"/>
    <w:rsid w:val="00F15ED3"/>
    <w:rsid w:val="00F16074"/>
    <w:rsid w:val="00F1680A"/>
    <w:rsid w:val="00F16886"/>
    <w:rsid w:val="00F16C62"/>
    <w:rsid w:val="00F173E4"/>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1D2"/>
    <w:rsid w:val="00F213C7"/>
    <w:rsid w:val="00F213C8"/>
    <w:rsid w:val="00F21550"/>
    <w:rsid w:val="00F21D0B"/>
    <w:rsid w:val="00F21DA8"/>
    <w:rsid w:val="00F225D7"/>
    <w:rsid w:val="00F229BD"/>
    <w:rsid w:val="00F22B34"/>
    <w:rsid w:val="00F22B5D"/>
    <w:rsid w:val="00F22B63"/>
    <w:rsid w:val="00F22C32"/>
    <w:rsid w:val="00F22C8C"/>
    <w:rsid w:val="00F22D71"/>
    <w:rsid w:val="00F2357D"/>
    <w:rsid w:val="00F23605"/>
    <w:rsid w:val="00F23DB4"/>
    <w:rsid w:val="00F23DC8"/>
    <w:rsid w:val="00F23F67"/>
    <w:rsid w:val="00F23F9F"/>
    <w:rsid w:val="00F2424F"/>
    <w:rsid w:val="00F2443F"/>
    <w:rsid w:val="00F24580"/>
    <w:rsid w:val="00F24607"/>
    <w:rsid w:val="00F247D1"/>
    <w:rsid w:val="00F247D4"/>
    <w:rsid w:val="00F24A48"/>
    <w:rsid w:val="00F24A59"/>
    <w:rsid w:val="00F25012"/>
    <w:rsid w:val="00F25485"/>
    <w:rsid w:val="00F25E1A"/>
    <w:rsid w:val="00F26131"/>
    <w:rsid w:val="00F262FC"/>
    <w:rsid w:val="00F26331"/>
    <w:rsid w:val="00F2658D"/>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789"/>
    <w:rsid w:val="00F338BB"/>
    <w:rsid w:val="00F33B7B"/>
    <w:rsid w:val="00F33BD4"/>
    <w:rsid w:val="00F3437D"/>
    <w:rsid w:val="00F34561"/>
    <w:rsid w:val="00F34622"/>
    <w:rsid w:val="00F34AA8"/>
    <w:rsid w:val="00F34ADB"/>
    <w:rsid w:val="00F35160"/>
    <w:rsid w:val="00F351CA"/>
    <w:rsid w:val="00F35587"/>
    <w:rsid w:val="00F35620"/>
    <w:rsid w:val="00F35A7F"/>
    <w:rsid w:val="00F35FE0"/>
    <w:rsid w:val="00F36149"/>
    <w:rsid w:val="00F3623A"/>
    <w:rsid w:val="00F3664E"/>
    <w:rsid w:val="00F36674"/>
    <w:rsid w:val="00F36729"/>
    <w:rsid w:val="00F36AA6"/>
    <w:rsid w:val="00F3716D"/>
    <w:rsid w:val="00F37280"/>
    <w:rsid w:val="00F3757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1C8E"/>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513"/>
    <w:rsid w:val="00F516B8"/>
    <w:rsid w:val="00F517FF"/>
    <w:rsid w:val="00F51838"/>
    <w:rsid w:val="00F51A6C"/>
    <w:rsid w:val="00F51AA0"/>
    <w:rsid w:val="00F51AC4"/>
    <w:rsid w:val="00F51B82"/>
    <w:rsid w:val="00F51D19"/>
    <w:rsid w:val="00F51F71"/>
    <w:rsid w:val="00F520FD"/>
    <w:rsid w:val="00F52641"/>
    <w:rsid w:val="00F526B3"/>
    <w:rsid w:val="00F526F2"/>
    <w:rsid w:val="00F52808"/>
    <w:rsid w:val="00F52976"/>
    <w:rsid w:val="00F5297C"/>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453"/>
    <w:rsid w:val="00F5467C"/>
    <w:rsid w:val="00F54A3F"/>
    <w:rsid w:val="00F54B3B"/>
    <w:rsid w:val="00F54DDD"/>
    <w:rsid w:val="00F54E47"/>
    <w:rsid w:val="00F54F3A"/>
    <w:rsid w:val="00F5510A"/>
    <w:rsid w:val="00F551C8"/>
    <w:rsid w:val="00F551F5"/>
    <w:rsid w:val="00F5538A"/>
    <w:rsid w:val="00F55446"/>
    <w:rsid w:val="00F55630"/>
    <w:rsid w:val="00F556A9"/>
    <w:rsid w:val="00F556DF"/>
    <w:rsid w:val="00F55773"/>
    <w:rsid w:val="00F55786"/>
    <w:rsid w:val="00F55D7B"/>
    <w:rsid w:val="00F560EB"/>
    <w:rsid w:val="00F562DA"/>
    <w:rsid w:val="00F564A3"/>
    <w:rsid w:val="00F564A4"/>
    <w:rsid w:val="00F56655"/>
    <w:rsid w:val="00F566D5"/>
    <w:rsid w:val="00F5696B"/>
    <w:rsid w:val="00F56B2A"/>
    <w:rsid w:val="00F56CFC"/>
    <w:rsid w:val="00F56E21"/>
    <w:rsid w:val="00F571FA"/>
    <w:rsid w:val="00F5741C"/>
    <w:rsid w:val="00F575D2"/>
    <w:rsid w:val="00F575E0"/>
    <w:rsid w:val="00F578FC"/>
    <w:rsid w:val="00F57AA8"/>
    <w:rsid w:val="00F57ADE"/>
    <w:rsid w:val="00F57C34"/>
    <w:rsid w:val="00F60108"/>
    <w:rsid w:val="00F60127"/>
    <w:rsid w:val="00F603BA"/>
    <w:rsid w:val="00F60F92"/>
    <w:rsid w:val="00F61505"/>
    <w:rsid w:val="00F619A9"/>
    <w:rsid w:val="00F61C23"/>
    <w:rsid w:val="00F61CC0"/>
    <w:rsid w:val="00F61DDA"/>
    <w:rsid w:val="00F62114"/>
    <w:rsid w:val="00F623A6"/>
    <w:rsid w:val="00F623D5"/>
    <w:rsid w:val="00F624BA"/>
    <w:rsid w:val="00F62577"/>
    <w:rsid w:val="00F62583"/>
    <w:rsid w:val="00F62986"/>
    <w:rsid w:val="00F62CC8"/>
    <w:rsid w:val="00F63311"/>
    <w:rsid w:val="00F63851"/>
    <w:rsid w:val="00F63A58"/>
    <w:rsid w:val="00F63DBB"/>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6B2C"/>
    <w:rsid w:val="00F670CE"/>
    <w:rsid w:val="00F6737F"/>
    <w:rsid w:val="00F673B6"/>
    <w:rsid w:val="00F67603"/>
    <w:rsid w:val="00F6765F"/>
    <w:rsid w:val="00F6796C"/>
    <w:rsid w:val="00F67AA3"/>
    <w:rsid w:val="00F67BC2"/>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457"/>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782"/>
    <w:rsid w:val="00F82BA1"/>
    <w:rsid w:val="00F82F93"/>
    <w:rsid w:val="00F834DC"/>
    <w:rsid w:val="00F835CA"/>
    <w:rsid w:val="00F83A46"/>
    <w:rsid w:val="00F83BAB"/>
    <w:rsid w:val="00F840B5"/>
    <w:rsid w:val="00F84175"/>
    <w:rsid w:val="00F8419D"/>
    <w:rsid w:val="00F84D8D"/>
    <w:rsid w:val="00F84E62"/>
    <w:rsid w:val="00F84EA8"/>
    <w:rsid w:val="00F84EF1"/>
    <w:rsid w:val="00F8553A"/>
    <w:rsid w:val="00F858E4"/>
    <w:rsid w:val="00F859E6"/>
    <w:rsid w:val="00F85D02"/>
    <w:rsid w:val="00F861B8"/>
    <w:rsid w:val="00F8625C"/>
    <w:rsid w:val="00F864F0"/>
    <w:rsid w:val="00F86B80"/>
    <w:rsid w:val="00F86EDE"/>
    <w:rsid w:val="00F86F57"/>
    <w:rsid w:val="00F86F7B"/>
    <w:rsid w:val="00F875D2"/>
    <w:rsid w:val="00F8769A"/>
    <w:rsid w:val="00F8769C"/>
    <w:rsid w:val="00F876BA"/>
    <w:rsid w:val="00F876CC"/>
    <w:rsid w:val="00F876E5"/>
    <w:rsid w:val="00F87AA6"/>
    <w:rsid w:val="00F87F8A"/>
    <w:rsid w:val="00F901E5"/>
    <w:rsid w:val="00F90229"/>
    <w:rsid w:val="00F90345"/>
    <w:rsid w:val="00F9051C"/>
    <w:rsid w:val="00F90788"/>
    <w:rsid w:val="00F909DD"/>
    <w:rsid w:val="00F90C44"/>
    <w:rsid w:val="00F90C5C"/>
    <w:rsid w:val="00F90D7F"/>
    <w:rsid w:val="00F90DA1"/>
    <w:rsid w:val="00F91322"/>
    <w:rsid w:val="00F91A11"/>
    <w:rsid w:val="00F91A18"/>
    <w:rsid w:val="00F91DFB"/>
    <w:rsid w:val="00F91F66"/>
    <w:rsid w:val="00F927B9"/>
    <w:rsid w:val="00F92955"/>
    <w:rsid w:val="00F92987"/>
    <w:rsid w:val="00F92996"/>
    <w:rsid w:val="00F92BE5"/>
    <w:rsid w:val="00F92E01"/>
    <w:rsid w:val="00F93288"/>
    <w:rsid w:val="00F93304"/>
    <w:rsid w:val="00F934D3"/>
    <w:rsid w:val="00F93733"/>
    <w:rsid w:val="00F937B7"/>
    <w:rsid w:val="00F939CB"/>
    <w:rsid w:val="00F93F83"/>
    <w:rsid w:val="00F94395"/>
    <w:rsid w:val="00F945E0"/>
    <w:rsid w:val="00F94837"/>
    <w:rsid w:val="00F9484E"/>
    <w:rsid w:val="00F94BDC"/>
    <w:rsid w:val="00F954AB"/>
    <w:rsid w:val="00F95666"/>
    <w:rsid w:val="00F95689"/>
    <w:rsid w:val="00F956F3"/>
    <w:rsid w:val="00F95A4D"/>
    <w:rsid w:val="00F95C96"/>
    <w:rsid w:val="00F95D78"/>
    <w:rsid w:val="00F96289"/>
    <w:rsid w:val="00F9651A"/>
    <w:rsid w:val="00F96752"/>
    <w:rsid w:val="00F968F9"/>
    <w:rsid w:val="00F96AD5"/>
    <w:rsid w:val="00F96C3F"/>
    <w:rsid w:val="00F96E2C"/>
    <w:rsid w:val="00F97088"/>
    <w:rsid w:val="00F976C0"/>
    <w:rsid w:val="00F97836"/>
    <w:rsid w:val="00FA02A0"/>
    <w:rsid w:val="00FA049D"/>
    <w:rsid w:val="00FA04D6"/>
    <w:rsid w:val="00FA04EF"/>
    <w:rsid w:val="00FA0795"/>
    <w:rsid w:val="00FA08C2"/>
    <w:rsid w:val="00FA0986"/>
    <w:rsid w:val="00FA0DA2"/>
    <w:rsid w:val="00FA0E2B"/>
    <w:rsid w:val="00FA104D"/>
    <w:rsid w:val="00FA105F"/>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972"/>
    <w:rsid w:val="00FA3A0A"/>
    <w:rsid w:val="00FA402D"/>
    <w:rsid w:val="00FA4329"/>
    <w:rsid w:val="00FA47DA"/>
    <w:rsid w:val="00FA4906"/>
    <w:rsid w:val="00FA4AC4"/>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411"/>
    <w:rsid w:val="00FB1859"/>
    <w:rsid w:val="00FB1935"/>
    <w:rsid w:val="00FB1A41"/>
    <w:rsid w:val="00FB1AE4"/>
    <w:rsid w:val="00FB1C06"/>
    <w:rsid w:val="00FB1C1E"/>
    <w:rsid w:val="00FB1D13"/>
    <w:rsid w:val="00FB22EF"/>
    <w:rsid w:val="00FB2341"/>
    <w:rsid w:val="00FB242F"/>
    <w:rsid w:val="00FB2508"/>
    <w:rsid w:val="00FB27B9"/>
    <w:rsid w:val="00FB27C1"/>
    <w:rsid w:val="00FB2BAD"/>
    <w:rsid w:val="00FB3151"/>
    <w:rsid w:val="00FB3ECE"/>
    <w:rsid w:val="00FB3ED3"/>
    <w:rsid w:val="00FB4279"/>
    <w:rsid w:val="00FB42AB"/>
    <w:rsid w:val="00FB45B7"/>
    <w:rsid w:val="00FB4942"/>
    <w:rsid w:val="00FB4967"/>
    <w:rsid w:val="00FB49AF"/>
    <w:rsid w:val="00FB4C3D"/>
    <w:rsid w:val="00FB4D53"/>
    <w:rsid w:val="00FB5182"/>
    <w:rsid w:val="00FB53E3"/>
    <w:rsid w:val="00FB566D"/>
    <w:rsid w:val="00FB5B40"/>
    <w:rsid w:val="00FB5D16"/>
    <w:rsid w:val="00FB5E9C"/>
    <w:rsid w:val="00FB5F51"/>
    <w:rsid w:val="00FB60DF"/>
    <w:rsid w:val="00FB6449"/>
    <w:rsid w:val="00FB6504"/>
    <w:rsid w:val="00FB6773"/>
    <w:rsid w:val="00FB69CF"/>
    <w:rsid w:val="00FB6B07"/>
    <w:rsid w:val="00FB6BA1"/>
    <w:rsid w:val="00FB6C90"/>
    <w:rsid w:val="00FB6CB2"/>
    <w:rsid w:val="00FB6D4D"/>
    <w:rsid w:val="00FB7222"/>
    <w:rsid w:val="00FB7396"/>
    <w:rsid w:val="00FB76B8"/>
    <w:rsid w:val="00FB77C5"/>
    <w:rsid w:val="00FB7934"/>
    <w:rsid w:val="00FB7B97"/>
    <w:rsid w:val="00FB7EF3"/>
    <w:rsid w:val="00FB7F6F"/>
    <w:rsid w:val="00FC0004"/>
    <w:rsid w:val="00FC0013"/>
    <w:rsid w:val="00FC00FE"/>
    <w:rsid w:val="00FC0193"/>
    <w:rsid w:val="00FC0D0E"/>
    <w:rsid w:val="00FC0DD5"/>
    <w:rsid w:val="00FC0E23"/>
    <w:rsid w:val="00FC13FD"/>
    <w:rsid w:val="00FC143F"/>
    <w:rsid w:val="00FC162E"/>
    <w:rsid w:val="00FC1D70"/>
    <w:rsid w:val="00FC1E5C"/>
    <w:rsid w:val="00FC1E9F"/>
    <w:rsid w:val="00FC1EE3"/>
    <w:rsid w:val="00FC20E6"/>
    <w:rsid w:val="00FC242A"/>
    <w:rsid w:val="00FC2434"/>
    <w:rsid w:val="00FC2450"/>
    <w:rsid w:val="00FC2537"/>
    <w:rsid w:val="00FC2867"/>
    <w:rsid w:val="00FC2886"/>
    <w:rsid w:val="00FC29ED"/>
    <w:rsid w:val="00FC2B64"/>
    <w:rsid w:val="00FC32CE"/>
    <w:rsid w:val="00FC32D5"/>
    <w:rsid w:val="00FC33E2"/>
    <w:rsid w:val="00FC3413"/>
    <w:rsid w:val="00FC34E1"/>
    <w:rsid w:val="00FC3934"/>
    <w:rsid w:val="00FC3E5D"/>
    <w:rsid w:val="00FC4058"/>
    <w:rsid w:val="00FC409B"/>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B0"/>
    <w:rsid w:val="00FC64F6"/>
    <w:rsid w:val="00FC656F"/>
    <w:rsid w:val="00FC672F"/>
    <w:rsid w:val="00FC6C6D"/>
    <w:rsid w:val="00FC6C8E"/>
    <w:rsid w:val="00FC6CCF"/>
    <w:rsid w:val="00FC6F12"/>
    <w:rsid w:val="00FC715C"/>
    <w:rsid w:val="00FC720C"/>
    <w:rsid w:val="00FC73EB"/>
    <w:rsid w:val="00FD01AF"/>
    <w:rsid w:val="00FD0BB7"/>
    <w:rsid w:val="00FD0CD2"/>
    <w:rsid w:val="00FD0E43"/>
    <w:rsid w:val="00FD0F39"/>
    <w:rsid w:val="00FD1555"/>
    <w:rsid w:val="00FD15B5"/>
    <w:rsid w:val="00FD1856"/>
    <w:rsid w:val="00FD1BD1"/>
    <w:rsid w:val="00FD1EA3"/>
    <w:rsid w:val="00FD1FBF"/>
    <w:rsid w:val="00FD2054"/>
    <w:rsid w:val="00FD20D6"/>
    <w:rsid w:val="00FD20F4"/>
    <w:rsid w:val="00FD21B0"/>
    <w:rsid w:val="00FD2236"/>
    <w:rsid w:val="00FD22F7"/>
    <w:rsid w:val="00FD24E4"/>
    <w:rsid w:val="00FD2504"/>
    <w:rsid w:val="00FD2617"/>
    <w:rsid w:val="00FD275C"/>
    <w:rsid w:val="00FD2764"/>
    <w:rsid w:val="00FD2778"/>
    <w:rsid w:val="00FD2B0D"/>
    <w:rsid w:val="00FD2E25"/>
    <w:rsid w:val="00FD2ED7"/>
    <w:rsid w:val="00FD3303"/>
    <w:rsid w:val="00FD34F9"/>
    <w:rsid w:val="00FD35E7"/>
    <w:rsid w:val="00FD3605"/>
    <w:rsid w:val="00FD38DE"/>
    <w:rsid w:val="00FD39E2"/>
    <w:rsid w:val="00FD3B83"/>
    <w:rsid w:val="00FD3D49"/>
    <w:rsid w:val="00FD3ECC"/>
    <w:rsid w:val="00FD3F32"/>
    <w:rsid w:val="00FD4063"/>
    <w:rsid w:val="00FD4291"/>
    <w:rsid w:val="00FD4954"/>
    <w:rsid w:val="00FD4E68"/>
    <w:rsid w:val="00FD4EB0"/>
    <w:rsid w:val="00FD4F58"/>
    <w:rsid w:val="00FD4FAA"/>
    <w:rsid w:val="00FD5054"/>
    <w:rsid w:val="00FD5093"/>
    <w:rsid w:val="00FD55BE"/>
    <w:rsid w:val="00FD5709"/>
    <w:rsid w:val="00FD5732"/>
    <w:rsid w:val="00FD591D"/>
    <w:rsid w:val="00FD5B9B"/>
    <w:rsid w:val="00FD5E6B"/>
    <w:rsid w:val="00FD5FB0"/>
    <w:rsid w:val="00FD604E"/>
    <w:rsid w:val="00FD60B3"/>
    <w:rsid w:val="00FD61DA"/>
    <w:rsid w:val="00FD6381"/>
    <w:rsid w:val="00FD6503"/>
    <w:rsid w:val="00FD6584"/>
    <w:rsid w:val="00FD65A8"/>
    <w:rsid w:val="00FD6833"/>
    <w:rsid w:val="00FD6CE6"/>
    <w:rsid w:val="00FD6EEB"/>
    <w:rsid w:val="00FD6F5F"/>
    <w:rsid w:val="00FD6F78"/>
    <w:rsid w:val="00FD7445"/>
    <w:rsid w:val="00FD7AF4"/>
    <w:rsid w:val="00FD7B19"/>
    <w:rsid w:val="00FD7FD1"/>
    <w:rsid w:val="00FE00A5"/>
    <w:rsid w:val="00FE00B6"/>
    <w:rsid w:val="00FE00BC"/>
    <w:rsid w:val="00FE03D6"/>
    <w:rsid w:val="00FE04B8"/>
    <w:rsid w:val="00FE0523"/>
    <w:rsid w:val="00FE1077"/>
    <w:rsid w:val="00FE1136"/>
    <w:rsid w:val="00FE12BF"/>
    <w:rsid w:val="00FE13ED"/>
    <w:rsid w:val="00FE1773"/>
    <w:rsid w:val="00FE1813"/>
    <w:rsid w:val="00FE1AEA"/>
    <w:rsid w:val="00FE1E5A"/>
    <w:rsid w:val="00FE1F1C"/>
    <w:rsid w:val="00FE21BD"/>
    <w:rsid w:val="00FE2839"/>
    <w:rsid w:val="00FE2895"/>
    <w:rsid w:val="00FE2AD3"/>
    <w:rsid w:val="00FE2BDA"/>
    <w:rsid w:val="00FE313D"/>
    <w:rsid w:val="00FE315A"/>
    <w:rsid w:val="00FE32E0"/>
    <w:rsid w:val="00FE35A4"/>
    <w:rsid w:val="00FE39B7"/>
    <w:rsid w:val="00FE3A18"/>
    <w:rsid w:val="00FE3E10"/>
    <w:rsid w:val="00FE4123"/>
    <w:rsid w:val="00FE413C"/>
    <w:rsid w:val="00FE4734"/>
    <w:rsid w:val="00FE486D"/>
    <w:rsid w:val="00FE4A75"/>
    <w:rsid w:val="00FE4C7B"/>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B92"/>
    <w:rsid w:val="00FF0004"/>
    <w:rsid w:val="00FF0264"/>
    <w:rsid w:val="00FF037E"/>
    <w:rsid w:val="00FF04A0"/>
    <w:rsid w:val="00FF082C"/>
    <w:rsid w:val="00FF0A08"/>
    <w:rsid w:val="00FF0BD3"/>
    <w:rsid w:val="00FF0FD8"/>
    <w:rsid w:val="00FF100D"/>
    <w:rsid w:val="00FF1015"/>
    <w:rsid w:val="00FF1171"/>
    <w:rsid w:val="00FF1278"/>
    <w:rsid w:val="00FF1807"/>
    <w:rsid w:val="00FF184D"/>
    <w:rsid w:val="00FF1E31"/>
    <w:rsid w:val="00FF1E82"/>
    <w:rsid w:val="00FF1ECE"/>
    <w:rsid w:val="00FF1F20"/>
    <w:rsid w:val="00FF20A2"/>
    <w:rsid w:val="00FF20BC"/>
    <w:rsid w:val="00FF2247"/>
    <w:rsid w:val="00FF2284"/>
    <w:rsid w:val="00FF231A"/>
    <w:rsid w:val="00FF2411"/>
    <w:rsid w:val="00FF24A7"/>
    <w:rsid w:val="00FF26E3"/>
    <w:rsid w:val="00FF28C7"/>
    <w:rsid w:val="00FF2953"/>
    <w:rsid w:val="00FF30F1"/>
    <w:rsid w:val="00FF3130"/>
    <w:rsid w:val="00FF313B"/>
    <w:rsid w:val="00FF3150"/>
    <w:rsid w:val="00FF31F7"/>
    <w:rsid w:val="00FF359D"/>
    <w:rsid w:val="00FF3C3C"/>
    <w:rsid w:val="00FF3DF5"/>
    <w:rsid w:val="00FF3F26"/>
    <w:rsid w:val="00FF3F55"/>
    <w:rsid w:val="00FF4044"/>
    <w:rsid w:val="00FF43F0"/>
    <w:rsid w:val="00FF4518"/>
    <w:rsid w:val="00FF4B3F"/>
    <w:rsid w:val="00FF4C96"/>
    <w:rsid w:val="00FF4D84"/>
    <w:rsid w:val="00FF524E"/>
    <w:rsid w:val="00FF52B6"/>
    <w:rsid w:val="00FF562A"/>
    <w:rsid w:val="00FF57D9"/>
    <w:rsid w:val="00FF585E"/>
    <w:rsid w:val="00FF5975"/>
    <w:rsid w:val="00FF5B6B"/>
    <w:rsid w:val="00FF5C2A"/>
    <w:rsid w:val="00FF5E4C"/>
    <w:rsid w:val="00FF5EEB"/>
    <w:rsid w:val="00FF6037"/>
    <w:rsid w:val="00FF61B6"/>
    <w:rsid w:val="00FF6664"/>
    <w:rsid w:val="00FF6832"/>
    <w:rsid w:val="00FF6A9D"/>
    <w:rsid w:val="00FF6BB9"/>
    <w:rsid w:val="00FF6DE6"/>
    <w:rsid w:val="00FF6F78"/>
    <w:rsid w:val="00FF6FBA"/>
    <w:rsid w:val="00FF7211"/>
    <w:rsid w:val="01048C63"/>
    <w:rsid w:val="014D490A"/>
    <w:rsid w:val="0183703E"/>
    <w:rsid w:val="01861E8F"/>
    <w:rsid w:val="0196F45F"/>
    <w:rsid w:val="01F1B7A2"/>
    <w:rsid w:val="02067218"/>
    <w:rsid w:val="02080E66"/>
    <w:rsid w:val="022F444A"/>
    <w:rsid w:val="02BD725B"/>
    <w:rsid w:val="02C4D68E"/>
    <w:rsid w:val="02C66CCA"/>
    <w:rsid w:val="0327DEA5"/>
    <w:rsid w:val="032D9F51"/>
    <w:rsid w:val="03524BC7"/>
    <w:rsid w:val="037BF15F"/>
    <w:rsid w:val="03AFCE0D"/>
    <w:rsid w:val="0404379B"/>
    <w:rsid w:val="04914A73"/>
    <w:rsid w:val="050372FC"/>
    <w:rsid w:val="053B9DFD"/>
    <w:rsid w:val="05A740C1"/>
    <w:rsid w:val="06B2B768"/>
    <w:rsid w:val="0743A63C"/>
    <w:rsid w:val="080DFAEF"/>
    <w:rsid w:val="088E3B96"/>
    <w:rsid w:val="08944C62"/>
    <w:rsid w:val="08E210CE"/>
    <w:rsid w:val="0900203D"/>
    <w:rsid w:val="092DB2A5"/>
    <w:rsid w:val="09A01417"/>
    <w:rsid w:val="09A3C084"/>
    <w:rsid w:val="09B324EE"/>
    <w:rsid w:val="0AA1213E"/>
    <w:rsid w:val="0AC4AAA0"/>
    <w:rsid w:val="0B26D704"/>
    <w:rsid w:val="0B295606"/>
    <w:rsid w:val="0B7645AB"/>
    <w:rsid w:val="0D134906"/>
    <w:rsid w:val="0D31D0DE"/>
    <w:rsid w:val="0E49DDDD"/>
    <w:rsid w:val="0E8D22CC"/>
    <w:rsid w:val="0EBFBD32"/>
    <w:rsid w:val="0F0DA736"/>
    <w:rsid w:val="0F50A82D"/>
    <w:rsid w:val="0F544E7A"/>
    <w:rsid w:val="0F6AC708"/>
    <w:rsid w:val="0F6E13DA"/>
    <w:rsid w:val="0F9E1AD4"/>
    <w:rsid w:val="0FD7F401"/>
    <w:rsid w:val="10818904"/>
    <w:rsid w:val="10CDEFF7"/>
    <w:rsid w:val="10E49A2A"/>
    <w:rsid w:val="1108A4DA"/>
    <w:rsid w:val="11153515"/>
    <w:rsid w:val="1152DDAF"/>
    <w:rsid w:val="1155B87B"/>
    <w:rsid w:val="116683E0"/>
    <w:rsid w:val="117C3833"/>
    <w:rsid w:val="11F64335"/>
    <w:rsid w:val="11FB91EE"/>
    <w:rsid w:val="12B959FB"/>
    <w:rsid w:val="13078911"/>
    <w:rsid w:val="13F08193"/>
    <w:rsid w:val="1450AC2B"/>
    <w:rsid w:val="14760554"/>
    <w:rsid w:val="14BBBB65"/>
    <w:rsid w:val="14E47443"/>
    <w:rsid w:val="1531487B"/>
    <w:rsid w:val="154AC932"/>
    <w:rsid w:val="156F0D03"/>
    <w:rsid w:val="157087D9"/>
    <w:rsid w:val="1572DE0E"/>
    <w:rsid w:val="15BB0326"/>
    <w:rsid w:val="15D48316"/>
    <w:rsid w:val="17054C87"/>
    <w:rsid w:val="1712F2CC"/>
    <w:rsid w:val="1716AACD"/>
    <w:rsid w:val="175113D4"/>
    <w:rsid w:val="17821281"/>
    <w:rsid w:val="1784E7B1"/>
    <w:rsid w:val="1787516C"/>
    <w:rsid w:val="17C3CB5A"/>
    <w:rsid w:val="17C6317C"/>
    <w:rsid w:val="18962BE0"/>
    <w:rsid w:val="189A3006"/>
    <w:rsid w:val="18BA356A"/>
    <w:rsid w:val="18BBDDA2"/>
    <w:rsid w:val="1957EF86"/>
    <w:rsid w:val="19FBB550"/>
    <w:rsid w:val="1A0E13B6"/>
    <w:rsid w:val="1A63BEFE"/>
    <w:rsid w:val="1AA27965"/>
    <w:rsid w:val="1AAAB5A3"/>
    <w:rsid w:val="1AECBEE5"/>
    <w:rsid w:val="1AECF164"/>
    <w:rsid w:val="1B1F3D1E"/>
    <w:rsid w:val="1BAC1408"/>
    <w:rsid w:val="1BFA8EC8"/>
    <w:rsid w:val="1C069342"/>
    <w:rsid w:val="1C162BE4"/>
    <w:rsid w:val="1C51BCA4"/>
    <w:rsid w:val="1C5CCB13"/>
    <w:rsid w:val="1C7CB762"/>
    <w:rsid w:val="1CB3C96B"/>
    <w:rsid w:val="1D190A49"/>
    <w:rsid w:val="1D4A7232"/>
    <w:rsid w:val="1D7531EB"/>
    <w:rsid w:val="1D843FE9"/>
    <w:rsid w:val="1DBBE38E"/>
    <w:rsid w:val="1DF500B5"/>
    <w:rsid w:val="1EA26079"/>
    <w:rsid w:val="1EC7179E"/>
    <w:rsid w:val="1F440A78"/>
    <w:rsid w:val="1FF71CD3"/>
    <w:rsid w:val="202EC5A2"/>
    <w:rsid w:val="203C5FDF"/>
    <w:rsid w:val="20D49185"/>
    <w:rsid w:val="214DBC36"/>
    <w:rsid w:val="21A19053"/>
    <w:rsid w:val="21A603FB"/>
    <w:rsid w:val="21E28714"/>
    <w:rsid w:val="220895C5"/>
    <w:rsid w:val="228E5A4F"/>
    <w:rsid w:val="22CE3260"/>
    <w:rsid w:val="2300290E"/>
    <w:rsid w:val="23883180"/>
    <w:rsid w:val="23892624"/>
    <w:rsid w:val="23A51B81"/>
    <w:rsid w:val="23D8F499"/>
    <w:rsid w:val="2467E6DB"/>
    <w:rsid w:val="2473FE81"/>
    <w:rsid w:val="24D03C9B"/>
    <w:rsid w:val="251DE8FA"/>
    <w:rsid w:val="256C63A0"/>
    <w:rsid w:val="256CF12C"/>
    <w:rsid w:val="258A4690"/>
    <w:rsid w:val="26192265"/>
    <w:rsid w:val="2626E381"/>
    <w:rsid w:val="268AA183"/>
    <w:rsid w:val="26AE7F13"/>
    <w:rsid w:val="271CA43B"/>
    <w:rsid w:val="27B8F6F7"/>
    <w:rsid w:val="28375B67"/>
    <w:rsid w:val="287FFFFE"/>
    <w:rsid w:val="288FC9CE"/>
    <w:rsid w:val="2956DAD5"/>
    <w:rsid w:val="299970A7"/>
    <w:rsid w:val="29B8197E"/>
    <w:rsid w:val="29E2B207"/>
    <w:rsid w:val="2A06A2C2"/>
    <w:rsid w:val="2A06B4D7"/>
    <w:rsid w:val="2A4BA81C"/>
    <w:rsid w:val="2AB0AE7C"/>
    <w:rsid w:val="2AD49293"/>
    <w:rsid w:val="2AD8DC45"/>
    <w:rsid w:val="2B0F13D0"/>
    <w:rsid w:val="2B1B4DBA"/>
    <w:rsid w:val="2B745B2B"/>
    <w:rsid w:val="2BBDD955"/>
    <w:rsid w:val="2BD11138"/>
    <w:rsid w:val="2BD2B502"/>
    <w:rsid w:val="2BDDEFCA"/>
    <w:rsid w:val="2BF54A1A"/>
    <w:rsid w:val="2C78A683"/>
    <w:rsid w:val="2C8454F6"/>
    <w:rsid w:val="2C992296"/>
    <w:rsid w:val="2D16E98C"/>
    <w:rsid w:val="2D5DDB0A"/>
    <w:rsid w:val="2D620FC6"/>
    <w:rsid w:val="2E04ACA1"/>
    <w:rsid w:val="2E4C2698"/>
    <w:rsid w:val="2E643DEB"/>
    <w:rsid w:val="2E9DDAFD"/>
    <w:rsid w:val="2EDBF63C"/>
    <w:rsid w:val="2F1BEB3D"/>
    <w:rsid w:val="2F22B9DD"/>
    <w:rsid w:val="2F5EB13A"/>
    <w:rsid w:val="2FE3DB28"/>
    <w:rsid w:val="30FB453A"/>
    <w:rsid w:val="31172E7F"/>
    <w:rsid w:val="31425238"/>
    <w:rsid w:val="31772EF2"/>
    <w:rsid w:val="319D4655"/>
    <w:rsid w:val="31DF02FE"/>
    <w:rsid w:val="322D4660"/>
    <w:rsid w:val="324135C3"/>
    <w:rsid w:val="324B01BC"/>
    <w:rsid w:val="32673CAF"/>
    <w:rsid w:val="328F1162"/>
    <w:rsid w:val="32BA75FD"/>
    <w:rsid w:val="33A1B402"/>
    <w:rsid w:val="33C8830B"/>
    <w:rsid w:val="344440A8"/>
    <w:rsid w:val="3484EAB5"/>
    <w:rsid w:val="34C67F60"/>
    <w:rsid w:val="34FCC3E6"/>
    <w:rsid w:val="3556409A"/>
    <w:rsid w:val="35EAA702"/>
    <w:rsid w:val="36FD21CA"/>
    <w:rsid w:val="37BC913F"/>
    <w:rsid w:val="3820FD8C"/>
    <w:rsid w:val="383A9EF7"/>
    <w:rsid w:val="383F113D"/>
    <w:rsid w:val="38726C88"/>
    <w:rsid w:val="38BA317F"/>
    <w:rsid w:val="3AAEE706"/>
    <w:rsid w:val="3AE40E91"/>
    <w:rsid w:val="3BD1C999"/>
    <w:rsid w:val="3C20022E"/>
    <w:rsid w:val="3C902CB5"/>
    <w:rsid w:val="3D711C83"/>
    <w:rsid w:val="3DE086E6"/>
    <w:rsid w:val="3DEBC3B2"/>
    <w:rsid w:val="3DF4530C"/>
    <w:rsid w:val="3EAD1E67"/>
    <w:rsid w:val="3EC2BA53"/>
    <w:rsid w:val="3EE03241"/>
    <w:rsid w:val="3EFAD187"/>
    <w:rsid w:val="3F5FAC02"/>
    <w:rsid w:val="3F92D285"/>
    <w:rsid w:val="3FBE3748"/>
    <w:rsid w:val="40372311"/>
    <w:rsid w:val="403FC12E"/>
    <w:rsid w:val="40C74241"/>
    <w:rsid w:val="418DEC31"/>
    <w:rsid w:val="42FDD292"/>
    <w:rsid w:val="43076961"/>
    <w:rsid w:val="432144CB"/>
    <w:rsid w:val="4392BABE"/>
    <w:rsid w:val="43BED746"/>
    <w:rsid w:val="44585789"/>
    <w:rsid w:val="44588342"/>
    <w:rsid w:val="445A4F45"/>
    <w:rsid w:val="44C95B3B"/>
    <w:rsid w:val="44E62B50"/>
    <w:rsid w:val="44E958F9"/>
    <w:rsid w:val="44ED7D75"/>
    <w:rsid w:val="44F35592"/>
    <w:rsid w:val="45099B31"/>
    <w:rsid w:val="4546E31E"/>
    <w:rsid w:val="457D83F4"/>
    <w:rsid w:val="459089AE"/>
    <w:rsid w:val="45C9ADA7"/>
    <w:rsid w:val="45D81F69"/>
    <w:rsid w:val="45F55E99"/>
    <w:rsid w:val="461858B4"/>
    <w:rsid w:val="463B6CDF"/>
    <w:rsid w:val="463B8119"/>
    <w:rsid w:val="4686D26D"/>
    <w:rsid w:val="46EF378C"/>
    <w:rsid w:val="46FFBE42"/>
    <w:rsid w:val="4701406B"/>
    <w:rsid w:val="483D97CE"/>
    <w:rsid w:val="487E0872"/>
    <w:rsid w:val="488BE5DE"/>
    <w:rsid w:val="4907B332"/>
    <w:rsid w:val="49104583"/>
    <w:rsid w:val="493B9AD6"/>
    <w:rsid w:val="49412A72"/>
    <w:rsid w:val="496333C8"/>
    <w:rsid w:val="498FE3B2"/>
    <w:rsid w:val="49A5E9E8"/>
    <w:rsid w:val="4A7344E5"/>
    <w:rsid w:val="4AA61FAB"/>
    <w:rsid w:val="4AAA26EA"/>
    <w:rsid w:val="4ABA13C4"/>
    <w:rsid w:val="4AD9708F"/>
    <w:rsid w:val="4AE855AB"/>
    <w:rsid w:val="4B227E8B"/>
    <w:rsid w:val="4B5AC81D"/>
    <w:rsid w:val="4B72AAFA"/>
    <w:rsid w:val="4CA06C61"/>
    <w:rsid w:val="4CEA3FF1"/>
    <w:rsid w:val="4D189B8F"/>
    <w:rsid w:val="4D575AD1"/>
    <w:rsid w:val="4DF9BC60"/>
    <w:rsid w:val="4DFD636E"/>
    <w:rsid w:val="4E0F7ED1"/>
    <w:rsid w:val="4E10BF3E"/>
    <w:rsid w:val="4E31C18E"/>
    <w:rsid w:val="4E3FF6BC"/>
    <w:rsid w:val="4EC85707"/>
    <w:rsid w:val="4F24C556"/>
    <w:rsid w:val="4F27D28D"/>
    <w:rsid w:val="4F563D29"/>
    <w:rsid w:val="4F95B89E"/>
    <w:rsid w:val="4FB48DE3"/>
    <w:rsid w:val="4FC96CD4"/>
    <w:rsid w:val="50764C38"/>
    <w:rsid w:val="50E55558"/>
    <w:rsid w:val="518BE00E"/>
    <w:rsid w:val="51C378CA"/>
    <w:rsid w:val="522B13CC"/>
    <w:rsid w:val="527F6C1C"/>
    <w:rsid w:val="5292256B"/>
    <w:rsid w:val="52F84A78"/>
    <w:rsid w:val="535E2049"/>
    <w:rsid w:val="539D0055"/>
    <w:rsid w:val="53F5F38B"/>
    <w:rsid w:val="54001C21"/>
    <w:rsid w:val="554F3A42"/>
    <w:rsid w:val="55F78604"/>
    <w:rsid w:val="56B39F1F"/>
    <w:rsid w:val="56C258DA"/>
    <w:rsid w:val="56E0B477"/>
    <w:rsid w:val="56F5E196"/>
    <w:rsid w:val="57026D36"/>
    <w:rsid w:val="57400AAD"/>
    <w:rsid w:val="5743E907"/>
    <w:rsid w:val="57887A42"/>
    <w:rsid w:val="57D71A0B"/>
    <w:rsid w:val="5856A75B"/>
    <w:rsid w:val="58E2BD48"/>
    <w:rsid w:val="58F41A68"/>
    <w:rsid w:val="58FD47B7"/>
    <w:rsid w:val="59549AF5"/>
    <w:rsid w:val="5960C23C"/>
    <w:rsid w:val="5980ABD0"/>
    <w:rsid w:val="5A2C6A04"/>
    <w:rsid w:val="5A696CEF"/>
    <w:rsid w:val="5A6E8AB2"/>
    <w:rsid w:val="5B4D3A06"/>
    <w:rsid w:val="5B63EC78"/>
    <w:rsid w:val="5BEA154B"/>
    <w:rsid w:val="5C7CA300"/>
    <w:rsid w:val="5C887F4A"/>
    <w:rsid w:val="5CE69DAA"/>
    <w:rsid w:val="5DDAE238"/>
    <w:rsid w:val="5E007D50"/>
    <w:rsid w:val="5F08B453"/>
    <w:rsid w:val="5F0A6681"/>
    <w:rsid w:val="5F0EDFB4"/>
    <w:rsid w:val="5FED3AE7"/>
    <w:rsid w:val="5FF4F451"/>
    <w:rsid w:val="6021296B"/>
    <w:rsid w:val="6038C912"/>
    <w:rsid w:val="60A49DE0"/>
    <w:rsid w:val="60A530C1"/>
    <w:rsid w:val="60C97C1D"/>
    <w:rsid w:val="6132BEDB"/>
    <w:rsid w:val="618C0477"/>
    <w:rsid w:val="6224F471"/>
    <w:rsid w:val="6246AAF3"/>
    <w:rsid w:val="62B81F60"/>
    <w:rsid w:val="63382C14"/>
    <w:rsid w:val="634C40B5"/>
    <w:rsid w:val="635A1CCB"/>
    <w:rsid w:val="6385D8A4"/>
    <w:rsid w:val="63C7A64A"/>
    <w:rsid w:val="63F1D60A"/>
    <w:rsid w:val="63F39586"/>
    <w:rsid w:val="63FF4876"/>
    <w:rsid w:val="64544FBD"/>
    <w:rsid w:val="647F3787"/>
    <w:rsid w:val="6529DD62"/>
    <w:rsid w:val="654EC4F6"/>
    <w:rsid w:val="65F54BD0"/>
    <w:rsid w:val="667340E1"/>
    <w:rsid w:val="668E8B02"/>
    <w:rsid w:val="6739B76E"/>
    <w:rsid w:val="6743672B"/>
    <w:rsid w:val="674EA8F2"/>
    <w:rsid w:val="676A5278"/>
    <w:rsid w:val="679CA59E"/>
    <w:rsid w:val="68F6D67C"/>
    <w:rsid w:val="6A7CAEE2"/>
    <w:rsid w:val="6AF37DCB"/>
    <w:rsid w:val="6AF42687"/>
    <w:rsid w:val="6B5E0177"/>
    <w:rsid w:val="6B6B60FD"/>
    <w:rsid w:val="6B9E7774"/>
    <w:rsid w:val="6BD215BC"/>
    <w:rsid w:val="6C341A56"/>
    <w:rsid w:val="6C7705D1"/>
    <w:rsid w:val="6C7B70E2"/>
    <w:rsid w:val="6C7D0114"/>
    <w:rsid w:val="6CDBAA83"/>
    <w:rsid w:val="6D178DA0"/>
    <w:rsid w:val="6D60AB38"/>
    <w:rsid w:val="6D7A5255"/>
    <w:rsid w:val="6F181418"/>
    <w:rsid w:val="6F252210"/>
    <w:rsid w:val="6F265A85"/>
    <w:rsid w:val="6F4FCF19"/>
    <w:rsid w:val="6F5E6BA8"/>
    <w:rsid w:val="6F7131B7"/>
    <w:rsid w:val="6FC3BB62"/>
    <w:rsid w:val="6FE16E89"/>
    <w:rsid w:val="705C54F1"/>
    <w:rsid w:val="707C98FE"/>
    <w:rsid w:val="7116D057"/>
    <w:rsid w:val="712E2B06"/>
    <w:rsid w:val="7145EB5A"/>
    <w:rsid w:val="7167D026"/>
    <w:rsid w:val="71896852"/>
    <w:rsid w:val="71E4629D"/>
    <w:rsid w:val="7219F084"/>
    <w:rsid w:val="7228AC42"/>
    <w:rsid w:val="72320DC6"/>
    <w:rsid w:val="7234435F"/>
    <w:rsid w:val="7269C41C"/>
    <w:rsid w:val="72C2DF0E"/>
    <w:rsid w:val="72E269F9"/>
    <w:rsid w:val="735E8FF2"/>
    <w:rsid w:val="73A5F5E6"/>
    <w:rsid w:val="73D59115"/>
    <w:rsid w:val="744BB3B9"/>
    <w:rsid w:val="7453D4F0"/>
    <w:rsid w:val="7456E03D"/>
    <w:rsid w:val="7472205A"/>
    <w:rsid w:val="74DE2323"/>
    <w:rsid w:val="751D47EB"/>
    <w:rsid w:val="752C9ABD"/>
    <w:rsid w:val="756683CD"/>
    <w:rsid w:val="7567F609"/>
    <w:rsid w:val="757C3100"/>
    <w:rsid w:val="75DD5D01"/>
    <w:rsid w:val="760B5A3D"/>
    <w:rsid w:val="7642D395"/>
    <w:rsid w:val="769101C5"/>
    <w:rsid w:val="76A82F40"/>
    <w:rsid w:val="76B11DEA"/>
    <w:rsid w:val="772FA47B"/>
    <w:rsid w:val="777A7050"/>
    <w:rsid w:val="77D92F82"/>
    <w:rsid w:val="77FD9DA7"/>
    <w:rsid w:val="78359201"/>
    <w:rsid w:val="78CB4286"/>
    <w:rsid w:val="797A74B2"/>
    <w:rsid w:val="79C8C1A0"/>
    <w:rsid w:val="7A3F2F5E"/>
    <w:rsid w:val="7A5AF846"/>
    <w:rsid w:val="7A5C289B"/>
    <w:rsid w:val="7A663217"/>
    <w:rsid w:val="7B066E63"/>
    <w:rsid w:val="7B33F896"/>
    <w:rsid w:val="7B4B37A8"/>
    <w:rsid w:val="7B84980B"/>
    <w:rsid w:val="7BE6A52E"/>
    <w:rsid w:val="7C5C06B0"/>
    <w:rsid w:val="7CC2D22A"/>
    <w:rsid w:val="7D19719C"/>
    <w:rsid w:val="7D6BBF79"/>
    <w:rsid w:val="7D92ECCA"/>
    <w:rsid w:val="7E09587C"/>
    <w:rsid w:val="7ECBAEB8"/>
    <w:rsid w:val="7EE3F95E"/>
    <w:rsid w:val="7FB9F5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33143"/>
  <w15:docId w15:val="{4B6025AC-E2D3-40F8-8445-7BDF86164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rFonts w:ascii="Courier New" w:hAnsi="Courier New"/>
      <w:sz w:val="24"/>
      <w:lang w:val="en-GB" w:eastAsia="en-GB"/>
    </w:rPr>
  </w:style>
  <w:style w:type="paragraph" w:styleId="Heading1">
    <w:name w:val="heading 1"/>
    <w:aliases w:val="Heading 1 Char Char Char Char Char Char Char Char Char Char Char Char Char Char"/>
    <w:basedOn w:val="Normal"/>
    <w:next w:val="Text1"/>
    <w:link w:val="Heading1Char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4"/>
      </w:numPr>
    </w:pPr>
  </w:style>
  <w:style w:type="paragraph" w:styleId="ListBullet2">
    <w:name w:val="List Bullet 2"/>
    <w:basedOn w:val="Text2"/>
    <w:uiPriority w:val="99"/>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3"/>
      </w:numPr>
    </w:pPr>
    <w:rPr>
      <w:rFonts w:ascii="Times New Roman" w:hAnsi="Times New Roman"/>
    </w:r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5"/>
      </w:numPr>
    </w:pPr>
  </w:style>
  <w:style w:type="paragraph" w:customStyle="1" w:styleId="ListDash">
    <w:name w:val="List Dash"/>
    <w:basedOn w:val="Normal"/>
    <w:link w:val="ListDashChar"/>
    <w:pPr>
      <w:numPr>
        <w:numId w:val="20"/>
      </w:numPr>
    </w:pPr>
  </w:style>
  <w:style w:type="paragraph" w:customStyle="1" w:styleId="ListDash1">
    <w:name w:val="List Dash 1"/>
    <w:basedOn w:val="Text1"/>
    <w:pPr>
      <w:numPr>
        <w:numId w:val="9"/>
      </w:numPr>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8"/>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val="en-US"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en-US"/>
    </w:rPr>
  </w:style>
  <w:style w:type="paragraph" w:customStyle="1" w:styleId="Initial">
    <w:name w:val="Initial"/>
    <w:link w:val="InitialChar"/>
    <w:pPr>
      <w:tabs>
        <w:tab w:val="left" w:pos="-720"/>
      </w:tabs>
      <w:suppressAutoHyphens/>
      <w:jc w:val="both"/>
    </w:pPr>
    <w:rPr>
      <w:spacing w:val="-3"/>
      <w:sz w:val="24"/>
      <w:lang w:val="en-US" w:eastAsia="en-GB"/>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val="fr-BE"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Dput">
    <w:name w:val="Député"/>
    <w:basedOn w:val="Titreobjet"/>
    <w:pPr>
      <w:spacing w:after="240"/>
    </w:pPr>
    <w:rPr>
      <w:lang w:val="fr-FR"/>
    </w:rPr>
  </w:style>
  <w:style w:type="paragraph" w:customStyle="1" w:styleId="Commissionparlementaire">
    <w:name w:val="Commission parlementaire"/>
    <w:basedOn w:val="Titreobjet"/>
    <w:next w:val="Normal"/>
    <w:pPr>
      <w:spacing w:after="480"/>
    </w:pPr>
    <w:rPr>
      <w:lang w:val="fr-FR"/>
    </w:r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val="fr-BE"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val="fr-BE"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val="en-US"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en-GB" w:eastAsia="en-GB" w:bidi="ar-SA"/>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9"/>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en-GB"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en-US"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en-GB"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val="en-US"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val="en-US" w:eastAsia="en-US"/>
    </w:rPr>
  </w:style>
  <w:style w:type="paragraph" w:customStyle="1" w:styleId="normal12hanging0">
    <w:name w:val="normal12hanging"/>
    <w:basedOn w:val="Normal"/>
    <w:rsid w:val="00E709A0"/>
    <w:pPr>
      <w:ind w:left="357" w:hanging="357"/>
      <w:jc w:val="left"/>
    </w:pPr>
    <w:rPr>
      <w:rFonts w:ascii="Times New Roman" w:hAnsi="Times New Roman"/>
      <w:szCs w:val="24"/>
      <w:lang w:val="en-US" w:eastAsia="en-US"/>
    </w:rPr>
  </w:style>
  <w:style w:type="paragraph" w:customStyle="1" w:styleId="CharCharChar">
    <w:name w:val="Char Char Char"/>
    <w:basedOn w:val="Normal"/>
    <w:next w:val="Normal"/>
    <w:rsid w:val="00E709A0"/>
    <w:pPr>
      <w:spacing w:after="160" w:line="240" w:lineRule="exact"/>
      <w:jc w:val="left"/>
    </w:pPr>
    <w:rPr>
      <w:rFonts w:ascii="Tahoma" w:hAnsi="Tahoma"/>
      <w:lang w:val="en-US"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val="en-US" w:eastAsia="en-US"/>
    </w:rPr>
  </w:style>
  <w:style w:type="character" w:customStyle="1" w:styleId="Normal12Char0">
    <w:name w:val="Normal12 Char"/>
    <w:link w:val="Normal120"/>
    <w:rsid w:val="008D0782"/>
    <w:rPr>
      <w:sz w:val="24"/>
      <w:szCs w:val="24"/>
      <w:lang w:val="en-GB"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val="en-US" w:eastAsia="en-US"/>
    </w:rPr>
  </w:style>
  <w:style w:type="paragraph" w:customStyle="1" w:styleId="Char1">
    <w:name w:val="Char1"/>
    <w:basedOn w:val="Normal"/>
    <w:rsid w:val="00F47B73"/>
    <w:pPr>
      <w:spacing w:after="160" w:line="240" w:lineRule="exact"/>
      <w:jc w:val="left"/>
    </w:pPr>
    <w:rPr>
      <w:rFonts w:ascii="Tahoma" w:hAnsi="Tahoma"/>
      <w:sz w:val="20"/>
      <w:lang w:val="en-US" w:eastAsia="en-US"/>
    </w:rPr>
  </w:style>
  <w:style w:type="paragraph" w:customStyle="1" w:styleId="Char">
    <w:name w:val="Char"/>
    <w:basedOn w:val="Normal"/>
    <w:rsid w:val="00124A7A"/>
    <w:pPr>
      <w:spacing w:after="160" w:line="240" w:lineRule="exact"/>
      <w:jc w:val="left"/>
    </w:pPr>
    <w:rPr>
      <w:rFonts w:ascii="Tahoma" w:hAnsi="Tahoma"/>
      <w:sz w:val="20"/>
      <w:lang w:val="en-US"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lang w:val="fr-FR"/>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val="en-US"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en-GB"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val="en-US" w:eastAsia="en-US"/>
    </w:rPr>
  </w:style>
  <w:style w:type="character" w:customStyle="1" w:styleId="Text1Char">
    <w:name w:val="Text 1 Char"/>
    <w:link w:val="Text1"/>
    <w:rsid w:val="001B76B5"/>
    <w:rPr>
      <w:rFonts w:ascii="Courier New" w:hAnsi="Courier New"/>
      <w:sz w:val="24"/>
      <w:lang w:val="en-GB"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en-GB"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val="en-US" w:eastAsia="en-US"/>
    </w:rPr>
  </w:style>
  <w:style w:type="character" w:customStyle="1" w:styleId="Marker">
    <w:name w:val="Marker"/>
    <w:rsid w:val="00FE35A4"/>
    <w:rPr>
      <w:color w:val="0000FF"/>
      <w:lang w:val="en-GB"/>
    </w:rPr>
  </w:style>
  <w:style w:type="paragraph" w:customStyle="1" w:styleId="CarChar">
    <w:name w:val="Car Char"/>
    <w:basedOn w:val="Normal"/>
    <w:rsid w:val="00573DC5"/>
    <w:pPr>
      <w:spacing w:after="160" w:line="240" w:lineRule="exact"/>
      <w:jc w:val="left"/>
    </w:pPr>
    <w:rPr>
      <w:rFonts w:ascii="Tahoma" w:hAnsi="Tahoma"/>
      <w:sz w:val="20"/>
      <w:lang w:val="en-US" w:eastAsia="en-US"/>
    </w:rPr>
  </w:style>
  <w:style w:type="paragraph" w:customStyle="1" w:styleId="Car">
    <w:name w:val="Car"/>
    <w:basedOn w:val="Normal"/>
    <w:rsid w:val="00F02465"/>
    <w:pPr>
      <w:spacing w:after="160" w:line="240" w:lineRule="exact"/>
      <w:jc w:val="left"/>
    </w:pPr>
    <w:rPr>
      <w:rFonts w:ascii="Arial" w:hAnsi="Arial" w:cs="Arial"/>
      <w:sz w:val="28"/>
      <w:szCs w:val="28"/>
      <w:lang w:val="en-US"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en-GB"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val="fr-FR"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en-GB"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val="en-US"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val="en-US" w:eastAsia="en-US"/>
    </w:rPr>
  </w:style>
  <w:style w:type="paragraph" w:customStyle="1" w:styleId="Znak">
    <w:name w:val="Znak"/>
    <w:basedOn w:val="Normal"/>
    <w:rsid w:val="00A76EE9"/>
    <w:pPr>
      <w:spacing w:after="160" w:line="240" w:lineRule="exact"/>
      <w:jc w:val="left"/>
    </w:pPr>
    <w:rPr>
      <w:rFonts w:ascii="Tahoma" w:hAnsi="Tahoma"/>
      <w:sz w:val="20"/>
      <w:lang w:val="en-US"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en-GB"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en-GB"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val="en-US" w:eastAsia="en-US"/>
    </w:rPr>
  </w:style>
  <w:style w:type="character" w:customStyle="1" w:styleId="ListBulletChar">
    <w:name w:val="List Bullet Char"/>
    <w:rsid w:val="00B36749"/>
    <w:rPr>
      <w:sz w:val="24"/>
      <w:lang w:val="en-GB" w:eastAsia="en-US" w:bidi="ar-SA"/>
    </w:rPr>
  </w:style>
  <w:style w:type="character" w:customStyle="1" w:styleId="Normal12HangingZnak">
    <w:name w:val="Normal12Hanging Znak"/>
    <w:rsid w:val="006474F2"/>
    <w:rPr>
      <w:sz w:val="24"/>
      <w:lang w:val="en-GB" w:eastAsia="en-GB" w:bidi="ar-SA"/>
    </w:rPr>
  </w:style>
  <w:style w:type="character" w:customStyle="1" w:styleId="Text2Char1">
    <w:name w:val="Text 2 Char1"/>
    <w:link w:val="Text2"/>
    <w:rsid w:val="006474F2"/>
    <w:rPr>
      <w:rFonts w:ascii="Courier New" w:hAnsi="Courier New"/>
      <w:sz w:val="24"/>
      <w:lang w:val="en-GB"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lang w:val="fr-FR"/>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en-GB"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aliases w:val="Normal bullet 2,Bullet list,List Paragraph1,Numbered List,1st level - Bullet List Paragraph,Lettre d'introduction,Paragrafo elenco,List Paragraph11,Normal bullet 21,List Paragraph111,Bullet list1,List Paragraph (numbered (a)),Dot pt,L,EC"/>
    <w:basedOn w:val="Normal"/>
    <w:link w:val="ListParagraphChar"/>
    <w:uiPriority w:val="34"/>
    <w:qFormat/>
    <w:rsid w:val="001C680C"/>
    <w:pPr>
      <w:spacing w:after="200" w:line="276" w:lineRule="auto"/>
      <w:ind w:left="720"/>
      <w:contextualSpacing/>
      <w:jc w:val="left"/>
    </w:pPr>
    <w:rPr>
      <w:rFonts w:ascii="Calibri" w:eastAsia="Calibri" w:hAnsi="Calibri"/>
      <w:sz w:val="22"/>
      <w:szCs w:val="22"/>
      <w:lang w:val="en-US"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en-GB"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val="en-US" w:eastAsia="en-US"/>
    </w:rPr>
  </w:style>
  <w:style w:type="paragraph" w:customStyle="1" w:styleId="Considrant">
    <w:name w:val="Considérant"/>
    <w:basedOn w:val="Normal"/>
    <w:rsid w:val="009D3B39"/>
    <w:pPr>
      <w:numPr>
        <w:numId w:val="21"/>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en-GB"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val="de-DE"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en-GB" w:eastAsia="en-GB" w:bidi="ar-SA"/>
    </w:rPr>
  </w:style>
  <w:style w:type="paragraph" w:customStyle="1" w:styleId="Briefingspeakdef">
    <w:name w:val="Briefing speak/def"/>
    <w:basedOn w:val="Normal"/>
    <w:rsid w:val="005951D7"/>
    <w:pPr>
      <w:numPr>
        <w:numId w:val="22"/>
      </w:numPr>
      <w:tabs>
        <w:tab w:val="clear" w:pos="765"/>
        <w:tab w:val="num" w:pos="284"/>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en-GB"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en-GB" w:eastAsia="en-US" w:bidi="ar-SA"/>
    </w:rPr>
  </w:style>
  <w:style w:type="numbering" w:styleId="111111">
    <w:name w:val="Outline List 2"/>
    <w:basedOn w:val="NoList"/>
    <w:rsid w:val="00BC35A6"/>
    <w:pPr>
      <w:numPr>
        <w:numId w:val="23"/>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val="fr-FR"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es-ES_tradnl" w:eastAsia="en-GB" w:bidi="ar-SA"/>
    </w:rPr>
  </w:style>
  <w:style w:type="character" w:customStyle="1" w:styleId="InitialChar">
    <w:name w:val="Initial Char"/>
    <w:link w:val="Initial"/>
    <w:rsid w:val="00FD22F7"/>
    <w:rPr>
      <w:spacing w:val="-3"/>
      <w:sz w:val="24"/>
      <w:lang w:val="en-US" w:eastAsia="en-GB" w:bidi="ar-SA"/>
    </w:rPr>
  </w:style>
  <w:style w:type="paragraph" w:customStyle="1" w:styleId="Briefingspdef">
    <w:name w:val="Briefing sp/def"/>
    <w:basedOn w:val="Normal"/>
    <w:rsid w:val="00FD22F7"/>
    <w:pPr>
      <w:keepLines/>
      <w:numPr>
        <w:numId w:val="24"/>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val="en-GB"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en-GB" w:eastAsia="en-GB" w:bidi="ar-SA"/>
    </w:rPr>
  </w:style>
  <w:style w:type="paragraph" w:customStyle="1" w:styleId="ZnakZnak">
    <w:name w:val="Znak Znak"/>
    <w:basedOn w:val="Normal"/>
    <w:link w:val="NoList"/>
    <w:rsid w:val="00E61FC7"/>
    <w:pPr>
      <w:spacing w:after="0" w:line="360" w:lineRule="auto"/>
    </w:pPr>
    <w:rPr>
      <w:rFonts w:ascii="Verdana" w:hAnsi="Verdana"/>
      <w:sz w:val="20"/>
      <w:lang w:val="pl-PL"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en-GB"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en-GB"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val="pl-PL"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val="en-US" w:eastAsia="en-US"/>
    </w:rPr>
  </w:style>
  <w:style w:type="paragraph" w:customStyle="1" w:styleId="MediumGrid21">
    <w:name w:val="Medium Grid 21"/>
    <w:link w:val="MediumGrid2Char"/>
    <w:uiPriority w:val="1"/>
    <w:qFormat/>
    <w:rsid w:val="007C5D8A"/>
    <w:rPr>
      <w:rFonts w:ascii="Arial" w:hAnsi="Arial"/>
      <w:sz w:val="22"/>
      <w:szCs w:val="22"/>
      <w:lang w:val="en-GB"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val="en-GB" w:eastAsia="en-GB"/>
    </w:rPr>
  </w:style>
  <w:style w:type="paragraph" w:customStyle="1" w:styleId="CM3">
    <w:name w:val="CM3"/>
    <w:basedOn w:val="Default"/>
    <w:next w:val="Default"/>
    <w:uiPriority w:val="99"/>
    <w:rsid w:val="007C5D8A"/>
    <w:rPr>
      <w:rFonts w:ascii="EUAlbertina" w:hAnsi="EUAlbertina"/>
      <w:color w:val="auto"/>
      <w:lang w:val="en-GB" w:eastAsia="en-GB"/>
    </w:rPr>
  </w:style>
  <w:style w:type="paragraph" w:customStyle="1" w:styleId="CM4">
    <w:name w:val="CM4"/>
    <w:basedOn w:val="Default"/>
    <w:next w:val="Default"/>
    <w:uiPriority w:val="99"/>
    <w:rsid w:val="007C5D8A"/>
    <w:rPr>
      <w:rFonts w:ascii="EUAlbertina" w:hAnsi="EUAlbertina"/>
      <w:color w:val="auto"/>
      <w:lang w:val="en-GB"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lang w:val="en-GB" w:eastAsia="en-GB"/>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en-US"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one" w:sz="96" w:space="31" w:color="FFFFFF" w:frame="1"/>
        <w:left w:val="none" w:sz="96" w:space="31" w:color="FFFFFF" w:frame="1"/>
        <w:bottom w:val="none" w:sz="96" w:space="31" w:color="FFFFFF" w:frame="1"/>
        <w:right w:val="none" w:sz="96" w:space="31" w:color="FFFFFF" w:frame="1"/>
      </w:pBdr>
      <w:spacing w:after="240"/>
      <w:jc w:val="both"/>
    </w:pPr>
    <w:rPr>
      <w:color w:val="000000"/>
      <w:sz w:val="24"/>
      <w:szCs w:val="24"/>
      <w:u w:color="000000"/>
      <w:lang w:val="en-GB" w:eastAsia="en-GB"/>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lang w:val="en-US" w:eastAsia="en-GB"/>
    </w:rPr>
  </w:style>
  <w:style w:type="character" w:styleId="UnresolvedMention">
    <w:name w:val="Unresolved Mention"/>
    <w:uiPriority w:val="99"/>
    <w:semiHidden/>
    <w:unhideWhenUsed/>
    <w:rsid w:val="00552E0C"/>
    <w:rPr>
      <w:color w:val="605E5C"/>
      <w:shd w:val="clear" w:color="auto" w:fill="E1DFDD"/>
    </w:rPr>
  </w:style>
  <w:style w:type="paragraph" w:customStyle="1" w:styleId="SpeakingPoint">
    <w:name w:val="Speaking Point"/>
    <w:basedOn w:val="Normal"/>
    <w:rsid w:val="007F7703"/>
    <w:pPr>
      <w:numPr>
        <w:numId w:val="38"/>
      </w:numPr>
      <w:tabs>
        <w:tab w:val="num" w:pos="709"/>
      </w:tabs>
      <w:spacing w:line="360" w:lineRule="auto"/>
      <w:ind w:left="709" w:hanging="709"/>
    </w:pPr>
    <w:rPr>
      <w:rFonts w:ascii="Arial" w:hAnsi="Arial"/>
      <w:sz w:val="28"/>
      <w:lang w:val="en-IE" w:eastAsia="nl-BE"/>
    </w:rPr>
  </w:style>
  <w:style w:type="character" w:customStyle="1" w:styleId="ListParagraphChar">
    <w:name w:val="List Paragraph Char"/>
    <w:aliases w:val="Normal bullet 2 Char,Bullet list Char,List Paragraph1 Char,Numbered List Char,1st level - Bullet List Paragraph Char,Lettre d'introduction Char,Paragrafo elenco Char,List Paragraph11 Char,Normal bullet 21 Char,List Paragraph111 Char"/>
    <w:link w:val="ListParagraph"/>
    <w:uiPriority w:val="34"/>
    <w:qFormat/>
    <w:locked/>
    <w:rsid w:val="0049425D"/>
    <w:rPr>
      <w:rFonts w:ascii="Calibri" w:eastAsia="Calibri" w:hAnsi="Calibri"/>
      <w:sz w:val="22"/>
      <w:szCs w:val="22"/>
      <w:lang w:val="en-US" w:eastAsia="en-US"/>
    </w:rPr>
  </w:style>
  <w:style w:type="character" w:styleId="Mention">
    <w:name w:val="Mention"/>
    <w:uiPriority w:val="99"/>
    <w:unhideWhenUsed/>
    <w:rsid w:val="005A128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209">
      <w:bodyDiv w:val="1"/>
      <w:marLeft w:val="0"/>
      <w:marRight w:val="0"/>
      <w:marTop w:val="0"/>
      <w:marBottom w:val="0"/>
      <w:divBdr>
        <w:top w:val="none" w:sz="0" w:space="0" w:color="auto"/>
        <w:left w:val="none" w:sz="0" w:space="0" w:color="auto"/>
        <w:bottom w:val="none" w:sz="0" w:space="0" w:color="auto"/>
        <w:right w:val="none" w:sz="0" w:space="0" w:color="auto"/>
      </w:divBdr>
    </w:div>
    <w:div w:id="39715405">
      <w:bodyDiv w:val="1"/>
      <w:marLeft w:val="0"/>
      <w:marRight w:val="0"/>
      <w:marTop w:val="0"/>
      <w:marBottom w:val="0"/>
      <w:divBdr>
        <w:top w:val="none" w:sz="0" w:space="0" w:color="auto"/>
        <w:left w:val="none" w:sz="0" w:space="0" w:color="auto"/>
        <w:bottom w:val="none" w:sz="0" w:space="0" w:color="auto"/>
        <w:right w:val="none" w:sz="0" w:space="0" w:color="auto"/>
      </w:divBdr>
    </w:div>
    <w:div w:id="66535829">
      <w:bodyDiv w:val="1"/>
      <w:marLeft w:val="0"/>
      <w:marRight w:val="0"/>
      <w:marTop w:val="0"/>
      <w:marBottom w:val="0"/>
      <w:divBdr>
        <w:top w:val="none" w:sz="0" w:space="0" w:color="auto"/>
        <w:left w:val="none" w:sz="0" w:space="0" w:color="auto"/>
        <w:bottom w:val="none" w:sz="0" w:space="0" w:color="auto"/>
        <w:right w:val="none" w:sz="0" w:space="0" w:color="auto"/>
      </w:divBdr>
    </w:div>
    <w:div w:id="66616221">
      <w:bodyDiv w:val="1"/>
      <w:marLeft w:val="0"/>
      <w:marRight w:val="0"/>
      <w:marTop w:val="0"/>
      <w:marBottom w:val="0"/>
      <w:divBdr>
        <w:top w:val="none" w:sz="0" w:space="0" w:color="auto"/>
        <w:left w:val="none" w:sz="0" w:space="0" w:color="auto"/>
        <w:bottom w:val="none" w:sz="0" w:space="0" w:color="auto"/>
        <w:right w:val="none" w:sz="0" w:space="0" w:color="auto"/>
      </w:divBdr>
    </w:div>
    <w:div w:id="105151461">
      <w:bodyDiv w:val="1"/>
      <w:marLeft w:val="0"/>
      <w:marRight w:val="0"/>
      <w:marTop w:val="0"/>
      <w:marBottom w:val="0"/>
      <w:divBdr>
        <w:top w:val="none" w:sz="0" w:space="0" w:color="auto"/>
        <w:left w:val="none" w:sz="0" w:space="0" w:color="auto"/>
        <w:bottom w:val="none" w:sz="0" w:space="0" w:color="auto"/>
        <w:right w:val="none" w:sz="0" w:space="0" w:color="auto"/>
      </w:divBdr>
    </w:div>
    <w:div w:id="122433811">
      <w:bodyDiv w:val="1"/>
      <w:marLeft w:val="0"/>
      <w:marRight w:val="0"/>
      <w:marTop w:val="0"/>
      <w:marBottom w:val="0"/>
      <w:divBdr>
        <w:top w:val="none" w:sz="0" w:space="0" w:color="auto"/>
        <w:left w:val="none" w:sz="0" w:space="0" w:color="auto"/>
        <w:bottom w:val="none" w:sz="0" w:space="0" w:color="auto"/>
        <w:right w:val="none" w:sz="0" w:space="0" w:color="auto"/>
      </w:divBdr>
    </w:div>
    <w:div w:id="169375616">
      <w:bodyDiv w:val="1"/>
      <w:marLeft w:val="0"/>
      <w:marRight w:val="0"/>
      <w:marTop w:val="0"/>
      <w:marBottom w:val="0"/>
      <w:divBdr>
        <w:top w:val="none" w:sz="0" w:space="0" w:color="auto"/>
        <w:left w:val="none" w:sz="0" w:space="0" w:color="auto"/>
        <w:bottom w:val="none" w:sz="0" w:space="0" w:color="auto"/>
        <w:right w:val="none" w:sz="0" w:space="0" w:color="auto"/>
      </w:divBdr>
    </w:div>
    <w:div w:id="215242178">
      <w:bodyDiv w:val="1"/>
      <w:marLeft w:val="0"/>
      <w:marRight w:val="0"/>
      <w:marTop w:val="0"/>
      <w:marBottom w:val="0"/>
      <w:divBdr>
        <w:top w:val="none" w:sz="0" w:space="0" w:color="auto"/>
        <w:left w:val="none" w:sz="0" w:space="0" w:color="auto"/>
        <w:bottom w:val="none" w:sz="0" w:space="0" w:color="auto"/>
        <w:right w:val="none" w:sz="0" w:space="0" w:color="auto"/>
      </w:divBdr>
    </w:div>
    <w:div w:id="330834547">
      <w:bodyDiv w:val="1"/>
      <w:marLeft w:val="0"/>
      <w:marRight w:val="0"/>
      <w:marTop w:val="0"/>
      <w:marBottom w:val="0"/>
      <w:divBdr>
        <w:top w:val="none" w:sz="0" w:space="0" w:color="auto"/>
        <w:left w:val="none" w:sz="0" w:space="0" w:color="auto"/>
        <w:bottom w:val="none" w:sz="0" w:space="0" w:color="auto"/>
        <w:right w:val="none" w:sz="0" w:space="0" w:color="auto"/>
      </w:divBdr>
    </w:div>
    <w:div w:id="345206573">
      <w:bodyDiv w:val="1"/>
      <w:marLeft w:val="0"/>
      <w:marRight w:val="0"/>
      <w:marTop w:val="0"/>
      <w:marBottom w:val="0"/>
      <w:divBdr>
        <w:top w:val="none" w:sz="0" w:space="0" w:color="auto"/>
        <w:left w:val="none" w:sz="0" w:space="0" w:color="auto"/>
        <w:bottom w:val="none" w:sz="0" w:space="0" w:color="auto"/>
        <w:right w:val="none" w:sz="0" w:space="0" w:color="auto"/>
      </w:divBdr>
    </w:div>
    <w:div w:id="350450430">
      <w:bodyDiv w:val="1"/>
      <w:marLeft w:val="0"/>
      <w:marRight w:val="0"/>
      <w:marTop w:val="0"/>
      <w:marBottom w:val="0"/>
      <w:divBdr>
        <w:top w:val="none" w:sz="0" w:space="0" w:color="auto"/>
        <w:left w:val="none" w:sz="0" w:space="0" w:color="auto"/>
        <w:bottom w:val="none" w:sz="0" w:space="0" w:color="auto"/>
        <w:right w:val="none" w:sz="0" w:space="0" w:color="auto"/>
      </w:divBdr>
    </w:div>
    <w:div w:id="352923648">
      <w:bodyDiv w:val="1"/>
      <w:marLeft w:val="0"/>
      <w:marRight w:val="0"/>
      <w:marTop w:val="0"/>
      <w:marBottom w:val="0"/>
      <w:divBdr>
        <w:top w:val="none" w:sz="0" w:space="0" w:color="auto"/>
        <w:left w:val="none" w:sz="0" w:space="0" w:color="auto"/>
        <w:bottom w:val="none" w:sz="0" w:space="0" w:color="auto"/>
        <w:right w:val="none" w:sz="0" w:space="0" w:color="auto"/>
      </w:divBdr>
    </w:div>
    <w:div w:id="430393150">
      <w:bodyDiv w:val="1"/>
      <w:marLeft w:val="0"/>
      <w:marRight w:val="0"/>
      <w:marTop w:val="0"/>
      <w:marBottom w:val="0"/>
      <w:divBdr>
        <w:top w:val="none" w:sz="0" w:space="0" w:color="auto"/>
        <w:left w:val="none" w:sz="0" w:space="0" w:color="auto"/>
        <w:bottom w:val="none" w:sz="0" w:space="0" w:color="auto"/>
        <w:right w:val="none" w:sz="0" w:space="0" w:color="auto"/>
      </w:divBdr>
    </w:div>
    <w:div w:id="507671432">
      <w:bodyDiv w:val="1"/>
      <w:marLeft w:val="0"/>
      <w:marRight w:val="0"/>
      <w:marTop w:val="0"/>
      <w:marBottom w:val="0"/>
      <w:divBdr>
        <w:top w:val="none" w:sz="0" w:space="0" w:color="auto"/>
        <w:left w:val="none" w:sz="0" w:space="0" w:color="auto"/>
        <w:bottom w:val="none" w:sz="0" w:space="0" w:color="auto"/>
        <w:right w:val="none" w:sz="0" w:space="0" w:color="auto"/>
      </w:divBdr>
    </w:div>
    <w:div w:id="624965669">
      <w:bodyDiv w:val="1"/>
      <w:marLeft w:val="0"/>
      <w:marRight w:val="0"/>
      <w:marTop w:val="0"/>
      <w:marBottom w:val="0"/>
      <w:divBdr>
        <w:top w:val="none" w:sz="0" w:space="0" w:color="auto"/>
        <w:left w:val="none" w:sz="0" w:space="0" w:color="auto"/>
        <w:bottom w:val="none" w:sz="0" w:space="0" w:color="auto"/>
        <w:right w:val="none" w:sz="0" w:space="0" w:color="auto"/>
      </w:divBdr>
    </w:div>
    <w:div w:id="682169747">
      <w:bodyDiv w:val="1"/>
      <w:marLeft w:val="0"/>
      <w:marRight w:val="0"/>
      <w:marTop w:val="0"/>
      <w:marBottom w:val="0"/>
      <w:divBdr>
        <w:top w:val="none" w:sz="0" w:space="0" w:color="auto"/>
        <w:left w:val="none" w:sz="0" w:space="0" w:color="auto"/>
        <w:bottom w:val="none" w:sz="0" w:space="0" w:color="auto"/>
        <w:right w:val="none" w:sz="0" w:space="0" w:color="auto"/>
      </w:divBdr>
    </w:div>
    <w:div w:id="684671930">
      <w:bodyDiv w:val="1"/>
      <w:marLeft w:val="0"/>
      <w:marRight w:val="0"/>
      <w:marTop w:val="0"/>
      <w:marBottom w:val="0"/>
      <w:divBdr>
        <w:top w:val="none" w:sz="0" w:space="0" w:color="auto"/>
        <w:left w:val="none" w:sz="0" w:space="0" w:color="auto"/>
        <w:bottom w:val="none" w:sz="0" w:space="0" w:color="auto"/>
        <w:right w:val="none" w:sz="0" w:space="0" w:color="auto"/>
      </w:divBdr>
    </w:div>
    <w:div w:id="724262410">
      <w:bodyDiv w:val="1"/>
      <w:marLeft w:val="0"/>
      <w:marRight w:val="0"/>
      <w:marTop w:val="0"/>
      <w:marBottom w:val="0"/>
      <w:divBdr>
        <w:top w:val="none" w:sz="0" w:space="0" w:color="auto"/>
        <w:left w:val="none" w:sz="0" w:space="0" w:color="auto"/>
        <w:bottom w:val="none" w:sz="0" w:space="0" w:color="auto"/>
        <w:right w:val="none" w:sz="0" w:space="0" w:color="auto"/>
      </w:divBdr>
    </w:div>
    <w:div w:id="749735771">
      <w:bodyDiv w:val="1"/>
      <w:marLeft w:val="0"/>
      <w:marRight w:val="0"/>
      <w:marTop w:val="0"/>
      <w:marBottom w:val="0"/>
      <w:divBdr>
        <w:top w:val="none" w:sz="0" w:space="0" w:color="auto"/>
        <w:left w:val="none" w:sz="0" w:space="0" w:color="auto"/>
        <w:bottom w:val="none" w:sz="0" w:space="0" w:color="auto"/>
        <w:right w:val="none" w:sz="0" w:space="0" w:color="auto"/>
      </w:divBdr>
    </w:div>
    <w:div w:id="758260501">
      <w:bodyDiv w:val="1"/>
      <w:marLeft w:val="0"/>
      <w:marRight w:val="0"/>
      <w:marTop w:val="0"/>
      <w:marBottom w:val="0"/>
      <w:divBdr>
        <w:top w:val="none" w:sz="0" w:space="0" w:color="auto"/>
        <w:left w:val="none" w:sz="0" w:space="0" w:color="auto"/>
        <w:bottom w:val="none" w:sz="0" w:space="0" w:color="auto"/>
        <w:right w:val="none" w:sz="0" w:space="0" w:color="auto"/>
      </w:divBdr>
    </w:div>
    <w:div w:id="895438317">
      <w:bodyDiv w:val="1"/>
      <w:marLeft w:val="0"/>
      <w:marRight w:val="0"/>
      <w:marTop w:val="0"/>
      <w:marBottom w:val="0"/>
      <w:divBdr>
        <w:top w:val="none" w:sz="0" w:space="0" w:color="auto"/>
        <w:left w:val="none" w:sz="0" w:space="0" w:color="auto"/>
        <w:bottom w:val="none" w:sz="0" w:space="0" w:color="auto"/>
        <w:right w:val="none" w:sz="0" w:space="0" w:color="auto"/>
      </w:divBdr>
    </w:div>
    <w:div w:id="898368743">
      <w:bodyDiv w:val="1"/>
      <w:marLeft w:val="0"/>
      <w:marRight w:val="0"/>
      <w:marTop w:val="0"/>
      <w:marBottom w:val="0"/>
      <w:divBdr>
        <w:top w:val="none" w:sz="0" w:space="0" w:color="auto"/>
        <w:left w:val="none" w:sz="0" w:space="0" w:color="auto"/>
        <w:bottom w:val="none" w:sz="0" w:space="0" w:color="auto"/>
        <w:right w:val="none" w:sz="0" w:space="0" w:color="auto"/>
      </w:divBdr>
    </w:div>
    <w:div w:id="916479106">
      <w:bodyDiv w:val="1"/>
      <w:marLeft w:val="0"/>
      <w:marRight w:val="0"/>
      <w:marTop w:val="0"/>
      <w:marBottom w:val="0"/>
      <w:divBdr>
        <w:top w:val="none" w:sz="0" w:space="0" w:color="auto"/>
        <w:left w:val="none" w:sz="0" w:space="0" w:color="auto"/>
        <w:bottom w:val="none" w:sz="0" w:space="0" w:color="auto"/>
        <w:right w:val="none" w:sz="0" w:space="0" w:color="auto"/>
      </w:divBdr>
    </w:div>
    <w:div w:id="980383424">
      <w:bodyDiv w:val="1"/>
      <w:marLeft w:val="0"/>
      <w:marRight w:val="0"/>
      <w:marTop w:val="0"/>
      <w:marBottom w:val="0"/>
      <w:divBdr>
        <w:top w:val="none" w:sz="0" w:space="0" w:color="auto"/>
        <w:left w:val="none" w:sz="0" w:space="0" w:color="auto"/>
        <w:bottom w:val="none" w:sz="0" w:space="0" w:color="auto"/>
        <w:right w:val="none" w:sz="0" w:space="0" w:color="auto"/>
      </w:divBdr>
    </w:div>
    <w:div w:id="1073427158">
      <w:bodyDiv w:val="1"/>
      <w:marLeft w:val="0"/>
      <w:marRight w:val="0"/>
      <w:marTop w:val="0"/>
      <w:marBottom w:val="0"/>
      <w:divBdr>
        <w:top w:val="none" w:sz="0" w:space="0" w:color="auto"/>
        <w:left w:val="none" w:sz="0" w:space="0" w:color="auto"/>
        <w:bottom w:val="none" w:sz="0" w:space="0" w:color="auto"/>
        <w:right w:val="none" w:sz="0" w:space="0" w:color="auto"/>
      </w:divBdr>
    </w:div>
    <w:div w:id="1190946135">
      <w:bodyDiv w:val="1"/>
      <w:marLeft w:val="0"/>
      <w:marRight w:val="0"/>
      <w:marTop w:val="0"/>
      <w:marBottom w:val="0"/>
      <w:divBdr>
        <w:top w:val="none" w:sz="0" w:space="0" w:color="auto"/>
        <w:left w:val="none" w:sz="0" w:space="0" w:color="auto"/>
        <w:bottom w:val="none" w:sz="0" w:space="0" w:color="auto"/>
        <w:right w:val="none" w:sz="0" w:space="0" w:color="auto"/>
      </w:divBdr>
    </w:div>
    <w:div w:id="1271279182">
      <w:bodyDiv w:val="1"/>
      <w:marLeft w:val="0"/>
      <w:marRight w:val="0"/>
      <w:marTop w:val="0"/>
      <w:marBottom w:val="0"/>
      <w:divBdr>
        <w:top w:val="none" w:sz="0" w:space="0" w:color="auto"/>
        <w:left w:val="none" w:sz="0" w:space="0" w:color="auto"/>
        <w:bottom w:val="none" w:sz="0" w:space="0" w:color="auto"/>
        <w:right w:val="none" w:sz="0" w:space="0" w:color="auto"/>
      </w:divBdr>
    </w:div>
    <w:div w:id="1292250431">
      <w:bodyDiv w:val="1"/>
      <w:marLeft w:val="0"/>
      <w:marRight w:val="0"/>
      <w:marTop w:val="0"/>
      <w:marBottom w:val="0"/>
      <w:divBdr>
        <w:top w:val="none" w:sz="0" w:space="0" w:color="auto"/>
        <w:left w:val="none" w:sz="0" w:space="0" w:color="auto"/>
        <w:bottom w:val="none" w:sz="0" w:space="0" w:color="auto"/>
        <w:right w:val="none" w:sz="0" w:space="0" w:color="auto"/>
      </w:divBdr>
    </w:div>
    <w:div w:id="1344478515">
      <w:bodyDiv w:val="1"/>
      <w:marLeft w:val="0"/>
      <w:marRight w:val="0"/>
      <w:marTop w:val="0"/>
      <w:marBottom w:val="0"/>
      <w:divBdr>
        <w:top w:val="none" w:sz="0" w:space="0" w:color="auto"/>
        <w:left w:val="none" w:sz="0" w:space="0" w:color="auto"/>
        <w:bottom w:val="none" w:sz="0" w:space="0" w:color="auto"/>
        <w:right w:val="none" w:sz="0" w:space="0" w:color="auto"/>
      </w:divBdr>
    </w:div>
    <w:div w:id="1412239761">
      <w:bodyDiv w:val="1"/>
      <w:marLeft w:val="0"/>
      <w:marRight w:val="0"/>
      <w:marTop w:val="0"/>
      <w:marBottom w:val="0"/>
      <w:divBdr>
        <w:top w:val="none" w:sz="0" w:space="0" w:color="auto"/>
        <w:left w:val="none" w:sz="0" w:space="0" w:color="auto"/>
        <w:bottom w:val="none" w:sz="0" w:space="0" w:color="auto"/>
        <w:right w:val="none" w:sz="0" w:space="0" w:color="auto"/>
      </w:divBdr>
    </w:div>
    <w:div w:id="1491599713">
      <w:bodyDiv w:val="1"/>
      <w:marLeft w:val="0"/>
      <w:marRight w:val="0"/>
      <w:marTop w:val="0"/>
      <w:marBottom w:val="0"/>
      <w:divBdr>
        <w:top w:val="none" w:sz="0" w:space="0" w:color="auto"/>
        <w:left w:val="none" w:sz="0" w:space="0" w:color="auto"/>
        <w:bottom w:val="none" w:sz="0" w:space="0" w:color="auto"/>
        <w:right w:val="none" w:sz="0" w:space="0" w:color="auto"/>
      </w:divBdr>
    </w:div>
    <w:div w:id="1494567645">
      <w:bodyDiv w:val="1"/>
      <w:marLeft w:val="0"/>
      <w:marRight w:val="0"/>
      <w:marTop w:val="0"/>
      <w:marBottom w:val="0"/>
      <w:divBdr>
        <w:top w:val="none" w:sz="0" w:space="0" w:color="auto"/>
        <w:left w:val="none" w:sz="0" w:space="0" w:color="auto"/>
        <w:bottom w:val="none" w:sz="0" w:space="0" w:color="auto"/>
        <w:right w:val="none" w:sz="0" w:space="0" w:color="auto"/>
      </w:divBdr>
    </w:div>
    <w:div w:id="1519386708">
      <w:bodyDiv w:val="1"/>
      <w:marLeft w:val="0"/>
      <w:marRight w:val="0"/>
      <w:marTop w:val="0"/>
      <w:marBottom w:val="0"/>
      <w:divBdr>
        <w:top w:val="none" w:sz="0" w:space="0" w:color="auto"/>
        <w:left w:val="none" w:sz="0" w:space="0" w:color="auto"/>
        <w:bottom w:val="none" w:sz="0" w:space="0" w:color="auto"/>
        <w:right w:val="none" w:sz="0" w:space="0" w:color="auto"/>
      </w:divBdr>
    </w:div>
    <w:div w:id="1531796268">
      <w:bodyDiv w:val="1"/>
      <w:marLeft w:val="0"/>
      <w:marRight w:val="0"/>
      <w:marTop w:val="0"/>
      <w:marBottom w:val="0"/>
      <w:divBdr>
        <w:top w:val="none" w:sz="0" w:space="0" w:color="auto"/>
        <w:left w:val="none" w:sz="0" w:space="0" w:color="auto"/>
        <w:bottom w:val="none" w:sz="0" w:space="0" w:color="auto"/>
        <w:right w:val="none" w:sz="0" w:space="0" w:color="auto"/>
      </w:divBdr>
    </w:div>
    <w:div w:id="1532844249">
      <w:bodyDiv w:val="1"/>
      <w:marLeft w:val="0"/>
      <w:marRight w:val="0"/>
      <w:marTop w:val="0"/>
      <w:marBottom w:val="0"/>
      <w:divBdr>
        <w:top w:val="none" w:sz="0" w:space="0" w:color="auto"/>
        <w:left w:val="none" w:sz="0" w:space="0" w:color="auto"/>
        <w:bottom w:val="none" w:sz="0" w:space="0" w:color="auto"/>
        <w:right w:val="none" w:sz="0" w:space="0" w:color="auto"/>
      </w:divBdr>
    </w:div>
    <w:div w:id="1681735731">
      <w:bodyDiv w:val="1"/>
      <w:marLeft w:val="0"/>
      <w:marRight w:val="0"/>
      <w:marTop w:val="0"/>
      <w:marBottom w:val="0"/>
      <w:divBdr>
        <w:top w:val="none" w:sz="0" w:space="0" w:color="auto"/>
        <w:left w:val="none" w:sz="0" w:space="0" w:color="auto"/>
        <w:bottom w:val="none" w:sz="0" w:space="0" w:color="auto"/>
        <w:right w:val="none" w:sz="0" w:space="0" w:color="auto"/>
      </w:divBdr>
    </w:div>
    <w:div w:id="1683698903">
      <w:bodyDiv w:val="1"/>
      <w:marLeft w:val="0"/>
      <w:marRight w:val="0"/>
      <w:marTop w:val="0"/>
      <w:marBottom w:val="0"/>
      <w:divBdr>
        <w:top w:val="none" w:sz="0" w:space="0" w:color="auto"/>
        <w:left w:val="none" w:sz="0" w:space="0" w:color="auto"/>
        <w:bottom w:val="none" w:sz="0" w:space="0" w:color="auto"/>
        <w:right w:val="none" w:sz="0" w:space="0" w:color="auto"/>
      </w:divBdr>
    </w:div>
    <w:div w:id="1687511385">
      <w:bodyDiv w:val="1"/>
      <w:marLeft w:val="0"/>
      <w:marRight w:val="0"/>
      <w:marTop w:val="0"/>
      <w:marBottom w:val="0"/>
      <w:divBdr>
        <w:top w:val="none" w:sz="0" w:space="0" w:color="auto"/>
        <w:left w:val="none" w:sz="0" w:space="0" w:color="auto"/>
        <w:bottom w:val="none" w:sz="0" w:space="0" w:color="auto"/>
        <w:right w:val="none" w:sz="0" w:space="0" w:color="auto"/>
      </w:divBdr>
    </w:div>
    <w:div w:id="1725829121">
      <w:bodyDiv w:val="1"/>
      <w:marLeft w:val="0"/>
      <w:marRight w:val="0"/>
      <w:marTop w:val="0"/>
      <w:marBottom w:val="0"/>
      <w:divBdr>
        <w:top w:val="none" w:sz="0" w:space="0" w:color="auto"/>
        <w:left w:val="none" w:sz="0" w:space="0" w:color="auto"/>
        <w:bottom w:val="none" w:sz="0" w:space="0" w:color="auto"/>
        <w:right w:val="none" w:sz="0" w:space="0" w:color="auto"/>
      </w:divBdr>
    </w:div>
    <w:div w:id="1798374865">
      <w:bodyDiv w:val="1"/>
      <w:marLeft w:val="0"/>
      <w:marRight w:val="0"/>
      <w:marTop w:val="0"/>
      <w:marBottom w:val="0"/>
      <w:divBdr>
        <w:top w:val="none" w:sz="0" w:space="0" w:color="auto"/>
        <w:left w:val="none" w:sz="0" w:space="0" w:color="auto"/>
        <w:bottom w:val="none" w:sz="0" w:space="0" w:color="auto"/>
        <w:right w:val="none" w:sz="0" w:space="0" w:color="auto"/>
      </w:divBdr>
    </w:div>
    <w:div w:id="1867134784">
      <w:bodyDiv w:val="1"/>
      <w:marLeft w:val="0"/>
      <w:marRight w:val="0"/>
      <w:marTop w:val="0"/>
      <w:marBottom w:val="0"/>
      <w:divBdr>
        <w:top w:val="none" w:sz="0" w:space="0" w:color="auto"/>
        <w:left w:val="none" w:sz="0" w:space="0" w:color="auto"/>
        <w:bottom w:val="none" w:sz="0" w:space="0" w:color="auto"/>
        <w:right w:val="none" w:sz="0" w:space="0" w:color="auto"/>
      </w:divBdr>
    </w:div>
    <w:div w:id="1888682016">
      <w:bodyDiv w:val="1"/>
      <w:marLeft w:val="0"/>
      <w:marRight w:val="0"/>
      <w:marTop w:val="0"/>
      <w:marBottom w:val="0"/>
      <w:divBdr>
        <w:top w:val="none" w:sz="0" w:space="0" w:color="auto"/>
        <w:left w:val="none" w:sz="0" w:space="0" w:color="auto"/>
        <w:bottom w:val="none" w:sz="0" w:space="0" w:color="auto"/>
        <w:right w:val="none" w:sz="0" w:space="0" w:color="auto"/>
      </w:divBdr>
    </w:div>
    <w:div w:id="1934506131">
      <w:bodyDiv w:val="1"/>
      <w:marLeft w:val="0"/>
      <w:marRight w:val="0"/>
      <w:marTop w:val="0"/>
      <w:marBottom w:val="0"/>
      <w:divBdr>
        <w:top w:val="none" w:sz="0" w:space="0" w:color="auto"/>
        <w:left w:val="none" w:sz="0" w:space="0" w:color="auto"/>
        <w:bottom w:val="none" w:sz="0" w:space="0" w:color="auto"/>
        <w:right w:val="none" w:sz="0" w:space="0" w:color="auto"/>
      </w:divBdr>
    </w:div>
    <w:div w:id="2004116993">
      <w:bodyDiv w:val="1"/>
      <w:marLeft w:val="0"/>
      <w:marRight w:val="0"/>
      <w:marTop w:val="0"/>
      <w:marBottom w:val="0"/>
      <w:divBdr>
        <w:top w:val="none" w:sz="0" w:space="0" w:color="auto"/>
        <w:left w:val="none" w:sz="0" w:space="0" w:color="auto"/>
        <w:bottom w:val="none" w:sz="0" w:space="0" w:color="auto"/>
        <w:right w:val="none" w:sz="0" w:space="0" w:color="auto"/>
      </w:divBdr>
    </w:div>
    <w:div w:id="2024088555">
      <w:bodyDiv w:val="1"/>
      <w:marLeft w:val="0"/>
      <w:marRight w:val="0"/>
      <w:marTop w:val="0"/>
      <w:marBottom w:val="0"/>
      <w:divBdr>
        <w:top w:val="none" w:sz="0" w:space="0" w:color="auto"/>
        <w:left w:val="none" w:sz="0" w:space="0" w:color="auto"/>
        <w:bottom w:val="none" w:sz="0" w:space="0" w:color="auto"/>
        <w:right w:val="none" w:sz="0" w:space="0" w:color="auto"/>
      </w:divBdr>
    </w:div>
    <w:div w:id="2025473730">
      <w:bodyDiv w:val="1"/>
      <w:marLeft w:val="0"/>
      <w:marRight w:val="0"/>
      <w:marTop w:val="0"/>
      <w:marBottom w:val="0"/>
      <w:divBdr>
        <w:top w:val="none" w:sz="0" w:space="0" w:color="auto"/>
        <w:left w:val="none" w:sz="0" w:space="0" w:color="auto"/>
        <w:bottom w:val="none" w:sz="0" w:space="0" w:color="auto"/>
        <w:right w:val="none" w:sz="0" w:space="0" w:color="auto"/>
      </w:divBdr>
    </w:div>
    <w:div w:id="2044092998">
      <w:bodyDiv w:val="1"/>
      <w:marLeft w:val="0"/>
      <w:marRight w:val="0"/>
      <w:marTop w:val="0"/>
      <w:marBottom w:val="0"/>
      <w:divBdr>
        <w:top w:val="none" w:sz="0" w:space="0" w:color="auto"/>
        <w:left w:val="none" w:sz="0" w:space="0" w:color="auto"/>
        <w:bottom w:val="none" w:sz="0" w:space="0" w:color="auto"/>
        <w:right w:val="none" w:sz="0" w:space="0" w:color="auto"/>
      </w:divBdr>
    </w:div>
    <w:div w:id="2051177801">
      <w:bodyDiv w:val="1"/>
      <w:marLeft w:val="0"/>
      <w:marRight w:val="0"/>
      <w:marTop w:val="0"/>
      <w:marBottom w:val="0"/>
      <w:divBdr>
        <w:top w:val="none" w:sz="0" w:space="0" w:color="auto"/>
        <w:left w:val="none" w:sz="0" w:space="0" w:color="auto"/>
        <w:bottom w:val="none" w:sz="0" w:space="0" w:color="auto"/>
        <w:right w:val="none" w:sz="0" w:space="0" w:color="auto"/>
      </w:divBdr>
    </w:div>
    <w:div w:id="2124761021">
      <w:bodyDiv w:val="1"/>
      <w:marLeft w:val="0"/>
      <w:marRight w:val="0"/>
      <w:marTop w:val="0"/>
      <w:marBottom w:val="0"/>
      <w:divBdr>
        <w:top w:val="none" w:sz="0" w:space="0" w:color="auto"/>
        <w:left w:val="none" w:sz="0" w:space="0" w:color="auto"/>
        <w:bottom w:val="none" w:sz="0" w:space="0" w:color="auto"/>
        <w:right w:val="none" w:sz="0" w:space="0" w:color="auto"/>
      </w:divBdr>
    </w:div>
    <w:div w:id="213019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uroparl.europa.eu/sides/getDoc.do?type=REPORT&amp;mode=XML&amp;reference=A8-2016-0345&amp;language=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uroparl.europa.eu/oeil/popups/ficheprocedure.do?lang=en&amp;reference=2016/2891(RS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parl.europa.eu/oeil/popups/ficheprocedure.do?lang=en&amp;reference=2016/2891(RSP)"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1" ma:contentTypeDescription="Create a new document." ma:contentTypeScope="" ma:versionID="3c3edd7427348e099816bb75aa55e3cf">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16c9adb93fb67f00b1498c0a214b91f4"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524E2F-53A1-428E-A0C9-C070322F376B}">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2.xml><?xml version="1.0" encoding="utf-8"?>
<ds:datastoreItem xmlns:ds="http://schemas.openxmlformats.org/officeDocument/2006/customXml" ds:itemID="{F6A49E37-55C8-4177-ADAD-A34CBCEE4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customXml/itemProps4.xml><?xml version="1.0" encoding="utf-8"?>
<ds:datastoreItem xmlns:ds="http://schemas.openxmlformats.org/officeDocument/2006/customXml" ds:itemID="{5154A498-43A8-4475-86B8-2F7CF5F8AAB3}">
  <ds:schemaRefs>
    <ds:schemaRef ds:uri="http://schemas.microsoft.com/sharepoint/v3/contenttype/forms"/>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TEL.DOTM</Template>
  <TotalTime>4</TotalTime>
  <Pages>7</Pages>
  <Words>3759</Words>
  <Characters>22706</Characters>
  <Application>Microsoft Office Word</Application>
  <DocSecurity>0</DocSecurity>
  <PresentationFormat>Microsoft Word 8.0b</PresentationFormat>
  <Lines>329</Lines>
  <Paragraphs>72</Paragraphs>
  <ScaleCrop>false</ScaleCrop>
  <Company>European Commission</Company>
  <LinksUpToDate>false</LinksUpToDate>
  <CharactersWithSpaces>26393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WERKER</dc:creator>
  <cp:keywords>EL4</cp:keywords>
  <cp:lastModifiedBy>DELBAER Gerda (SG)</cp:lastModifiedBy>
  <cp:revision>3</cp:revision>
  <cp:lastPrinted>2017-11-25T05:27:00Z</cp:lastPrinted>
  <dcterms:created xsi:type="dcterms:W3CDTF">2026-02-26T11:15:00Z</dcterms:created>
  <dcterms:modified xsi:type="dcterms:W3CDTF">2026-02-26T11:17:00Z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y fmtid="{D5CDD505-2E9C-101B-9397-08002B2CF9AE}" pid="13" name="MSIP_Label_6bd9ddd1-4d20-43f6-abfa-fc3c07406f94_Enabled">
    <vt:lpwstr>true</vt:lpwstr>
  </property>
  <property fmtid="{D5CDD505-2E9C-101B-9397-08002B2CF9AE}" pid="14" name="MSIP_Label_6bd9ddd1-4d20-43f6-abfa-fc3c07406f94_SetDate">
    <vt:lpwstr>2023-03-06T16:57:17Z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fed4ca29-9366-4f08-a0f8-47b4b7a2a3a2</vt:lpwstr>
  </property>
  <property fmtid="{D5CDD505-2E9C-101B-9397-08002B2CF9AE}" pid="19" name="MSIP_Label_6bd9ddd1-4d20-43f6-abfa-fc3c07406f94_ContentBits">
    <vt:lpwstr>0</vt:lpwstr>
  </property>
  <property fmtid="{D5CDD505-2E9C-101B-9397-08002B2CF9AE}" pid="20" name="MediaServiceImageTags">
    <vt:lpwstr/>
  </property>
  <property fmtid="{D5CDD505-2E9C-101B-9397-08002B2CF9AE}" pid="21" name="APP0">
    <vt:lpwstr>28</vt:lpwstr>
  </property>
  <property fmtid="{D5CDD505-2E9C-101B-9397-08002B2CF9AE}" pid="22" name="ContentTypeId">
    <vt:lpwstr>0x010100271BB73A879EDE41AFDC9232B9EB1EA9</vt:lpwstr>
  </property>
</Properties>
</file>