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0E6DA0CB" w:rsidR="00963420" w:rsidRPr="005E353E" w:rsidRDefault="00963420" w:rsidP="005E353E">
      <w:pPr>
        <w:spacing w:after="720"/>
        <w:jc w:val="center"/>
        <w:rPr>
          <w:rFonts w:ascii="Times New Roman" w:hAnsi="Times New Roman"/>
          <w:b/>
          <w:szCs w:val="24"/>
        </w:rPr>
      </w:pPr>
      <w:r>
        <w:rPr>
          <w:rFonts w:ascii="Times New Roman" w:hAnsi="Times New Roman"/>
          <w:b/>
        </w:rPr>
        <w:t xml:space="preserve">Suite donnée à la résolution non législative du Parlement européen sur le </w:t>
      </w:r>
      <w:r>
        <w:rPr>
          <w:rFonts w:ascii="Times New Roman" w:hAnsi="Times New Roman"/>
          <w:b/>
          <w:snapToGrid w:val="0"/>
        </w:rPr>
        <w:t>budget 2024 – évaluation de la mise en œuvre de la méthode d’intégration de la dimension de genre dans le budget de l'Union</w:t>
      </w:r>
    </w:p>
    <w:p w14:paraId="222E65B7" w14:textId="1EBE51BC" w:rsidR="00963420" w:rsidRPr="005E353E" w:rsidRDefault="00963420" w:rsidP="0084310E">
      <w:pPr>
        <w:numPr>
          <w:ilvl w:val="0"/>
          <w:numId w:val="40"/>
        </w:numPr>
        <w:ind w:left="567" w:hanging="567"/>
        <w:rPr>
          <w:rFonts w:ascii="Times New Roman" w:hAnsi="Times New Roman"/>
          <w:i/>
          <w:szCs w:val="24"/>
        </w:rPr>
      </w:pPr>
      <w:r>
        <w:rPr>
          <w:rFonts w:ascii="Times New Roman" w:hAnsi="Times New Roman"/>
          <w:b/>
        </w:rPr>
        <w:t>Rapporteure:</w:t>
      </w:r>
      <w:r>
        <w:rPr>
          <w:rFonts w:ascii="Times New Roman" w:hAnsi="Times New Roman"/>
        </w:rPr>
        <w:t xml:space="preserve"> Marit MAIJ (S&amp;D / NL)</w:t>
      </w:r>
      <w:r>
        <w:rPr>
          <w:rFonts w:ascii="Times New Roman" w:hAnsi="Times New Roman"/>
          <w:i/>
        </w:rPr>
        <w:t xml:space="preserve"> </w:t>
      </w:r>
    </w:p>
    <w:p w14:paraId="2FC32F13" w14:textId="7A69D59F" w:rsidR="001B2166" w:rsidRPr="001B2166" w:rsidRDefault="00063DCE" w:rsidP="00F8419A">
      <w:pPr>
        <w:pStyle w:val="Default"/>
        <w:numPr>
          <w:ilvl w:val="0"/>
          <w:numId w:val="40"/>
        </w:numPr>
        <w:spacing w:after="240"/>
        <w:ind w:left="567" w:hanging="567"/>
        <w:jc w:val="both"/>
      </w:pPr>
      <w:r>
        <w:rPr>
          <w:b/>
          <w:color w:val="auto"/>
        </w:rPr>
        <w:t xml:space="preserve">Références: </w:t>
      </w:r>
      <w:hyperlink r:id="rId11" w:history="1">
        <w:hyperlink r:id="rId12" w:history="1">
          <w:r>
            <w:t>2025/2033(INI</w:t>
          </w:r>
        </w:hyperlink>
      </w:hyperlink>
      <w:r>
        <w:t>) / A10-0212/2025 / P10_TA(2025)0287</w:t>
      </w:r>
      <w:r>
        <w:tab/>
      </w:r>
    </w:p>
    <w:p w14:paraId="61D85C18" w14:textId="28B7D716" w:rsidR="001F0B89" w:rsidRPr="001B2166" w:rsidRDefault="00963420" w:rsidP="00F8419A">
      <w:pPr>
        <w:pStyle w:val="Default"/>
        <w:numPr>
          <w:ilvl w:val="0"/>
          <w:numId w:val="40"/>
        </w:numPr>
        <w:spacing w:after="240"/>
        <w:ind w:left="567" w:hanging="567"/>
        <w:jc w:val="both"/>
        <w:rPr>
          <w:iCs/>
        </w:rPr>
      </w:pPr>
      <w:r>
        <w:rPr>
          <w:b/>
        </w:rPr>
        <w:t>Date d'adoption de la résolution:</w:t>
      </w:r>
      <w:r>
        <w:t xml:space="preserve"> 25 novembre 2025</w:t>
      </w:r>
    </w:p>
    <w:p w14:paraId="4451E813" w14:textId="2DFF25AC" w:rsidR="00963420" w:rsidRPr="005E353E" w:rsidRDefault="00963420" w:rsidP="0084310E">
      <w:pPr>
        <w:numPr>
          <w:ilvl w:val="0"/>
          <w:numId w:val="40"/>
        </w:numPr>
        <w:ind w:left="567" w:hanging="567"/>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du contrôle budgétaire (CONT)</w:t>
      </w:r>
    </w:p>
    <w:p w14:paraId="1540F533" w14:textId="2AACACF1" w:rsidR="00963420" w:rsidRPr="005E353E" w:rsidRDefault="00963420" w:rsidP="0084310E">
      <w:pPr>
        <w:widowControl w:val="0"/>
        <w:numPr>
          <w:ilvl w:val="0"/>
          <w:numId w:val="40"/>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7B87DDA4" w14:textId="04DC7B97" w:rsidR="00457AD9" w:rsidRPr="005E353E" w:rsidRDefault="00457AD9" w:rsidP="00457AD9">
      <w:pPr>
        <w:pStyle w:val="NormalWeb"/>
        <w:jc w:val="both"/>
      </w:pPr>
      <w:r>
        <w:t>La résolution expose la position du Parlement européen sur le renforcement de l’intégration d’une perspective de genre dans le processus budgétaire au titre du cadre financier pluriannuel (CFP) 2021-2027, et propose une voie à suivre pour le CFP suivant. Dans sa résolution, le Parlement prend acte des limites actuelles en matière de données, de méthode et de suivi, et préconise l’utilisation, dans tous les programmes, de données harmonisées ventilées par genre, d’indicateurs SMART et d’une méthode globale d’intégration de la dimension de genre dans le budget de l'Union. Il soutient également l’utilisation d’outils numériques pour améliorer le suivi. Le texte préconise l’intégration systématique d’analyses ex ante de l’incidence des politiques de l’UE sur l’égalité de genre et propose un mécanisme d’ajustement des propositions dont il ressort qu’elles ont des effets négatifs sur l’égalité de genre. Il y est demandé que soit examinée la possibilité d’introduire des mesures visant la parité des genres au niveau de l’encadrement et dans l’élaboration des politiques. S’agissant des aspects financiers, le Parlement propose que des objectifs de dépenses contraignants soient fixés pour les actions dont l’égalité de genre est l’objectif principal, et incite à faire en sorte que les futurs programmes respectent les exigences du règlement financier en matière d’égalité de genre. Dans le domaine de l’action extérieure, le Parlement suggère qu’un financement spécifique soit réservé aux objectifs en matière d’égalité de genre, et qu’un fonds consacré à la promotion de l’égalité de genre à l’échelle mondiale soit mis en place dans le cadre du budget de l’Union. La résolution fait également référence à la fixation d’objectifs pour le prochain CFP visant à réduire les écarts de rémunération et de retraite entre les genres, et à mieux soutenir les droits des femmes et leur accès aux services; le Parlement recommande d’appliquer l’intégration d’une perspective de genre dans le processus budgétaire aux programmes qui visent à assurer l’accès aux compétences, à l’éducation et à l’entrepreneuriat, avec un renforcement des mécanismes de suivi.</w:t>
      </w:r>
    </w:p>
    <w:p w14:paraId="780B6643" w14:textId="4D54A7D0" w:rsidR="00963420" w:rsidRPr="005E353E" w:rsidRDefault="00963420" w:rsidP="3597ADDE">
      <w:pPr>
        <w:widowControl w:val="0"/>
        <w:numPr>
          <w:ilvl w:val="0"/>
          <w:numId w:val="40"/>
        </w:numPr>
        <w:ind w:left="567" w:hanging="567"/>
        <w:rPr>
          <w:rFonts w:ascii="Times New Roman" w:hAnsi="Times New Roman"/>
          <w:b/>
          <w:bCs/>
          <w:szCs w:val="24"/>
        </w:rPr>
      </w:pPr>
      <w:r>
        <w:rPr>
          <w:rFonts w:ascii="Times New Roman" w:hAnsi="Times New Roman"/>
          <w:b/>
        </w:rPr>
        <w:t>Réponse à ces demandes et aperçu des mesures que la Commission a prises ou envisage de prendre</w:t>
      </w:r>
    </w:p>
    <w:p w14:paraId="0354EFB6" w14:textId="352CA7F8" w:rsidR="006D5576" w:rsidRPr="00CE1310" w:rsidDel="00B570A5" w:rsidRDefault="00D07ACF" w:rsidP="18AA335F">
      <w:pPr>
        <w:widowControl w:val="0"/>
        <w:rPr>
          <w:rFonts w:ascii="Times New Roman" w:hAnsi="Times New Roman"/>
          <w:snapToGrid w:val="0"/>
        </w:rPr>
      </w:pPr>
      <w:bookmarkStart w:id="0" w:name="_Hlk213834209"/>
      <w:bookmarkEnd w:id="0"/>
      <w:r>
        <w:rPr>
          <w:rFonts w:ascii="Times New Roman" w:hAnsi="Times New Roman"/>
          <w:b/>
          <w:snapToGrid w:val="0"/>
        </w:rPr>
        <w:t xml:space="preserve">En ce qui concerne les paragraphes 18, 22 à 26, 34 à 36 et 38 à 39, </w:t>
      </w:r>
      <w:r>
        <w:rPr>
          <w:rFonts w:ascii="Times New Roman" w:hAnsi="Times New Roman"/>
          <w:snapToGrid w:val="0"/>
        </w:rPr>
        <w:t xml:space="preserve">conformément à l’accord interinstitutionnel accompagnant le CFP 2021-2027, la Commission a mis au point </w:t>
      </w:r>
      <w:hyperlink r:id="rId13" w:history="1">
        <w:r>
          <w:rPr>
            <w:rStyle w:val="Hyperlink"/>
            <w:rFonts w:ascii="Times New Roman" w:hAnsi="Times New Roman"/>
            <w:snapToGrid w:val="0"/>
          </w:rPr>
          <w:t>une méthode de suivi de la contribution du budget de l’Union à l’égalité de genre, qui est appliquée depuis 2021</w:t>
        </w:r>
      </w:hyperlink>
      <w:r>
        <w:rPr>
          <w:rFonts w:ascii="Times New Roman" w:hAnsi="Times New Roman"/>
          <w:snapToGrid w:val="0"/>
        </w:rPr>
        <w:t xml:space="preserve">, fondée sur un système de notes de contribution à l’égalité de genre attribuées en fonction des objectifs poursuivis par les activités soutenues au titre des programmes de l’Union. Par ailleurs, le CFP 2021-2027 a progressé en ce qui concerne </w:t>
      </w:r>
      <w:r>
        <w:rPr>
          <w:rFonts w:ascii="Times New Roman" w:hAnsi="Times New Roman"/>
          <w:snapToGrid w:val="0"/>
        </w:rPr>
        <w:lastRenderedPageBreak/>
        <w:t>l’intégration des objectifs en matière d’égalité de genre dans des programmes clés tels que l’IVCDCI - Europe dans le monde</w:t>
      </w:r>
      <w:r>
        <w:rPr>
          <w:rFonts w:ascii="Times New Roman" w:hAnsi="Times New Roman"/>
          <w:snapToGrid w:val="0"/>
          <w:vertAlign w:val="superscript"/>
          <w:lang w:eastAsia="en-US"/>
        </w:rPr>
        <w:footnoteReference w:id="2"/>
      </w:r>
      <w:r>
        <w:rPr>
          <w:rFonts w:ascii="Times New Roman" w:hAnsi="Times New Roman"/>
          <w:snapToGrid w:val="0"/>
        </w:rPr>
        <w:t>, la politique de cohésion</w:t>
      </w:r>
      <w:r>
        <w:rPr>
          <w:rFonts w:ascii="Times New Roman" w:hAnsi="Times New Roman"/>
          <w:snapToGrid w:val="0"/>
          <w:vertAlign w:val="superscript"/>
          <w:lang w:eastAsia="en-US"/>
        </w:rPr>
        <w:footnoteReference w:id="3"/>
      </w:r>
      <w:r>
        <w:rPr>
          <w:rFonts w:ascii="Times New Roman" w:hAnsi="Times New Roman"/>
          <w:snapToGrid w:val="0"/>
        </w:rPr>
        <w:t>, Horizon Europe</w:t>
      </w:r>
      <w:r>
        <w:rPr>
          <w:rFonts w:ascii="Times New Roman" w:hAnsi="Times New Roman"/>
          <w:snapToGrid w:val="0"/>
          <w:vertAlign w:val="superscript"/>
          <w:lang w:eastAsia="en-US"/>
        </w:rPr>
        <w:footnoteReference w:id="4"/>
      </w:r>
      <w:r>
        <w:rPr>
          <w:rFonts w:ascii="Times New Roman" w:hAnsi="Times New Roman"/>
          <w:snapToGrid w:val="0"/>
        </w:rPr>
        <w:t>, la facilité pour la reprise et la résilience</w:t>
      </w:r>
      <w:r>
        <w:rPr>
          <w:rFonts w:ascii="Times New Roman" w:hAnsi="Times New Roman"/>
          <w:snapToGrid w:val="0"/>
          <w:vertAlign w:val="superscript"/>
          <w:lang w:eastAsia="en-US"/>
        </w:rPr>
        <w:footnoteReference w:id="5"/>
      </w:r>
      <w:r>
        <w:rPr>
          <w:rFonts w:ascii="Times New Roman" w:hAnsi="Times New Roman"/>
          <w:snapToGrid w:val="0"/>
        </w:rPr>
        <w:t>, et la politique agricole commune</w:t>
      </w:r>
      <w:r>
        <w:rPr>
          <w:rFonts w:ascii="Times New Roman" w:hAnsi="Times New Roman"/>
          <w:snapToGrid w:val="0"/>
          <w:vertAlign w:val="superscript"/>
          <w:lang w:eastAsia="en-US"/>
        </w:rPr>
        <w:footnoteReference w:id="6"/>
      </w:r>
      <w:r>
        <w:rPr>
          <w:rFonts w:ascii="Times New Roman" w:hAnsi="Times New Roman"/>
          <w:snapToGrid w:val="0"/>
        </w:rPr>
        <w:t xml:space="preserve">. Pour la période 2021-2024, selon les estimations, environ 12 % du budget de l’Union, soit 158,4 milliards d’euros, ont contribué à l’égalité de genre (note 2 «Interventions dont l’objectif principal est d’améliorer l’égalité des genres» ou note 1 «Interventions qui font de l’égalité des genres un objectif important et délibéré»). </w:t>
      </w:r>
    </w:p>
    <w:p w14:paraId="6C7CC0E7" w14:textId="19035A8B" w:rsidR="00B13474" w:rsidRPr="00440753" w:rsidRDefault="00B13474" w:rsidP="00B13474">
      <w:pPr>
        <w:widowControl w:val="0"/>
        <w:rPr>
          <w:rFonts w:ascii="Times New Roman" w:hAnsi="Times New Roman"/>
          <w:snapToGrid w:val="0"/>
        </w:rPr>
      </w:pPr>
      <w:r>
        <w:rPr>
          <w:rFonts w:ascii="Times New Roman" w:hAnsi="Times New Roman"/>
        </w:rPr>
        <w:t>Malgré ces progrès, des obstacles subsistent.</w:t>
      </w:r>
      <w:r>
        <w:rPr>
          <w:rFonts w:ascii="Times New Roman" w:hAnsi="Times New Roman"/>
          <w:snapToGrid w:val="0"/>
        </w:rPr>
        <w:t xml:space="preserve"> </w:t>
      </w:r>
      <w:r>
        <w:rPr>
          <w:rFonts w:ascii="Times New Roman" w:hAnsi="Times New Roman"/>
        </w:rPr>
        <w:t>En effet, les dispositions et règles relatives à l’intégration de la dimension de genre varient d’un programme à l’autre, notamment en matière de suivi, la capacité de mise en œuvre varie selon les États membres et les régions, et l’égalité de genre n’est intégrée que de manière limitée dans les analyses d’impact des programmes qui sous-tendent la base juridique de ces derniers pour le CFP 2021-2027, ce qui entrave la capacité du budget de l’UE à soutenir l’égalité de genre. Ces éléments ont mis en évidence le fait qu’un cadre plus solide est nécessaire.</w:t>
      </w:r>
      <w:r>
        <w:rPr>
          <w:rFonts w:ascii="Times New Roman" w:hAnsi="Times New Roman"/>
          <w:snapToGrid w:val="0"/>
        </w:rPr>
        <w:t xml:space="preserve"> </w:t>
      </w:r>
      <w:r>
        <w:rPr>
          <w:rFonts w:ascii="Times New Roman" w:hAnsi="Times New Roman"/>
        </w:rPr>
        <w:t>Ces constatations ont été prises en compte dans l’analyse d’impact qui a servi de base à la proposition de règlement sur la performance présentée par la Commission pour le CFP 2028-2034</w:t>
      </w:r>
      <w:r>
        <w:rPr>
          <w:rFonts w:ascii="Times New Roman" w:hAnsi="Times New Roman"/>
          <w:snapToGrid w:val="0"/>
          <w:vertAlign w:val="superscript"/>
          <w:lang w:eastAsia="en-US"/>
        </w:rPr>
        <w:footnoteReference w:id="7"/>
      </w:r>
      <w:r>
        <w:rPr>
          <w:rFonts w:ascii="Times New Roman" w:hAnsi="Times New Roman"/>
        </w:rPr>
        <w:t>.</w:t>
      </w:r>
      <w:r>
        <w:rPr>
          <w:rFonts w:ascii="Times New Roman" w:hAnsi="Times New Roman"/>
          <w:snapToGrid w:val="0"/>
        </w:rPr>
        <w:t xml:space="preserve"> </w:t>
      </w:r>
    </w:p>
    <w:p w14:paraId="09014912" w14:textId="3186FB4A" w:rsidR="00B13474" w:rsidRPr="00B13474" w:rsidRDefault="00B13474" w:rsidP="00B13474">
      <w:pPr>
        <w:widowControl w:val="0"/>
        <w:rPr>
          <w:rFonts w:ascii="Times New Roman" w:hAnsi="Times New Roman"/>
          <w:bCs/>
          <w:snapToGrid w:val="0"/>
          <w:szCs w:val="24"/>
        </w:rPr>
      </w:pPr>
      <w:r>
        <w:rPr>
          <w:rFonts w:ascii="Times New Roman" w:hAnsi="Times New Roman"/>
          <w:snapToGrid w:val="0"/>
        </w:rPr>
        <w:t>La proposition de la Commission relative au CFP 2028-2034 constitue une avancée majeure, en ce que l’égalité de genre est intégrée dans l’exécution du budget de l’UE de manière cohérente par l’intermédiaire du règlement sur la performance. Ce cadre garantit le respect du règlement financier, qui exige que les programmes et les activités relevant du budget de l’Union soient mis en œuvre dans le respect du principe d’égalité de genre, lorsque cela est possible et approprié, et que les données en rapport avec ces indicateurs qui sont collectées soient ventilées par genre, le cas échéant.  </w:t>
      </w:r>
    </w:p>
    <w:p w14:paraId="115CF85B" w14:textId="30B535B4" w:rsidR="00B13474" w:rsidRPr="00B13474" w:rsidRDefault="00B13474" w:rsidP="75AA6B62">
      <w:pPr>
        <w:widowControl w:val="0"/>
        <w:rPr>
          <w:rFonts w:ascii="Times New Roman" w:hAnsi="Times New Roman"/>
          <w:snapToGrid w:val="0"/>
        </w:rPr>
      </w:pPr>
      <w:r>
        <w:rPr>
          <w:rFonts w:ascii="Times New Roman" w:hAnsi="Times New Roman"/>
          <w:snapToGrid w:val="0"/>
        </w:rPr>
        <w:t>À cet égard, priorité a été donnée à l’intégration de l’égalité de genre dans les programmes relevant du budget de l’UE où cela a été jugé pertinent, notamment dans les plans de partenariat national et régional (plans PNR)</w:t>
      </w:r>
      <w:r>
        <w:rPr>
          <w:rStyle w:val="FootnoteReference"/>
          <w:rFonts w:ascii="Times New Roman" w:hAnsi="Times New Roman"/>
          <w:snapToGrid w:val="0"/>
          <w:lang w:eastAsia="en-US"/>
        </w:rPr>
        <w:footnoteReference w:id="8"/>
      </w:r>
      <w:r>
        <w:rPr>
          <w:rFonts w:ascii="Times New Roman" w:hAnsi="Times New Roman"/>
          <w:snapToGrid w:val="0"/>
        </w:rPr>
        <w:t>, le Fonds européen pour la compétitivité</w:t>
      </w:r>
      <w:r>
        <w:rPr>
          <w:rFonts w:ascii="Times New Roman" w:hAnsi="Times New Roman"/>
          <w:snapToGrid w:val="0"/>
          <w:vertAlign w:val="superscript"/>
          <w:lang w:eastAsia="en-US"/>
        </w:rPr>
        <w:footnoteReference w:id="9"/>
      </w:r>
      <w:r>
        <w:rPr>
          <w:rFonts w:ascii="Times New Roman" w:hAnsi="Times New Roman"/>
          <w:snapToGrid w:val="0"/>
        </w:rPr>
        <w:t>, Horizon Europe</w:t>
      </w:r>
      <w:r>
        <w:rPr>
          <w:rStyle w:val="FootnoteReference"/>
          <w:rFonts w:ascii="Times New Roman" w:hAnsi="Times New Roman"/>
          <w:snapToGrid w:val="0"/>
          <w:lang w:eastAsia="en-US"/>
        </w:rPr>
        <w:footnoteReference w:id="10"/>
      </w:r>
      <w:r>
        <w:rPr>
          <w:rFonts w:ascii="Times New Roman" w:hAnsi="Times New Roman"/>
          <w:snapToGrid w:val="0"/>
        </w:rPr>
        <w:t>, L’Europe dans le monde</w:t>
      </w:r>
      <w:r>
        <w:rPr>
          <w:rFonts w:ascii="Times New Roman" w:hAnsi="Times New Roman"/>
          <w:snapToGrid w:val="0"/>
          <w:vertAlign w:val="superscript"/>
          <w:lang w:eastAsia="en-US"/>
        </w:rPr>
        <w:footnoteReference w:id="11"/>
      </w:r>
      <w:r>
        <w:rPr>
          <w:rFonts w:ascii="Times New Roman" w:hAnsi="Times New Roman"/>
          <w:snapToGrid w:val="0"/>
        </w:rPr>
        <w:t xml:space="preserve"> et AgoraEU</w:t>
      </w:r>
      <w:r>
        <w:rPr>
          <w:rFonts w:ascii="Times New Roman" w:hAnsi="Times New Roman"/>
          <w:snapToGrid w:val="0"/>
          <w:vertAlign w:val="superscript"/>
          <w:lang w:eastAsia="en-US"/>
        </w:rPr>
        <w:footnoteReference w:id="12"/>
      </w:r>
      <w:r>
        <w:rPr>
          <w:rFonts w:ascii="Times New Roman" w:hAnsi="Times New Roman"/>
          <w:snapToGrid w:val="0"/>
        </w:rPr>
        <w:t xml:space="preserve"> (la liste complète figure à l’annexe IV du règlement sur la performance). Ces programmes contiennent notamment des objectifs visant à permettre une égalité d’accès au marché du travail, à des conditions de travail équitables et de qualité ou à la protection et à l’inclusion sociales, ainsi qu’à promouvoir l’entrepreneuriat féminin, à soutenir la présence des femmes dans le domaine de la recherche et l’innovation, les droits et l’autonomisation des femmes, la lutte contre la violence fondée sur le genre, et à réduire l’inégalité de genre dans tous les secteurs.</w:t>
      </w:r>
    </w:p>
    <w:p w14:paraId="10416283" w14:textId="663BCDEE" w:rsidR="0095306E" w:rsidRPr="00B13474" w:rsidDel="0006130F" w:rsidRDefault="00B13474" w:rsidP="75AA6B62">
      <w:pPr>
        <w:widowControl w:val="0"/>
        <w:rPr>
          <w:rFonts w:ascii="Times New Roman" w:hAnsi="Times New Roman"/>
        </w:rPr>
      </w:pPr>
      <w:r>
        <w:rPr>
          <w:rFonts w:ascii="Times New Roman" w:hAnsi="Times New Roman"/>
        </w:rPr>
        <w:t>En outre, le règlement sur la performance établit un ensemble unique de règles visant à promouvoir l’égalité de genre.</w:t>
      </w:r>
      <w:r>
        <w:rPr>
          <w:rFonts w:ascii="Times New Roman" w:hAnsi="Times New Roman"/>
          <w:snapToGrid w:val="0"/>
        </w:rPr>
        <w:t xml:space="preserve"> Il établit des dispositions spécifiques pour rendre l’égalité de genre opérationnelle dans le cadre des différents modes de gestion du budget de l’Union. Elles portent, par exemple, sur l’intégration de l’égalité de genre dans les critères d’évaluation des propositions de financement relatives à l’exécution en gestion directe </w:t>
      </w:r>
      <w:r>
        <w:rPr>
          <w:rFonts w:ascii="Times New Roman" w:hAnsi="Times New Roman"/>
          <w:snapToGrid w:val="0"/>
        </w:rPr>
        <w:lastRenderedPageBreak/>
        <w:t>(article 16), sur la nécessité pour la Commission de veiller à ce que les actions mises en œuvre en gestion indirecte au moyen d’accords avec les partenaires d’exécution respectent l’égalité de genre (article 17), et sur l’obligation pour les États membres et les pays tiers de fournir des évaluations du respect de l’égalité de genre pour les activités prévues dans leurs plans (article 13).</w:t>
      </w:r>
      <w:r>
        <w:rPr>
          <w:rFonts w:ascii="Times New Roman" w:hAnsi="Times New Roman"/>
        </w:rPr>
        <w:t xml:space="preserve"> En outre, les États membres seront tenus de décrire les mécanismes mis en place pour garantir le respect du principe de l’égalité de genre dans la mise en œuvre de leurs plans de partenariat national et régional.</w:t>
      </w:r>
      <w:r>
        <w:rPr>
          <w:rFonts w:ascii="Times New Roman" w:hAnsi="Times New Roman"/>
          <w:snapToGrid w:val="0"/>
        </w:rPr>
        <w:t xml:space="preserve"> </w:t>
      </w:r>
      <w:r>
        <w:rPr>
          <w:rFonts w:ascii="Times New Roman" w:hAnsi="Times New Roman"/>
        </w:rPr>
        <w:t>Chaque plan devrait inclure des investissements et des réformes visant à soutenir des sociétés égalitaires et inclusives. Dans l’ensemble, ces dispositions horizontales du règlement sur la performance seront complétées par des dispositions propres aux programmes, le cas échéant.</w:t>
      </w:r>
    </w:p>
    <w:p w14:paraId="27F68A8F" w14:textId="686BDE06" w:rsidR="00083CD3" w:rsidRDefault="00EF0160" w:rsidP="00CE1310">
      <w:pPr>
        <w:spacing w:line="259" w:lineRule="auto"/>
        <w:rPr>
          <w:rFonts w:ascii="Times New Roman" w:hAnsi="Times New Roman"/>
          <w:color w:val="000000"/>
        </w:rPr>
      </w:pPr>
      <w:r>
        <w:rPr>
          <w:rFonts w:ascii="Times New Roman" w:hAnsi="Times New Roman"/>
        </w:rPr>
        <w:t>Par exemple, en ce qui concerne les plans de partenariat national et régional, la défense des valeurs de l’Union et la promotion de l’égalité constituent des objectifs centraux du programme (articles 2 et 3 du règlement relatif aux plans de partenariat national et régional ou «règlement PPNR»). De plus, les principes horizontaux et la «condition horizontale relative à la charte» (des droits fondamentaux) de l’UE (articles 7 et 8 du règlement PPNR) fourniront des garanties solides aux fins du respect de l’application effective de la charte des droits fondamentaux de l’Union européenne tout au long de l’élaboration et de la mise en œuvre des plans.</w:t>
      </w:r>
      <w:r>
        <w:rPr>
          <w:rFonts w:ascii="Times New Roman" w:hAnsi="Times New Roman"/>
          <w:color w:val="000000"/>
        </w:rPr>
        <w:t xml:space="preserve"> Il s’agit notamment de veiller au respect des droits relatifs à la non-discrimination et à l’égalité entre femmes et hommes (respectivement, article 21 et article 23 de la charte), avec la possibilité de suspendre les paiements en cas de violations nuisant au budget de l’Union. Conformément au principe de partenariat (article 6), les États membres et les régions sont tenus d’associer les partenaires (y compris les organismes compétents chargés de promouvoir l’égalité de genre) à l’élaboration, à la mise en œuvre et à l’évaluation des plans, notamment en les faisant participer aux comités de suivi (article 55).</w:t>
      </w:r>
    </w:p>
    <w:p w14:paraId="77DEFF41" w14:textId="3DA4A2A6" w:rsidR="0095306E" w:rsidRPr="002C2409" w:rsidRDefault="00083CD3" w:rsidP="00CE1310">
      <w:pPr>
        <w:spacing w:line="259" w:lineRule="auto"/>
        <w:rPr>
          <w:rFonts w:ascii="Times New Roman" w:hAnsi="Times New Roman"/>
          <w:color w:val="000000"/>
        </w:rPr>
      </w:pPr>
      <w:r>
        <w:rPr>
          <w:rFonts w:ascii="Times New Roman" w:hAnsi="Times New Roman"/>
          <w:color w:val="000000"/>
        </w:rPr>
        <w:t xml:space="preserve">En outre, l’intégration de la dimension de genre fait également partie des critères et procédures de sélection des opérations adoptés par les comités de suivi [article 56, paragraphe 2, point b)]; elle doit prévenir toute forme de discrimination et tenir dûment compte de la charte de l’UE [comme souligné également à l’annexe IV, point 11)]. Il convient également de tenir compte de la nécessité de garantir l’accessibilité aux personnes handicapées. Les opérations qui ne respectent pas ce principe ne devraient pas être sélectionnées pour bénéficier d’un soutien. Il y a lieu de veiller tout particulièrement à garantir, dans la mesure du possible, l’équilibre de genre au sein des panels d’évaluation et des organes consultatifs (comme les conseils, les groupes d’experts et les comités de suivi). L’égalité de genre doit faire partie des critères utilisés pour évaluer les propositions/demandes, lorsque cela est possible et approprié.  </w:t>
      </w:r>
    </w:p>
    <w:p w14:paraId="2A3CA78E" w14:textId="1F580E89" w:rsidR="00B13474" w:rsidRPr="00B13474" w:rsidRDefault="002852AF" w:rsidP="00B13474">
      <w:pPr>
        <w:widowControl w:val="0"/>
        <w:rPr>
          <w:rFonts w:ascii="Times New Roman" w:hAnsi="Times New Roman"/>
          <w:snapToGrid w:val="0"/>
          <w:szCs w:val="24"/>
        </w:rPr>
      </w:pPr>
      <w:r>
        <w:rPr>
          <w:rFonts w:ascii="Times New Roman" w:hAnsi="Times New Roman"/>
          <w:snapToGrid w:val="0"/>
        </w:rPr>
        <w:t>Enfin, le règlement sur la performance définit une méthode unique et complète de suivi de l’égalité de genre pour l’ensemble du budget de l’Union (article 7), en s’appuyant sur les pratiques existantes, applicable à l’ensemble dudit budget. Cette méthode classe les activités en fonction de leur contribution à l’égalité de genre, sur la base d’un système de notes, comme suit: </w:t>
      </w:r>
    </w:p>
    <w:p w14:paraId="73F4B6C5" w14:textId="103266E7" w:rsidR="00B13474" w:rsidRPr="00B13474" w:rsidRDefault="00B13474" w:rsidP="00B13474">
      <w:pPr>
        <w:widowControl w:val="0"/>
        <w:numPr>
          <w:ilvl w:val="0"/>
          <w:numId w:val="42"/>
        </w:numPr>
        <w:spacing w:after="0"/>
        <w:jc w:val="left"/>
        <w:rPr>
          <w:rFonts w:ascii="Times New Roman" w:hAnsi="Times New Roman"/>
          <w:bCs/>
          <w:snapToGrid w:val="0"/>
          <w:szCs w:val="24"/>
        </w:rPr>
      </w:pPr>
      <w:r>
        <w:rPr>
          <w:rFonts w:ascii="Times New Roman" w:hAnsi="Times New Roman"/>
          <w:snapToGrid w:val="0"/>
        </w:rPr>
        <w:t>Note 2: les activités dont l’égalité de genre est l’objectif principal;</w:t>
      </w:r>
    </w:p>
    <w:p w14:paraId="0E1488A6" w14:textId="78A26A2E" w:rsidR="00B13474" w:rsidRPr="00B13474" w:rsidRDefault="00B13474" w:rsidP="00B13474">
      <w:pPr>
        <w:widowControl w:val="0"/>
        <w:numPr>
          <w:ilvl w:val="0"/>
          <w:numId w:val="43"/>
        </w:numPr>
        <w:spacing w:after="0"/>
        <w:jc w:val="left"/>
        <w:rPr>
          <w:rFonts w:ascii="Times New Roman" w:hAnsi="Times New Roman"/>
          <w:bCs/>
          <w:snapToGrid w:val="0"/>
          <w:szCs w:val="24"/>
        </w:rPr>
      </w:pPr>
      <w:r>
        <w:rPr>
          <w:rFonts w:ascii="Times New Roman" w:hAnsi="Times New Roman"/>
          <w:snapToGrid w:val="0"/>
        </w:rPr>
        <w:t>Note 1: les activités dont l’égalité de genre est un objectif important et délibéré, mais n’est pas l’objectif principal;</w:t>
      </w:r>
    </w:p>
    <w:p w14:paraId="44CAFD21" w14:textId="09D064BE" w:rsidR="00B13474" w:rsidRPr="00B13474" w:rsidRDefault="00B13474" w:rsidP="00B13474">
      <w:pPr>
        <w:widowControl w:val="0"/>
        <w:numPr>
          <w:ilvl w:val="0"/>
          <w:numId w:val="44"/>
        </w:numPr>
        <w:spacing w:after="0"/>
        <w:jc w:val="left"/>
        <w:rPr>
          <w:rFonts w:ascii="Times New Roman" w:hAnsi="Times New Roman"/>
          <w:bCs/>
          <w:snapToGrid w:val="0"/>
          <w:szCs w:val="24"/>
        </w:rPr>
      </w:pPr>
      <w:r>
        <w:rPr>
          <w:rFonts w:ascii="Times New Roman" w:hAnsi="Times New Roman"/>
          <w:snapToGrid w:val="0"/>
        </w:rPr>
        <w:t>Note 0: les activités qui ne devraient pas contribuer de manière substantielle à l’égalité de genre.</w:t>
      </w:r>
    </w:p>
    <w:p w14:paraId="3A5DB700" w14:textId="7FF83BC8" w:rsidR="00B13474" w:rsidRPr="00B13474" w:rsidRDefault="00B13474" w:rsidP="00B13474">
      <w:pPr>
        <w:widowControl w:val="0"/>
        <w:rPr>
          <w:rFonts w:ascii="Times New Roman" w:hAnsi="Times New Roman"/>
          <w:snapToGrid w:val="0"/>
          <w:szCs w:val="24"/>
        </w:rPr>
      </w:pPr>
      <w:r>
        <w:rPr>
          <w:rFonts w:ascii="Times New Roman" w:hAnsi="Times New Roman"/>
          <w:snapToGrid w:val="0"/>
        </w:rPr>
        <w:t>D’autres orientations techniques seront élaborées par la Commission pour soutenir l’application cohérente de ce système de notes.</w:t>
      </w:r>
    </w:p>
    <w:p w14:paraId="2BF6BA0A" w14:textId="4A9437BB" w:rsidR="007F5623" w:rsidRDefault="007F2C2D" w:rsidP="1487E7E3">
      <w:pPr>
        <w:widowControl w:val="0"/>
        <w:rPr>
          <w:rFonts w:ascii="Times New Roman" w:hAnsi="Times New Roman"/>
          <w:snapToGrid w:val="0"/>
        </w:rPr>
      </w:pPr>
      <w:r>
        <w:rPr>
          <w:rFonts w:ascii="Times New Roman" w:hAnsi="Times New Roman"/>
        </w:rPr>
        <w:lastRenderedPageBreak/>
        <w:t>En lien avec la méthode de suivi, et afin de garantir le caractère mesurable et quantifiable des résultats du budget de l’Union, le règlement sur la performance dresse une liste unique d’indicateurs de performance, définis dans son annexe I, qui exige que les données soient ventilées par genre, le cas échéant, conformément aux exigences du règlement financier.</w:t>
      </w:r>
      <w:r>
        <w:rPr>
          <w:rFonts w:ascii="Times New Roman" w:hAnsi="Times New Roman"/>
          <w:snapToGrid w:val="0"/>
        </w:rPr>
        <w:t xml:space="preserve"> </w:t>
      </w:r>
      <w:r>
        <w:rPr>
          <w:rFonts w:ascii="Times New Roman" w:hAnsi="Times New Roman"/>
        </w:rPr>
        <w:t xml:space="preserve">De plus, les domaines d’intervention dont l’égalité de genre est l’objectif principal («note 2 en matière d’égalité de genre») sont suivis d'un astérisque (*) pour un renvoi et un suivi plus aisés.  </w:t>
      </w:r>
    </w:p>
    <w:p w14:paraId="09A879A0" w14:textId="793F4E46" w:rsidR="00B13474" w:rsidRPr="00B13474" w:rsidRDefault="007F5623" w:rsidP="00B13474">
      <w:pPr>
        <w:widowControl w:val="0"/>
        <w:rPr>
          <w:rFonts w:ascii="Times New Roman" w:hAnsi="Times New Roman"/>
          <w:snapToGrid w:val="0"/>
        </w:rPr>
      </w:pPr>
      <w:r>
        <w:rPr>
          <w:rFonts w:ascii="Times New Roman" w:hAnsi="Times New Roman"/>
          <w:snapToGrid w:val="0"/>
        </w:rPr>
        <w:t>De manière générale, le cadre commun de suivi des dépenses et de performance proposé pour le CFP 2028-2034 permettra de mesurer de manière plus précise la contribution du budget à l’égalité de genre. Ces informations figureront sur un site web unique et spécifique accessible au public (le «portail unique») affichant des informations sur l’exécution et la performance du budget, aux côtés d’informations sur les possibilités de financement et d’autres informations relatives au budget de l’Union.</w:t>
      </w:r>
    </w:p>
    <w:p w14:paraId="2C84F0A6" w14:textId="1AB59495" w:rsidR="00834CD1" w:rsidRDefault="009921C0" w:rsidP="009921C0">
      <w:pPr>
        <w:pStyle w:val="NormalHanging12a"/>
        <w:ind w:left="0" w:firstLine="0"/>
        <w:jc w:val="both"/>
      </w:pPr>
      <w:r>
        <w:rPr>
          <w:b/>
        </w:rPr>
        <w:t>En ce qui concerne les paragraphes 4, 18 et 27 à 29</w:t>
      </w:r>
      <w:r>
        <w:t>, la Commission rappelle que l’égalité de genre est une valeur fondamentale de l’Union consacrée par les articles 2 et 3 du traité sur l’Union européenne (TUE). En outre, conformément aux articles 8 et 10 du traité sur le fonctionnement de l’Union européenne (TFUE) et à la stratégie en faveur de l’égalité entre les hommes et les femmes 2020-2025, la Commission s’efforce d’intégrer l’égalité de genre dans toutes ses activités.</w:t>
      </w:r>
    </w:p>
    <w:p w14:paraId="1E397CB8" w14:textId="0A4AEB5D" w:rsidR="00AC4851" w:rsidRPr="005E353E" w:rsidRDefault="00AC4851" w:rsidP="009921C0">
      <w:pPr>
        <w:pStyle w:val="NormalHanging12a"/>
        <w:ind w:left="0" w:firstLine="0"/>
        <w:jc w:val="both"/>
        <w:rPr>
          <w:szCs w:val="24"/>
        </w:rPr>
      </w:pPr>
      <w:r>
        <w:t xml:space="preserve">À la suite de l’actualisation, en 2021, </w:t>
      </w:r>
      <w:hyperlink r:id="rId14" w:history="1">
        <w:r>
          <w:rPr>
            <w:rStyle w:val="Hyperlink"/>
          </w:rPr>
          <w:t>des lignes directrices et de la boîte à outils de la Commission pour une meilleure réglementation</w:t>
        </w:r>
      </w:hyperlink>
      <w:r>
        <w:t>, il convient de tenir compte, dans les analyses d’impact et les évaluations, des incidences sur l’égalité de genre, et de les analyser lorsqu’elles sont lourdes de conséquences pour l’initiative considérée. La Commission appuie cet objectif d’amélioration de la détection, de la sélection et de l’évaluation qualitative et quantitative des incidences significatives sur l’égalité de genre, dans le cadre des analyses d’impact et des évaluations, dans la limite des données disponibles, l’analyse devant par ailleurs être proportionnée, conformément au principe «mieux légiférer». Selon ce principe, les incidences les plus significatives sont sélectionnées et analysées. Les analyses d’impact de la Commission font l’objet d’un examen de la qualité par le comité d’examen de la réglementation, qui est indépendant. Le comité émet des avis sur les analyses d’impact, voire, le cas échéant, des recommandations à des fins d’amélioration, en particulier lorsqu’ils constatent des incidences importantes, entre autres en matière d’égalité de genre.</w:t>
      </w:r>
      <w:r>
        <w:rPr>
          <w:rFonts w:ascii="Calibri" w:hAnsi="Calibri"/>
        </w:rPr>
        <w:t xml:space="preserve"> </w:t>
      </w:r>
    </w:p>
    <w:p w14:paraId="1E725D7C" w14:textId="7000956A" w:rsidR="00AC4851" w:rsidRPr="005E353E" w:rsidRDefault="00AC4851" w:rsidP="00834CD1">
      <w:pPr>
        <w:pStyle w:val="NormalHanging12a"/>
        <w:ind w:left="0" w:firstLine="0"/>
        <w:jc w:val="both"/>
        <w:rPr>
          <w:szCs w:val="24"/>
        </w:rPr>
      </w:pPr>
      <w:r>
        <w:t>Par ailleurs, la dernière révision du règlement financier</w:t>
      </w:r>
      <w:r>
        <w:rPr>
          <w:rStyle w:val="FootnoteReference"/>
        </w:rPr>
        <w:footnoteReference w:id="13"/>
      </w:r>
      <w:r>
        <w:t xml:space="preserve"> a inscrit le respect de l’égalité des genres dans les règles financières applicables au budget de l’Union. Ainsi, l’article 33, paragraphe 2, point f), prévoit que «</w:t>
      </w:r>
      <w:r>
        <w:rPr>
          <w:i/>
        </w:rPr>
        <w:t>les programmes et activités sont mis en œuvre, lorsque cela est possible et approprié conformément à la réglementation sectorielle applicable, en tenant compte du principe d’égalité des genres et selon une méthode appropriée d’intégration de la dimension de genre</w:t>
      </w:r>
      <w:r>
        <w:t xml:space="preserve">». À cet égard, l’objectif consistant à garantir l’égalité de genre est déjà «un élément standard des procédures législatives de l’Union». </w:t>
      </w:r>
    </w:p>
    <w:p w14:paraId="44A2391B" w14:textId="0580B472" w:rsidR="00DD6535" w:rsidRDefault="162C9FD1" w:rsidP="00834CD1">
      <w:pPr>
        <w:pStyle w:val="NormalHanging12a"/>
        <w:ind w:left="0" w:firstLine="0"/>
        <w:jc w:val="both"/>
      </w:pPr>
      <w:r>
        <w:t>En ce qui concerne la mise en œuvre des instruments de financement de l’UE dans le CFP 2021-2027, la Commission attire l’attention du Parlement sur le rapport d’analyse d’impact accompagnant le règlement sur la performance [</w:t>
      </w:r>
      <w:hyperlink r:id="rId15">
        <w:r>
          <w:rPr>
            <w:rStyle w:val="Hyperlink"/>
          </w:rPr>
          <w:t>SWD(2025)0590</w:t>
        </w:r>
      </w:hyperlink>
      <w:r>
        <w:t xml:space="preserve">]. La méthode de la Commission suit l’approche de l’OCDE, qui ne prévoit pas de notation négative quant à la contribution à l’égalité de genre. Cet alignement garantit la cohérence avec les normes </w:t>
      </w:r>
      <w:r>
        <w:lastRenderedPageBreak/>
        <w:t>internationalement reconnues et facilite la comparabilité des données entre les pays. Par ailleurs, l’introduction d'une notation négative quant à la contribution à l’égalité de genre pourrait décourager l’innovation et simplifier à l’excès la question des incidences sur l’égalité de genre, lesquelles sont complexes et dépendent du contexte considéré. L’approche n’est pas de pénaliser les programmes pour les résultats non intentionnels qu’ils produisent, mais de se concentrer en priorité sur les contributions positives à l’égalité de genre et sur la manière de les renforcer, grâce à un suivi continu et à des améliorations adaptatives. Les cadres existants de l’UE fournissent des mécanismes cohérents et solides. L’introduction d’une notation punitive pourrait engendrer une complexité excessive, être source d’ambiguïté, et se traduire par un chevauchement avec les outils d’évaluation actuels.</w:t>
      </w:r>
    </w:p>
    <w:p w14:paraId="79A5DB9F" w14:textId="0C5D26BF" w:rsidR="00AC4851" w:rsidRPr="005E353E" w:rsidRDefault="00F95C1B" w:rsidP="00834CD1">
      <w:pPr>
        <w:pStyle w:val="NormalHanging12a"/>
        <w:ind w:left="0" w:firstLine="0"/>
        <w:jc w:val="both"/>
      </w:pPr>
      <w:r>
        <w:t>À cet égard, la Commission reconnaît que les analyses d’impact ex ante et les évaluations ex post sont les outils appropriés pour garantir que les interventions soutenues par le budget de l’Union promeuvent l’égalité de genre, appliquent le principe consistant à «ne pas nuire» et ne renforcent pas les inégalités existantes. En ce qui concerne le CFP post-2027, la conception appropriée des programmes de travail, des appels à propositions, des appels d’offres, et les évaluations en matière d'égalité de genre réalisées par la Commission et par les États membres dans leurs plans respectifs devraient précisément viser à améliorer l’efficacité des actions financées par l’UE pour prévenir et éviter l’adoption de mesures susceptibles de nuire à l’égalité de genre. Dans l’ensemble, il demeure prioritaire de veiller à ce que l’ensemble des programmes et activités tiennent dûment compte de l’égalité de genre, en évitant les incidences négatives et en favorisant activement les incidences positives, conformément au règlement financier et dans la perspective de l’amélioration continue des pratiques. </w:t>
      </w:r>
    </w:p>
    <w:p w14:paraId="18FF31FB" w14:textId="46F03724" w:rsidR="00AC22BB" w:rsidRDefault="00AC22BB" w:rsidP="00AC22BB">
      <w:pPr>
        <w:pStyle w:val="paragraph"/>
        <w:spacing w:before="0" w:beforeAutospacing="0" w:after="0" w:afterAutospacing="0"/>
        <w:jc w:val="both"/>
        <w:textAlignment w:val="baseline"/>
        <w:rPr>
          <w:rStyle w:val="eop"/>
        </w:rPr>
      </w:pPr>
      <w:r>
        <w:rPr>
          <w:b/>
        </w:rPr>
        <w:t>En ce qui concerne les paragraphes 31 et 40</w:t>
      </w:r>
      <w:r>
        <w:t>, la Commission souligne que les mesures prises au cours de son précédent mandat pour améliorer l’équilibre de genre en matière d’encadrement ont produit des effets très concrets et constants.</w:t>
      </w:r>
      <w:r>
        <w:rPr>
          <w:rStyle w:val="normaltextrun"/>
        </w:rPr>
        <w:t xml:space="preserve"> Grâce à ces mesures, le 1</w:t>
      </w:r>
      <w:r>
        <w:rPr>
          <w:rStyle w:val="normaltextrun"/>
          <w:vertAlign w:val="superscript"/>
        </w:rPr>
        <w:t>er</w:t>
      </w:r>
      <w:r>
        <w:rPr>
          <w:rStyle w:val="normaltextrun"/>
        </w:rPr>
        <w:t> janvier 2026, les femmes représentaient 49,5 % des postes d’encadrement, contre 40,5 % au 1</w:t>
      </w:r>
      <w:r>
        <w:rPr>
          <w:rStyle w:val="normaltextrun"/>
          <w:vertAlign w:val="superscript"/>
        </w:rPr>
        <w:t>er</w:t>
      </w:r>
      <w:r>
        <w:rPr>
          <w:rStyle w:val="normaltextrun"/>
        </w:rPr>
        <w:t xml:space="preserve"> décembre 2019. La Commission continuera de suivre de près l’évolution de la situation afin de veiller à ce que l’équilibre hommes-femmes dans les fonctions d’encadrement soit encore renforcé. L’adoption de nouvelles mesures à ce stade n’est pas jugée nécessaire.</w:t>
      </w:r>
      <w:r>
        <w:rPr>
          <w:rStyle w:val="eop"/>
        </w:rPr>
        <w:t xml:space="preserve"> </w:t>
      </w:r>
    </w:p>
    <w:p w14:paraId="2B019572" w14:textId="77777777" w:rsidR="00AC22BB" w:rsidRDefault="00AC22BB" w:rsidP="00AC22BB">
      <w:pPr>
        <w:pStyle w:val="paragraph"/>
        <w:spacing w:before="0" w:beforeAutospacing="0" w:after="0" w:afterAutospacing="0"/>
        <w:jc w:val="both"/>
        <w:textAlignment w:val="baseline"/>
        <w:rPr>
          <w:rFonts w:ascii="Segoe UI" w:hAnsi="Segoe UI" w:cs="Segoe UI"/>
          <w:sz w:val="18"/>
          <w:szCs w:val="18"/>
        </w:rPr>
      </w:pPr>
    </w:p>
    <w:p w14:paraId="112D169F" w14:textId="607EEF56" w:rsidR="00AC22BB" w:rsidRDefault="355E8137" w:rsidP="00AC22BB">
      <w:pPr>
        <w:pStyle w:val="paragraph"/>
        <w:spacing w:before="0" w:beforeAutospacing="0" w:after="0" w:afterAutospacing="0"/>
        <w:jc w:val="both"/>
        <w:textAlignment w:val="baseline"/>
        <w:rPr>
          <w:rStyle w:val="eop"/>
        </w:rPr>
      </w:pPr>
      <w:r>
        <w:rPr>
          <w:rStyle w:val="normaltextrun"/>
        </w:rPr>
        <w:t>Dans sa stratégie de 2022 en matière de ressources humaines, la Commission s’est engagée à créer un environnement propice à l’épanouissement de son personnel, notamment des femmes, lesquelles y sont majoritaires, en donnant la priorité au bien-être du personnel et en offrant un environnement de travail attrayant, avec des conditions de travail flexibles et compatibles avec la vie de famille. Elle a adopté une nouvelle décision sur le temps de travail et le travail hybride, qui a accru la flexibilité offerte aux membres du personnel pour leur permettre d’organiser la manière dont ils travaillent et de parvenir ainsi à un meilleur équilibre entre vie professionnelle et vie privée. Par ailleurs, elle organise régulièrement des concours internes qui s’adressent à un large éventail de grades et de profils de fonctions afin de retenir les talents internes et d’offrir des perspectives de carrière plus rapides à l’ensemble du personnel, y compris au personnel occupant des postes non permanents, majoritairement occupés par des femmes.</w:t>
      </w:r>
      <w:r>
        <w:rPr>
          <w:rStyle w:val="eop"/>
        </w:rPr>
        <w:t xml:space="preserve"> </w:t>
      </w:r>
    </w:p>
    <w:p w14:paraId="68A35035" w14:textId="77777777" w:rsidR="00AC22BB" w:rsidRDefault="00AC22BB" w:rsidP="00AC22BB">
      <w:pPr>
        <w:pStyle w:val="paragraph"/>
        <w:spacing w:before="0" w:beforeAutospacing="0" w:after="0" w:afterAutospacing="0"/>
        <w:jc w:val="both"/>
        <w:textAlignment w:val="baseline"/>
        <w:rPr>
          <w:rFonts w:ascii="Segoe UI" w:hAnsi="Segoe UI" w:cs="Segoe UI"/>
          <w:sz w:val="18"/>
          <w:szCs w:val="18"/>
        </w:rPr>
      </w:pPr>
    </w:p>
    <w:p w14:paraId="138064D8" w14:textId="6D139C86" w:rsidR="00AC22BB" w:rsidRDefault="5B0D8786" w:rsidP="262B7212">
      <w:pPr>
        <w:pStyle w:val="paragraph"/>
        <w:spacing w:before="0" w:beforeAutospacing="0" w:after="0" w:afterAutospacing="0"/>
        <w:jc w:val="both"/>
        <w:textAlignment w:val="baseline"/>
        <w:rPr>
          <w:rStyle w:val="eop"/>
        </w:rPr>
      </w:pPr>
      <w:r>
        <w:rPr>
          <w:rStyle w:val="normaltextrun"/>
        </w:rPr>
        <w:t xml:space="preserve">En ce qui concerne le prochain CFP (2028-2034), la Commission rappelle que l’article 7 du nouveau règlement sur la performance du budget de l’Union exige que les activités et programmes financés par l’UE prennent tous en considération l’égalité de genre et la promeuvent lors de la mise en place de structures de gouvernance telles que les groupes d’évaluation, les conseils et les groupes d’experts. Il s’agit notamment de prendre des mesures concrètes pour veiller à ce que les femmes et les hommes soient représentés de manière équitable, d’éviter la dominance d'un genre, et de faire en sorte que l’égalité de </w:t>
      </w:r>
      <w:r>
        <w:rPr>
          <w:rStyle w:val="normaltextrun"/>
        </w:rPr>
        <w:lastRenderedPageBreak/>
        <w:t xml:space="preserve">genre devienne un critère usuel dans les processus de sélection et de nomination. Si des quotas stricts ne sont pas exigés, il s’agit toutefois d’un engagement en faveur d’une prise de décision inclusive et équitable dans l’ensemble des cadres de gouvernance et de mise en œuvre de l’UE. En outre, lorsqu’ils nomment des experts externes indépendants, la Commission ou l’organisme de financement compétent doivent prendre les mesures qui s’imposent pour parvenir à une composition équilibrée des groupes d’experts et des panels d’évaluation du point de vue des compétences, de l’expérience et des connaissances, y compris en matière de genre, tout en tenant compte du contexte de l’action. L’engagement de l’UE à promouvoir l’égalité de genre tout au long du cycle de financement est ainsi renforcée. </w:t>
      </w:r>
    </w:p>
    <w:p w14:paraId="5EA1B814" w14:textId="77777777" w:rsidR="00964F30" w:rsidRDefault="00964F30" w:rsidP="18AA335F">
      <w:pPr>
        <w:pStyle w:val="paragraph"/>
        <w:spacing w:before="0" w:beforeAutospacing="0" w:after="0" w:afterAutospacing="0"/>
        <w:jc w:val="both"/>
        <w:rPr>
          <w:rStyle w:val="eop"/>
          <w:b/>
          <w:bCs/>
        </w:rPr>
      </w:pPr>
    </w:p>
    <w:p w14:paraId="12C997D8" w14:textId="2468B160" w:rsidR="02D0B433" w:rsidRDefault="65092B22" w:rsidP="262B7212">
      <w:pPr>
        <w:pStyle w:val="paragraph"/>
        <w:spacing w:before="0" w:beforeAutospacing="0" w:after="0" w:afterAutospacing="0"/>
        <w:jc w:val="both"/>
        <w:rPr>
          <w:b/>
          <w:bCs/>
        </w:rPr>
      </w:pPr>
      <w:r>
        <w:rPr>
          <w:b/>
        </w:rPr>
        <w:t>En ce qui concerne les paragraphes 32 et 33</w:t>
      </w:r>
      <w:r>
        <w:t>, la Commission rappelle que le règlement financier et la proposition de règlement sur la performance pour le CFP 2028-2034 garantissent que tous les programmes de financement pertinents de l’UE prennent en considération la dimension de genre et assurent un suivi constant du budget de l’Union en faveur de l’égalité de genre. À ce titre, l’approche adoptée par la Commission consiste à veiller à ce que tous les programmes de financement concernés contribuent aussi largement et efficacement que possible à la promotion de l’égalité de genre, lorsque cela est possible et approprié. La fixation d’un objectif quantitatif harmonisé pour l’ensemble du budget de l’Union reviendrait à faire abstraction de la diversité des programmes de financement de l’UE et de leurs différents champs d’application, et cela pourrait avoir pour conséquence de focaliser l’attention sur une part limitée du budget au lieu d’encourager une large intégration de la dimension de genre dans tous les domaines à prendre en considération. À cet égard, consciente du fait que les différents programmes de financement de l’UE sont de différentes natures, la Commission continuera de promouvoir l’égalité de genre par l’intégration de cette question, qui sera complétée par des activités ciblées en matière d’égalité de genre dans tous les programmes de financement et domaines d’action pertinents. Enfin, lors de la fixation d’objectifs de dépenses pour le budget à long terme, il y a lieu de prendre également en considération les conséquences d’une limitation de la flexibilité du budget de l’UE sur la capacité à s’attaquer, à l’avenir, aux nouvelles priorités qui émergeront.</w:t>
      </w:r>
    </w:p>
    <w:p w14:paraId="1ECA407D" w14:textId="1E681E58" w:rsidR="02D0B433" w:rsidRDefault="001F277B" w:rsidP="02D0B433">
      <w:pPr>
        <w:pStyle w:val="paragraph"/>
        <w:jc w:val="both"/>
      </w:pPr>
      <w:r>
        <w:rPr>
          <w:b/>
        </w:rPr>
        <w:t>En ce qui concerne le paragraphe 37</w:t>
      </w:r>
      <w:r>
        <w:t>, la Commission reste pleinement déterminée à faire progresser l’égalité de genre et l’autonomisation des femmes et des filles dans tous les domaines de son action extérieure. La feuille de route pour les droits des femmes, adoptée en mars 2025, confirme les principes, objectifs et cibles de l’actuel plan d’action de l’UE sur l’égalité entre les hommes et les femmes  (GAP III) et orientera les initiatives extérieures tout en ouvrant la voie au prochain plan d’action de l’UE sur l’égalité entre les hommes et les femmes dans le domaine de l’action extérieure (2028-2034), notamment en matière d’interventions humanitaires.</w:t>
      </w:r>
    </w:p>
    <w:p w14:paraId="275ED5C7" w14:textId="7024B225" w:rsidR="02D0B433" w:rsidRDefault="001F277B" w:rsidP="02D0B433">
      <w:pPr>
        <w:pStyle w:val="paragraph"/>
        <w:jc w:val="both"/>
      </w:pPr>
      <w:r>
        <w:t>S’agissant de «L’Europe dans le monde», il est proposé d’en faire le principal instrument de financement de l’action extérieure de l’UE, afin de rendre ce financement plus simple, plus cohérent, plus souple et plus efficace. En ce qui concerne le financement de l’action extérieure dans le prochain CFP, la promotion de l’égalité de genre reste une priorité.</w:t>
      </w:r>
    </w:p>
    <w:p w14:paraId="4102969F" w14:textId="541A56AD" w:rsidR="001F277B" w:rsidRPr="001F277B" w:rsidRDefault="001F277B" w:rsidP="00A83141">
      <w:pPr>
        <w:pStyle w:val="paragraph"/>
        <w:jc w:val="both"/>
      </w:pPr>
      <w:r>
        <w:t>La proposition établissant l’instrument «L’Europe dans le monde» définit l’égalité de genre comme étant un principe général (article 9) ainsi qu’une priorité intégrée (article 10) à prendre en considération lors de la conception et de la mise en œuvre de toutes les actions au titre de l’instrument. À ce titre, l’égalité de genre constituera une priorité influençant chaque étape du cycle budgétaire dans le cadre de «L’Europe dans le monde», de la conception à l’évaluation. En outre, conformément au règlement sur la performance pour le CFP 2028</w:t>
      </w:r>
      <w:r>
        <w:noBreakHyphen/>
        <w:t xml:space="preserve">2034, les pays candidats à l’adhésion à l’Union, les pays candidats potentiels et les pays du voisinage oriental fourniront une évaluation du respect du principe d’égalité de </w:t>
      </w:r>
      <w:r>
        <w:lastRenderedPageBreak/>
        <w:t>genre pour chaque activité prévue dans leurs plans fondés sur la performance, assortie, notamment, d’explications quant à la manière dont l’activité devrait contribuer à l’égalité de genre. Chaque activité doit se voir attribuer la note appropriée en matière d’égalité de genre, dûment justifiée, et les données seront ventilées par genre.</w:t>
      </w:r>
    </w:p>
    <w:p w14:paraId="0CC92AA4" w14:textId="6EE13177" w:rsidR="02D0B433" w:rsidRDefault="497E9256" w:rsidP="02D0B433">
      <w:pPr>
        <w:pStyle w:val="paragraph"/>
        <w:jc w:val="both"/>
      </w:pPr>
      <w:r>
        <w:t>De plus, «L’Europe dans le monde» définit des objectifs spécifiques pertinents à l’égard du genre pour tous les piliers (géographiques et au niveau mondial) de l’instrument, prévoyant, outre des exercices de suivi et d’intégration, un soutien à des actions ciblées. La mise en œuvre de l’instrument respectera les exigences définies dans les prochains plans d’action sur l’égalité entre les hommes et les femmes (GAP). Par ailleurs, la Commission est particulièrement attachée à la promotion, à la protection et au respect du droit de toute personne d’avoir la maîtrise totale des questions liées à sa santé sexuelle et génésique et de prendre des décisions à cet égard, librement et de manière responsable, sans subir une quelconque discrimination, contrainte ou violence, ainsi qu’à la promotion de l’égalité de genre et de l’autonomisation des femmes et des filles. Ces priorités seront encore de mise dans le prochain CFP, comme indiqué à l’annexe II sur les objectifs spécifiques de la proposition «L’Europe dans le monde».</w:t>
      </w:r>
    </w:p>
    <w:p w14:paraId="2E32D2D4" w14:textId="0C9A1348" w:rsidR="00ED07E4" w:rsidRDefault="00A83141" w:rsidP="00A83141">
      <w:pPr>
        <w:widowControl w:val="0"/>
        <w:rPr>
          <w:rStyle w:val="normaltextrun"/>
          <w:rFonts w:ascii="Times New Roman" w:hAnsi="Times New Roman"/>
          <w:color w:val="000000"/>
          <w:shd w:val="clear" w:color="auto" w:fill="FFFFFF"/>
        </w:rPr>
      </w:pPr>
      <w:r>
        <w:rPr>
          <w:rFonts w:ascii="Times New Roman" w:hAnsi="Times New Roman"/>
          <w:b/>
        </w:rPr>
        <w:t>En ce qui concerne le paragraphe 41</w:t>
      </w:r>
      <w:r>
        <w:rPr>
          <w:rFonts w:ascii="Times New Roman" w:hAnsi="Times New Roman"/>
        </w:rPr>
        <w:t>, la Commission insiste sur sa volonté de lutter contre les conditions discriminatoires dans tous les secteurs et de soutenir les femmes entrepreneurs.</w:t>
      </w:r>
      <w:r>
        <w:rPr>
          <w:rFonts w:ascii="Times New Roman" w:hAnsi="Times New Roman"/>
          <w:b/>
        </w:rPr>
        <w:t xml:space="preserve"> </w:t>
      </w:r>
      <w:r>
        <w:rPr>
          <w:rFonts w:ascii="Times New Roman" w:hAnsi="Times New Roman"/>
        </w:rPr>
        <w:t>Ainsi, dans le cadre du CFP 2021-2027, la Commission accorde une attention particulière à l’égalité de genre dans la mise en œuvre d’InvestEU et d’Horizon Europe.</w:t>
      </w:r>
      <w:r>
        <w:rPr>
          <w:rStyle w:val="normaltextrun"/>
          <w:rFonts w:ascii="Times New Roman" w:hAnsi="Times New Roman"/>
          <w:color w:val="000000"/>
          <w:shd w:val="clear" w:color="auto" w:fill="FFFFFF"/>
        </w:rPr>
        <w:t xml:space="preserve"> </w:t>
      </w:r>
    </w:p>
    <w:p w14:paraId="1D67D664" w14:textId="67DCEECA" w:rsidR="00C27002" w:rsidRDefault="00C41926" w:rsidP="00910332">
      <w:pPr>
        <w:widowControl w:val="0"/>
        <w:rPr>
          <w:rFonts w:ascii="Times New Roman" w:hAnsi="Times New Roman"/>
          <w:color w:val="000000"/>
          <w:shd w:val="clear" w:color="auto" w:fill="FFFFFF"/>
        </w:rPr>
      </w:pPr>
      <w:r>
        <w:rPr>
          <w:rStyle w:val="normaltextrun"/>
          <w:rFonts w:ascii="Times New Roman" w:hAnsi="Times New Roman"/>
          <w:color w:val="000000"/>
        </w:rPr>
        <w:t>S’agissant d’InvestEU dans le cadre du CFP 2021-2027, par exemple, la Commission a convenu avec le Groupe Banque européenne d’investissement d’un objectif selon lequel 25 % de toutes les interventions en fonds propres au titre du programme devraient respecter des critères de financement intégrant la dimension de genre en ce qui concerne la direction du fonds d’investissement.</w:t>
      </w:r>
      <w:r>
        <w:rPr>
          <w:rStyle w:val="normaltextrun"/>
          <w:rFonts w:ascii="Times New Roman" w:hAnsi="Times New Roman"/>
          <w:color w:val="000000"/>
          <w:shd w:val="clear" w:color="auto" w:fill="FFFFFF"/>
        </w:rPr>
        <w:t xml:space="preserve"> </w:t>
      </w:r>
      <w:r>
        <w:rPr>
          <w:rFonts w:ascii="Times New Roman" w:hAnsi="Times New Roman"/>
          <w:color w:val="000000"/>
        </w:rPr>
        <w:t>En outre, un financement est prévu pour des activités de formation et de mentorat visant à soutenir les investisseuses et entrepreneuses et à contribuer à réduire l’écart de financement entre les genres.</w:t>
      </w:r>
      <w:r>
        <w:rPr>
          <w:rFonts w:ascii="Times New Roman" w:hAnsi="Times New Roman"/>
          <w:color w:val="000000"/>
          <w:shd w:val="clear" w:color="auto" w:fill="FFFFFF"/>
        </w:rPr>
        <w:t xml:space="preserve"> Ces activités concernent notamment la Master Class sur le financement intégrant la dimension de genre, s’adressant aux banques commerciales de l’UE,</w:t>
      </w:r>
      <w:r>
        <w:t xml:space="preserve"> </w:t>
      </w:r>
      <w:r>
        <w:rPr>
          <w:rFonts w:ascii="Times New Roman" w:hAnsi="Times New Roman"/>
          <w:color w:val="000000"/>
          <w:shd w:val="clear" w:color="auto" w:fill="FFFFFF"/>
        </w:rPr>
        <w:t>et une partie de la communauté de pratique InvestEU au sens large soutenant 40 banques de l’UE afin qu’un meilleur service soit offert aux entrepreneuses. En outre, l’étude sur le financement par l’emprunt pour promouvoir l’égalité de genre, publiée récemment (</w:t>
      </w:r>
      <w:r>
        <w:rPr>
          <w:rFonts w:ascii="Times New Roman" w:hAnsi="Times New Roman"/>
          <w:i/>
          <w:iCs/>
          <w:color w:val="000000"/>
          <w:shd w:val="clear" w:color="auto" w:fill="FFFFFF"/>
        </w:rPr>
        <w:t>Debt Financing for Gender Equality</w:t>
      </w:r>
      <w:r>
        <w:rPr>
          <w:rFonts w:ascii="Times New Roman" w:hAnsi="Times New Roman"/>
          <w:color w:val="000000"/>
          <w:shd w:val="clear" w:color="auto" w:fill="FFFFFF"/>
        </w:rPr>
        <w:t>, octobre 2025), fournit des éléments analytiques au soutien d’une utilisation plus large des solutions de prêt intégrant la dimension de genre sur le marché de l’UE. Par ailleurs, InvestEU renforce le soutien aux entrepreneuses par l’intermédiaire des événements «Empowering Equity» et du programme de mentorat ciblant l’écosystème du capital-risque et du capital-investissement, ainsi que par l’apport d’une assistance technique plus large et par le renforcement des capacités des intermédiaires financiers pour améliorer l’accès des femmes au financement dans l’ensemble de l’Union.</w:t>
      </w:r>
    </w:p>
    <w:p w14:paraId="4DA513D6" w14:textId="77777777" w:rsidR="00A859B4" w:rsidRPr="00AA4226" w:rsidRDefault="00A859B4" w:rsidP="00A859B4">
      <w:pPr>
        <w:widowControl w:val="0"/>
        <w:rPr>
          <w:rFonts w:ascii="Times New Roman" w:hAnsi="Times New Roman"/>
          <w:color w:val="000000"/>
          <w:shd w:val="clear" w:color="auto" w:fill="FFFFFF"/>
        </w:rPr>
      </w:pPr>
      <w:r>
        <w:rPr>
          <w:rFonts w:ascii="Times New Roman" w:hAnsi="Times New Roman"/>
          <w:color w:val="000000"/>
          <w:shd w:val="clear" w:color="auto" w:fill="FFFFFF"/>
        </w:rPr>
        <w:t>De plus, les investissements soutenant l’égalité de genre font l’objet de rapports réguliers de la part des partenaires chargés de la mise en œuvre d’InvestEU, ainsi que d’un suivi de la part de la Commission. Conformément aux méthodes relatives aux indicateurs clés de performance et de suivi d’InvestEU, les partenaires chargés de la mise en œuvre peuvent juger qu’une opération contribue à l’égalité de genre lorsque suffisammant de contributions positives à l’égalité de genre peuvent être démontrées, dûment justifiées et étayées par des éléments de preuve.  </w:t>
      </w:r>
    </w:p>
    <w:p w14:paraId="14CA0988" w14:textId="1FA2628A" w:rsidR="00216172" w:rsidRDefault="00ED07E4" w:rsidP="00A83141">
      <w:pPr>
        <w:widowControl w:val="0"/>
        <w:rPr>
          <w:rFonts w:ascii="Times New Roman" w:hAnsi="Times New Roman"/>
          <w:szCs w:val="24"/>
        </w:rPr>
      </w:pPr>
      <w:r>
        <w:rPr>
          <w:rFonts w:ascii="Times New Roman" w:hAnsi="Times New Roman"/>
        </w:rPr>
        <w:t xml:space="preserve">Au titre d’Horizon Europe dans le CFP 2021-2027, le Conseil européen de l’innovation (CEI) apporte un soutien ciblé aux entrepreneuses dans le domaine de la «deep tech» (PME </w:t>
      </w:r>
      <w:r>
        <w:rPr>
          <w:rFonts w:ascii="Times New Roman" w:hAnsi="Times New Roman"/>
        </w:rPr>
        <w:lastRenderedPageBreak/>
        <w:t xml:space="preserve">et start-up dirigées par des femmes). Le programme «Women Leadership» du CEI propose un soutien sur mesure: accompagnement, mentorat et préparation en matière d’investissement. En 2024, 30 % des entreprises bénéficiant de l’Accélérateur du CEI étaient dirigées par des femmes, ce qui représente une augmentation significative par rapport aux seulement 8 % de 2020, avec 134 entreprises dirigées par des femmes (19 %) dans le portefeuille global. Depuis 2021, les entreprises dirigées par des femmes soutenues par le CEI ont reçu plus de 1,1 milliard d’euros sous la forme de subventions et de fonds propres combinés.  </w:t>
      </w:r>
    </w:p>
    <w:p w14:paraId="6F49A8E5" w14:textId="77777777" w:rsidR="00216172" w:rsidRDefault="00ED07E4" w:rsidP="00A83141">
      <w:pPr>
        <w:widowControl w:val="0"/>
        <w:rPr>
          <w:rFonts w:ascii="Times New Roman" w:hAnsi="Times New Roman"/>
          <w:szCs w:val="24"/>
        </w:rPr>
      </w:pPr>
      <w:r>
        <w:rPr>
          <w:rFonts w:ascii="Times New Roman" w:hAnsi="Times New Roman"/>
        </w:rPr>
        <w:t>Le programme de travail sur les écosystèmes européens d’innovation (</w:t>
      </w:r>
      <w:r>
        <w:rPr>
          <w:rFonts w:ascii="Times New Roman" w:hAnsi="Times New Roman"/>
          <w:i/>
          <w:iCs/>
        </w:rPr>
        <w:t>European Innovation Ecosystems Work Programme</w:t>
      </w:r>
      <w:r>
        <w:rPr>
          <w:rFonts w:ascii="Times New Roman" w:hAnsi="Times New Roman"/>
        </w:rPr>
        <w:t xml:space="preserve">, EIE WP) inclut l’initiative Startup Europe, dotée d’une enveloppe 10 millions d’euros, qui vise à combler l’écart de genre en matière de financement, grâce à des projets tels que SCALE’HER dont l’objectif est d’accroître le nombre de start-up dirigées par des femmes. Le CEI fait également progresser les données sur l’innovation intégrant la dimension de genre grâce à l’indice européen «genre et diversité» dans le domaine de l’innovation (Gendex 2024, dont une édition actualisée 2026 sera publiée prochainement) et au rapport sur l’écart de genre dans les investissements (2025). </w:t>
      </w:r>
    </w:p>
    <w:p w14:paraId="2B23A1E8" w14:textId="77777777" w:rsidR="00216172" w:rsidRDefault="00216172" w:rsidP="00216172">
      <w:pPr>
        <w:widowControl w:val="0"/>
        <w:rPr>
          <w:rFonts w:ascii="Times New Roman" w:hAnsi="Times New Roman"/>
          <w:szCs w:val="24"/>
        </w:rPr>
      </w:pPr>
      <w:r>
        <w:rPr>
          <w:rFonts w:ascii="Times New Roman" w:hAnsi="Times New Roman"/>
        </w:rPr>
        <w:t>En janvier 2025, l’objectif de 51 % de participation des femmes dans les conseils, groupes d’experts et comités d’évaluation liés à Horizon Europe a été atteint. Dans le programme de travail EIE, près de 54 % des projets sont menés par des femmes innovatrices, ce qui démontre qu’elles ne font pas qu’y participer, elles y jouent également un rôle moteur. Au sein des équipes de projet, la participation des femmes a même augmenté, jusqu’à atteindre 55 %, une augmentation qui reflète l’inclusivité dans tous les rôles exercés.</w:t>
      </w:r>
    </w:p>
    <w:p w14:paraId="1B4C7A12" w14:textId="5AA7E134" w:rsidR="00716124" w:rsidRDefault="00ED07E4" w:rsidP="00AA4226">
      <w:pPr>
        <w:widowControl w:val="0"/>
        <w:spacing w:line="259" w:lineRule="auto"/>
        <w:rPr>
          <w:rFonts w:ascii="Times New Roman" w:hAnsi="Times New Roman"/>
        </w:rPr>
      </w:pPr>
      <w:r>
        <w:rPr>
          <w:rFonts w:ascii="Times New Roman" w:hAnsi="Times New Roman"/>
        </w:rPr>
        <w:t>En outre, le programme Women TechEU apporte un soutien à hauteur de 75 000 euros aux start-up «deep tech» en phase de démarrage fondées ou cofondées par des femmes. Jusqu’à présent, il a soutenu 339 entreprises dirigées par des femmes et a reçu 1 107 candidatures provenant de 43 pays éligibles lors de sa dernière édition. Le Prix européen pour les femmes innovatrices est organisé par le CEI en coordination avec l’Institut européen d’innovation et de technologie (EIT) depuis 2023, neuf prix étant à décerner chaque année. Le programme complète et renforce ces efforts en mettant en avant les chercheuses, les entrepreneuses et les initiatives promouvant l’égalité de genre dans les domaines de l’innovation et de l’entrepreneuriat. En particulier, dans le cadre du Prix européen pour les femmes innovatrices, le Women Leadership Award de l’Institut européen d’innovation et de technologie récompense des femmes dirigeantes remarquables faisant partie de son réseau. Plus généralement, l’EIT et ses communautés de la connaissance et de l’innovation (CCI) soutiennent activement les femmes innovatrices par l’intermédiaire de programmes de formation spécifiques et en leur offrant des possibilités de mise en réseau et un soutien à la création d’entreprises. Ainsi, l’initiative «Supernovas» de l’EIT soutient les entrepreneuses et investisseuses. L’initiative «Girls Go Circular» de l’EIT s’attaque à l’écart numérique entre les genres en dotant les filles âgées de 14 à 19 ans de compétences numériques et entrepreneuriales dans le domaine de l’économie circulaire, en leur donnant les moyens d’agir en tant que futures actrices du changement, et en renforçant leurs compétences transversales et numériques.</w:t>
      </w:r>
    </w:p>
    <w:p w14:paraId="0AC82EB3" w14:textId="0C4DF19D" w:rsidR="00DF5A87" w:rsidRPr="00ED07E4" w:rsidRDefault="00DF5A87" w:rsidP="00DF5A87">
      <w:pPr>
        <w:widowControl w:val="0"/>
        <w:rPr>
          <w:rFonts w:ascii="Times New Roman" w:hAnsi="Times New Roman"/>
          <w:szCs w:val="24"/>
        </w:rPr>
      </w:pPr>
      <w:bookmarkStart w:id="1" w:name="_Hlk218689258"/>
      <w:r>
        <w:rPr>
          <w:rFonts w:ascii="Times New Roman" w:hAnsi="Times New Roman"/>
        </w:rPr>
        <w:t xml:space="preserve">Enfin, en ce qui concerne l’intégration de la dimension de genre dans le processus budgétaire, dans le cadre du CFP 2021-2027, et grâce à l’instrument d’appui technique, la Commission a, depuis 2022, aidé quinze administrations dans dix États membres à développer et à renforcer, dans leurs processus politiques et budgétaires, l’intégration de la dimension de genre et de la perspective de genre dans le processus budgétaire, </w:t>
      </w:r>
      <w:r>
        <w:rPr>
          <w:rFonts w:ascii="Times New Roman" w:hAnsi="Times New Roman"/>
        </w:rPr>
        <w:lastRenderedPageBreak/>
        <w:t>conformément à la stratégie de l’UE en faveur de l’égalité de genre. À ce jour, le soutien fourni a contribué à l’adoption de 10 plans d’action en matière d’égalité de genre, à la mise au point de 26 outils méthodologiques et à la formation de 3 300 agents de la fonction publique.</w:t>
      </w:r>
      <w:bookmarkEnd w:id="1"/>
    </w:p>
    <w:p w14:paraId="3B5F3A38" w14:textId="61F771BB" w:rsidR="00ED07E4" w:rsidRPr="00ED07E4" w:rsidRDefault="00ED07E4" w:rsidP="00A83141">
      <w:pPr>
        <w:widowControl w:val="0"/>
        <w:rPr>
          <w:rFonts w:ascii="Times New Roman" w:hAnsi="Times New Roman"/>
          <w:szCs w:val="24"/>
          <w:lang w:val="en-IE"/>
        </w:rPr>
      </w:pPr>
    </w:p>
    <w:sectPr w:rsidR="00ED07E4" w:rsidRPr="00ED07E4" w:rsidSect="00812321">
      <w:footerReference w:type="even" r:id="rId16"/>
      <w:footerReference w:type="default" r:id="rId17"/>
      <w:footerReference w:type="first" r:id="rId18"/>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2592" w14:textId="77777777" w:rsidR="00064D60" w:rsidRDefault="00064D60">
      <w:r>
        <w:separator/>
      </w:r>
    </w:p>
  </w:endnote>
  <w:endnote w:type="continuationSeparator" w:id="0">
    <w:p w14:paraId="20C4BB7F" w14:textId="77777777" w:rsidR="00064D60" w:rsidRDefault="00064D60">
      <w:r>
        <w:continuationSeparator/>
      </w:r>
    </w:p>
  </w:endnote>
  <w:endnote w:type="continuationNotice" w:id="1">
    <w:p w14:paraId="2B5D1EE7" w14:textId="77777777" w:rsidR="00064D60" w:rsidRDefault="00064D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AB8F" w14:textId="77777777" w:rsidR="00064D60" w:rsidRDefault="00064D60">
      <w:r>
        <w:separator/>
      </w:r>
    </w:p>
  </w:footnote>
  <w:footnote w:type="continuationSeparator" w:id="0">
    <w:p w14:paraId="3A05D633" w14:textId="77777777" w:rsidR="00064D60" w:rsidRDefault="00064D60">
      <w:r>
        <w:continuationSeparator/>
      </w:r>
    </w:p>
  </w:footnote>
  <w:footnote w:type="continuationNotice" w:id="1">
    <w:p w14:paraId="02BA0080" w14:textId="77777777" w:rsidR="00064D60" w:rsidRDefault="00064D60">
      <w:pPr>
        <w:spacing w:after="0"/>
      </w:pPr>
    </w:p>
  </w:footnote>
  <w:footnote w:id="2">
    <w:p w14:paraId="1F4EA17B" w14:textId="7A7BDDDF" w:rsidR="00B13474" w:rsidRPr="00CE1310" w:rsidRDefault="00B13474" w:rsidP="0085552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JO L 209 du 14.6.2021</w:t>
        </w:r>
      </w:hyperlink>
    </w:p>
  </w:footnote>
  <w:footnote w:id="3">
    <w:p w14:paraId="2695A18F" w14:textId="7CFBBF60" w:rsidR="00B13474" w:rsidRPr="00CE1310" w:rsidRDefault="00B13474" w:rsidP="0085552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Pr>
            <w:rStyle w:val="Hyperlink"/>
            <w:rFonts w:ascii="Times New Roman" w:hAnsi="Times New Roman"/>
          </w:rPr>
          <w:t>JO L 231 du 30.6.2021</w:t>
        </w:r>
      </w:hyperlink>
    </w:p>
  </w:footnote>
  <w:footnote w:id="4">
    <w:p w14:paraId="5563B56D" w14:textId="74A546C1" w:rsidR="00B13474" w:rsidRPr="00CE1310" w:rsidRDefault="00B13474" w:rsidP="0085552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history="1">
        <w:r>
          <w:rPr>
            <w:rStyle w:val="Hyperlink"/>
            <w:rFonts w:ascii="Times New Roman" w:hAnsi="Times New Roman"/>
          </w:rPr>
          <w:t>JO L 170 du 12.5.2021</w:t>
        </w:r>
      </w:hyperlink>
    </w:p>
  </w:footnote>
  <w:footnote w:id="5">
    <w:p w14:paraId="6D340590" w14:textId="271C63F6" w:rsidR="00B13474" w:rsidRPr="00CE1310" w:rsidRDefault="00B13474" w:rsidP="0085552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Style w:val="Hyperlink"/>
            <w:rFonts w:ascii="Times New Roman" w:hAnsi="Times New Roman"/>
          </w:rPr>
          <w:t>JO L 57 du 18.2.2021</w:t>
        </w:r>
      </w:hyperlink>
      <w:r>
        <w:t xml:space="preserve"> </w:t>
      </w:r>
    </w:p>
  </w:footnote>
  <w:footnote w:id="6">
    <w:p w14:paraId="7FC665E3" w14:textId="68A9D3CC" w:rsidR="00B13474" w:rsidRPr="00CE1310" w:rsidRDefault="00B13474" w:rsidP="0085552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5" w:history="1">
        <w:r>
          <w:rPr>
            <w:rStyle w:val="Hyperlink"/>
            <w:rFonts w:ascii="Times New Roman" w:hAnsi="Times New Roman"/>
          </w:rPr>
          <w:t>JO L 435 du 6.12.2021</w:t>
        </w:r>
      </w:hyperlink>
    </w:p>
  </w:footnote>
  <w:footnote w:id="7">
    <w:p w14:paraId="1A68C70C" w14:textId="562F314B" w:rsidR="00B13474" w:rsidRPr="00D83E71" w:rsidRDefault="00B13474" w:rsidP="00CE1310">
      <w:pPr>
        <w:spacing w:after="0"/>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w:t>
      </w:r>
      <w:hyperlink r:id="rId6" w:history="1">
        <w:r>
          <w:rPr>
            <w:rStyle w:val="Hyperlink"/>
            <w:rFonts w:ascii="Times New Roman" w:hAnsi="Times New Roman"/>
            <w:sz w:val="20"/>
          </w:rPr>
          <w:t>COM/2025/545 final</w:t>
        </w:r>
      </w:hyperlink>
      <w:r>
        <w:rPr>
          <w:rFonts w:ascii="Times New Roman" w:hAnsi="Times New Roman"/>
          <w:sz w:val="20"/>
        </w:rPr>
        <w:t xml:space="preserve">; </w:t>
      </w:r>
      <w:hyperlink r:id="rId7" w:history="1">
        <w:r>
          <w:rPr>
            <w:rStyle w:val="Hyperlink"/>
            <w:rFonts w:ascii="Times New Roman" w:hAnsi="Times New Roman"/>
            <w:sz w:val="20"/>
          </w:rPr>
          <w:t>SWD(2025)0590</w:t>
        </w:r>
      </w:hyperlink>
    </w:p>
  </w:footnote>
  <w:footnote w:id="8">
    <w:p w14:paraId="17D1A141" w14:textId="76F6B20E" w:rsidR="00724A89" w:rsidRPr="00CE1310" w:rsidRDefault="00724A89" w:rsidP="00CE13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8" w:history="1">
        <w:r>
          <w:rPr>
            <w:rStyle w:val="Hyperlink"/>
            <w:rFonts w:ascii="Times New Roman" w:hAnsi="Times New Roman"/>
          </w:rPr>
          <w:t>COM/2025/565 final</w:t>
        </w:r>
      </w:hyperlink>
    </w:p>
  </w:footnote>
  <w:footnote w:id="9">
    <w:p w14:paraId="2612CA12" w14:textId="197A5A63" w:rsidR="00B13474" w:rsidRPr="00CE1310" w:rsidRDefault="00B13474" w:rsidP="00CE1310">
      <w:pPr>
        <w:pStyle w:val="FootnoteText"/>
        <w:spacing w:after="0"/>
        <w:ind w:left="0" w:firstLine="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history="1">
        <w:r>
          <w:rPr>
            <w:rStyle w:val="Hyperlink"/>
            <w:rFonts w:ascii="Times New Roman" w:hAnsi="Times New Roman"/>
          </w:rPr>
          <w:t>COM/2025/555 final</w:t>
        </w:r>
      </w:hyperlink>
      <w:r>
        <w:rPr>
          <w:rFonts w:ascii="Times New Roman" w:hAnsi="Times New Roman"/>
        </w:rPr>
        <w:fldChar w:fldCharType="begin"/>
      </w:r>
      <w:r>
        <w:rPr>
          <w:rFonts w:ascii="Times New Roman" w:hAnsi="Times New Roman"/>
        </w:rPr>
        <w:fldChar w:fldCharType="separate"/>
      </w:r>
      <w:r>
        <w:rPr>
          <w:rStyle w:val="Hyperlink"/>
          <w:rFonts w:ascii="Times New Roman" w:hAnsi="Times New Roman"/>
        </w:rPr>
        <w:t>COM/2025/555 final</w:t>
      </w:r>
      <w:r>
        <w:rPr>
          <w:rFonts w:ascii="Times New Roman" w:hAnsi="Times New Roman"/>
        </w:rPr>
        <w:fldChar w:fldCharType="end"/>
      </w:r>
    </w:p>
  </w:footnote>
  <w:footnote w:id="10">
    <w:p w14:paraId="1028E6B1" w14:textId="38A127FE" w:rsidR="00497A6F" w:rsidRPr="00CE1310" w:rsidRDefault="00497A6F" w:rsidP="00CE131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0" w:history="1">
        <w:r>
          <w:rPr>
            <w:rStyle w:val="Hyperlink"/>
            <w:rFonts w:ascii="Times New Roman" w:hAnsi="Times New Roman"/>
          </w:rPr>
          <w:t>COM/2025/543 final</w:t>
        </w:r>
      </w:hyperlink>
    </w:p>
  </w:footnote>
  <w:footnote w:id="11">
    <w:p w14:paraId="39DEE8D6" w14:textId="05EA549F" w:rsidR="00B13474" w:rsidRPr="00CE1310" w:rsidRDefault="00B13474" w:rsidP="003C164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1" w:history="1">
        <w:r>
          <w:rPr>
            <w:rStyle w:val="Hyperlink"/>
            <w:rFonts w:ascii="Times New Roman" w:hAnsi="Times New Roman"/>
          </w:rPr>
          <w:t>COM/2025/551final</w:t>
        </w:r>
      </w:hyperlink>
    </w:p>
  </w:footnote>
  <w:footnote w:id="12">
    <w:p w14:paraId="37971A7B" w14:textId="09BD0446" w:rsidR="00B13474" w:rsidRPr="00CE1310" w:rsidRDefault="00B13474" w:rsidP="003C1640">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2" w:history="1">
        <w:r>
          <w:rPr>
            <w:rStyle w:val="Hyperlink"/>
            <w:rFonts w:ascii="Times New Roman" w:hAnsi="Times New Roman"/>
          </w:rPr>
          <w:t>COM/2025/550 final</w:t>
        </w:r>
      </w:hyperlink>
    </w:p>
  </w:footnote>
  <w:footnote w:id="13">
    <w:p w14:paraId="4657F3A5" w14:textId="31345D87" w:rsidR="00AC4851" w:rsidRPr="00CE1310" w:rsidRDefault="00AC4851" w:rsidP="00DD093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3" w:history="1">
        <w:r>
          <w:rPr>
            <w:rStyle w:val="Hyperlink"/>
            <w:rFonts w:ascii="Times New Roman" w:hAnsi="Times New Roman"/>
          </w:rPr>
          <w:t>JO L 2024/2509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hint="default"/>
      </w:rPr>
    </w:lvl>
  </w:abstractNum>
  <w:abstractNum w:abstractNumId="2" w15:restartNumberingAfterBreak="0">
    <w:nsid w:val="0AA7686E"/>
    <w:multiLevelType w:val="hybridMultilevel"/>
    <w:tmpl w:val="D1D45CA8"/>
    <w:lvl w:ilvl="0" w:tplc="5AB410AA">
      <w:start w:val="1"/>
      <w:numFmt w:val="decimal"/>
      <w:lvlText w:val="%1."/>
      <w:lvlJc w:val="left"/>
      <w:pPr>
        <w:ind w:left="1065" w:hanging="705"/>
      </w:pPr>
      <w:rPr>
        <w:b/>
      </w:rPr>
    </w:lvl>
    <w:lvl w:ilvl="1" w:tplc="B2AABC74">
      <w:start w:val="1"/>
      <w:numFmt w:val="lowerLetter"/>
      <w:lvlText w:val="%2."/>
      <w:lvlJc w:val="left"/>
      <w:pPr>
        <w:ind w:left="1440" w:hanging="360"/>
      </w:pPr>
    </w:lvl>
    <w:lvl w:ilvl="2" w:tplc="1D940A92" w:tentative="1">
      <w:start w:val="1"/>
      <w:numFmt w:val="lowerRoman"/>
      <w:lvlText w:val="%3."/>
      <w:lvlJc w:val="right"/>
      <w:pPr>
        <w:ind w:left="2160" w:hanging="180"/>
      </w:pPr>
    </w:lvl>
    <w:lvl w:ilvl="3" w:tplc="C1F6816A" w:tentative="1">
      <w:start w:val="1"/>
      <w:numFmt w:val="decimal"/>
      <w:lvlText w:val="%4."/>
      <w:lvlJc w:val="left"/>
      <w:pPr>
        <w:ind w:left="2880" w:hanging="360"/>
      </w:pPr>
    </w:lvl>
    <w:lvl w:ilvl="4" w:tplc="4D4E3D9C" w:tentative="1">
      <w:start w:val="1"/>
      <w:numFmt w:val="lowerLetter"/>
      <w:lvlText w:val="%5."/>
      <w:lvlJc w:val="left"/>
      <w:pPr>
        <w:ind w:left="3600" w:hanging="360"/>
      </w:pPr>
    </w:lvl>
    <w:lvl w:ilvl="5" w:tplc="086C5D24" w:tentative="1">
      <w:start w:val="1"/>
      <w:numFmt w:val="lowerRoman"/>
      <w:lvlText w:val="%6."/>
      <w:lvlJc w:val="right"/>
      <w:pPr>
        <w:ind w:left="4320" w:hanging="180"/>
      </w:pPr>
    </w:lvl>
    <w:lvl w:ilvl="6" w:tplc="9BF0B946" w:tentative="1">
      <w:start w:val="1"/>
      <w:numFmt w:val="decimal"/>
      <w:lvlText w:val="%7."/>
      <w:lvlJc w:val="left"/>
      <w:pPr>
        <w:ind w:left="5040" w:hanging="360"/>
      </w:pPr>
    </w:lvl>
    <w:lvl w:ilvl="7" w:tplc="3A08A40C" w:tentative="1">
      <w:start w:val="1"/>
      <w:numFmt w:val="lowerLetter"/>
      <w:lvlText w:val="%8."/>
      <w:lvlJc w:val="left"/>
      <w:pPr>
        <w:ind w:left="5760" w:hanging="360"/>
      </w:pPr>
    </w:lvl>
    <w:lvl w:ilvl="8" w:tplc="EB56F8D8"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BC161832">
      <w:start w:val="1"/>
      <w:numFmt w:val="bullet"/>
      <w:pStyle w:val="Briefingspdef"/>
      <w:lvlText w:val=""/>
      <w:lvlJc w:val="left"/>
      <w:pPr>
        <w:tabs>
          <w:tab w:val="num" w:pos="360"/>
        </w:tabs>
        <w:ind w:left="360" w:hanging="360"/>
      </w:pPr>
      <w:rPr>
        <w:rFonts w:ascii="Symbol" w:hAnsi="Symbol" w:hint="default"/>
        <w:sz w:val="20"/>
      </w:rPr>
    </w:lvl>
    <w:lvl w:ilvl="1" w:tplc="A3D25C1A">
      <w:start w:val="1"/>
      <w:numFmt w:val="bullet"/>
      <w:lvlText w:val=""/>
      <w:lvlJc w:val="left"/>
      <w:pPr>
        <w:tabs>
          <w:tab w:val="num" w:pos="1440"/>
        </w:tabs>
        <w:ind w:left="1440" w:hanging="360"/>
      </w:pPr>
      <w:rPr>
        <w:rFonts w:ascii="Symbol" w:hAnsi="Symbol" w:hint="default"/>
        <w:sz w:val="20"/>
      </w:rPr>
    </w:lvl>
    <w:lvl w:ilvl="2" w:tplc="E89059E0" w:tentative="1">
      <w:start w:val="1"/>
      <w:numFmt w:val="bullet"/>
      <w:lvlText w:val=""/>
      <w:lvlJc w:val="left"/>
      <w:pPr>
        <w:tabs>
          <w:tab w:val="num" w:pos="2160"/>
        </w:tabs>
        <w:ind w:left="2160" w:hanging="360"/>
      </w:pPr>
      <w:rPr>
        <w:rFonts w:ascii="Wingdings" w:hAnsi="Wingdings" w:hint="default"/>
      </w:rPr>
    </w:lvl>
    <w:lvl w:ilvl="3" w:tplc="7A1A99DE" w:tentative="1">
      <w:start w:val="1"/>
      <w:numFmt w:val="bullet"/>
      <w:lvlText w:val=""/>
      <w:lvlJc w:val="left"/>
      <w:pPr>
        <w:tabs>
          <w:tab w:val="num" w:pos="2880"/>
        </w:tabs>
        <w:ind w:left="2880" w:hanging="360"/>
      </w:pPr>
      <w:rPr>
        <w:rFonts w:ascii="Symbol" w:hAnsi="Symbol" w:hint="default"/>
      </w:rPr>
    </w:lvl>
    <w:lvl w:ilvl="4" w:tplc="85BAC784" w:tentative="1">
      <w:start w:val="1"/>
      <w:numFmt w:val="bullet"/>
      <w:lvlText w:val="o"/>
      <w:lvlJc w:val="left"/>
      <w:pPr>
        <w:tabs>
          <w:tab w:val="num" w:pos="3600"/>
        </w:tabs>
        <w:ind w:left="3600" w:hanging="360"/>
      </w:pPr>
      <w:rPr>
        <w:rFonts w:ascii="Courier New" w:hAnsi="Courier New" w:hint="default"/>
      </w:rPr>
    </w:lvl>
    <w:lvl w:ilvl="5" w:tplc="A380D64E" w:tentative="1">
      <w:start w:val="1"/>
      <w:numFmt w:val="bullet"/>
      <w:lvlText w:val=""/>
      <w:lvlJc w:val="left"/>
      <w:pPr>
        <w:tabs>
          <w:tab w:val="num" w:pos="4320"/>
        </w:tabs>
        <w:ind w:left="4320" w:hanging="360"/>
      </w:pPr>
      <w:rPr>
        <w:rFonts w:ascii="Wingdings" w:hAnsi="Wingdings" w:hint="default"/>
      </w:rPr>
    </w:lvl>
    <w:lvl w:ilvl="6" w:tplc="001225D6" w:tentative="1">
      <w:start w:val="1"/>
      <w:numFmt w:val="bullet"/>
      <w:lvlText w:val=""/>
      <w:lvlJc w:val="left"/>
      <w:pPr>
        <w:tabs>
          <w:tab w:val="num" w:pos="5040"/>
        </w:tabs>
        <w:ind w:left="5040" w:hanging="360"/>
      </w:pPr>
      <w:rPr>
        <w:rFonts w:ascii="Symbol" w:hAnsi="Symbol" w:hint="default"/>
      </w:rPr>
    </w:lvl>
    <w:lvl w:ilvl="7" w:tplc="E2124C9A" w:tentative="1">
      <w:start w:val="1"/>
      <w:numFmt w:val="bullet"/>
      <w:lvlText w:val="o"/>
      <w:lvlJc w:val="left"/>
      <w:pPr>
        <w:tabs>
          <w:tab w:val="num" w:pos="5760"/>
        </w:tabs>
        <w:ind w:left="5760" w:hanging="360"/>
      </w:pPr>
      <w:rPr>
        <w:rFonts w:ascii="Courier New" w:hAnsi="Courier New" w:hint="default"/>
      </w:rPr>
    </w:lvl>
    <w:lvl w:ilvl="8" w:tplc="1040BA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D8A61658">
      <w:start w:val="1"/>
      <w:numFmt w:val="decimal"/>
      <w:lvlText w:val="%1."/>
      <w:lvlJc w:val="left"/>
      <w:pPr>
        <w:ind w:left="644" w:hanging="360"/>
      </w:pPr>
      <w:rPr>
        <w:b/>
      </w:rPr>
    </w:lvl>
    <w:lvl w:ilvl="1" w:tplc="AF6076CC" w:tentative="1">
      <w:start w:val="1"/>
      <w:numFmt w:val="lowerLetter"/>
      <w:lvlText w:val="%2."/>
      <w:lvlJc w:val="left"/>
      <w:pPr>
        <w:ind w:left="1440" w:hanging="360"/>
      </w:pPr>
    </w:lvl>
    <w:lvl w:ilvl="2" w:tplc="D13C66EC" w:tentative="1">
      <w:start w:val="1"/>
      <w:numFmt w:val="lowerRoman"/>
      <w:lvlText w:val="%3."/>
      <w:lvlJc w:val="right"/>
      <w:pPr>
        <w:ind w:left="2160" w:hanging="180"/>
      </w:pPr>
    </w:lvl>
    <w:lvl w:ilvl="3" w:tplc="004EFAE4" w:tentative="1">
      <w:start w:val="1"/>
      <w:numFmt w:val="decimal"/>
      <w:lvlText w:val="%4."/>
      <w:lvlJc w:val="left"/>
      <w:pPr>
        <w:ind w:left="2880" w:hanging="360"/>
      </w:pPr>
    </w:lvl>
    <w:lvl w:ilvl="4" w:tplc="9FA87D4C" w:tentative="1">
      <w:start w:val="1"/>
      <w:numFmt w:val="lowerLetter"/>
      <w:lvlText w:val="%5."/>
      <w:lvlJc w:val="left"/>
      <w:pPr>
        <w:ind w:left="3600" w:hanging="360"/>
      </w:pPr>
    </w:lvl>
    <w:lvl w:ilvl="5" w:tplc="3EAEFC1C" w:tentative="1">
      <w:start w:val="1"/>
      <w:numFmt w:val="lowerRoman"/>
      <w:lvlText w:val="%6."/>
      <w:lvlJc w:val="right"/>
      <w:pPr>
        <w:ind w:left="4320" w:hanging="180"/>
      </w:pPr>
    </w:lvl>
    <w:lvl w:ilvl="6" w:tplc="79C27756" w:tentative="1">
      <w:start w:val="1"/>
      <w:numFmt w:val="decimal"/>
      <w:lvlText w:val="%7."/>
      <w:lvlJc w:val="left"/>
      <w:pPr>
        <w:ind w:left="5040" w:hanging="360"/>
      </w:pPr>
    </w:lvl>
    <w:lvl w:ilvl="7" w:tplc="81145182" w:tentative="1">
      <w:start w:val="1"/>
      <w:numFmt w:val="lowerLetter"/>
      <w:lvlText w:val="%8."/>
      <w:lvlJc w:val="left"/>
      <w:pPr>
        <w:ind w:left="5760" w:hanging="360"/>
      </w:pPr>
    </w:lvl>
    <w:lvl w:ilvl="8" w:tplc="7F9E6108"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hint="default"/>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2A9052D8">
      <w:numFmt w:val="bullet"/>
      <w:lvlText w:val="-"/>
      <w:lvlJc w:val="left"/>
      <w:pPr>
        <w:ind w:left="1080" w:hanging="360"/>
      </w:pPr>
      <w:rPr>
        <w:rFonts w:ascii="Times New Roman" w:hAnsi="Times New Roman" w:hint="default"/>
      </w:rPr>
    </w:lvl>
    <w:lvl w:ilvl="1" w:tplc="8EC485E4" w:tentative="1">
      <w:start w:val="1"/>
      <w:numFmt w:val="bullet"/>
      <w:lvlText w:val="o"/>
      <w:lvlJc w:val="left"/>
      <w:pPr>
        <w:ind w:left="1800" w:hanging="360"/>
      </w:pPr>
      <w:rPr>
        <w:rFonts w:ascii="Courier New" w:hAnsi="Courier New" w:hint="default"/>
      </w:rPr>
    </w:lvl>
    <w:lvl w:ilvl="2" w:tplc="015435F8" w:tentative="1">
      <w:start w:val="1"/>
      <w:numFmt w:val="bullet"/>
      <w:lvlText w:val=""/>
      <w:lvlJc w:val="left"/>
      <w:pPr>
        <w:ind w:left="2520" w:hanging="360"/>
      </w:pPr>
      <w:rPr>
        <w:rFonts w:ascii="Wingdings" w:hAnsi="Wingdings" w:hint="default"/>
      </w:rPr>
    </w:lvl>
    <w:lvl w:ilvl="3" w:tplc="E7BCAB8E" w:tentative="1">
      <w:start w:val="1"/>
      <w:numFmt w:val="bullet"/>
      <w:lvlText w:val=""/>
      <w:lvlJc w:val="left"/>
      <w:pPr>
        <w:ind w:left="3240" w:hanging="360"/>
      </w:pPr>
      <w:rPr>
        <w:rFonts w:ascii="Symbol" w:hAnsi="Symbol" w:hint="default"/>
      </w:rPr>
    </w:lvl>
    <w:lvl w:ilvl="4" w:tplc="F5229B72" w:tentative="1">
      <w:start w:val="1"/>
      <w:numFmt w:val="bullet"/>
      <w:lvlText w:val="o"/>
      <w:lvlJc w:val="left"/>
      <w:pPr>
        <w:ind w:left="3960" w:hanging="360"/>
      </w:pPr>
      <w:rPr>
        <w:rFonts w:ascii="Courier New" w:hAnsi="Courier New" w:hint="default"/>
      </w:rPr>
    </w:lvl>
    <w:lvl w:ilvl="5" w:tplc="CD2C9AD8" w:tentative="1">
      <w:start w:val="1"/>
      <w:numFmt w:val="bullet"/>
      <w:lvlText w:val=""/>
      <w:lvlJc w:val="left"/>
      <w:pPr>
        <w:ind w:left="4680" w:hanging="360"/>
      </w:pPr>
      <w:rPr>
        <w:rFonts w:ascii="Wingdings" w:hAnsi="Wingdings" w:hint="default"/>
      </w:rPr>
    </w:lvl>
    <w:lvl w:ilvl="6" w:tplc="C9B22798" w:tentative="1">
      <w:start w:val="1"/>
      <w:numFmt w:val="bullet"/>
      <w:lvlText w:val=""/>
      <w:lvlJc w:val="left"/>
      <w:pPr>
        <w:ind w:left="5400" w:hanging="360"/>
      </w:pPr>
      <w:rPr>
        <w:rFonts w:ascii="Symbol" w:hAnsi="Symbol" w:hint="default"/>
      </w:rPr>
    </w:lvl>
    <w:lvl w:ilvl="7" w:tplc="5C1E692E" w:tentative="1">
      <w:start w:val="1"/>
      <w:numFmt w:val="bullet"/>
      <w:lvlText w:val="o"/>
      <w:lvlJc w:val="left"/>
      <w:pPr>
        <w:ind w:left="6120" w:hanging="360"/>
      </w:pPr>
      <w:rPr>
        <w:rFonts w:ascii="Courier New" w:hAnsi="Courier New" w:hint="default"/>
      </w:rPr>
    </w:lvl>
    <w:lvl w:ilvl="8" w:tplc="70EC76A6"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hint="default"/>
      </w:rPr>
    </w:lvl>
  </w:abstractNum>
  <w:abstractNum w:abstractNumId="11" w15:restartNumberingAfterBreak="0">
    <w:nsid w:val="1D8653DD"/>
    <w:multiLevelType w:val="hybridMultilevel"/>
    <w:tmpl w:val="3056C994"/>
    <w:lvl w:ilvl="0" w:tplc="892A9B2A">
      <w:start w:val="1"/>
      <w:numFmt w:val="bullet"/>
      <w:lvlText w:val=""/>
      <w:lvlJc w:val="left"/>
      <w:pPr>
        <w:ind w:left="720" w:hanging="360"/>
      </w:pPr>
      <w:rPr>
        <w:rFonts w:ascii="Symbol" w:hAnsi="Symbol" w:hint="default"/>
      </w:rPr>
    </w:lvl>
    <w:lvl w:ilvl="1" w:tplc="46DCBA2A" w:tentative="1">
      <w:start w:val="1"/>
      <w:numFmt w:val="bullet"/>
      <w:lvlText w:val="o"/>
      <w:lvlJc w:val="left"/>
      <w:pPr>
        <w:ind w:left="1440" w:hanging="360"/>
      </w:pPr>
      <w:rPr>
        <w:rFonts w:ascii="Courier New" w:hAnsi="Courier New" w:hint="default"/>
      </w:rPr>
    </w:lvl>
    <w:lvl w:ilvl="2" w:tplc="76262F6E" w:tentative="1">
      <w:start w:val="1"/>
      <w:numFmt w:val="bullet"/>
      <w:lvlText w:val=""/>
      <w:lvlJc w:val="left"/>
      <w:pPr>
        <w:ind w:left="2160" w:hanging="360"/>
      </w:pPr>
      <w:rPr>
        <w:rFonts w:ascii="Wingdings" w:hAnsi="Wingdings" w:hint="default"/>
      </w:rPr>
    </w:lvl>
    <w:lvl w:ilvl="3" w:tplc="13F2831E" w:tentative="1">
      <w:start w:val="1"/>
      <w:numFmt w:val="bullet"/>
      <w:lvlText w:val=""/>
      <w:lvlJc w:val="left"/>
      <w:pPr>
        <w:ind w:left="2880" w:hanging="360"/>
      </w:pPr>
      <w:rPr>
        <w:rFonts w:ascii="Symbol" w:hAnsi="Symbol" w:hint="default"/>
      </w:rPr>
    </w:lvl>
    <w:lvl w:ilvl="4" w:tplc="A9AA5AC4" w:tentative="1">
      <w:start w:val="1"/>
      <w:numFmt w:val="bullet"/>
      <w:lvlText w:val="o"/>
      <w:lvlJc w:val="left"/>
      <w:pPr>
        <w:ind w:left="3600" w:hanging="360"/>
      </w:pPr>
      <w:rPr>
        <w:rFonts w:ascii="Courier New" w:hAnsi="Courier New" w:hint="default"/>
      </w:rPr>
    </w:lvl>
    <w:lvl w:ilvl="5" w:tplc="73FCE90C" w:tentative="1">
      <w:start w:val="1"/>
      <w:numFmt w:val="bullet"/>
      <w:lvlText w:val=""/>
      <w:lvlJc w:val="left"/>
      <w:pPr>
        <w:ind w:left="4320" w:hanging="360"/>
      </w:pPr>
      <w:rPr>
        <w:rFonts w:ascii="Wingdings" w:hAnsi="Wingdings" w:hint="default"/>
      </w:rPr>
    </w:lvl>
    <w:lvl w:ilvl="6" w:tplc="F328FB38" w:tentative="1">
      <w:start w:val="1"/>
      <w:numFmt w:val="bullet"/>
      <w:lvlText w:val=""/>
      <w:lvlJc w:val="left"/>
      <w:pPr>
        <w:ind w:left="5040" w:hanging="360"/>
      </w:pPr>
      <w:rPr>
        <w:rFonts w:ascii="Symbol" w:hAnsi="Symbol" w:hint="default"/>
      </w:rPr>
    </w:lvl>
    <w:lvl w:ilvl="7" w:tplc="4238EDF2" w:tentative="1">
      <w:start w:val="1"/>
      <w:numFmt w:val="bullet"/>
      <w:lvlText w:val="o"/>
      <w:lvlJc w:val="left"/>
      <w:pPr>
        <w:ind w:left="5760" w:hanging="360"/>
      </w:pPr>
      <w:rPr>
        <w:rFonts w:ascii="Courier New" w:hAnsi="Courier New" w:hint="default"/>
      </w:rPr>
    </w:lvl>
    <w:lvl w:ilvl="8" w:tplc="0158F34A" w:tentative="1">
      <w:start w:val="1"/>
      <w:numFmt w:val="bullet"/>
      <w:lvlText w:val=""/>
      <w:lvlJc w:val="left"/>
      <w:pPr>
        <w:ind w:left="6480" w:hanging="360"/>
      </w:pPr>
      <w:rPr>
        <w:rFonts w:ascii="Wingdings" w:hAnsi="Wingdings" w:hint="default"/>
      </w:rPr>
    </w:lvl>
  </w:abstractNum>
  <w:abstractNum w:abstractNumId="12" w15:restartNumberingAfterBreak="0">
    <w:nsid w:val="1DCC3A93"/>
    <w:multiLevelType w:val="multilevel"/>
    <w:tmpl w:val="A4387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hint="default"/>
      </w:rPr>
    </w:lvl>
  </w:abstractNum>
  <w:abstractNum w:abstractNumId="15" w15:restartNumberingAfterBreak="0">
    <w:nsid w:val="2D45D053"/>
    <w:multiLevelType w:val="multilevel"/>
    <w:tmpl w:val="08A27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DC868D"/>
    <w:multiLevelType w:val="multilevel"/>
    <w:tmpl w:val="E0EE8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716ED5"/>
    <w:multiLevelType w:val="multilevel"/>
    <w:tmpl w:val="45183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hint="default"/>
      </w:rPr>
    </w:lvl>
    <w:lvl w:ilvl="3">
      <w:start w:val="1"/>
      <w:numFmt w:val="bullet"/>
      <w:pStyle w:val="ListNumber4Level4"/>
      <w:lvlText w:val=""/>
      <w:lvlJc w:val="left"/>
      <w:pPr>
        <w:tabs>
          <w:tab w:val="num" w:pos="5715"/>
        </w:tabs>
        <w:ind w:left="571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hint="default"/>
      </w:rPr>
    </w:lvl>
  </w:abstractNum>
  <w:abstractNum w:abstractNumId="20"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hint="default"/>
      </w:rPr>
    </w:lvl>
    <w:lvl w:ilvl="3">
      <w:start w:val="1"/>
      <w:numFmt w:val="bullet"/>
      <w:pStyle w:val="ListNumber2Level4"/>
      <w:lvlText w:val=""/>
      <w:lvlJc w:val="left"/>
      <w:pPr>
        <w:tabs>
          <w:tab w:val="num" w:pos="3912"/>
        </w:tabs>
        <w:ind w:left="3912"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2663"/>
    <w:multiLevelType w:val="hybridMultilevel"/>
    <w:tmpl w:val="49FA7B1C"/>
    <w:lvl w:ilvl="0" w:tplc="625867C6">
      <w:start w:val="1"/>
      <w:numFmt w:val="decimal"/>
      <w:lvlText w:val="%1."/>
      <w:lvlJc w:val="left"/>
      <w:pPr>
        <w:ind w:left="720" w:hanging="360"/>
      </w:pPr>
      <w:rPr>
        <w:b/>
      </w:rPr>
    </w:lvl>
    <w:lvl w:ilvl="1" w:tplc="8C8C55A0" w:tentative="1">
      <w:start w:val="1"/>
      <w:numFmt w:val="lowerLetter"/>
      <w:lvlText w:val="%2."/>
      <w:lvlJc w:val="left"/>
      <w:pPr>
        <w:ind w:left="1440" w:hanging="360"/>
      </w:pPr>
    </w:lvl>
    <w:lvl w:ilvl="2" w:tplc="2EDC245E" w:tentative="1">
      <w:start w:val="1"/>
      <w:numFmt w:val="lowerRoman"/>
      <w:lvlText w:val="%3."/>
      <w:lvlJc w:val="right"/>
      <w:pPr>
        <w:ind w:left="2160" w:hanging="180"/>
      </w:pPr>
    </w:lvl>
    <w:lvl w:ilvl="3" w:tplc="AA4A4A6C" w:tentative="1">
      <w:start w:val="1"/>
      <w:numFmt w:val="decimal"/>
      <w:lvlText w:val="%4."/>
      <w:lvlJc w:val="left"/>
      <w:pPr>
        <w:ind w:left="2880" w:hanging="360"/>
      </w:pPr>
    </w:lvl>
    <w:lvl w:ilvl="4" w:tplc="A89E329E" w:tentative="1">
      <w:start w:val="1"/>
      <w:numFmt w:val="lowerLetter"/>
      <w:lvlText w:val="%5."/>
      <w:lvlJc w:val="left"/>
      <w:pPr>
        <w:ind w:left="3600" w:hanging="360"/>
      </w:pPr>
    </w:lvl>
    <w:lvl w:ilvl="5" w:tplc="5406E68C" w:tentative="1">
      <w:start w:val="1"/>
      <w:numFmt w:val="lowerRoman"/>
      <w:lvlText w:val="%6."/>
      <w:lvlJc w:val="right"/>
      <w:pPr>
        <w:ind w:left="4320" w:hanging="180"/>
      </w:pPr>
    </w:lvl>
    <w:lvl w:ilvl="6" w:tplc="1CBEF050" w:tentative="1">
      <w:start w:val="1"/>
      <w:numFmt w:val="decimal"/>
      <w:lvlText w:val="%7."/>
      <w:lvlJc w:val="left"/>
      <w:pPr>
        <w:ind w:left="5040" w:hanging="360"/>
      </w:pPr>
    </w:lvl>
    <w:lvl w:ilvl="7" w:tplc="EC60D1C6" w:tentative="1">
      <w:start w:val="1"/>
      <w:numFmt w:val="lowerLetter"/>
      <w:lvlText w:val="%8."/>
      <w:lvlJc w:val="left"/>
      <w:pPr>
        <w:ind w:left="5760" w:hanging="360"/>
      </w:pPr>
    </w:lvl>
    <w:lvl w:ilvl="8" w:tplc="5738822E" w:tentative="1">
      <w:start w:val="1"/>
      <w:numFmt w:val="lowerRoman"/>
      <w:lvlText w:val="%9."/>
      <w:lvlJc w:val="right"/>
      <w:pPr>
        <w:ind w:left="6480" w:hanging="180"/>
      </w:pPr>
    </w:lvl>
  </w:abstractNum>
  <w:abstractNum w:abstractNumId="22" w15:restartNumberingAfterBreak="0">
    <w:nsid w:val="43F3168A"/>
    <w:multiLevelType w:val="multilevel"/>
    <w:tmpl w:val="ADF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74D58"/>
    <w:multiLevelType w:val="multilevel"/>
    <w:tmpl w:val="FC8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2F607F"/>
    <w:multiLevelType w:val="hybridMultilevel"/>
    <w:tmpl w:val="2EAE1878"/>
    <w:lvl w:ilvl="0" w:tplc="2564E7D2">
      <w:start w:val="1"/>
      <w:numFmt w:val="bullet"/>
      <w:lvlText w:val="-"/>
      <w:lvlJc w:val="left"/>
      <w:pPr>
        <w:ind w:left="720" w:hanging="360"/>
      </w:pPr>
      <w:rPr>
        <w:rFonts w:ascii="Courier New" w:hAnsi="Courier New" w:hint="default"/>
      </w:rPr>
    </w:lvl>
    <w:lvl w:ilvl="1" w:tplc="2912FEF0" w:tentative="1">
      <w:start w:val="1"/>
      <w:numFmt w:val="bullet"/>
      <w:lvlText w:val="o"/>
      <w:lvlJc w:val="left"/>
      <w:pPr>
        <w:ind w:left="1440" w:hanging="360"/>
      </w:pPr>
      <w:rPr>
        <w:rFonts w:ascii="Courier New" w:hAnsi="Courier New" w:hint="default"/>
      </w:rPr>
    </w:lvl>
    <w:lvl w:ilvl="2" w:tplc="E4621C88" w:tentative="1">
      <w:start w:val="1"/>
      <w:numFmt w:val="bullet"/>
      <w:lvlText w:val=""/>
      <w:lvlJc w:val="left"/>
      <w:pPr>
        <w:ind w:left="2160" w:hanging="360"/>
      </w:pPr>
      <w:rPr>
        <w:rFonts w:ascii="Wingdings" w:hAnsi="Wingdings" w:hint="default"/>
      </w:rPr>
    </w:lvl>
    <w:lvl w:ilvl="3" w:tplc="FD88F10C" w:tentative="1">
      <w:start w:val="1"/>
      <w:numFmt w:val="bullet"/>
      <w:lvlText w:val=""/>
      <w:lvlJc w:val="left"/>
      <w:pPr>
        <w:ind w:left="2880" w:hanging="360"/>
      </w:pPr>
      <w:rPr>
        <w:rFonts w:ascii="Symbol" w:hAnsi="Symbol" w:hint="default"/>
      </w:rPr>
    </w:lvl>
    <w:lvl w:ilvl="4" w:tplc="0B46FE86" w:tentative="1">
      <w:start w:val="1"/>
      <w:numFmt w:val="bullet"/>
      <w:lvlText w:val="o"/>
      <w:lvlJc w:val="left"/>
      <w:pPr>
        <w:ind w:left="3600" w:hanging="360"/>
      </w:pPr>
      <w:rPr>
        <w:rFonts w:ascii="Courier New" w:hAnsi="Courier New" w:hint="default"/>
      </w:rPr>
    </w:lvl>
    <w:lvl w:ilvl="5" w:tplc="F6CC77A4" w:tentative="1">
      <w:start w:val="1"/>
      <w:numFmt w:val="bullet"/>
      <w:lvlText w:val=""/>
      <w:lvlJc w:val="left"/>
      <w:pPr>
        <w:ind w:left="4320" w:hanging="360"/>
      </w:pPr>
      <w:rPr>
        <w:rFonts w:ascii="Wingdings" w:hAnsi="Wingdings" w:hint="default"/>
      </w:rPr>
    </w:lvl>
    <w:lvl w:ilvl="6" w:tplc="46A23DD4" w:tentative="1">
      <w:start w:val="1"/>
      <w:numFmt w:val="bullet"/>
      <w:lvlText w:val=""/>
      <w:lvlJc w:val="left"/>
      <w:pPr>
        <w:ind w:left="5040" w:hanging="360"/>
      </w:pPr>
      <w:rPr>
        <w:rFonts w:ascii="Symbol" w:hAnsi="Symbol" w:hint="default"/>
      </w:rPr>
    </w:lvl>
    <w:lvl w:ilvl="7" w:tplc="428093FE" w:tentative="1">
      <w:start w:val="1"/>
      <w:numFmt w:val="bullet"/>
      <w:lvlText w:val="o"/>
      <w:lvlJc w:val="left"/>
      <w:pPr>
        <w:ind w:left="5760" w:hanging="360"/>
      </w:pPr>
      <w:rPr>
        <w:rFonts w:ascii="Courier New" w:hAnsi="Courier New" w:hint="default"/>
      </w:rPr>
    </w:lvl>
    <w:lvl w:ilvl="8" w:tplc="0E7E6F2A" w:tentative="1">
      <w:start w:val="1"/>
      <w:numFmt w:val="bullet"/>
      <w:lvlText w:val=""/>
      <w:lvlJc w:val="left"/>
      <w:pPr>
        <w:ind w:left="6480" w:hanging="360"/>
      </w:pPr>
      <w:rPr>
        <w:rFonts w:ascii="Wingdings" w:hAnsi="Wingdings" w:hint="default"/>
      </w:rPr>
    </w:lvl>
  </w:abstractNum>
  <w:abstractNum w:abstractNumId="25" w15:restartNumberingAfterBreak="0">
    <w:nsid w:val="4A07947E"/>
    <w:multiLevelType w:val="multilevel"/>
    <w:tmpl w:val="E7CAE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96461"/>
    <w:multiLevelType w:val="hybridMultilevel"/>
    <w:tmpl w:val="9DF09A94"/>
    <w:lvl w:ilvl="0" w:tplc="39D4C79C">
      <w:start w:val="1"/>
      <w:numFmt w:val="decimal"/>
      <w:lvlText w:val="%1."/>
      <w:lvlJc w:val="left"/>
      <w:pPr>
        <w:ind w:left="1429" w:hanging="360"/>
      </w:pPr>
      <w:rPr>
        <w:b/>
        <w:i w:val="0"/>
      </w:rPr>
    </w:lvl>
    <w:lvl w:ilvl="1" w:tplc="4822CC28" w:tentative="1">
      <w:start w:val="1"/>
      <w:numFmt w:val="lowerLetter"/>
      <w:lvlText w:val="%2."/>
      <w:lvlJc w:val="left"/>
      <w:pPr>
        <w:ind w:left="2149" w:hanging="360"/>
      </w:pPr>
    </w:lvl>
    <w:lvl w:ilvl="2" w:tplc="D29AEBEA" w:tentative="1">
      <w:start w:val="1"/>
      <w:numFmt w:val="lowerRoman"/>
      <w:lvlText w:val="%3."/>
      <w:lvlJc w:val="right"/>
      <w:pPr>
        <w:ind w:left="2869" w:hanging="180"/>
      </w:pPr>
    </w:lvl>
    <w:lvl w:ilvl="3" w:tplc="2AAEC3CA" w:tentative="1">
      <w:start w:val="1"/>
      <w:numFmt w:val="decimal"/>
      <w:lvlText w:val="%4."/>
      <w:lvlJc w:val="left"/>
      <w:pPr>
        <w:ind w:left="3589" w:hanging="360"/>
      </w:pPr>
    </w:lvl>
    <w:lvl w:ilvl="4" w:tplc="C00ABCF0" w:tentative="1">
      <w:start w:val="1"/>
      <w:numFmt w:val="lowerLetter"/>
      <w:lvlText w:val="%5."/>
      <w:lvlJc w:val="left"/>
      <w:pPr>
        <w:ind w:left="4309" w:hanging="360"/>
      </w:pPr>
    </w:lvl>
    <w:lvl w:ilvl="5" w:tplc="C64A80BE" w:tentative="1">
      <w:start w:val="1"/>
      <w:numFmt w:val="lowerRoman"/>
      <w:lvlText w:val="%6."/>
      <w:lvlJc w:val="right"/>
      <w:pPr>
        <w:ind w:left="5029" w:hanging="180"/>
      </w:pPr>
    </w:lvl>
    <w:lvl w:ilvl="6" w:tplc="7C8206F8" w:tentative="1">
      <w:start w:val="1"/>
      <w:numFmt w:val="decimal"/>
      <w:lvlText w:val="%7."/>
      <w:lvlJc w:val="left"/>
      <w:pPr>
        <w:ind w:left="5749" w:hanging="360"/>
      </w:pPr>
    </w:lvl>
    <w:lvl w:ilvl="7" w:tplc="95AEDA82" w:tentative="1">
      <w:start w:val="1"/>
      <w:numFmt w:val="lowerLetter"/>
      <w:lvlText w:val="%8."/>
      <w:lvlJc w:val="left"/>
      <w:pPr>
        <w:ind w:left="6469" w:hanging="360"/>
      </w:pPr>
    </w:lvl>
    <w:lvl w:ilvl="8" w:tplc="535C78E8" w:tentative="1">
      <w:start w:val="1"/>
      <w:numFmt w:val="lowerRoman"/>
      <w:lvlText w:val="%9."/>
      <w:lvlJc w:val="right"/>
      <w:pPr>
        <w:ind w:left="7189" w:hanging="180"/>
      </w:pPr>
    </w:lvl>
  </w:abstractNum>
  <w:abstractNum w:abstractNumId="27" w15:restartNumberingAfterBreak="0">
    <w:nsid w:val="4B5F428A"/>
    <w:multiLevelType w:val="hybridMultilevel"/>
    <w:tmpl w:val="136C885A"/>
    <w:lvl w:ilvl="0" w:tplc="F8B61A66">
      <w:start w:val="1"/>
      <w:numFmt w:val="decimal"/>
      <w:lvlText w:val="%1."/>
      <w:lvlJc w:val="left"/>
      <w:pPr>
        <w:ind w:left="720" w:hanging="360"/>
      </w:pPr>
      <w:rPr>
        <w:b/>
      </w:rPr>
    </w:lvl>
    <w:lvl w:ilvl="1" w:tplc="3F1EB5E6" w:tentative="1">
      <w:start w:val="1"/>
      <w:numFmt w:val="lowerLetter"/>
      <w:lvlText w:val="%2."/>
      <w:lvlJc w:val="left"/>
      <w:pPr>
        <w:ind w:left="1440" w:hanging="360"/>
      </w:pPr>
    </w:lvl>
    <w:lvl w:ilvl="2" w:tplc="CD3C3152" w:tentative="1">
      <w:start w:val="1"/>
      <w:numFmt w:val="lowerRoman"/>
      <w:lvlText w:val="%3."/>
      <w:lvlJc w:val="right"/>
      <w:pPr>
        <w:ind w:left="2160" w:hanging="180"/>
      </w:pPr>
    </w:lvl>
    <w:lvl w:ilvl="3" w:tplc="72127B5C" w:tentative="1">
      <w:start w:val="1"/>
      <w:numFmt w:val="decimal"/>
      <w:lvlText w:val="%4."/>
      <w:lvlJc w:val="left"/>
      <w:pPr>
        <w:ind w:left="2880" w:hanging="360"/>
      </w:pPr>
    </w:lvl>
    <w:lvl w:ilvl="4" w:tplc="0970818C" w:tentative="1">
      <w:start w:val="1"/>
      <w:numFmt w:val="lowerLetter"/>
      <w:lvlText w:val="%5."/>
      <w:lvlJc w:val="left"/>
      <w:pPr>
        <w:ind w:left="3600" w:hanging="360"/>
      </w:pPr>
    </w:lvl>
    <w:lvl w:ilvl="5" w:tplc="5FBE6462" w:tentative="1">
      <w:start w:val="1"/>
      <w:numFmt w:val="lowerRoman"/>
      <w:lvlText w:val="%6."/>
      <w:lvlJc w:val="right"/>
      <w:pPr>
        <w:ind w:left="4320" w:hanging="180"/>
      </w:pPr>
    </w:lvl>
    <w:lvl w:ilvl="6" w:tplc="74426B8C" w:tentative="1">
      <w:start w:val="1"/>
      <w:numFmt w:val="decimal"/>
      <w:lvlText w:val="%7."/>
      <w:lvlJc w:val="left"/>
      <w:pPr>
        <w:ind w:left="5040" w:hanging="360"/>
      </w:pPr>
    </w:lvl>
    <w:lvl w:ilvl="7" w:tplc="5D10AE9A" w:tentative="1">
      <w:start w:val="1"/>
      <w:numFmt w:val="lowerLetter"/>
      <w:lvlText w:val="%8."/>
      <w:lvlJc w:val="left"/>
      <w:pPr>
        <w:ind w:left="5760" w:hanging="360"/>
      </w:pPr>
    </w:lvl>
    <w:lvl w:ilvl="8" w:tplc="FB5A4B5E" w:tentative="1">
      <w:start w:val="1"/>
      <w:numFmt w:val="lowerRoman"/>
      <w:lvlText w:val="%9."/>
      <w:lvlJc w:val="right"/>
      <w:pPr>
        <w:ind w:left="6480" w:hanging="180"/>
      </w:pPr>
    </w:lvl>
  </w:abstractNum>
  <w:abstractNum w:abstractNumId="28" w15:restartNumberingAfterBreak="0">
    <w:nsid w:val="4CFA6298"/>
    <w:multiLevelType w:val="hybridMultilevel"/>
    <w:tmpl w:val="68B8F702"/>
    <w:lvl w:ilvl="0" w:tplc="971238AC">
      <w:start w:val="1"/>
      <w:numFmt w:val="bullet"/>
      <w:lvlText w:val="-"/>
      <w:lvlJc w:val="left"/>
      <w:pPr>
        <w:ind w:left="1440" w:hanging="360"/>
      </w:pPr>
      <w:rPr>
        <w:rFonts w:ascii="Calibri" w:hAnsi="Calibri" w:hint="default"/>
      </w:rPr>
    </w:lvl>
    <w:lvl w:ilvl="1" w:tplc="8580009A" w:tentative="1">
      <w:start w:val="1"/>
      <w:numFmt w:val="bullet"/>
      <w:lvlText w:val="o"/>
      <w:lvlJc w:val="left"/>
      <w:pPr>
        <w:ind w:left="2160" w:hanging="360"/>
      </w:pPr>
      <w:rPr>
        <w:rFonts w:ascii="Courier New" w:hAnsi="Courier New" w:hint="default"/>
      </w:rPr>
    </w:lvl>
    <w:lvl w:ilvl="2" w:tplc="6E06554A">
      <w:start w:val="1"/>
      <w:numFmt w:val="bullet"/>
      <w:lvlText w:val=""/>
      <w:lvlJc w:val="left"/>
      <w:pPr>
        <w:ind w:left="2880" w:hanging="360"/>
      </w:pPr>
      <w:rPr>
        <w:rFonts w:ascii="Wingdings" w:hAnsi="Wingdings" w:hint="default"/>
      </w:rPr>
    </w:lvl>
    <w:lvl w:ilvl="3" w:tplc="5F9EB840" w:tentative="1">
      <w:start w:val="1"/>
      <w:numFmt w:val="bullet"/>
      <w:lvlText w:val=""/>
      <w:lvlJc w:val="left"/>
      <w:pPr>
        <w:ind w:left="3600" w:hanging="360"/>
      </w:pPr>
      <w:rPr>
        <w:rFonts w:ascii="Symbol" w:hAnsi="Symbol" w:hint="default"/>
      </w:rPr>
    </w:lvl>
    <w:lvl w:ilvl="4" w:tplc="F40618BE" w:tentative="1">
      <w:start w:val="1"/>
      <w:numFmt w:val="bullet"/>
      <w:lvlText w:val="o"/>
      <w:lvlJc w:val="left"/>
      <w:pPr>
        <w:ind w:left="4320" w:hanging="360"/>
      </w:pPr>
      <w:rPr>
        <w:rFonts w:ascii="Courier New" w:hAnsi="Courier New" w:hint="default"/>
      </w:rPr>
    </w:lvl>
    <w:lvl w:ilvl="5" w:tplc="6ECC00FA" w:tentative="1">
      <w:start w:val="1"/>
      <w:numFmt w:val="bullet"/>
      <w:lvlText w:val=""/>
      <w:lvlJc w:val="left"/>
      <w:pPr>
        <w:ind w:left="5040" w:hanging="360"/>
      </w:pPr>
      <w:rPr>
        <w:rFonts w:ascii="Wingdings" w:hAnsi="Wingdings" w:hint="default"/>
      </w:rPr>
    </w:lvl>
    <w:lvl w:ilvl="6" w:tplc="BAFE5074" w:tentative="1">
      <w:start w:val="1"/>
      <w:numFmt w:val="bullet"/>
      <w:lvlText w:val=""/>
      <w:lvlJc w:val="left"/>
      <w:pPr>
        <w:ind w:left="5760" w:hanging="360"/>
      </w:pPr>
      <w:rPr>
        <w:rFonts w:ascii="Symbol" w:hAnsi="Symbol" w:hint="default"/>
      </w:rPr>
    </w:lvl>
    <w:lvl w:ilvl="7" w:tplc="0002A9F8" w:tentative="1">
      <w:start w:val="1"/>
      <w:numFmt w:val="bullet"/>
      <w:lvlText w:val="o"/>
      <w:lvlJc w:val="left"/>
      <w:pPr>
        <w:ind w:left="6480" w:hanging="360"/>
      </w:pPr>
      <w:rPr>
        <w:rFonts w:ascii="Courier New" w:hAnsi="Courier New" w:hint="default"/>
      </w:rPr>
    </w:lvl>
    <w:lvl w:ilvl="8" w:tplc="2714941A" w:tentative="1">
      <w:start w:val="1"/>
      <w:numFmt w:val="bullet"/>
      <w:lvlText w:val=""/>
      <w:lvlJc w:val="left"/>
      <w:pPr>
        <w:ind w:left="7200" w:hanging="360"/>
      </w:pPr>
      <w:rPr>
        <w:rFonts w:ascii="Wingdings" w:hAnsi="Wingdings" w:hint="default"/>
      </w:rPr>
    </w:lvl>
  </w:abstractNum>
  <w:abstractNum w:abstractNumId="29" w15:restartNumberingAfterBreak="0">
    <w:nsid w:val="514632EE"/>
    <w:multiLevelType w:val="hybridMultilevel"/>
    <w:tmpl w:val="6012F114"/>
    <w:lvl w:ilvl="0" w:tplc="E168F6E4">
      <w:start w:val="1"/>
      <w:numFmt w:val="bullet"/>
      <w:pStyle w:val="ListDash"/>
      <w:lvlText w:val="–"/>
      <w:lvlJc w:val="left"/>
      <w:pPr>
        <w:tabs>
          <w:tab w:val="num" w:pos="567"/>
        </w:tabs>
        <w:ind w:left="567" w:hanging="283"/>
      </w:pPr>
      <w:rPr>
        <w:rFonts w:ascii="Times New Roman" w:hAnsi="Times New Roman" w:hint="default"/>
      </w:rPr>
    </w:lvl>
    <w:lvl w:ilvl="1" w:tplc="4D261498">
      <w:numFmt w:val="bullet"/>
      <w:lvlText w:val="-"/>
      <w:lvlJc w:val="left"/>
      <w:pPr>
        <w:tabs>
          <w:tab w:val="num" w:pos="1724"/>
        </w:tabs>
        <w:ind w:left="1724" w:hanging="360"/>
      </w:pPr>
      <w:rPr>
        <w:rFonts w:ascii="Times New Roman" w:hAnsi="Times New Roman" w:hint="default"/>
      </w:rPr>
    </w:lvl>
    <w:lvl w:ilvl="2" w:tplc="88CA2266" w:tentative="1">
      <w:start w:val="1"/>
      <w:numFmt w:val="bullet"/>
      <w:lvlText w:val=""/>
      <w:lvlJc w:val="left"/>
      <w:pPr>
        <w:tabs>
          <w:tab w:val="num" w:pos="2444"/>
        </w:tabs>
        <w:ind w:left="2444" w:hanging="360"/>
      </w:pPr>
      <w:rPr>
        <w:rFonts w:ascii="Wingdings" w:hAnsi="Wingdings" w:hint="default"/>
      </w:rPr>
    </w:lvl>
    <w:lvl w:ilvl="3" w:tplc="F92C9F52" w:tentative="1">
      <w:start w:val="1"/>
      <w:numFmt w:val="bullet"/>
      <w:lvlText w:val=""/>
      <w:lvlJc w:val="left"/>
      <w:pPr>
        <w:tabs>
          <w:tab w:val="num" w:pos="3164"/>
        </w:tabs>
        <w:ind w:left="3164" w:hanging="360"/>
      </w:pPr>
      <w:rPr>
        <w:rFonts w:ascii="Symbol" w:hAnsi="Symbol" w:hint="default"/>
      </w:rPr>
    </w:lvl>
    <w:lvl w:ilvl="4" w:tplc="7F0C5806" w:tentative="1">
      <w:start w:val="1"/>
      <w:numFmt w:val="bullet"/>
      <w:lvlText w:val="o"/>
      <w:lvlJc w:val="left"/>
      <w:pPr>
        <w:tabs>
          <w:tab w:val="num" w:pos="3884"/>
        </w:tabs>
        <w:ind w:left="3884" w:hanging="360"/>
      </w:pPr>
      <w:rPr>
        <w:rFonts w:ascii="Courier New" w:hAnsi="Courier New" w:hint="default"/>
      </w:rPr>
    </w:lvl>
    <w:lvl w:ilvl="5" w:tplc="78E21278" w:tentative="1">
      <w:start w:val="1"/>
      <w:numFmt w:val="bullet"/>
      <w:lvlText w:val=""/>
      <w:lvlJc w:val="left"/>
      <w:pPr>
        <w:tabs>
          <w:tab w:val="num" w:pos="4604"/>
        </w:tabs>
        <w:ind w:left="4604" w:hanging="360"/>
      </w:pPr>
      <w:rPr>
        <w:rFonts w:ascii="Wingdings" w:hAnsi="Wingdings" w:hint="default"/>
      </w:rPr>
    </w:lvl>
    <w:lvl w:ilvl="6" w:tplc="DBF6EDE6" w:tentative="1">
      <w:start w:val="1"/>
      <w:numFmt w:val="bullet"/>
      <w:lvlText w:val=""/>
      <w:lvlJc w:val="left"/>
      <w:pPr>
        <w:tabs>
          <w:tab w:val="num" w:pos="5324"/>
        </w:tabs>
        <w:ind w:left="5324" w:hanging="360"/>
      </w:pPr>
      <w:rPr>
        <w:rFonts w:ascii="Symbol" w:hAnsi="Symbol" w:hint="default"/>
      </w:rPr>
    </w:lvl>
    <w:lvl w:ilvl="7" w:tplc="179E5FAC" w:tentative="1">
      <w:start w:val="1"/>
      <w:numFmt w:val="bullet"/>
      <w:lvlText w:val="o"/>
      <w:lvlJc w:val="left"/>
      <w:pPr>
        <w:tabs>
          <w:tab w:val="num" w:pos="6044"/>
        </w:tabs>
        <w:ind w:left="6044" w:hanging="360"/>
      </w:pPr>
      <w:rPr>
        <w:rFonts w:ascii="Courier New" w:hAnsi="Courier New" w:hint="default"/>
      </w:rPr>
    </w:lvl>
    <w:lvl w:ilvl="8" w:tplc="9C8AD426"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57598B62"/>
    <w:multiLevelType w:val="multilevel"/>
    <w:tmpl w:val="34201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lvl>
    <w:lvl w:ilvl="1">
      <w:start w:val="1"/>
      <w:numFmt w:val="decimal"/>
      <w:lvlText w:val="%1.%2."/>
      <w:lvlJc w:val="left"/>
      <w:pPr>
        <w:tabs>
          <w:tab w:val="num" w:pos="850"/>
        </w:tabs>
        <w:ind w:left="850" w:hanging="850"/>
      </w:pPr>
      <w:rPr>
        <w:i w:val="0"/>
      </w:r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89F26F6"/>
    <w:multiLevelType w:val="multilevel"/>
    <w:tmpl w:val="C6A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hint="default"/>
      </w:rPr>
    </w:lvl>
  </w:abstractNum>
  <w:abstractNum w:abstractNumId="34" w15:restartNumberingAfterBreak="0">
    <w:nsid w:val="5EFF257D"/>
    <w:multiLevelType w:val="hybridMultilevel"/>
    <w:tmpl w:val="DD2A3844"/>
    <w:lvl w:ilvl="0" w:tplc="0B669B6A">
      <w:start w:val="1"/>
      <w:numFmt w:val="bullet"/>
      <w:lvlText w:val=""/>
      <w:lvlJc w:val="left"/>
      <w:pPr>
        <w:ind w:left="720" w:hanging="360"/>
      </w:pPr>
      <w:rPr>
        <w:rFonts w:ascii="Symbol" w:hAnsi="Symbol" w:hint="default"/>
      </w:rPr>
    </w:lvl>
    <w:lvl w:ilvl="1" w:tplc="DFD20C00" w:tentative="1">
      <w:start w:val="1"/>
      <w:numFmt w:val="bullet"/>
      <w:lvlText w:val="o"/>
      <w:lvlJc w:val="left"/>
      <w:pPr>
        <w:ind w:left="1440" w:hanging="360"/>
      </w:pPr>
      <w:rPr>
        <w:rFonts w:ascii="Courier New" w:hAnsi="Courier New" w:hint="default"/>
      </w:rPr>
    </w:lvl>
    <w:lvl w:ilvl="2" w:tplc="D9CAD924" w:tentative="1">
      <w:start w:val="1"/>
      <w:numFmt w:val="bullet"/>
      <w:lvlText w:val=""/>
      <w:lvlJc w:val="left"/>
      <w:pPr>
        <w:ind w:left="2160" w:hanging="360"/>
      </w:pPr>
      <w:rPr>
        <w:rFonts w:ascii="Wingdings" w:hAnsi="Wingdings" w:hint="default"/>
      </w:rPr>
    </w:lvl>
    <w:lvl w:ilvl="3" w:tplc="FAB2026E" w:tentative="1">
      <w:start w:val="1"/>
      <w:numFmt w:val="bullet"/>
      <w:lvlText w:val=""/>
      <w:lvlJc w:val="left"/>
      <w:pPr>
        <w:ind w:left="2880" w:hanging="360"/>
      </w:pPr>
      <w:rPr>
        <w:rFonts w:ascii="Symbol" w:hAnsi="Symbol" w:hint="default"/>
      </w:rPr>
    </w:lvl>
    <w:lvl w:ilvl="4" w:tplc="900C86F2" w:tentative="1">
      <w:start w:val="1"/>
      <w:numFmt w:val="bullet"/>
      <w:lvlText w:val="o"/>
      <w:lvlJc w:val="left"/>
      <w:pPr>
        <w:ind w:left="3600" w:hanging="360"/>
      </w:pPr>
      <w:rPr>
        <w:rFonts w:ascii="Courier New" w:hAnsi="Courier New" w:hint="default"/>
      </w:rPr>
    </w:lvl>
    <w:lvl w:ilvl="5" w:tplc="748EE0EA" w:tentative="1">
      <w:start w:val="1"/>
      <w:numFmt w:val="bullet"/>
      <w:lvlText w:val=""/>
      <w:lvlJc w:val="left"/>
      <w:pPr>
        <w:ind w:left="4320" w:hanging="360"/>
      </w:pPr>
      <w:rPr>
        <w:rFonts w:ascii="Wingdings" w:hAnsi="Wingdings" w:hint="default"/>
      </w:rPr>
    </w:lvl>
    <w:lvl w:ilvl="6" w:tplc="2C8C4A30" w:tentative="1">
      <w:start w:val="1"/>
      <w:numFmt w:val="bullet"/>
      <w:lvlText w:val=""/>
      <w:lvlJc w:val="left"/>
      <w:pPr>
        <w:ind w:left="5040" w:hanging="360"/>
      </w:pPr>
      <w:rPr>
        <w:rFonts w:ascii="Symbol" w:hAnsi="Symbol" w:hint="default"/>
      </w:rPr>
    </w:lvl>
    <w:lvl w:ilvl="7" w:tplc="893C575E" w:tentative="1">
      <w:start w:val="1"/>
      <w:numFmt w:val="bullet"/>
      <w:lvlText w:val="o"/>
      <w:lvlJc w:val="left"/>
      <w:pPr>
        <w:ind w:left="5760" w:hanging="360"/>
      </w:pPr>
      <w:rPr>
        <w:rFonts w:ascii="Courier New" w:hAnsi="Courier New" w:hint="default"/>
      </w:rPr>
    </w:lvl>
    <w:lvl w:ilvl="8" w:tplc="398E6E36" w:tentative="1">
      <w:start w:val="1"/>
      <w:numFmt w:val="bullet"/>
      <w:lvlText w:val=""/>
      <w:lvlJc w:val="left"/>
      <w:pPr>
        <w:ind w:left="6480" w:hanging="360"/>
      </w:pPr>
      <w:rPr>
        <w:rFonts w:ascii="Wingdings" w:hAnsi="Wingdings" w:hint="default"/>
      </w:rPr>
    </w:lvl>
  </w:abstractNum>
  <w:abstractNum w:abstractNumId="3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5A37B8"/>
    <w:multiLevelType w:val="hybridMultilevel"/>
    <w:tmpl w:val="AD1ECD8E"/>
    <w:lvl w:ilvl="0" w:tplc="5EEC067A">
      <w:start w:val="1"/>
      <w:numFmt w:val="decimal"/>
      <w:lvlText w:val="%1."/>
      <w:lvlJc w:val="left"/>
      <w:pPr>
        <w:ind w:left="360" w:hanging="360"/>
      </w:pPr>
    </w:lvl>
    <w:lvl w:ilvl="1" w:tplc="C3925404" w:tentative="1">
      <w:start w:val="1"/>
      <w:numFmt w:val="lowerLetter"/>
      <w:lvlText w:val="%2."/>
      <w:lvlJc w:val="left"/>
      <w:pPr>
        <w:ind w:left="1080" w:hanging="360"/>
      </w:pPr>
    </w:lvl>
    <w:lvl w:ilvl="2" w:tplc="A5CAAF84" w:tentative="1">
      <w:start w:val="1"/>
      <w:numFmt w:val="lowerRoman"/>
      <w:lvlText w:val="%3."/>
      <w:lvlJc w:val="right"/>
      <w:pPr>
        <w:ind w:left="1800" w:hanging="180"/>
      </w:pPr>
    </w:lvl>
    <w:lvl w:ilvl="3" w:tplc="064AB92E" w:tentative="1">
      <w:start w:val="1"/>
      <w:numFmt w:val="decimal"/>
      <w:lvlText w:val="%4."/>
      <w:lvlJc w:val="left"/>
      <w:pPr>
        <w:ind w:left="2520" w:hanging="360"/>
      </w:pPr>
    </w:lvl>
    <w:lvl w:ilvl="4" w:tplc="97005CE0" w:tentative="1">
      <w:start w:val="1"/>
      <w:numFmt w:val="lowerLetter"/>
      <w:lvlText w:val="%5."/>
      <w:lvlJc w:val="left"/>
      <w:pPr>
        <w:ind w:left="3240" w:hanging="360"/>
      </w:pPr>
    </w:lvl>
    <w:lvl w:ilvl="5" w:tplc="5836612C" w:tentative="1">
      <w:start w:val="1"/>
      <w:numFmt w:val="lowerRoman"/>
      <w:lvlText w:val="%6."/>
      <w:lvlJc w:val="right"/>
      <w:pPr>
        <w:ind w:left="3960" w:hanging="180"/>
      </w:pPr>
    </w:lvl>
    <w:lvl w:ilvl="6" w:tplc="570E1108" w:tentative="1">
      <w:start w:val="1"/>
      <w:numFmt w:val="decimal"/>
      <w:lvlText w:val="%7."/>
      <w:lvlJc w:val="left"/>
      <w:pPr>
        <w:ind w:left="4680" w:hanging="360"/>
      </w:pPr>
    </w:lvl>
    <w:lvl w:ilvl="7" w:tplc="BF165B3C" w:tentative="1">
      <w:start w:val="1"/>
      <w:numFmt w:val="lowerLetter"/>
      <w:lvlText w:val="%8."/>
      <w:lvlJc w:val="left"/>
      <w:pPr>
        <w:ind w:left="5400" w:hanging="360"/>
      </w:pPr>
    </w:lvl>
    <w:lvl w:ilvl="8" w:tplc="8006E7F6" w:tentative="1">
      <w:start w:val="1"/>
      <w:numFmt w:val="lowerRoman"/>
      <w:lvlText w:val="%9."/>
      <w:lvlJc w:val="right"/>
      <w:pPr>
        <w:ind w:left="6120" w:hanging="180"/>
      </w:pPr>
    </w:lvl>
  </w:abstractNum>
  <w:abstractNum w:abstractNumId="37" w15:restartNumberingAfterBreak="0">
    <w:nsid w:val="6C136061"/>
    <w:multiLevelType w:val="hybridMultilevel"/>
    <w:tmpl w:val="7052666E"/>
    <w:lvl w:ilvl="0" w:tplc="E956127C">
      <w:start w:val="1"/>
      <w:numFmt w:val="bullet"/>
      <w:pStyle w:val="Briefingspeakdef"/>
      <w:lvlText w:val=""/>
      <w:lvlJc w:val="left"/>
      <w:pPr>
        <w:tabs>
          <w:tab w:val="num" w:pos="765"/>
        </w:tabs>
        <w:ind w:left="765" w:hanging="283"/>
      </w:pPr>
      <w:rPr>
        <w:rFonts w:ascii="Symbol" w:hAnsi="Symbol" w:hint="default"/>
        <w:sz w:val="22"/>
      </w:rPr>
    </w:lvl>
    <w:lvl w:ilvl="1" w:tplc="A5A64748">
      <w:start w:val="1"/>
      <w:numFmt w:val="bullet"/>
      <w:lvlText w:val=""/>
      <w:lvlJc w:val="left"/>
      <w:pPr>
        <w:tabs>
          <w:tab w:val="num" w:pos="1287"/>
        </w:tabs>
        <w:ind w:left="1287" w:hanging="207"/>
      </w:pPr>
      <w:rPr>
        <w:rFonts w:ascii="Symbol" w:hAnsi="Symbol" w:hint="default"/>
        <w:sz w:val="22"/>
      </w:rPr>
    </w:lvl>
    <w:lvl w:ilvl="2" w:tplc="19867226" w:tentative="1">
      <w:start w:val="1"/>
      <w:numFmt w:val="bullet"/>
      <w:lvlText w:val=""/>
      <w:lvlJc w:val="left"/>
      <w:pPr>
        <w:tabs>
          <w:tab w:val="num" w:pos="2160"/>
        </w:tabs>
        <w:ind w:left="2160" w:hanging="360"/>
      </w:pPr>
      <w:rPr>
        <w:rFonts w:ascii="Wingdings" w:hAnsi="Wingdings" w:hint="default"/>
      </w:rPr>
    </w:lvl>
    <w:lvl w:ilvl="3" w:tplc="BF7ED784" w:tentative="1">
      <w:start w:val="1"/>
      <w:numFmt w:val="bullet"/>
      <w:lvlText w:val=""/>
      <w:lvlJc w:val="left"/>
      <w:pPr>
        <w:tabs>
          <w:tab w:val="num" w:pos="2880"/>
        </w:tabs>
        <w:ind w:left="2880" w:hanging="360"/>
      </w:pPr>
      <w:rPr>
        <w:rFonts w:ascii="Symbol" w:hAnsi="Symbol" w:hint="default"/>
      </w:rPr>
    </w:lvl>
    <w:lvl w:ilvl="4" w:tplc="653298DC" w:tentative="1">
      <w:start w:val="1"/>
      <w:numFmt w:val="bullet"/>
      <w:lvlText w:val="o"/>
      <w:lvlJc w:val="left"/>
      <w:pPr>
        <w:tabs>
          <w:tab w:val="num" w:pos="3600"/>
        </w:tabs>
        <w:ind w:left="3600" w:hanging="360"/>
      </w:pPr>
      <w:rPr>
        <w:rFonts w:ascii="Courier New" w:hAnsi="Courier New" w:hint="default"/>
      </w:rPr>
    </w:lvl>
    <w:lvl w:ilvl="5" w:tplc="980C9B76" w:tentative="1">
      <w:start w:val="1"/>
      <w:numFmt w:val="bullet"/>
      <w:lvlText w:val=""/>
      <w:lvlJc w:val="left"/>
      <w:pPr>
        <w:tabs>
          <w:tab w:val="num" w:pos="4320"/>
        </w:tabs>
        <w:ind w:left="4320" w:hanging="360"/>
      </w:pPr>
      <w:rPr>
        <w:rFonts w:ascii="Wingdings" w:hAnsi="Wingdings" w:hint="default"/>
      </w:rPr>
    </w:lvl>
    <w:lvl w:ilvl="6" w:tplc="6E182C30" w:tentative="1">
      <w:start w:val="1"/>
      <w:numFmt w:val="bullet"/>
      <w:lvlText w:val=""/>
      <w:lvlJc w:val="left"/>
      <w:pPr>
        <w:tabs>
          <w:tab w:val="num" w:pos="5040"/>
        </w:tabs>
        <w:ind w:left="5040" w:hanging="360"/>
      </w:pPr>
      <w:rPr>
        <w:rFonts w:ascii="Symbol" w:hAnsi="Symbol" w:hint="default"/>
      </w:rPr>
    </w:lvl>
    <w:lvl w:ilvl="7" w:tplc="8A7647A8" w:tentative="1">
      <w:start w:val="1"/>
      <w:numFmt w:val="bullet"/>
      <w:lvlText w:val="o"/>
      <w:lvlJc w:val="left"/>
      <w:pPr>
        <w:tabs>
          <w:tab w:val="num" w:pos="5760"/>
        </w:tabs>
        <w:ind w:left="5760" w:hanging="360"/>
      </w:pPr>
      <w:rPr>
        <w:rFonts w:ascii="Courier New" w:hAnsi="Courier New" w:hint="default"/>
      </w:rPr>
    </w:lvl>
    <w:lvl w:ilvl="8" w:tplc="5E00991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hint="default"/>
      </w:rPr>
    </w:lvl>
  </w:abstractNum>
  <w:abstractNum w:abstractNumId="3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hint="default"/>
      </w:rPr>
    </w:lvl>
    <w:lvl w:ilvl="3">
      <w:start w:val="1"/>
      <w:numFmt w:val="bullet"/>
      <w:pStyle w:val="ListNumber3Level4"/>
      <w:lvlText w:val=""/>
      <w:lvlJc w:val="left"/>
      <w:pPr>
        <w:tabs>
          <w:tab w:val="num" w:pos="4751"/>
        </w:tabs>
        <w:ind w:left="4751"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69864C1"/>
    <w:multiLevelType w:val="hybridMultilevel"/>
    <w:tmpl w:val="154C80D8"/>
    <w:lvl w:ilvl="0" w:tplc="EB8E6E9C">
      <w:start w:val="1"/>
      <w:numFmt w:val="bullet"/>
      <w:pStyle w:val="NumPar1Char"/>
      <w:lvlText w:val="–"/>
      <w:lvlJc w:val="left"/>
      <w:pPr>
        <w:tabs>
          <w:tab w:val="num" w:pos="643"/>
        </w:tabs>
        <w:ind w:left="643" w:hanging="283"/>
      </w:pPr>
      <w:rPr>
        <w:rFonts w:ascii="Times New Roman" w:hAnsi="Times New Roman" w:hint="default"/>
      </w:rPr>
    </w:lvl>
    <w:lvl w:ilvl="1" w:tplc="BCACBA7A" w:tentative="1">
      <w:start w:val="1"/>
      <w:numFmt w:val="bullet"/>
      <w:lvlText w:val="o"/>
      <w:lvlJc w:val="left"/>
      <w:pPr>
        <w:tabs>
          <w:tab w:val="num" w:pos="1440"/>
        </w:tabs>
        <w:ind w:left="1440" w:hanging="360"/>
      </w:pPr>
      <w:rPr>
        <w:rFonts w:ascii="Courier New" w:hAnsi="Courier New" w:hint="default"/>
      </w:rPr>
    </w:lvl>
    <w:lvl w:ilvl="2" w:tplc="6E4834E8" w:tentative="1">
      <w:start w:val="1"/>
      <w:numFmt w:val="bullet"/>
      <w:lvlText w:val=""/>
      <w:lvlJc w:val="left"/>
      <w:pPr>
        <w:tabs>
          <w:tab w:val="num" w:pos="2160"/>
        </w:tabs>
        <w:ind w:left="2160" w:hanging="360"/>
      </w:pPr>
      <w:rPr>
        <w:rFonts w:ascii="Wingdings" w:hAnsi="Wingdings" w:hint="default"/>
      </w:rPr>
    </w:lvl>
    <w:lvl w:ilvl="3" w:tplc="3272A2CC" w:tentative="1">
      <w:start w:val="1"/>
      <w:numFmt w:val="bullet"/>
      <w:lvlText w:val=""/>
      <w:lvlJc w:val="left"/>
      <w:pPr>
        <w:tabs>
          <w:tab w:val="num" w:pos="2880"/>
        </w:tabs>
        <w:ind w:left="2880" w:hanging="360"/>
      </w:pPr>
      <w:rPr>
        <w:rFonts w:ascii="Symbol" w:hAnsi="Symbol" w:hint="default"/>
      </w:rPr>
    </w:lvl>
    <w:lvl w:ilvl="4" w:tplc="1F9CF0A2" w:tentative="1">
      <w:start w:val="1"/>
      <w:numFmt w:val="bullet"/>
      <w:lvlText w:val="o"/>
      <w:lvlJc w:val="left"/>
      <w:pPr>
        <w:tabs>
          <w:tab w:val="num" w:pos="3600"/>
        </w:tabs>
        <w:ind w:left="3600" w:hanging="360"/>
      </w:pPr>
      <w:rPr>
        <w:rFonts w:ascii="Courier New" w:hAnsi="Courier New" w:hint="default"/>
      </w:rPr>
    </w:lvl>
    <w:lvl w:ilvl="5" w:tplc="2B5CCF00" w:tentative="1">
      <w:start w:val="1"/>
      <w:numFmt w:val="bullet"/>
      <w:lvlText w:val=""/>
      <w:lvlJc w:val="left"/>
      <w:pPr>
        <w:tabs>
          <w:tab w:val="num" w:pos="4320"/>
        </w:tabs>
        <w:ind w:left="4320" w:hanging="360"/>
      </w:pPr>
      <w:rPr>
        <w:rFonts w:ascii="Wingdings" w:hAnsi="Wingdings" w:hint="default"/>
      </w:rPr>
    </w:lvl>
    <w:lvl w:ilvl="6" w:tplc="C2BA0640" w:tentative="1">
      <w:start w:val="1"/>
      <w:numFmt w:val="bullet"/>
      <w:lvlText w:val=""/>
      <w:lvlJc w:val="left"/>
      <w:pPr>
        <w:tabs>
          <w:tab w:val="num" w:pos="5040"/>
        </w:tabs>
        <w:ind w:left="5040" w:hanging="360"/>
      </w:pPr>
      <w:rPr>
        <w:rFonts w:ascii="Symbol" w:hAnsi="Symbol" w:hint="default"/>
      </w:rPr>
    </w:lvl>
    <w:lvl w:ilvl="7" w:tplc="313653D2" w:tentative="1">
      <w:start w:val="1"/>
      <w:numFmt w:val="bullet"/>
      <w:lvlText w:val="o"/>
      <w:lvlJc w:val="left"/>
      <w:pPr>
        <w:tabs>
          <w:tab w:val="num" w:pos="5760"/>
        </w:tabs>
        <w:ind w:left="5760" w:hanging="360"/>
      </w:pPr>
      <w:rPr>
        <w:rFonts w:ascii="Courier New" w:hAnsi="Courier New" w:hint="default"/>
      </w:rPr>
    </w:lvl>
    <w:lvl w:ilvl="8" w:tplc="F742662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hint="default"/>
      </w:rPr>
    </w:lvl>
  </w:abstractNum>
  <w:abstractNum w:abstractNumId="4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hint="default"/>
      </w:rPr>
    </w:lvl>
  </w:abstractNum>
  <w:abstractNum w:abstractNumId="43" w15:restartNumberingAfterBreak="0">
    <w:nsid w:val="795D3BA0"/>
    <w:multiLevelType w:val="hybridMultilevel"/>
    <w:tmpl w:val="4F76D5A2"/>
    <w:lvl w:ilvl="0" w:tplc="2390C668">
      <w:start w:val="1"/>
      <w:numFmt w:val="bullet"/>
      <w:lvlText w:val=""/>
      <w:lvlJc w:val="left"/>
      <w:pPr>
        <w:ind w:left="360" w:hanging="360"/>
      </w:pPr>
      <w:rPr>
        <w:rFonts w:ascii="Symbol" w:hAnsi="Symbol" w:hint="default"/>
      </w:rPr>
    </w:lvl>
    <w:lvl w:ilvl="1" w:tplc="39AE35CE" w:tentative="1">
      <w:start w:val="1"/>
      <w:numFmt w:val="bullet"/>
      <w:lvlText w:val="o"/>
      <w:lvlJc w:val="left"/>
      <w:pPr>
        <w:ind w:left="1080" w:hanging="360"/>
      </w:pPr>
      <w:rPr>
        <w:rFonts w:ascii="Courier New" w:hAnsi="Courier New" w:hint="default"/>
      </w:rPr>
    </w:lvl>
    <w:lvl w:ilvl="2" w:tplc="753E5AE8" w:tentative="1">
      <w:start w:val="1"/>
      <w:numFmt w:val="bullet"/>
      <w:lvlText w:val=""/>
      <w:lvlJc w:val="left"/>
      <w:pPr>
        <w:ind w:left="1800" w:hanging="360"/>
      </w:pPr>
      <w:rPr>
        <w:rFonts w:ascii="Wingdings" w:hAnsi="Wingdings" w:hint="default"/>
      </w:rPr>
    </w:lvl>
    <w:lvl w:ilvl="3" w:tplc="05D8996A" w:tentative="1">
      <w:start w:val="1"/>
      <w:numFmt w:val="bullet"/>
      <w:lvlText w:val=""/>
      <w:lvlJc w:val="left"/>
      <w:pPr>
        <w:ind w:left="2520" w:hanging="360"/>
      </w:pPr>
      <w:rPr>
        <w:rFonts w:ascii="Symbol" w:hAnsi="Symbol" w:hint="default"/>
      </w:rPr>
    </w:lvl>
    <w:lvl w:ilvl="4" w:tplc="1CC8A056" w:tentative="1">
      <w:start w:val="1"/>
      <w:numFmt w:val="bullet"/>
      <w:lvlText w:val="o"/>
      <w:lvlJc w:val="left"/>
      <w:pPr>
        <w:ind w:left="3240" w:hanging="360"/>
      </w:pPr>
      <w:rPr>
        <w:rFonts w:ascii="Courier New" w:hAnsi="Courier New" w:hint="default"/>
      </w:rPr>
    </w:lvl>
    <w:lvl w:ilvl="5" w:tplc="A0D6D6BA" w:tentative="1">
      <w:start w:val="1"/>
      <w:numFmt w:val="bullet"/>
      <w:lvlText w:val=""/>
      <w:lvlJc w:val="left"/>
      <w:pPr>
        <w:ind w:left="3960" w:hanging="360"/>
      </w:pPr>
      <w:rPr>
        <w:rFonts w:ascii="Wingdings" w:hAnsi="Wingdings" w:hint="default"/>
      </w:rPr>
    </w:lvl>
    <w:lvl w:ilvl="6" w:tplc="15886E92" w:tentative="1">
      <w:start w:val="1"/>
      <w:numFmt w:val="bullet"/>
      <w:lvlText w:val=""/>
      <w:lvlJc w:val="left"/>
      <w:pPr>
        <w:ind w:left="4680" w:hanging="360"/>
      </w:pPr>
      <w:rPr>
        <w:rFonts w:ascii="Symbol" w:hAnsi="Symbol" w:hint="default"/>
      </w:rPr>
    </w:lvl>
    <w:lvl w:ilvl="7" w:tplc="5A587714" w:tentative="1">
      <w:start w:val="1"/>
      <w:numFmt w:val="bullet"/>
      <w:lvlText w:val="o"/>
      <w:lvlJc w:val="left"/>
      <w:pPr>
        <w:ind w:left="5400" w:hanging="360"/>
      </w:pPr>
      <w:rPr>
        <w:rFonts w:ascii="Courier New" w:hAnsi="Courier New" w:hint="default"/>
      </w:rPr>
    </w:lvl>
    <w:lvl w:ilvl="8" w:tplc="C20E11C6" w:tentative="1">
      <w:start w:val="1"/>
      <w:numFmt w:val="bullet"/>
      <w:lvlText w:val=""/>
      <w:lvlJc w:val="left"/>
      <w:pPr>
        <w:ind w:left="6120" w:hanging="360"/>
      </w:pPr>
      <w:rPr>
        <w:rFonts w:ascii="Wingdings" w:hAnsi="Wingdings" w:hint="default"/>
      </w:rPr>
    </w:lvl>
  </w:abstractNum>
  <w:abstractNum w:abstractNumId="44" w15:restartNumberingAfterBreak="0">
    <w:nsid w:val="7AAA2612"/>
    <w:multiLevelType w:val="hybridMultilevel"/>
    <w:tmpl w:val="8F2E6EC8"/>
    <w:lvl w:ilvl="0" w:tplc="7424E4B8">
      <w:start w:val="1"/>
      <w:numFmt w:val="decimal"/>
      <w:lvlText w:val="%1."/>
      <w:lvlJc w:val="left"/>
      <w:pPr>
        <w:ind w:left="1440" w:hanging="360"/>
      </w:pPr>
    </w:lvl>
    <w:lvl w:ilvl="1" w:tplc="05C0DDEE" w:tentative="1">
      <w:start w:val="1"/>
      <w:numFmt w:val="lowerLetter"/>
      <w:lvlText w:val="%2."/>
      <w:lvlJc w:val="left"/>
      <w:pPr>
        <w:ind w:left="2160" w:hanging="360"/>
      </w:pPr>
    </w:lvl>
    <w:lvl w:ilvl="2" w:tplc="9CC48DAC" w:tentative="1">
      <w:start w:val="1"/>
      <w:numFmt w:val="lowerRoman"/>
      <w:lvlText w:val="%3."/>
      <w:lvlJc w:val="right"/>
      <w:pPr>
        <w:ind w:left="2880" w:hanging="180"/>
      </w:pPr>
    </w:lvl>
    <w:lvl w:ilvl="3" w:tplc="88ACCF2E" w:tentative="1">
      <w:start w:val="1"/>
      <w:numFmt w:val="decimal"/>
      <w:lvlText w:val="%4."/>
      <w:lvlJc w:val="left"/>
      <w:pPr>
        <w:ind w:left="3600" w:hanging="360"/>
      </w:pPr>
    </w:lvl>
    <w:lvl w:ilvl="4" w:tplc="A47A6D30" w:tentative="1">
      <w:start w:val="1"/>
      <w:numFmt w:val="lowerLetter"/>
      <w:lvlText w:val="%5."/>
      <w:lvlJc w:val="left"/>
      <w:pPr>
        <w:ind w:left="4320" w:hanging="360"/>
      </w:pPr>
    </w:lvl>
    <w:lvl w:ilvl="5" w:tplc="388A61C8" w:tentative="1">
      <w:start w:val="1"/>
      <w:numFmt w:val="lowerRoman"/>
      <w:lvlText w:val="%6."/>
      <w:lvlJc w:val="right"/>
      <w:pPr>
        <w:ind w:left="5040" w:hanging="180"/>
      </w:pPr>
    </w:lvl>
    <w:lvl w:ilvl="6" w:tplc="C87CB7AE" w:tentative="1">
      <w:start w:val="1"/>
      <w:numFmt w:val="decimal"/>
      <w:lvlText w:val="%7."/>
      <w:lvlJc w:val="left"/>
      <w:pPr>
        <w:ind w:left="5760" w:hanging="360"/>
      </w:pPr>
    </w:lvl>
    <w:lvl w:ilvl="7" w:tplc="2C78813A" w:tentative="1">
      <w:start w:val="1"/>
      <w:numFmt w:val="lowerLetter"/>
      <w:lvlText w:val="%8."/>
      <w:lvlJc w:val="left"/>
      <w:pPr>
        <w:ind w:left="6480" w:hanging="360"/>
      </w:pPr>
    </w:lvl>
    <w:lvl w:ilvl="8" w:tplc="F5345B96" w:tentative="1">
      <w:start w:val="1"/>
      <w:numFmt w:val="lowerRoman"/>
      <w:lvlText w:val="%9."/>
      <w:lvlJc w:val="right"/>
      <w:pPr>
        <w:ind w:left="7200" w:hanging="180"/>
      </w:pPr>
    </w:lvl>
  </w:abstractNum>
  <w:abstractNum w:abstractNumId="4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20537668">
    <w:abstractNumId w:val="25"/>
  </w:num>
  <w:num w:numId="2" w16cid:durableId="1576620454">
    <w:abstractNumId w:val="30"/>
  </w:num>
  <w:num w:numId="3" w16cid:durableId="899947135">
    <w:abstractNumId w:val="17"/>
  </w:num>
  <w:num w:numId="4" w16cid:durableId="1870489443">
    <w:abstractNumId w:val="15"/>
  </w:num>
  <w:num w:numId="5" w16cid:durableId="1903756394">
    <w:abstractNumId w:val="12"/>
  </w:num>
  <w:num w:numId="6" w16cid:durableId="1180509209">
    <w:abstractNumId w:val="16"/>
  </w:num>
  <w:num w:numId="7" w16cid:durableId="209342734">
    <w:abstractNumId w:val="7"/>
  </w:num>
  <w:num w:numId="8" w16cid:durableId="148182179">
    <w:abstractNumId w:val="1"/>
  </w:num>
  <w:num w:numId="9" w16cid:durableId="505511010">
    <w:abstractNumId w:val="42"/>
  </w:num>
  <w:num w:numId="10" w16cid:durableId="580018736">
    <w:abstractNumId w:val="14"/>
  </w:num>
  <w:num w:numId="11" w16cid:durableId="221647625">
    <w:abstractNumId w:val="38"/>
  </w:num>
  <w:num w:numId="12" w16cid:durableId="298344620">
    <w:abstractNumId w:val="10"/>
  </w:num>
  <w:num w:numId="13" w16cid:durableId="58093387">
    <w:abstractNumId w:val="6"/>
  </w:num>
  <w:num w:numId="14" w16cid:durableId="1122530581">
    <w:abstractNumId w:val="19"/>
  </w:num>
  <w:num w:numId="15" w16cid:durableId="1479684095">
    <w:abstractNumId w:val="41"/>
  </w:num>
  <w:num w:numId="16" w16cid:durableId="340007303">
    <w:abstractNumId w:val="33"/>
  </w:num>
  <w:num w:numId="17" w16cid:durableId="346519941">
    <w:abstractNumId w:val="35"/>
  </w:num>
  <w:num w:numId="18" w16cid:durableId="691036718">
    <w:abstractNumId w:val="13"/>
  </w:num>
  <w:num w:numId="19" w16cid:durableId="1452093781">
    <w:abstractNumId w:val="20"/>
  </w:num>
  <w:num w:numId="20" w16cid:durableId="906961314">
    <w:abstractNumId w:val="39"/>
  </w:num>
  <w:num w:numId="21" w16cid:durableId="1388455259">
    <w:abstractNumId w:val="18"/>
  </w:num>
  <w:num w:numId="22" w16cid:durableId="1677533267">
    <w:abstractNumId w:val="45"/>
  </w:num>
  <w:num w:numId="23" w16cid:durableId="961619330">
    <w:abstractNumId w:val="40"/>
  </w:num>
  <w:num w:numId="24" w16cid:durableId="1095638383">
    <w:abstractNumId w:val="29"/>
  </w:num>
  <w:num w:numId="25" w16cid:durableId="357776219">
    <w:abstractNumId w:val="31"/>
  </w:num>
  <w:num w:numId="26" w16cid:durableId="1481578588">
    <w:abstractNumId w:val="37"/>
  </w:num>
  <w:num w:numId="27" w16cid:durableId="1812137613">
    <w:abstractNumId w:val="3"/>
  </w:num>
  <w:num w:numId="28" w16cid:durableId="370300677">
    <w:abstractNumId w:val="4"/>
  </w:num>
  <w:num w:numId="29" w16cid:durableId="1948660650">
    <w:abstractNumId w:val="5"/>
  </w:num>
  <w:num w:numId="30" w16cid:durableId="122113638">
    <w:abstractNumId w:val="36"/>
  </w:num>
  <w:num w:numId="31" w16cid:durableId="246547536">
    <w:abstractNumId w:val="43"/>
  </w:num>
  <w:num w:numId="32" w16cid:durableId="1203983393">
    <w:abstractNumId w:val="34"/>
  </w:num>
  <w:num w:numId="33" w16cid:durableId="1149204463">
    <w:abstractNumId w:val="21"/>
  </w:num>
  <w:num w:numId="34" w16cid:durableId="614867515">
    <w:abstractNumId w:val="44"/>
  </w:num>
  <w:num w:numId="35" w16cid:durableId="1513490821">
    <w:abstractNumId w:val="2"/>
  </w:num>
  <w:num w:numId="36" w16cid:durableId="1269506392">
    <w:abstractNumId w:val="28"/>
  </w:num>
  <w:num w:numId="37" w16cid:durableId="160509948">
    <w:abstractNumId w:val="27"/>
  </w:num>
  <w:num w:numId="38" w16cid:durableId="146094414">
    <w:abstractNumId w:val="9"/>
  </w:num>
  <w:num w:numId="39" w16cid:durableId="2145806991">
    <w:abstractNumId w:val="11"/>
  </w:num>
  <w:num w:numId="40" w16cid:durableId="1322079617">
    <w:abstractNumId w:val="26"/>
  </w:num>
  <w:num w:numId="41" w16cid:durableId="1661734410">
    <w:abstractNumId w:val="24"/>
  </w:num>
  <w:num w:numId="42" w16cid:durableId="1843396920">
    <w:abstractNumId w:val="22"/>
  </w:num>
  <w:num w:numId="43" w16cid:durableId="1833596634">
    <w:abstractNumId w:val="23"/>
  </w:num>
  <w:num w:numId="44" w16cid:durableId="207015117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39"/>
    <w:rsid w:val="00000080"/>
    <w:rsid w:val="000001DC"/>
    <w:rsid w:val="0000032F"/>
    <w:rsid w:val="0000038F"/>
    <w:rsid w:val="00000397"/>
    <w:rsid w:val="00000486"/>
    <w:rsid w:val="0000050D"/>
    <w:rsid w:val="000005E9"/>
    <w:rsid w:val="000006FD"/>
    <w:rsid w:val="0000071A"/>
    <w:rsid w:val="00000724"/>
    <w:rsid w:val="00000795"/>
    <w:rsid w:val="000009FA"/>
    <w:rsid w:val="00000BE2"/>
    <w:rsid w:val="00000C13"/>
    <w:rsid w:val="00000DBF"/>
    <w:rsid w:val="00001369"/>
    <w:rsid w:val="000013C4"/>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4CDA"/>
    <w:rsid w:val="00004D2B"/>
    <w:rsid w:val="00004D87"/>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46"/>
    <w:rsid w:val="000078A5"/>
    <w:rsid w:val="00007CED"/>
    <w:rsid w:val="00007ECC"/>
    <w:rsid w:val="0001047E"/>
    <w:rsid w:val="0001064E"/>
    <w:rsid w:val="00010AC9"/>
    <w:rsid w:val="00010C52"/>
    <w:rsid w:val="00011281"/>
    <w:rsid w:val="0001134B"/>
    <w:rsid w:val="000113AB"/>
    <w:rsid w:val="0001140F"/>
    <w:rsid w:val="0001153B"/>
    <w:rsid w:val="00011589"/>
    <w:rsid w:val="00011615"/>
    <w:rsid w:val="00011727"/>
    <w:rsid w:val="000117D8"/>
    <w:rsid w:val="0001183E"/>
    <w:rsid w:val="0001198F"/>
    <w:rsid w:val="00011A9B"/>
    <w:rsid w:val="00011B30"/>
    <w:rsid w:val="00011D79"/>
    <w:rsid w:val="0001228B"/>
    <w:rsid w:val="000122B5"/>
    <w:rsid w:val="0001250D"/>
    <w:rsid w:val="00012DA3"/>
    <w:rsid w:val="00012EFD"/>
    <w:rsid w:val="000130BE"/>
    <w:rsid w:val="0001358C"/>
    <w:rsid w:val="00013716"/>
    <w:rsid w:val="00013997"/>
    <w:rsid w:val="000139D8"/>
    <w:rsid w:val="00013D92"/>
    <w:rsid w:val="00013EE5"/>
    <w:rsid w:val="0001448B"/>
    <w:rsid w:val="000145A2"/>
    <w:rsid w:val="000146F4"/>
    <w:rsid w:val="0001475B"/>
    <w:rsid w:val="000149EF"/>
    <w:rsid w:val="00014A71"/>
    <w:rsid w:val="00014CE1"/>
    <w:rsid w:val="00015264"/>
    <w:rsid w:val="000152CA"/>
    <w:rsid w:val="00015341"/>
    <w:rsid w:val="00015452"/>
    <w:rsid w:val="00015766"/>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5FA"/>
    <w:rsid w:val="0001776A"/>
    <w:rsid w:val="00017883"/>
    <w:rsid w:val="00017A67"/>
    <w:rsid w:val="00017AA9"/>
    <w:rsid w:val="00017C25"/>
    <w:rsid w:val="00017F27"/>
    <w:rsid w:val="00017F3D"/>
    <w:rsid w:val="0002037A"/>
    <w:rsid w:val="00020E26"/>
    <w:rsid w:val="000214F2"/>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22"/>
    <w:rsid w:val="00022FAA"/>
    <w:rsid w:val="00023162"/>
    <w:rsid w:val="000232A5"/>
    <w:rsid w:val="00023424"/>
    <w:rsid w:val="00023451"/>
    <w:rsid w:val="00023626"/>
    <w:rsid w:val="00023C78"/>
    <w:rsid w:val="00023D31"/>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272E6"/>
    <w:rsid w:val="00027988"/>
    <w:rsid w:val="0003000B"/>
    <w:rsid w:val="00030058"/>
    <w:rsid w:val="000300B4"/>
    <w:rsid w:val="00030676"/>
    <w:rsid w:val="00030996"/>
    <w:rsid w:val="00030E3E"/>
    <w:rsid w:val="000310AA"/>
    <w:rsid w:val="000310E8"/>
    <w:rsid w:val="000315BD"/>
    <w:rsid w:val="00031793"/>
    <w:rsid w:val="00031A4C"/>
    <w:rsid w:val="00031B2B"/>
    <w:rsid w:val="00031BDA"/>
    <w:rsid w:val="00031CA2"/>
    <w:rsid w:val="00031D00"/>
    <w:rsid w:val="00031DA3"/>
    <w:rsid w:val="00031F4C"/>
    <w:rsid w:val="0003243D"/>
    <w:rsid w:val="000326E6"/>
    <w:rsid w:val="00032766"/>
    <w:rsid w:val="00032792"/>
    <w:rsid w:val="000328B1"/>
    <w:rsid w:val="00032DC3"/>
    <w:rsid w:val="00032E4F"/>
    <w:rsid w:val="00032EDB"/>
    <w:rsid w:val="00033001"/>
    <w:rsid w:val="0003307A"/>
    <w:rsid w:val="000330CC"/>
    <w:rsid w:val="000332FE"/>
    <w:rsid w:val="00033648"/>
    <w:rsid w:val="000337C2"/>
    <w:rsid w:val="00033EA1"/>
    <w:rsid w:val="00033F57"/>
    <w:rsid w:val="000340CA"/>
    <w:rsid w:val="0003453E"/>
    <w:rsid w:val="00034551"/>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EF4"/>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0EA"/>
    <w:rsid w:val="00040281"/>
    <w:rsid w:val="00040A13"/>
    <w:rsid w:val="00040C7A"/>
    <w:rsid w:val="00040E6E"/>
    <w:rsid w:val="0004105D"/>
    <w:rsid w:val="00041192"/>
    <w:rsid w:val="0004126C"/>
    <w:rsid w:val="0004146E"/>
    <w:rsid w:val="000414BC"/>
    <w:rsid w:val="0004189C"/>
    <w:rsid w:val="0004193F"/>
    <w:rsid w:val="0004195A"/>
    <w:rsid w:val="00041A87"/>
    <w:rsid w:val="00041C4F"/>
    <w:rsid w:val="00041F1F"/>
    <w:rsid w:val="0004209B"/>
    <w:rsid w:val="000420DB"/>
    <w:rsid w:val="000421A1"/>
    <w:rsid w:val="00042233"/>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A84"/>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15"/>
    <w:rsid w:val="00047936"/>
    <w:rsid w:val="0004798E"/>
    <w:rsid w:val="00047A23"/>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454"/>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244"/>
    <w:rsid w:val="00060742"/>
    <w:rsid w:val="0006088F"/>
    <w:rsid w:val="00060C03"/>
    <w:rsid w:val="00060C9D"/>
    <w:rsid w:val="00060CB2"/>
    <w:rsid w:val="00060D87"/>
    <w:rsid w:val="00060EF5"/>
    <w:rsid w:val="00060F44"/>
    <w:rsid w:val="000611E6"/>
    <w:rsid w:val="0006130F"/>
    <w:rsid w:val="0006140F"/>
    <w:rsid w:val="00061530"/>
    <w:rsid w:val="00061536"/>
    <w:rsid w:val="000615E8"/>
    <w:rsid w:val="00061822"/>
    <w:rsid w:val="000619C8"/>
    <w:rsid w:val="00061FAC"/>
    <w:rsid w:val="00061FD0"/>
    <w:rsid w:val="00062240"/>
    <w:rsid w:val="000622F5"/>
    <w:rsid w:val="0006249E"/>
    <w:rsid w:val="00062919"/>
    <w:rsid w:val="0006296B"/>
    <w:rsid w:val="000629E6"/>
    <w:rsid w:val="00062BE7"/>
    <w:rsid w:val="00063101"/>
    <w:rsid w:val="000634F3"/>
    <w:rsid w:val="00063857"/>
    <w:rsid w:val="0006396A"/>
    <w:rsid w:val="00063A60"/>
    <w:rsid w:val="00063AEF"/>
    <w:rsid w:val="00063B1D"/>
    <w:rsid w:val="00063C33"/>
    <w:rsid w:val="00063DCE"/>
    <w:rsid w:val="00063F33"/>
    <w:rsid w:val="00064178"/>
    <w:rsid w:val="0006443B"/>
    <w:rsid w:val="000647C3"/>
    <w:rsid w:val="00064C35"/>
    <w:rsid w:val="00064D3D"/>
    <w:rsid w:val="00064D60"/>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469"/>
    <w:rsid w:val="000705DD"/>
    <w:rsid w:val="000706D4"/>
    <w:rsid w:val="000713EE"/>
    <w:rsid w:val="00071470"/>
    <w:rsid w:val="00071695"/>
    <w:rsid w:val="000717D6"/>
    <w:rsid w:val="00071956"/>
    <w:rsid w:val="00071BD3"/>
    <w:rsid w:val="00071DDA"/>
    <w:rsid w:val="00071E87"/>
    <w:rsid w:val="00071FC6"/>
    <w:rsid w:val="00072134"/>
    <w:rsid w:val="00072CCC"/>
    <w:rsid w:val="00072D12"/>
    <w:rsid w:val="00072E6E"/>
    <w:rsid w:val="00072F6B"/>
    <w:rsid w:val="000730BA"/>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0A6"/>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1E38"/>
    <w:rsid w:val="0008216A"/>
    <w:rsid w:val="0008217D"/>
    <w:rsid w:val="000825F0"/>
    <w:rsid w:val="000827CD"/>
    <w:rsid w:val="000829F1"/>
    <w:rsid w:val="00082B1C"/>
    <w:rsid w:val="00083121"/>
    <w:rsid w:val="00083469"/>
    <w:rsid w:val="000834CD"/>
    <w:rsid w:val="000835B0"/>
    <w:rsid w:val="000835F5"/>
    <w:rsid w:val="0008378A"/>
    <w:rsid w:val="00083B96"/>
    <w:rsid w:val="00083CD3"/>
    <w:rsid w:val="00084044"/>
    <w:rsid w:val="00084211"/>
    <w:rsid w:val="00084419"/>
    <w:rsid w:val="0008449C"/>
    <w:rsid w:val="000845D7"/>
    <w:rsid w:val="000846F8"/>
    <w:rsid w:val="00084B71"/>
    <w:rsid w:val="00084D1E"/>
    <w:rsid w:val="00084DFB"/>
    <w:rsid w:val="0008500F"/>
    <w:rsid w:val="0008526A"/>
    <w:rsid w:val="0008532E"/>
    <w:rsid w:val="00085484"/>
    <w:rsid w:val="00085847"/>
    <w:rsid w:val="00085865"/>
    <w:rsid w:val="00085BE8"/>
    <w:rsid w:val="00085E04"/>
    <w:rsid w:val="0008608A"/>
    <w:rsid w:val="000862D0"/>
    <w:rsid w:val="000863ED"/>
    <w:rsid w:val="00086911"/>
    <w:rsid w:val="00086C30"/>
    <w:rsid w:val="00086D5D"/>
    <w:rsid w:val="00086DA6"/>
    <w:rsid w:val="000875DD"/>
    <w:rsid w:val="000879B9"/>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9C"/>
    <w:rsid w:val="000945D6"/>
    <w:rsid w:val="00094600"/>
    <w:rsid w:val="00094AC0"/>
    <w:rsid w:val="00094B2F"/>
    <w:rsid w:val="0009571A"/>
    <w:rsid w:val="000957A2"/>
    <w:rsid w:val="00095892"/>
    <w:rsid w:val="00095A1A"/>
    <w:rsid w:val="00095A8C"/>
    <w:rsid w:val="00095C0B"/>
    <w:rsid w:val="00095C79"/>
    <w:rsid w:val="00096552"/>
    <w:rsid w:val="000965AC"/>
    <w:rsid w:val="00096607"/>
    <w:rsid w:val="00096700"/>
    <w:rsid w:val="0009691F"/>
    <w:rsid w:val="00096925"/>
    <w:rsid w:val="0009694F"/>
    <w:rsid w:val="00096B06"/>
    <w:rsid w:val="0009706D"/>
    <w:rsid w:val="000972CB"/>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A7"/>
    <w:rsid w:val="000A30BD"/>
    <w:rsid w:val="000A3320"/>
    <w:rsid w:val="000A3563"/>
    <w:rsid w:val="000A37B7"/>
    <w:rsid w:val="000A3935"/>
    <w:rsid w:val="000A3E2D"/>
    <w:rsid w:val="000A44D4"/>
    <w:rsid w:val="000A4524"/>
    <w:rsid w:val="000A4554"/>
    <w:rsid w:val="000A4A38"/>
    <w:rsid w:val="000A4B74"/>
    <w:rsid w:val="000A508F"/>
    <w:rsid w:val="000A52E7"/>
    <w:rsid w:val="000A53C7"/>
    <w:rsid w:val="000A5446"/>
    <w:rsid w:val="000A544B"/>
    <w:rsid w:val="000A561C"/>
    <w:rsid w:val="000A591E"/>
    <w:rsid w:val="000A5A20"/>
    <w:rsid w:val="000A5A43"/>
    <w:rsid w:val="000A5D40"/>
    <w:rsid w:val="000A5DAF"/>
    <w:rsid w:val="000A6107"/>
    <w:rsid w:val="000A6195"/>
    <w:rsid w:val="000A64E1"/>
    <w:rsid w:val="000A6500"/>
    <w:rsid w:val="000A65ED"/>
    <w:rsid w:val="000A6ADD"/>
    <w:rsid w:val="000A6C2B"/>
    <w:rsid w:val="000A6ECC"/>
    <w:rsid w:val="000A716D"/>
    <w:rsid w:val="000A74B1"/>
    <w:rsid w:val="000A77D0"/>
    <w:rsid w:val="000A7823"/>
    <w:rsid w:val="000A79F0"/>
    <w:rsid w:val="000A7A88"/>
    <w:rsid w:val="000A7A8B"/>
    <w:rsid w:val="000A7C1F"/>
    <w:rsid w:val="000A7C9B"/>
    <w:rsid w:val="000A7F9D"/>
    <w:rsid w:val="000A7FE2"/>
    <w:rsid w:val="000B01AF"/>
    <w:rsid w:val="000B0467"/>
    <w:rsid w:val="000B055C"/>
    <w:rsid w:val="000B09D0"/>
    <w:rsid w:val="000B09E9"/>
    <w:rsid w:val="000B0F74"/>
    <w:rsid w:val="000B10FB"/>
    <w:rsid w:val="000B1471"/>
    <w:rsid w:val="000B16FC"/>
    <w:rsid w:val="000B1845"/>
    <w:rsid w:val="000B1B92"/>
    <w:rsid w:val="000B1CA5"/>
    <w:rsid w:val="000B250E"/>
    <w:rsid w:val="000B25E8"/>
    <w:rsid w:val="000B2695"/>
    <w:rsid w:val="000B281C"/>
    <w:rsid w:val="000B29C8"/>
    <w:rsid w:val="000B29E5"/>
    <w:rsid w:val="000B2A6D"/>
    <w:rsid w:val="000B2C0D"/>
    <w:rsid w:val="000B2C17"/>
    <w:rsid w:val="000B2CE1"/>
    <w:rsid w:val="000B2FAD"/>
    <w:rsid w:val="000B307A"/>
    <w:rsid w:val="000B30CD"/>
    <w:rsid w:val="000B3373"/>
    <w:rsid w:val="000B3478"/>
    <w:rsid w:val="000B35F7"/>
    <w:rsid w:val="000B37E6"/>
    <w:rsid w:val="000B38CD"/>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C9B"/>
    <w:rsid w:val="000C3D0A"/>
    <w:rsid w:val="000C3E3B"/>
    <w:rsid w:val="000C4015"/>
    <w:rsid w:val="000C405D"/>
    <w:rsid w:val="000C43F8"/>
    <w:rsid w:val="000C4440"/>
    <w:rsid w:val="000C45D5"/>
    <w:rsid w:val="000C4733"/>
    <w:rsid w:val="000C4791"/>
    <w:rsid w:val="000C4804"/>
    <w:rsid w:val="000C486E"/>
    <w:rsid w:val="000C4BEC"/>
    <w:rsid w:val="000C4CD3"/>
    <w:rsid w:val="000C52B2"/>
    <w:rsid w:val="000C53D4"/>
    <w:rsid w:val="000C5518"/>
    <w:rsid w:val="000C5720"/>
    <w:rsid w:val="000C5898"/>
    <w:rsid w:val="000C5906"/>
    <w:rsid w:val="000C61AB"/>
    <w:rsid w:val="000C6207"/>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404"/>
    <w:rsid w:val="000D0536"/>
    <w:rsid w:val="000D057B"/>
    <w:rsid w:val="000D0723"/>
    <w:rsid w:val="000D082B"/>
    <w:rsid w:val="000D0AEE"/>
    <w:rsid w:val="000D1461"/>
    <w:rsid w:val="000D1C63"/>
    <w:rsid w:val="000D20A1"/>
    <w:rsid w:val="000D23CE"/>
    <w:rsid w:val="000D25EF"/>
    <w:rsid w:val="000D26BB"/>
    <w:rsid w:val="000D2718"/>
    <w:rsid w:val="000D280C"/>
    <w:rsid w:val="000D3064"/>
    <w:rsid w:val="000D32DA"/>
    <w:rsid w:val="000D333F"/>
    <w:rsid w:val="000D34BD"/>
    <w:rsid w:val="000D3537"/>
    <w:rsid w:val="000D37F7"/>
    <w:rsid w:val="000D38B0"/>
    <w:rsid w:val="000D390C"/>
    <w:rsid w:val="000D3A17"/>
    <w:rsid w:val="000D414D"/>
    <w:rsid w:val="000D4395"/>
    <w:rsid w:val="000D45F1"/>
    <w:rsid w:val="000D46FC"/>
    <w:rsid w:val="000D47E4"/>
    <w:rsid w:val="000D4894"/>
    <w:rsid w:val="000D4D26"/>
    <w:rsid w:val="000D4E86"/>
    <w:rsid w:val="000D4EB1"/>
    <w:rsid w:val="000D4EC1"/>
    <w:rsid w:val="000D51B6"/>
    <w:rsid w:val="000D5487"/>
    <w:rsid w:val="000D5579"/>
    <w:rsid w:val="000D5939"/>
    <w:rsid w:val="000D5BB3"/>
    <w:rsid w:val="000D5BD5"/>
    <w:rsid w:val="000D5F9A"/>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CB6"/>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DAB"/>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2B"/>
    <w:rsid w:val="000E6FA8"/>
    <w:rsid w:val="000E702D"/>
    <w:rsid w:val="000E719A"/>
    <w:rsid w:val="000E72A8"/>
    <w:rsid w:val="000E7303"/>
    <w:rsid w:val="000E75D1"/>
    <w:rsid w:val="000E7C06"/>
    <w:rsid w:val="000E7C38"/>
    <w:rsid w:val="000E7FD0"/>
    <w:rsid w:val="000F0118"/>
    <w:rsid w:val="000F023F"/>
    <w:rsid w:val="000F0582"/>
    <w:rsid w:val="000F0603"/>
    <w:rsid w:val="000F0874"/>
    <w:rsid w:val="000F08AF"/>
    <w:rsid w:val="000F0B16"/>
    <w:rsid w:val="000F0B77"/>
    <w:rsid w:val="000F1404"/>
    <w:rsid w:val="000F1480"/>
    <w:rsid w:val="000F1664"/>
    <w:rsid w:val="000F1A32"/>
    <w:rsid w:val="000F1B6F"/>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C45"/>
    <w:rsid w:val="000F4D76"/>
    <w:rsid w:val="000F4E7E"/>
    <w:rsid w:val="000F4F74"/>
    <w:rsid w:val="000F514F"/>
    <w:rsid w:val="000F5261"/>
    <w:rsid w:val="000F52C9"/>
    <w:rsid w:val="000F54AD"/>
    <w:rsid w:val="000F5A73"/>
    <w:rsid w:val="000F5F64"/>
    <w:rsid w:val="000F63D5"/>
    <w:rsid w:val="000F6650"/>
    <w:rsid w:val="000F6A24"/>
    <w:rsid w:val="000F6C35"/>
    <w:rsid w:val="000F6E53"/>
    <w:rsid w:val="000F7126"/>
    <w:rsid w:val="000F7275"/>
    <w:rsid w:val="000F7571"/>
    <w:rsid w:val="000F77FE"/>
    <w:rsid w:val="000F7AFB"/>
    <w:rsid w:val="000F7BB0"/>
    <w:rsid w:val="000F7CDA"/>
    <w:rsid w:val="000F7D76"/>
    <w:rsid w:val="001002AB"/>
    <w:rsid w:val="00100669"/>
    <w:rsid w:val="0010068B"/>
    <w:rsid w:val="00100830"/>
    <w:rsid w:val="00100D89"/>
    <w:rsid w:val="00100F0B"/>
    <w:rsid w:val="0010145F"/>
    <w:rsid w:val="00101506"/>
    <w:rsid w:val="00101519"/>
    <w:rsid w:val="00101721"/>
    <w:rsid w:val="0010195B"/>
    <w:rsid w:val="00101B25"/>
    <w:rsid w:val="00101B5C"/>
    <w:rsid w:val="00101BA0"/>
    <w:rsid w:val="00101DA2"/>
    <w:rsid w:val="00101E67"/>
    <w:rsid w:val="00101ED4"/>
    <w:rsid w:val="001020E1"/>
    <w:rsid w:val="001021D2"/>
    <w:rsid w:val="00102311"/>
    <w:rsid w:val="0010247B"/>
    <w:rsid w:val="001026A3"/>
    <w:rsid w:val="001028DE"/>
    <w:rsid w:val="00102C90"/>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1D"/>
    <w:rsid w:val="0010517D"/>
    <w:rsid w:val="0010525A"/>
    <w:rsid w:val="001054F9"/>
    <w:rsid w:val="001055C5"/>
    <w:rsid w:val="0010582B"/>
    <w:rsid w:val="00105A47"/>
    <w:rsid w:val="00105ABA"/>
    <w:rsid w:val="00105C4F"/>
    <w:rsid w:val="00105C96"/>
    <w:rsid w:val="0010606B"/>
    <w:rsid w:val="0010634A"/>
    <w:rsid w:val="00106376"/>
    <w:rsid w:val="001069D6"/>
    <w:rsid w:val="00106D10"/>
    <w:rsid w:val="00107244"/>
    <w:rsid w:val="0010748A"/>
    <w:rsid w:val="001074E6"/>
    <w:rsid w:val="00107718"/>
    <w:rsid w:val="00107EB5"/>
    <w:rsid w:val="00110052"/>
    <w:rsid w:val="0011006F"/>
    <w:rsid w:val="00110132"/>
    <w:rsid w:val="00110158"/>
    <w:rsid w:val="001106DA"/>
    <w:rsid w:val="001107B9"/>
    <w:rsid w:val="00110C86"/>
    <w:rsid w:val="00110DE1"/>
    <w:rsid w:val="00110F5F"/>
    <w:rsid w:val="001111EF"/>
    <w:rsid w:val="00111223"/>
    <w:rsid w:val="00111350"/>
    <w:rsid w:val="0011142F"/>
    <w:rsid w:val="00111643"/>
    <w:rsid w:val="0011166B"/>
    <w:rsid w:val="00111892"/>
    <w:rsid w:val="00111A81"/>
    <w:rsid w:val="00111D10"/>
    <w:rsid w:val="00112203"/>
    <w:rsid w:val="00112486"/>
    <w:rsid w:val="00112539"/>
    <w:rsid w:val="00112579"/>
    <w:rsid w:val="00112A1C"/>
    <w:rsid w:val="00112ED5"/>
    <w:rsid w:val="00113072"/>
    <w:rsid w:val="0011325C"/>
    <w:rsid w:val="001133FE"/>
    <w:rsid w:val="0011381F"/>
    <w:rsid w:val="00113B42"/>
    <w:rsid w:val="00113E4F"/>
    <w:rsid w:val="00113E69"/>
    <w:rsid w:val="00113F1A"/>
    <w:rsid w:val="00114480"/>
    <w:rsid w:val="00114568"/>
    <w:rsid w:val="0011485F"/>
    <w:rsid w:val="001148C2"/>
    <w:rsid w:val="00114954"/>
    <w:rsid w:val="00114C21"/>
    <w:rsid w:val="00115521"/>
    <w:rsid w:val="001156E9"/>
    <w:rsid w:val="0011582E"/>
    <w:rsid w:val="001158F2"/>
    <w:rsid w:val="00115B02"/>
    <w:rsid w:val="00115E85"/>
    <w:rsid w:val="00116169"/>
    <w:rsid w:val="001163D1"/>
    <w:rsid w:val="00116539"/>
    <w:rsid w:val="001166A1"/>
    <w:rsid w:val="00116823"/>
    <w:rsid w:val="00116947"/>
    <w:rsid w:val="00116AC9"/>
    <w:rsid w:val="00116B75"/>
    <w:rsid w:val="001176C2"/>
    <w:rsid w:val="001176DE"/>
    <w:rsid w:val="0011799C"/>
    <w:rsid w:val="00117B89"/>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C74"/>
    <w:rsid w:val="00121E93"/>
    <w:rsid w:val="00121EDE"/>
    <w:rsid w:val="00121F5D"/>
    <w:rsid w:val="00122706"/>
    <w:rsid w:val="00122B44"/>
    <w:rsid w:val="00123681"/>
    <w:rsid w:val="001238F5"/>
    <w:rsid w:val="00123957"/>
    <w:rsid w:val="00123AB0"/>
    <w:rsid w:val="00123BDF"/>
    <w:rsid w:val="00123D3F"/>
    <w:rsid w:val="00123D57"/>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3AC"/>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7E4"/>
    <w:rsid w:val="00133885"/>
    <w:rsid w:val="00133938"/>
    <w:rsid w:val="0013397A"/>
    <w:rsid w:val="00133BE8"/>
    <w:rsid w:val="00133FAD"/>
    <w:rsid w:val="00134114"/>
    <w:rsid w:val="001341EF"/>
    <w:rsid w:val="001343DF"/>
    <w:rsid w:val="00134438"/>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37850"/>
    <w:rsid w:val="00137FE9"/>
    <w:rsid w:val="00140405"/>
    <w:rsid w:val="0014097A"/>
    <w:rsid w:val="001409FC"/>
    <w:rsid w:val="00140A06"/>
    <w:rsid w:val="00140B17"/>
    <w:rsid w:val="00140B5B"/>
    <w:rsid w:val="00140B81"/>
    <w:rsid w:val="00140C28"/>
    <w:rsid w:val="001411C2"/>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D80"/>
    <w:rsid w:val="00144E8A"/>
    <w:rsid w:val="00144F48"/>
    <w:rsid w:val="00145AB8"/>
    <w:rsid w:val="00145BBD"/>
    <w:rsid w:val="00145D7D"/>
    <w:rsid w:val="00145F5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0F"/>
    <w:rsid w:val="001520FA"/>
    <w:rsid w:val="0015220F"/>
    <w:rsid w:val="00152B3C"/>
    <w:rsid w:val="00152D6E"/>
    <w:rsid w:val="00152E1C"/>
    <w:rsid w:val="00153005"/>
    <w:rsid w:val="001538A6"/>
    <w:rsid w:val="00153952"/>
    <w:rsid w:val="00153AD9"/>
    <w:rsid w:val="00153C3E"/>
    <w:rsid w:val="00153F3C"/>
    <w:rsid w:val="001540D4"/>
    <w:rsid w:val="001540FB"/>
    <w:rsid w:val="00154153"/>
    <w:rsid w:val="00154223"/>
    <w:rsid w:val="001543DD"/>
    <w:rsid w:val="00154492"/>
    <w:rsid w:val="001545E0"/>
    <w:rsid w:val="00154908"/>
    <w:rsid w:val="00154E3C"/>
    <w:rsid w:val="00155050"/>
    <w:rsid w:val="00155265"/>
    <w:rsid w:val="0015590C"/>
    <w:rsid w:val="001559B7"/>
    <w:rsid w:val="00155DAE"/>
    <w:rsid w:val="0015615D"/>
    <w:rsid w:val="001561D4"/>
    <w:rsid w:val="00156301"/>
    <w:rsid w:val="0015651C"/>
    <w:rsid w:val="001565BD"/>
    <w:rsid w:val="0015673A"/>
    <w:rsid w:val="00156775"/>
    <w:rsid w:val="00156BB9"/>
    <w:rsid w:val="00157383"/>
    <w:rsid w:val="0015754F"/>
    <w:rsid w:val="00157626"/>
    <w:rsid w:val="00157717"/>
    <w:rsid w:val="001577FE"/>
    <w:rsid w:val="00157826"/>
    <w:rsid w:val="001579E7"/>
    <w:rsid w:val="00157B10"/>
    <w:rsid w:val="0016014C"/>
    <w:rsid w:val="00160197"/>
    <w:rsid w:val="00160355"/>
    <w:rsid w:val="00160A74"/>
    <w:rsid w:val="00160B1A"/>
    <w:rsid w:val="00160CBF"/>
    <w:rsid w:val="00160EB3"/>
    <w:rsid w:val="001616F0"/>
    <w:rsid w:val="00161826"/>
    <w:rsid w:val="00161B04"/>
    <w:rsid w:val="00161DD3"/>
    <w:rsid w:val="00162094"/>
    <w:rsid w:val="0016227A"/>
    <w:rsid w:val="001623A4"/>
    <w:rsid w:val="001623E8"/>
    <w:rsid w:val="001625B7"/>
    <w:rsid w:val="0016261F"/>
    <w:rsid w:val="00162B78"/>
    <w:rsid w:val="001630F8"/>
    <w:rsid w:val="0016323F"/>
    <w:rsid w:val="00163676"/>
    <w:rsid w:val="001636EE"/>
    <w:rsid w:val="001637E5"/>
    <w:rsid w:val="001638B6"/>
    <w:rsid w:val="00163961"/>
    <w:rsid w:val="00163997"/>
    <w:rsid w:val="00163A47"/>
    <w:rsid w:val="00163BF0"/>
    <w:rsid w:val="00163BF8"/>
    <w:rsid w:val="00163F92"/>
    <w:rsid w:val="001642FB"/>
    <w:rsid w:val="00164681"/>
    <w:rsid w:val="00164721"/>
    <w:rsid w:val="00164785"/>
    <w:rsid w:val="00164CE6"/>
    <w:rsid w:val="00164DD5"/>
    <w:rsid w:val="001650A6"/>
    <w:rsid w:val="00165345"/>
    <w:rsid w:val="00165465"/>
    <w:rsid w:val="00165769"/>
    <w:rsid w:val="00165A0B"/>
    <w:rsid w:val="00165B0D"/>
    <w:rsid w:val="00165C19"/>
    <w:rsid w:val="00165D60"/>
    <w:rsid w:val="001661B4"/>
    <w:rsid w:val="001661D6"/>
    <w:rsid w:val="00166332"/>
    <w:rsid w:val="001663A4"/>
    <w:rsid w:val="001663DB"/>
    <w:rsid w:val="001664C3"/>
    <w:rsid w:val="001666E5"/>
    <w:rsid w:val="0016679D"/>
    <w:rsid w:val="00166919"/>
    <w:rsid w:val="00166C29"/>
    <w:rsid w:val="00166E3C"/>
    <w:rsid w:val="00166E70"/>
    <w:rsid w:val="00167128"/>
    <w:rsid w:val="001674CC"/>
    <w:rsid w:val="00167650"/>
    <w:rsid w:val="001676ED"/>
    <w:rsid w:val="001700A5"/>
    <w:rsid w:val="001700B5"/>
    <w:rsid w:val="001702E0"/>
    <w:rsid w:val="001705FC"/>
    <w:rsid w:val="0017076B"/>
    <w:rsid w:val="00170888"/>
    <w:rsid w:val="001709D5"/>
    <w:rsid w:val="00170AFC"/>
    <w:rsid w:val="00170BD3"/>
    <w:rsid w:val="00171357"/>
    <w:rsid w:val="001716AB"/>
    <w:rsid w:val="00171872"/>
    <w:rsid w:val="001718D9"/>
    <w:rsid w:val="001719EA"/>
    <w:rsid w:val="0017243D"/>
    <w:rsid w:val="0017264A"/>
    <w:rsid w:val="00172D10"/>
    <w:rsid w:val="00172D59"/>
    <w:rsid w:val="00172ECD"/>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732"/>
    <w:rsid w:val="001757C7"/>
    <w:rsid w:val="00175935"/>
    <w:rsid w:val="00175A18"/>
    <w:rsid w:val="00175C34"/>
    <w:rsid w:val="0017633D"/>
    <w:rsid w:val="001763B3"/>
    <w:rsid w:val="0017648C"/>
    <w:rsid w:val="001764A5"/>
    <w:rsid w:val="00176697"/>
    <w:rsid w:val="001766A3"/>
    <w:rsid w:val="001766DB"/>
    <w:rsid w:val="00176734"/>
    <w:rsid w:val="00176748"/>
    <w:rsid w:val="00176AFC"/>
    <w:rsid w:val="00176E31"/>
    <w:rsid w:val="001772C8"/>
    <w:rsid w:val="00177404"/>
    <w:rsid w:val="001774B6"/>
    <w:rsid w:val="001774D3"/>
    <w:rsid w:val="00177510"/>
    <w:rsid w:val="001775D4"/>
    <w:rsid w:val="001777B7"/>
    <w:rsid w:val="001777D3"/>
    <w:rsid w:val="00177816"/>
    <w:rsid w:val="00177996"/>
    <w:rsid w:val="00177AE0"/>
    <w:rsid w:val="00177AFD"/>
    <w:rsid w:val="00177B86"/>
    <w:rsid w:val="00177CE2"/>
    <w:rsid w:val="00177CF4"/>
    <w:rsid w:val="00177F1E"/>
    <w:rsid w:val="001807A9"/>
    <w:rsid w:val="00180812"/>
    <w:rsid w:val="0018082C"/>
    <w:rsid w:val="00180A20"/>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BE0"/>
    <w:rsid w:val="00182D7D"/>
    <w:rsid w:val="00182F24"/>
    <w:rsid w:val="001831CD"/>
    <w:rsid w:val="001832C4"/>
    <w:rsid w:val="001833B2"/>
    <w:rsid w:val="00183592"/>
    <w:rsid w:val="0018363F"/>
    <w:rsid w:val="00183764"/>
    <w:rsid w:val="001839A0"/>
    <w:rsid w:val="00183A22"/>
    <w:rsid w:val="00183EF3"/>
    <w:rsid w:val="001843EF"/>
    <w:rsid w:val="001844BB"/>
    <w:rsid w:val="001844C3"/>
    <w:rsid w:val="001847BD"/>
    <w:rsid w:val="00184870"/>
    <w:rsid w:val="00184950"/>
    <w:rsid w:val="00184FD0"/>
    <w:rsid w:val="00185069"/>
    <w:rsid w:val="001852B6"/>
    <w:rsid w:val="00185546"/>
    <w:rsid w:val="00185816"/>
    <w:rsid w:val="00185CCB"/>
    <w:rsid w:val="00185D07"/>
    <w:rsid w:val="00185EA6"/>
    <w:rsid w:val="001864D1"/>
    <w:rsid w:val="00186B84"/>
    <w:rsid w:val="00186CA2"/>
    <w:rsid w:val="00186CD2"/>
    <w:rsid w:val="00186E29"/>
    <w:rsid w:val="0018707E"/>
    <w:rsid w:val="001870AB"/>
    <w:rsid w:val="00187102"/>
    <w:rsid w:val="00187221"/>
    <w:rsid w:val="001872B2"/>
    <w:rsid w:val="00187488"/>
    <w:rsid w:val="001876ED"/>
    <w:rsid w:val="00187731"/>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0B48"/>
    <w:rsid w:val="001912E2"/>
    <w:rsid w:val="001915A3"/>
    <w:rsid w:val="00191A2A"/>
    <w:rsid w:val="00191AF9"/>
    <w:rsid w:val="00191BF5"/>
    <w:rsid w:val="00191C56"/>
    <w:rsid w:val="00191DD2"/>
    <w:rsid w:val="00191E0F"/>
    <w:rsid w:val="00191EC5"/>
    <w:rsid w:val="001920C5"/>
    <w:rsid w:val="001922AC"/>
    <w:rsid w:val="001922FE"/>
    <w:rsid w:val="00192430"/>
    <w:rsid w:val="0019262E"/>
    <w:rsid w:val="001927A8"/>
    <w:rsid w:val="00192DC8"/>
    <w:rsid w:val="00192E36"/>
    <w:rsid w:val="00192ED2"/>
    <w:rsid w:val="001930FC"/>
    <w:rsid w:val="001932A6"/>
    <w:rsid w:val="0019344A"/>
    <w:rsid w:val="00193567"/>
    <w:rsid w:val="001938EA"/>
    <w:rsid w:val="001939BF"/>
    <w:rsid w:val="00193D1E"/>
    <w:rsid w:val="00193FA0"/>
    <w:rsid w:val="001946EE"/>
    <w:rsid w:val="0019484D"/>
    <w:rsid w:val="00194A0F"/>
    <w:rsid w:val="00195512"/>
    <w:rsid w:val="00195B90"/>
    <w:rsid w:val="00196088"/>
    <w:rsid w:val="001962D1"/>
    <w:rsid w:val="0019659E"/>
    <w:rsid w:val="00196902"/>
    <w:rsid w:val="00196BE4"/>
    <w:rsid w:val="00196CC1"/>
    <w:rsid w:val="00196D86"/>
    <w:rsid w:val="001970C6"/>
    <w:rsid w:val="00197294"/>
    <w:rsid w:val="00197522"/>
    <w:rsid w:val="001976A1"/>
    <w:rsid w:val="0019786E"/>
    <w:rsid w:val="00197A47"/>
    <w:rsid w:val="001A01B9"/>
    <w:rsid w:val="001A02E5"/>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4F8"/>
    <w:rsid w:val="001A2787"/>
    <w:rsid w:val="001A2889"/>
    <w:rsid w:val="001A2A80"/>
    <w:rsid w:val="001A2C40"/>
    <w:rsid w:val="001A2D05"/>
    <w:rsid w:val="001A3205"/>
    <w:rsid w:val="001A3266"/>
    <w:rsid w:val="001A332B"/>
    <w:rsid w:val="001A332F"/>
    <w:rsid w:val="001A3653"/>
    <w:rsid w:val="001A370F"/>
    <w:rsid w:val="001A3A1C"/>
    <w:rsid w:val="001A3A62"/>
    <w:rsid w:val="001A3C4B"/>
    <w:rsid w:val="001A4016"/>
    <w:rsid w:val="001A4259"/>
    <w:rsid w:val="001A4275"/>
    <w:rsid w:val="001A446E"/>
    <w:rsid w:val="001A45AB"/>
    <w:rsid w:val="001A4C2D"/>
    <w:rsid w:val="001A4D24"/>
    <w:rsid w:val="001A4FE4"/>
    <w:rsid w:val="001A5720"/>
    <w:rsid w:val="001A58FB"/>
    <w:rsid w:val="001A59BE"/>
    <w:rsid w:val="001A5D8A"/>
    <w:rsid w:val="001A5EB0"/>
    <w:rsid w:val="001A5EFC"/>
    <w:rsid w:val="001A5FC1"/>
    <w:rsid w:val="001A602A"/>
    <w:rsid w:val="001A6123"/>
    <w:rsid w:val="001A61A3"/>
    <w:rsid w:val="001A63A1"/>
    <w:rsid w:val="001A63A2"/>
    <w:rsid w:val="001A65C7"/>
    <w:rsid w:val="001A6852"/>
    <w:rsid w:val="001A68DD"/>
    <w:rsid w:val="001A695B"/>
    <w:rsid w:val="001A6B5F"/>
    <w:rsid w:val="001A6BBB"/>
    <w:rsid w:val="001A6E83"/>
    <w:rsid w:val="001A6ED0"/>
    <w:rsid w:val="001A6F52"/>
    <w:rsid w:val="001A7123"/>
    <w:rsid w:val="001A7453"/>
    <w:rsid w:val="001A7460"/>
    <w:rsid w:val="001A7968"/>
    <w:rsid w:val="001A79CF"/>
    <w:rsid w:val="001A7A26"/>
    <w:rsid w:val="001A7CC3"/>
    <w:rsid w:val="001A7F9C"/>
    <w:rsid w:val="001B001A"/>
    <w:rsid w:val="001B0178"/>
    <w:rsid w:val="001B03A0"/>
    <w:rsid w:val="001B0427"/>
    <w:rsid w:val="001B05D9"/>
    <w:rsid w:val="001B061B"/>
    <w:rsid w:val="001B06DA"/>
    <w:rsid w:val="001B079F"/>
    <w:rsid w:val="001B07D6"/>
    <w:rsid w:val="001B0814"/>
    <w:rsid w:val="001B0918"/>
    <w:rsid w:val="001B0ADD"/>
    <w:rsid w:val="001B0FAC"/>
    <w:rsid w:val="001B100D"/>
    <w:rsid w:val="001B1034"/>
    <w:rsid w:val="001B1499"/>
    <w:rsid w:val="001B14D2"/>
    <w:rsid w:val="001B15A6"/>
    <w:rsid w:val="001B17DA"/>
    <w:rsid w:val="001B1A64"/>
    <w:rsid w:val="001B1B45"/>
    <w:rsid w:val="001B1BC5"/>
    <w:rsid w:val="001B1C3B"/>
    <w:rsid w:val="001B1C41"/>
    <w:rsid w:val="001B1CD7"/>
    <w:rsid w:val="001B2166"/>
    <w:rsid w:val="001B296B"/>
    <w:rsid w:val="001B2A14"/>
    <w:rsid w:val="001B2B75"/>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5A08"/>
    <w:rsid w:val="001B627A"/>
    <w:rsid w:val="001B6448"/>
    <w:rsid w:val="001B6B7E"/>
    <w:rsid w:val="001B6BAD"/>
    <w:rsid w:val="001B6F81"/>
    <w:rsid w:val="001B70A1"/>
    <w:rsid w:val="001B76B5"/>
    <w:rsid w:val="001B7802"/>
    <w:rsid w:val="001B7A04"/>
    <w:rsid w:val="001B7D87"/>
    <w:rsid w:val="001B7E7B"/>
    <w:rsid w:val="001C0463"/>
    <w:rsid w:val="001C04A9"/>
    <w:rsid w:val="001C04FE"/>
    <w:rsid w:val="001C10DE"/>
    <w:rsid w:val="001C11EB"/>
    <w:rsid w:val="001C13D8"/>
    <w:rsid w:val="001C154B"/>
    <w:rsid w:val="001C15ED"/>
    <w:rsid w:val="001C17B1"/>
    <w:rsid w:val="001C18D1"/>
    <w:rsid w:val="001C18FB"/>
    <w:rsid w:val="001C19DF"/>
    <w:rsid w:val="001C1B45"/>
    <w:rsid w:val="001C1FB2"/>
    <w:rsid w:val="001C1FCF"/>
    <w:rsid w:val="001C2232"/>
    <w:rsid w:val="001C25DA"/>
    <w:rsid w:val="001C2668"/>
    <w:rsid w:val="001C26B7"/>
    <w:rsid w:val="001C2D6D"/>
    <w:rsid w:val="001C2EEF"/>
    <w:rsid w:val="001C31B9"/>
    <w:rsid w:val="001C32A2"/>
    <w:rsid w:val="001C3321"/>
    <w:rsid w:val="001C3837"/>
    <w:rsid w:val="001C394A"/>
    <w:rsid w:val="001C3D04"/>
    <w:rsid w:val="001C3EC5"/>
    <w:rsid w:val="001C4737"/>
    <w:rsid w:val="001C4833"/>
    <w:rsid w:val="001C48DA"/>
    <w:rsid w:val="001C580F"/>
    <w:rsid w:val="001C58C0"/>
    <w:rsid w:val="001C5C8A"/>
    <w:rsid w:val="001C6197"/>
    <w:rsid w:val="001C6325"/>
    <w:rsid w:val="001C680C"/>
    <w:rsid w:val="001C68EB"/>
    <w:rsid w:val="001C6B35"/>
    <w:rsid w:val="001C6E36"/>
    <w:rsid w:val="001C6ECF"/>
    <w:rsid w:val="001C73BC"/>
    <w:rsid w:val="001C7433"/>
    <w:rsid w:val="001C77DB"/>
    <w:rsid w:val="001C7966"/>
    <w:rsid w:val="001C79E6"/>
    <w:rsid w:val="001C7BBA"/>
    <w:rsid w:val="001C7C96"/>
    <w:rsid w:val="001C7CF5"/>
    <w:rsid w:val="001C7D9C"/>
    <w:rsid w:val="001D0064"/>
    <w:rsid w:val="001D00BA"/>
    <w:rsid w:val="001D0217"/>
    <w:rsid w:val="001D03B9"/>
    <w:rsid w:val="001D0751"/>
    <w:rsid w:val="001D091B"/>
    <w:rsid w:val="001D0A07"/>
    <w:rsid w:val="001D0AC4"/>
    <w:rsid w:val="001D0D78"/>
    <w:rsid w:val="001D0FE7"/>
    <w:rsid w:val="001D112C"/>
    <w:rsid w:val="001D11F0"/>
    <w:rsid w:val="001D27B6"/>
    <w:rsid w:val="001D2BA0"/>
    <w:rsid w:val="001D35D5"/>
    <w:rsid w:val="001D3722"/>
    <w:rsid w:val="001D3813"/>
    <w:rsid w:val="001D38D4"/>
    <w:rsid w:val="001D39D7"/>
    <w:rsid w:val="001D3DAC"/>
    <w:rsid w:val="001D4080"/>
    <w:rsid w:val="001D4188"/>
    <w:rsid w:val="001D41D1"/>
    <w:rsid w:val="001D41E2"/>
    <w:rsid w:val="001D437D"/>
    <w:rsid w:val="001D43B5"/>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296"/>
    <w:rsid w:val="001D670F"/>
    <w:rsid w:val="001D68FE"/>
    <w:rsid w:val="001D6923"/>
    <w:rsid w:val="001D6C21"/>
    <w:rsid w:val="001D6DC1"/>
    <w:rsid w:val="001D72EF"/>
    <w:rsid w:val="001D7541"/>
    <w:rsid w:val="001D7715"/>
    <w:rsid w:val="001E0259"/>
    <w:rsid w:val="001E035B"/>
    <w:rsid w:val="001E03CE"/>
    <w:rsid w:val="001E042F"/>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105"/>
    <w:rsid w:val="001E436A"/>
    <w:rsid w:val="001E44C6"/>
    <w:rsid w:val="001E45D5"/>
    <w:rsid w:val="001E462A"/>
    <w:rsid w:val="001E4C0D"/>
    <w:rsid w:val="001E506B"/>
    <w:rsid w:val="001E509F"/>
    <w:rsid w:val="001E519F"/>
    <w:rsid w:val="001E51B0"/>
    <w:rsid w:val="001E5308"/>
    <w:rsid w:val="001E5462"/>
    <w:rsid w:val="001E5475"/>
    <w:rsid w:val="001E549E"/>
    <w:rsid w:val="001E58C1"/>
    <w:rsid w:val="001E5CE5"/>
    <w:rsid w:val="001E5D29"/>
    <w:rsid w:val="001E5E9C"/>
    <w:rsid w:val="001E60BD"/>
    <w:rsid w:val="001E6125"/>
    <w:rsid w:val="001E63C7"/>
    <w:rsid w:val="001E6428"/>
    <w:rsid w:val="001E659A"/>
    <w:rsid w:val="001E65C4"/>
    <w:rsid w:val="001E69E0"/>
    <w:rsid w:val="001E6D88"/>
    <w:rsid w:val="001E74CA"/>
    <w:rsid w:val="001E7518"/>
    <w:rsid w:val="001E758F"/>
    <w:rsid w:val="001E765C"/>
    <w:rsid w:val="001E769D"/>
    <w:rsid w:val="001E773D"/>
    <w:rsid w:val="001E7741"/>
    <w:rsid w:val="001E77A4"/>
    <w:rsid w:val="001E77D1"/>
    <w:rsid w:val="001E787B"/>
    <w:rsid w:val="001E79DD"/>
    <w:rsid w:val="001E79E2"/>
    <w:rsid w:val="001E7C26"/>
    <w:rsid w:val="001F0008"/>
    <w:rsid w:val="001F00BC"/>
    <w:rsid w:val="001F049E"/>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77B"/>
    <w:rsid w:val="001F28BF"/>
    <w:rsid w:val="001F28DC"/>
    <w:rsid w:val="001F34E1"/>
    <w:rsid w:val="001F35EC"/>
    <w:rsid w:val="001F37CE"/>
    <w:rsid w:val="001F3B91"/>
    <w:rsid w:val="001F3D7C"/>
    <w:rsid w:val="001F4229"/>
    <w:rsid w:val="001F4355"/>
    <w:rsid w:val="001F452E"/>
    <w:rsid w:val="001F475C"/>
    <w:rsid w:val="001F490F"/>
    <w:rsid w:val="001F4A26"/>
    <w:rsid w:val="001F4BD7"/>
    <w:rsid w:val="001F4C53"/>
    <w:rsid w:val="001F4D28"/>
    <w:rsid w:val="001F4E1E"/>
    <w:rsid w:val="001F4F9A"/>
    <w:rsid w:val="001F51CB"/>
    <w:rsid w:val="001F5646"/>
    <w:rsid w:val="001F564D"/>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9BE"/>
    <w:rsid w:val="001F7CC6"/>
    <w:rsid w:val="001F7DD5"/>
    <w:rsid w:val="00200026"/>
    <w:rsid w:val="0020021A"/>
    <w:rsid w:val="00200333"/>
    <w:rsid w:val="002003F9"/>
    <w:rsid w:val="0020057E"/>
    <w:rsid w:val="00200661"/>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2D"/>
    <w:rsid w:val="002040C7"/>
    <w:rsid w:val="002044AA"/>
    <w:rsid w:val="00204843"/>
    <w:rsid w:val="00204B36"/>
    <w:rsid w:val="00204BAA"/>
    <w:rsid w:val="00204CEC"/>
    <w:rsid w:val="00205178"/>
    <w:rsid w:val="00205236"/>
    <w:rsid w:val="0020559E"/>
    <w:rsid w:val="0020570C"/>
    <w:rsid w:val="00205A4E"/>
    <w:rsid w:val="00205B3A"/>
    <w:rsid w:val="00205C7C"/>
    <w:rsid w:val="0020610A"/>
    <w:rsid w:val="002064C9"/>
    <w:rsid w:val="002065C7"/>
    <w:rsid w:val="00206676"/>
    <w:rsid w:val="0020687E"/>
    <w:rsid w:val="00206A85"/>
    <w:rsid w:val="00206CA4"/>
    <w:rsid w:val="002070EA"/>
    <w:rsid w:val="0020719C"/>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88"/>
    <w:rsid w:val="00212FD8"/>
    <w:rsid w:val="00213002"/>
    <w:rsid w:val="0021304A"/>
    <w:rsid w:val="002130AE"/>
    <w:rsid w:val="002134DA"/>
    <w:rsid w:val="0021353E"/>
    <w:rsid w:val="00213558"/>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5E7D"/>
    <w:rsid w:val="00216172"/>
    <w:rsid w:val="0021653C"/>
    <w:rsid w:val="00216DD8"/>
    <w:rsid w:val="0021709E"/>
    <w:rsid w:val="002171ED"/>
    <w:rsid w:val="0021726E"/>
    <w:rsid w:val="002172CA"/>
    <w:rsid w:val="002178CA"/>
    <w:rsid w:val="00217919"/>
    <w:rsid w:val="002179F6"/>
    <w:rsid w:val="00217A4F"/>
    <w:rsid w:val="00217C22"/>
    <w:rsid w:val="00217D07"/>
    <w:rsid w:val="00217E30"/>
    <w:rsid w:val="00217E33"/>
    <w:rsid w:val="00217E48"/>
    <w:rsid w:val="00220A47"/>
    <w:rsid w:val="00220EC6"/>
    <w:rsid w:val="00220FF5"/>
    <w:rsid w:val="002210AF"/>
    <w:rsid w:val="002212B8"/>
    <w:rsid w:val="002216B1"/>
    <w:rsid w:val="0022186A"/>
    <w:rsid w:val="00221B95"/>
    <w:rsid w:val="00221CDB"/>
    <w:rsid w:val="00221CDE"/>
    <w:rsid w:val="00221D83"/>
    <w:rsid w:val="00221FFB"/>
    <w:rsid w:val="0022203A"/>
    <w:rsid w:val="00222251"/>
    <w:rsid w:val="00222570"/>
    <w:rsid w:val="00222764"/>
    <w:rsid w:val="00222DA3"/>
    <w:rsid w:val="00222E0F"/>
    <w:rsid w:val="002231A6"/>
    <w:rsid w:val="00223559"/>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279"/>
    <w:rsid w:val="002263AF"/>
    <w:rsid w:val="0022658F"/>
    <w:rsid w:val="00226668"/>
    <w:rsid w:val="002267B2"/>
    <w:rsid w:val="002268EA"/>
    <w:rsid w:val="00226BAD"/>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548"/>
    <w:rsid w:val="00232BAA"/>
    <w:rsid w:val="00232DF2"/>
    <w:rsid w:val="00232E14"/>
    <w:rsid w:val="00232E5E"/>
    <w:rsid w:val="0023356F"/>
    <w:rsid w:val="00233656"/>
    <w:rsid w:val="00233749"/>
    <w:rsid w:val="002338E8"/>
    <w:rsid w:val="00233B5C"/>
    <w:rsid w:val="00233E26"/>
    <w:rsid w:val="00233E5C"/>
    <w:rsid w:val="00233ED8"/>
    <w:rsid w:val="00233FD6"/>
    <w:rsid w:val="0023459F"/>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77D"/>
    <w:rsid w:val="00241806"/>
    <w:rsid w:val="002419E1"/>
    <w:rsid w:val="00241AD7"/>
    <w:rsid w:val="00241BC3"/>
    <w:rsid w:val="002421E0"/>
    <w:rsid w:val="002422D1"/>
    <w:rsid w:val="00242379"/>
    <w:rsid w:val="002425C0"/>
    <w:rsid w:val="00242766"/>
    <w:rsid w:val="00242878"/>
    <w:rsid w:val="00242CCC"/>
    <w:rsid w:val="00242EB7"/>
    <w:rsid w:val="00243051"/>
    <w:rsid w:val="002432D1"/>
    <w:rsid w:val="00243799"/>
    <w:rsid w:val="002437AD"/>
    <w:rsid w:val="002437F7"/>
    <w:rsid w:val="0024388C"/>
    <w:rsid w:val="00243AFA"/>
    <w:rsid w:val="00243D04"/>
    <w:rsid w:val="00243E8B"/>
    <w:rsid w:val="0024424B"/>
    <w:rsid w:val="0024431C"/>
    <w:rsid w:val="0024437B"/>
    <w:rsid w:val="002444D3"/>
    <w:rsid w:val="0024456F"/>
    <w:rsid w:val="00244969"/>
    <w:rsid w:val="00244EA6"/>
    <w:rsid w:val="00244EAE"/>
    <w:rsid w:val="00245424"/>
    <w:rsid w:val="0024573A"/>
    <w:rsid w:val="002457C1"/>
    <w:rsid w:val="0024588B"/>
    <w:rsid w:val="002458B2"/>
    <w:rsid w:val="00245BF1"/>
    <w:rsid w:val="00245C8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35E"/>
    <w:rsid w:val="00251401"/>
    <w:rsid w:val="00251693"/>
    <w:rsid w:val="002516B7"/>
    <w:rsid w:val="002517BC"/>
    <w:rsid w:val="002519D3"/>
    <w:rsid w:val="00251E29"/>
    <w:rsid w:val="00252029"/>
    <w:rsid w:val="00252072"/>
    <w:rsid w:val="0025236A"/>
    <w:rsid w:val="00252528"/>
    <w:rsid w:val="00252719"/>
    <w:rsid w:val="00252890"/>
    <w:rsid w:val="00252898"/>
    <w:rsid w:val="00252A20"/>
    <w:rsid w:val="00252CC6"/>
    <w:rsid w:val="00252F33"/>
    <w:rsid w:val="00252FE9"/>
    <w:rsid w:val="002536B4"/>
    <w:rsid w:val="00253A58"/>
    <w:rsid w:val="00253D1B"/>
    <w:rsid w:val="00253E45"/>
    <w:rsid w:val="00253F47"/>
    <w:rsid w:val="00253F7D"/>
    <w:rsid w:val="00253FB8"/>
    <w:rsid w:val="00254174"/>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1E"/>
    <w:rsid w:val="002571BB"/>
    <w:rsid w:val="00257538"/>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57"/>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7F5"/>
    <w:rsid w:val="0026483C"/>
    <w:rsid w:val="002648C0"/>
    <w:rsid w:val="00264913"/>
    <w:rsid w:val="00264EEC"/>
    <w:rsid w:val="00265041"/>
    <w:rsid w:val="002650E2"/>
    <w:rsid w:val="002654AF"/>
    <w:rsid w:val="002656F4"/>
    <w:rsid w:val="002658EF"/>
    <w:rsid w:val="00265930"/>
    <w:rsid w:val="00265BA7"/>
    <w:rsid w:val="00265CD1"/>
    <w:rsid w:val="00266140"/>
    <w:rsid w:val="0026615E"/>
    <w:rsid w:val="002664D5"/>
    <w:rsid w:val="00266567"/>
    <w:rsid w:val="00266588"/>
    <w:rsid w:val="0026689A"/>
    <w:rsid w:val="002668EB"/>
    <w:rsid w:val="00266A8A"/>
    <w:rsid w:val="00266B0F"/>
    <w:rsid w:val="002671AB"/>
    <w:rsid w:val="002671C2"/>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7DC"/>
    <w:rsid w:val="00271C81"/>
    <w:rsid w:val="00271E5E"/>
    <w:rsid w:val="00271EC6"/>
    <w:rsid w:val="00271FDE"/>
    <w:rsid w:val="002721AF"/>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4F28"/>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49F"/>
    <w:rsid w:val="0027789B"/>
    <w:rsid w:val="00277C97"/>
    <w:rsid w:val="00277DBC"/>
    <w:rsid w:val="00277E42"/>
    <w:rsid w:val="00277F8B"/>
    <w:rsid w:val="00280616"/>
    <w:rsid w:val="002806D9"/>
    <w:rsid w:val="0028080A"/>
    <w:rsid w:val="00280966"/>
    <w:rsid w:val="00280C3A"/>
    <w:rsid w:val="00280D64"/>
    <w:rsid w:val="00281040"/>
    <w:rsid w:val="002811E7"/>
    <w:rsid w:val="002814AE"/>
    <w:rsid w:val="002816AF"/>
    <w:rsid w:val="00281838"/>
    <w:rsid w:val="00281957"/>
    <w:rsid w:val="00281C23"/>
    <w:rsid w:val="00281D74"/>
    <w:rsid w:val="00282246"/>
    <w:rsid w:val="002822DD"/>
    <w:rsid w:val="002829CC"/>
    <w:rsid w:val="00282E90"/>
    <w:rsid w:val="00282F78"/>
    <w:rsid w:val="00282FDF"/>
    <w:rsid w:val="0028302D"/>
    <w:rsid w:val="0028348D"/>
    <w:rsid w:val="00283730"/>
    <w:rsid w:val="00283B0F"/>
    <w:rsid w:val="00283C63"/>
    <w:rsid w:val="00283D7A"/>
    <w:rsid w:val="00283D7F"/>
    <w:rsid w:val="00283DD8"/>
    <w:rsid w:val="00284207"/>
    <w:rsid w:val="00284491"/>
    <w:rsid w:val="00284886"/>
    <w:rsid w:val="00284928"/>
    <w:rsid w:val="00284D1A"/>
    <w:rsid w:val="00284D97"/>
    <w:rsid w:val="00284DD3"/>
    <w:rsid w:val="002852AF"/>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0F72"/>
    <w:rsid w:val="002910BF"/>
    <w:rsid w:val="002910E0"/>
    <w:rsid w:val="002914DF"/>
    <w:rsid w:val="002914FC"/>
    <w:rsid w:val="00291DA7"/>
    <w:rsid w:val="002922CA"/>
    <w:rsid w:val="00292480"/>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572"/>
    <w:rsid w:val="00294809"/>
    <w:rsid w:val="00294A66"/>
    <w:rsid w:val="00294E7D"/>
    <w:rsid w:val="002952D8"/>
    <w:rsid w:val="00295404"/>
    <w:rsid w:val="00295489"/>
    <w:rsid w:val="002954EC"/>
    <w:rsid w:val="0029582E"/>
    <w:rsid w:val="00295846"/>
    <w:rsid w:val="00295995"/>
    <w:rsid w:val="00295A12"/>
    <w:rsid w:val="00295A33"/>
    <w:rsid w:val="00295B63"/>
    <w:rsid w:val="00295D26"/>
    <w:rsid w:val="00296014"/>
    <w:rsid w:val="002962E6"/>
    <w:rsid w:val="00296D2B"/>
    <w:rsid w:val="002972E1"/>
    <w:rsid w:val="00297A99"/>
    <w:rsid w:val="00297B82"/>
    <w:rsid w:val="00297E5E"/>
    <w:rsid w:val="00297EB0"/>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2CBA"/>
    <w:rsid w:val="002A313A"/>
    <w:rsid w:val="002A3179"/>
    <w:rsid w:val="002A3257"/>
    <w:rsid w:val="002A3292"/>
    <w:rsid w:val="002A3409"/>
    <w:rsid w:val="002A3A49"/>
    <w:rsid w:val="002A3CFD"/>
    <w:rsid w:val="002A4132"/>
    <w:rsid w:val="002A4221"/>
    <w:rsid w:val="002A4508"/>
    <w:rsid w:val="002A466C"/>
    <w:rsid w:val="002A46B9"/>
    <w:rsid w:val="002A4EA4"/>
    <w:rsid w:val="002A5068"/>
    <w:rsid w:val="002A512D"/>
    <w:rsid w:val="002A52D1"/>
    <w:rsid w:val="002A5B34"/>
    <w:rsid w:val="002A5BCC"/>
    <w:rsid w:val="002A648C"/>
    <w:rsid w:val="002A6583"/>
    <w:rsid w:val="002A6A37"/>
    <w:rsid w:val="002A728E"/>
    <w:rsid w:val="002A7347"/>
    <w:rsid w:val="002A75AE"/>
    <w:rsid w:val="002A7744"/>
    <w:rsid w:val="002A7A3E"/>
    <w:rsid w:val="002A7B9D"/>
    <w:rsid w:val="002A7F12"/>
    <w:rsid w:val="002A7FC5"/>
    <w:rsid w:val="002B038F"/>
    <w:rsid w:val="002B0486"/>
    <w:rsid w:val="002B0B8A"/>
    <w:rsid w:val="002B0BA4"/>
    <w:rsid w:val="002B0E1C"/>
    <w:rsid w:val="002B0F04"/>
    <w:rsid w:val="002B0FE7"/>
    <w:rsid w:val="002B165A"/>
    <w:rsid w:val="002B1709"/>
    <w:rsid w:val="002B1740"/>
    <w:rsid w:val="002B1820"/>
    <w:rsid w:val="002B19FE"/>
    <w:rsid w:val="002B1A67"/>
    <w:rsid w:val="002B1BA3"/>
    <w:rsid w:val="002B1BF3"/>
    <w:rsid w:val="002B2422"/>
    <w:rsid w:val="002B2485"/>
    <w:rsid w:val="002B2627"/>
    <w:rsid w:val="002B26A2"/>
    <w:rsid w:val="002B26E8"/>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6AA"/>
    <w:rsid w:val="002C089B"/>
    <w:rsid w:val="002C093A"/>
    <w:rsid w:val="002C0C05"/>
    <w:rsid w:val="002C0FF0"/>
    <w:rsid w:val="002C1656"/>
    <w:rsid w:val="002C17DF"/>
    <w:rsid w:val="002C1C93"/>
    <w:rsid w:val="002C1D99"/>
    <w:rsid w:val="002C204F"/>
    <w:rsid w:val="002C2151"/>
    <w:rsid w:val="002C230C"/>
    <w:rsid w:val="002C2311"/>
    <w:rsid w:val="002C2409"/>
    <w:rsid w:val="002C24F2"/>
    <w:rsid w:val="002C2802"/>
    <w:rsid w:val="002C2CDB"/>
    <w:rsid w:val="002C2E02"/>
    <w:rsid w:val="002C2ECE"/>
    <w:rsid w:val="002C2F3D"/>
    <w:rsid w:val="002C30C5"/>
    <w:rsid w:val="002C33B4"/>
    <w:rsid w:val="002C33B8"/>
    <w:rsid w:val="002C3623"/>
    <w:rsid w:val="002C3AE6"/>
    <w:rsid w:val="002C3B2E"/>
    <w:rsid w:val="002C3C14"/>
    <w:rsid w:val="002C3CD0"/>
    <w:rsid w:val="002C3FDC"/>
    <w:rsid w:val="002C4BB7"/>
    <w:rsid w:val="002C4CF3"/>
    <w:rsid w:val="002C4D54"/>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82B"/>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3F6D"/>
    <w:rsid w:val="002D4062"/>
    <w:rsid w:val="002D409F"/>
    <w:rsid w:val="002D40F0"/>
    <w:rsid w:val="002D4273"/>
    <w:rsid w:val="002D4719"/>
    <w:rsid w:val="002D5184"/>
    <w:rsid w:val="002D55EB"/>
    <w:rsid w:val="002D563C"/>
    <w:rsid w:val="002D58F7"/>
    <w:rsid w:val="002D5B8C"/>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D7BE4"/>
    <w:rsid w:val="002E090F"/>
    <w:rsid w:val="002E0967"/>
    <w:rsid w:val="002E0D00"/>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20E"/>
    <w:rsid w:val="002E64CC"/>
    <w:rsid w:val="002E660A"/>
    <w:rsid w:val="002E6799"/>
    <w:rsid w:val="002E6C40"/>
    <w:rsid w:val="002E6CCF"/>
    <w:rsid w:val="002E6E72"/>
    <w:rsid w:val="002E706B"/>
    <w:rsid w:val="002E70A9"/>
    <w:rsid w:val="002E710E"/>
    <w:rsid w:val="002E7523"/>
    <w:rsid w:val="002E7A0C"/>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1F85"/>
    <w:rsid w:val="002F24E4"/>
    <w:rsid w:val="002F2568"/>
    <w:rsid w:val="002F2624"/>
    <w:rsid w:val="002F293D"/>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7E"/>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AA"/>
    <w:rsid w:val="00300EF7"/>
    <w:rsid w:val="0030122E"/>
    <w:rsid w:val="00301354"/>
    <w:rsid w:val="00301453"/>
    <w:rsid w:val="0030179B"/>
    <w:rsid w:val="00301BE1"/>
    <w:rsid w:val="00302431"/>
    <w:rsid w:val="0030260D"/>
    <w:rsid w:val="003026DD"/>
    <w:rsid w:val="003026F0"/>
    <w:rsid w:val="0030276D"/>
    <w:rsid w:val="00302946"/>
    <w:rsid w:val="00302A86"/>
    <w:rsid w:val="00302B76"/>
    <w:rsid w:val="00302C8D"/>
    <w:rsid w:val="00302CAA"/>
    <w:rsid w:val="00302D6C"/>
    <w:rsid w:val="00302E3D"/>
    <w:rsid w:val="00302E6F"/>
    <w:rsid w:val="00302FFB"/>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8B2"/>
    <w:rsid w:val="00305CA8"/>
    <w:rsid w:val="00305DBB"/>
    <w:rsid w:val="00305DE3"/>
    <w:rsid w:val="003061A9"/>
    <w:rsid w:val="00306342"/>
    <w:rsid w:val="0030679B"/>
    <w:rsid w:val="003067B0"/>
    <w:rsid w:val="00306914"/>
    <w:rsid w:val="00306DA0"/>
    <w:rsid w:val="00306FED"/>
    <w:rsid w:val="003074DA"/>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13E"/>
    <w:rsid w:val="00313B7C"/>
    <w:rsid w:val="00313C11"/>
    <w:rsid w:val="00313C32"/>
    <w:rsid w:val="00314017"/>
    <w:rsid w:val="00314034"/>
    <w:rsid w:val="00314129"/>
    <w:rsid w:val="00314397"/>
    <w:rsid w:val="003144BA"/>
    <w:rsid w:val="00314523"/>
    <w:rsid w:val="0031455C"/>
    <w:rsid w:val="00314645"/>
    <w:rsid w:val="003149A3"/>
    <w:rsid w:val="00314BFB"/>
    <w:rsid w:val="00315000"/>
    <w:rsid w:val="0031519C"/>
    <w:rsid w:val="0031550B"/>
    <w:rsid w:val="00315540"/>
    <w:rsid w:val="00315A9D"/>
    <w:rsid w:val="00315DD4"/>
    <w:rsid w:val="00315E08"/>
    <w:rsid w:val="00315F8A"/>
    <w:rsid w:val="00316755"/>
    <w:rsid w:val="00316954"/>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046"/>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D4E"/>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860"/>
    <w:rsid w:val="00334AA7"/>
    <w:rsid w:val="0033504D"/>
    <w:rsid w:val="003351D9"/>
    <w:rsid w:val="0033522D"/>
    <w:rsid w:val="0033532E"/>
    <w:rsid w:val="00335BDA"/>
    <w:rsid w:val="00335CE3"/>
    <w:rsid w:val="00335E9E"/>
    <w:rsid w:val="00336146"/>
    <w:rsid w:val="003364E2"/>
    <w:rsid w:val="0033656F"/>
    <w:rsid w:val="00336662"/>
    <w:rsid w:val="003366AE"/>
    <w:rsid w:val="003369EE"/>
    <w:rsid w:val="00336A2E"/>
    <w:rsid w:val="00336A91"/>
    <w:rsid w:val="00336DB6"/>
    <w:rsid w:val="00336F08"/>
    <w:rsid w:val="00336F83"/>
    <w:rsid w:val="003370CB"/>
    <w:rsid w:val="0033723E"/>
    <w:rsid w:val="0033735C"/>
    <w:rsid w:val="0033798E"/>
    <w:rsid w:val="00337F55"/>
    <w:rsid w:val="00337F79"/>
    <w:rsid w:val="0034027E"/>
    <w:rsid w:val="003404BC"/>
    <w:rsid w:val="00340626"/>
    <w:rsid w:val="00340661"/>
    <w:rsid w:val="003406BA"/>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CBB"/>
    <w:rsid w:val="00343F07"/>
    <w:rsid w:val="003443FB"/>
    <w:rsid w:val="00344488"/>
    <w:rsid w:val="003444CF"/>
    <w:rsid w:val="003445AC"/>
    <w:rsid w:val="00344760"/>
    <w:rsid w:val="00344B24"/>
    <w:rsid w:val="00344E5B"/>
    <w:rsid w:val="0034500C"/>
    <w:rsid w:val="003450B8"/>
    <w:rsid w:val="00345185"/>
    <w:rsid w:val="00345431"/>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1FDA"/>
    <w:rsid w:val="003520DC"/>
    <w:rsid w:val="00352337"/>
    <w:rsid w:val="003524DB"/>
    <w:rsid w:val="00352522"/>
    <w:rsid w:val="003525B9"/>
    <w:rsid w:val="003528A2"/>
    <w:rsid w:val="0035296F"/>
    <w:rsid w:val="00352E69"/>
    <w:rsid w:val="00352EE8"/>
    <w:rsid w:val="00352EF6"/>
    <w:rsid w:val="003530CF"/>
    <w:rsid w:val="003530D4"/>
    <w:rsid w:val="00353201"/>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A92"/>
    <w:rsid w:val="00357EF9"/>
    <w:rsid w:val="00357FCD"/>
    <w:rsid w:val="00360101"/>
    <w:rsid w:val="00360125"/>
    <w:rsid w:val="00360258"/>
    <w:rsid w:val="0036088E"/>
    <w:rsid w:val="003608DB"/>
    <w:rsid w:val="00360D85"/>
    <w:rsid w:val="00360F07"/>
    <w:rsid w:val="00361109"/>
    <w:rsid w:val="00361A6B"/>
    <w:rsid w:val="00361C00"/>
    <w:rsid w:val="00361F8A"/>
    <w:rsid w:val="00362166"/>
    <w:rsid w:val="003623F6"/>
    <w:rsid w:val="00362556"/>
    <w:rsid w:val="00362709"/>
    <w:rsid w:val="0036283F"/>
    <w:rsid w:val="0036284D"/>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71"/>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16"/>
    <w:rsid w:val="00370F6E"/>
    <w:rsid w:val="00371062"/>
    <w:rsid w:val="00371091"/>
    <w:rsid w:val="003714B2"/>
    <w:rsid w:val="00371518"/>
    <w:rsid w:val="0037158B"/>
    <w:rsid w:val="003717F1"/>
    <w:rsid w:val="00371BC0"/>
    <w:rsid w:val="00371ECA"/>
    <w:rsid w:val="0037209F"/>
    <w:rsid w:val="003726B7"/>
    <w:rsid w:val="0037290C"/>
    <w:rsid w:val="00372984"/>
    <w:rsid w:val="00372AE1"/>
    <w:rsid w:val="00372B4A"/>
    <w:rsid w:val="00372C06"/>
    <w:rsid w:val="00372FCE"/>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AF"/>
    <w:rsid w:val="003805D6"/>
    <w:rsid w:val="003806E4"/>
    <w:rsid w:val="00380AC1"/>
    <w:rsid w:val="00380E9B"/>
    <w:rsid w:val="00381015"/>
    <w:rsid w:val="003814F7"/>
    <w:rsid w:val="0038193D"/>
    <w:rsid w:val="00381E30"/>
    <w:rsid w:val="0038251C"/>
    <w:rsid w:val="0038264C"/>
    <w:rsid w:val="00382880"/>
    <w:rsid w:val="00382A18"/>
    <w:rsid w:val="00382AA2"/>
    <w:rsid w:val="00382ACB"/>
    <w:rsid w:val="00382B3E"/>
    <w:rsid w:val="00382DAE"/>
    <w:rsid w:val="00382F65"/>
    <w:rsid w:val="003830FC"/>
    <w:rsid w:val="003833CD"/>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6"/>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BC0"/>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9DC"/>
    <w:rsid w:val="003A0BEE"/>
    <w:rsid w:val="003A0C86"/>
    <w:rsid w:val="003A0EBC"/>
    <w:rsid w:val="003A193D"/>
    <w:rsid w:val="003A19CC"/>
    <w:rsid w:val="003A21D7"/>
    <w:rsid w:val="003A24F9"/>
    <w:rsid w:val="003A2514"/>
    <w:rsid w:val="003A25B0"/>
    <w:rsid w:val="003A270F"/>
    <w:rsid w:val="003A2E76"/>
    <w:rsid w:val="003A2EA3"/>
    <w:rsid w:val="003A309A"/>
    <w:rsid w:val="003A3237"/>
    <w:rsid w:val="003A3314"/>
    <w:rsid w:val="003A335C"/>
    <w:rsid w:val="003A36D3"/>
    <w:rsid w:val="003A3721"/>
    <w:rsid w:val="003A3B8F"/>
    <w:rsid w:val="003A3DAE"/>
    <w:rsid w:val="003A3EF6"/>
    <w:rsid w:val="003A41EB"/>
    <w:rsid w:val="003A420A"/>
    <w:rsid w:val="003A4264"/>
    <w:rsid w:val="003A4296"/>
    <w:rsid w:val="003A42CC"/>
    <w:rsid w:val="003A4319"/>
    <w:rsid w:val="003A4523"/>
    <w:rsid w:val="003A4954"/>
    <w:rsid w:val="003A4AA7"/>
    <w:rsid w:val="003A4AD7"/>
    <w:rsid w:val="003A4D30"/>
    <w:rsid w:val="003A50F8"/>
    <w:rsid w:val="003A52C4"/>
    <w:rsid w:val="003A5304"/>
    <w:rsid w:val="003A5735"/>
    <w:rsid w:val="003A58C7"/>
    <w:rsid w:val="003A5ACF"/>
    <w:rsid w:val="003A5D57"/>
    <w:rsid w:val="003A5E2A"/>
    <w:rsid w:val="003A5E8C"/>
    <w:rsid w:val="003A618E"/>
    <w:rsid w:val="003A66D7"/>
    <w:rsid w:val="003A6CDC"/>
    <w:rsid w:val="003A6E30"/>
    <w:rsid w:val="003A7265"/>
    <w:rsid w:val="003A7367"/>
    <w:rsid w:val="003A797C"/>
    <w:rsid w:val="003A7A6F"/>
    <w:rsid w:val="003A7FF6"/>
    <w:rsid w:val="003B03F4"/>
    <w:rsid w:val="003B0413"/>
    <w:rsid w:val="003B0677"/>
    <w:rsid w:val="003B083A"/>
    <w:rsid w:val="003B0A0F"/>
    <w:rsid w:val="003B0B9C"/>
    <w:rsid w:val="003B0D40"/>
    <w:rsid w:val="003B0EC1"/>
    <w:rsid w:val="003B108A"/>
    <w:rsid w:val="003B1090"/>
    <w:rsid w:val="003B12DD"/>
    <w:rsid w:val="003B16D2"/>
    <w:rsid w:val="003B1850"/>
    <w:rsid w:val="003B192B"/>
    <w:rsid w:val="003B1B21"/>
    <w:rsid w:val="003B1C17"/>
    <w:rsid w:val="003B1CB6"/>
    <w:rsid w:val="003B202F"/>
    <w:rsid w:val="003B206D"/>
    <w:rsid w:val="003B209A"/>
    <w:rsid w:val="003B20B8"/>
    <w:rsid w:val="003B2104"/>
    <w:rsid w:val="003B2198"/>
    <w:rsid w:val="003B2498"/>
    <w:rsid w:val="003B28BC"/>
    <w:rsid w:val="003B29FE"/>
    <w:rsid w:val="003B32F5"/>
    <w:rsid w:val="003B38CD"/>
    <w:rsid w:val="003B3A56"/>
    <w:rsid w:val="003B3D10"/>
    <w:rsid w:val="003B3DA7"/>
    <w:rsid w:val="003B3F0A"/>
    <w:rsid w:val="003B44FE"/>
    <w:rsid w:val="003B46B5"/>
    <w:rsid w:val="003B4849"/>
    <w:rsid w:val="003B4A40"/>
    <w:rsid w:val="003B4A70"/>
    <w:rsid w:val="003B4D70"/>
    <w:rsid w:val="003B4EDF"/>
    <w:rsid w:val="003B4F2E"/>
    <w:rsid w:val="003B5548"/>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56"/>
    <w:rsid w:val="003B6A9C"/>
    <w:rsid w:val="003B6B94"/>
    <w:rsid w:val="003B6C95"/>
    <w:rsid w:val="003B6CB4"/>
    <w:rsid w:val="003B6DB5"/>
    <w:rsid w:val="003B6E55"/>
    <w:rsid w:val="003B7014"/>
    <w:rsid w:val="003B74F5"/>
    <w:rsid w:val="003B76BF"/>
    <w:rsid w:val="003B7716"/>
    <w:rsid w:val="003B7A53"/>
    <w:rsid w:val="003B7AC5"/>
    <w:rsid w:val="003B7B24"/>
    <w:rsid w:val="003B7BB9"/>
    <w:rsid w:val="003B7BEB"/>
    <w:rsid w:val="003B7ECE"/>
    <w:rsid w:val="003C00AB"/>
    <w:rsid w:val="003C041C"/>
    <w:rsid w:val="003C0F40"/>
    <w:rsid w:val="003C0F54"/>
    <w:rsid w:val="003C0FEF"/>
    <w:rsid w:val="003C121D"/>
    <w:rsid w:val="003C1640"/>
    <w:rsid w:val="003C1658"/>
    <w:rsid w:val="003C1867"/>
    <w:rsid w:val="003C188E"/>
    <w:rsid w:val="003C1937"/>
    <w:rsid w:val="003C233E"/>
    <w:rsid w:val="003C260C"/>
    <w:rsid w:val="003C277F"/>
    <w:rsid w:val="003C281D"/>
    <w:rsid w:val="003C2897"/>
    <w:rsid w:val="003C29EE"/>
    <w:rsid w:val="003C2C8D"/>
    <w:rsid w:val="003C2E50"/>
    <w:rsid w:val="003C3016"/>
    <w:rsid w:val="003C319E"/>
    <w:rsid w:val="003C33A3"/>
    <w:rsid w:val="003C387E"/>
    <w:rsid w:val="003C3ACE"/>
    <w:rsid w:val="003C3B2E"/>
    <w:rsid w:val="003C3CCD"/>
    <w:rsid w:val="003C3D25"/>
    <w:rsid w:val="003C3DB9"/>
    <w:rsid w:val="003C3F26"/>
    <w:rsid w:val="003C40A4"/>
    <w:rsid w:val="003C44E3"/>
    <w:rsid w:val="003C45A6"/>
    <w:rsid w:val="003C4C0F"/>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81"/>
    <w:rsid w:val="003C79A3"/>
    <w:rsid w:val="003C79E5"/>
    <w:rsid w:val="003D00D2"/>
    <w:rsid w:val="003D056E"/>
    <w:rsid w:val="003D0AFB"/>
    <w:rsid w:val="003D0BD2"/>
    <w:rsid w:val="003D0BE3"/>
    <w:rsid w:val="003D1331"/>
    <w:rsid w:val="003D1730"/>
    <w:rsid w:val="003D184B"/>
    <w:rsid w:val="003D19AA"/>
    <w:rsid w:val="003D1C09"/>
    <w:rsid w:val="003D1C0A"/>
    <w:rsid w:val="003D1C91"/>
    <w:rsid w:val="003D21F7"/>
    <w:rsid w:val="003D228D"/>
    <w:rsid w:val="003D23EE"/>
    <w:rsid w:val="003D2589"/>
    <w:rsid w:val="003D25F4"/>
    <w:rsid w:val="003D26D5"/>
    <w:rsid w:val="003D26F7"/>
    <w:rsid w:val="003D2B0F"/>
    <w:rsid w:val="003D2CD5"/>
    <w:rsid w:val="003D2CEE"/>
    <w:rsid w:val="003D2F99"/>
    <w:rsid w:val="003D30D6"/>
    <w:rsid w:val="003D3325"/>
    <w:rsid w:val="003D34E8"/>
    <w:rsid w:val="003D3A0C"/>
    <w:rsid w:val="003D3E70"/>
    <w:rsid w:val="003D41A7"/>
    <w:rsid w:val="003D41F2"/>
    <w:rsid w:val="003D4937"/>
    <w:rsid w:val="003D4B9D"/>
    <w:rsid w:val="003D4E2B"/>
    <w:rsid w:val="003D4F92"/>
    <w:rsid w:val="003D576D"/>
    <w:rsid w:val="003D5870"/>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374"/>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732"/>
    <w:rsid w:val="003E4927"/>
    <w:rsid w:val="003E49A2"/>
    <w:rsid w:val="003E49B0"/>
    <w:rsid w:val="003E4CF4"/>
    <w:rsid w:val="003E4FA2"/>
    <w:rsid w:val="003E5103"/>
    <w:rsid w:val="003E528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C19"/>
    <w:rsid w:val="003F01F6"/>
    <w:rsid w:val="003F020C"/>
    <w:rsid w:val="003F0331"/>
    <w:rsid w:val="003F033C"/>
    <w:rsid w:val="003F03C4"/>
    <w:rsid w:val="003F04C5"/>
    <w:rsid w:val="003F066F"/>
    <w:rsid w:val="003F07C3"/>
    <w:rsid w:val="003F0C9B"/>
    <w:rsid w:val="003F0CBC"/>
    <w:rsid w:val="003F110B"/>
    <w:rsid w:val="003F1299"/>
    <w:rsid w:val="003F1C0F"/>
    <w:rsid w:val="003F1F1D"/>
    <w:rsid w:val="003F232B"/>
    <w:rsid w:val="003F2A8C"/>
    <w:rsid w:val="003F2CEF"/>
    <w:rsid w:val="003F2DEE"/>
    <w:rsid w:val="003F307C"/>
    <w:rsid w:val="003F31A3"/>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B43"/>
    <w:rsid w:val="003F4D21"/>
    <w:rsid w:val="003F4DA7"/>
    <w:rsid w:val="003F576C"/>
    <w:rsid w:val="003F57F4"/>
    <w:rsid w:val="003F5BB3"/>
    <w:rsid w:val="003F5C88"/>
    <w:rsid w:val="003F6168"/>
    <w:rsid w:val="003F625A"/>
    <w:rsid w:val="003F62DB"/>
    <w:rsid w:val="003F62DE"/>
    <w:rsid w:val="003F62ED"/>
    <w:rsid w:val="003F6321"/>
    <w:rsid w:val="003F647C"/>
    <w:rsid w:val="003F6545"/>
    <w:rsid w:val="003F66F8"/>
    <w:rsid w:val="003F6ABD"/>
    <w:rsid w:val="003F6B6C"/>
    <w:rsid w:val="003F6D73"/>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1FA"/>
    <w:rsid w:val="004013E1"/>
    <w:rsid w:val="004014E4"/>
    <w:rsid w:val="00401A04"/>
    <w:rsid w:val="00401A6B"/>
    <w:rsid w:val="00401C60"/>
    <w:rsid w:val="00401D05"/>
    <w:rsid w:val="00401FCB"/>
    <w:rsid w:val="0040203A"/>
    <w:rsid w:val="00402097"/>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5E42"/>
    <w:rsid w:val="00406009"/>
    <w:rsid w:val="004065C4"/>
    <w:rsid w:val="004066EE"/>
    <w:rsid w:val="00406765"/>
    <w:rsid w:val="00406B99"/>
    <w:rsid w:val="00406D1C"/>
    <w:rsid w:val="00406F6F"/>
    <w:rsid w:val="004072E2"/>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146"/>
    <w:rsid w:val="004124B3"/>
    <w:rsid w:val="00412535"/>
    <w:rsid w:val="004126DB"/>
    <w:rsid w:val="00412A7B"/>
    <w:rsid w:val="00412B5E"/>
    <w:rsid w:val="00412C90"/>
    <w:rsid w:val="00412D0B"/>
    <w:rsid w:val="00412DA2"/>
    <w:rsid w:val="0041303A"/>
    <w:rsid w:val="00413097"/>
    <w:rsid w:val="004134C0"/>
    <w:rsid w:val="00413C08"/>
    <w:rsid w:val="00413FFE"/>
    <w:rsid w:val="00414299"/>
    <w:rsid w:val="004145B4"/>
    <w:rsid w:val="004146F0"/>
    <w:rsid w:val="00414967"/>
    <w:rsid w:val="00414B5B"/>
    <w:rsid w:val="00414C19"/>
    <w:rsid w:val="00414CAD"/>
    <w:rsid w:val="004150F4"/>
    <w:rsid w:val="00415478"/>
    <w:rsid w:val="00415563"/>
    <w:rsid w:val="00415BC5"/>
    <w:rsid w:val="00415DB8"/>
    <w:rsid w:val="00415EE3"/>
    <w:rsid w:val="00415F21"/>
    <w:rsid w:val="00415F40"/>
    <w:rsid w:val="0041604E"/>
    <w:rsid w:val="004161DD"/>
    <w:rsid w:val="00416341"/>
    <w:rsid w:val="004164D0"/>
    <w:rsid w:val="004168B4"/>
    <w:rsid w:val="00416926"/>
    <w:rsid w:val="00417076"/>
    <w:rsid w:val="004173EB"/>
    <w:rsid w:val="00417B31"/>
    <w:rsid w:val="0042018B"/>
    <w:rsid w:val="004203E3"/>
    <w:rsid w:val="0042055A"/>
    <w:rsid w:val="004208F2"/>
    <w:rsid w:val="00420BD0"/>
    <w:rsid w:val="00420CB0"/>
    <w:rsid w:val="00420F40"/>
    <w:rsid w:val="0042114F"/>
    <w:rsid w:val="0042169A"/>
    <w:rsid w:val="00421840"/>
    <w:rsid w:val="00421975"/>
    <w:rsid w:val="00421BB3"/>
    <w:rsid w:val="00421F35"/>
    <w:rsid w:val="0042208B"/>
    <w:rsid w:val="004220FC"/>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4FD2"/>
    <w:rsid w:val="0042523D"/>
    <w:rsid w:val="0042527E"/>
    <w:rsid w:val="004252FB"/>
    <w:rsid w:val="00425683"/>
    <w:rsid w:val="00425907"/>
    <w:rsid w:val="00425987"/>
    <w:rsid w:val="00425A69"/>
    <w:rsid w:val="00425B72"/>
    <w:rsid w:val="00425E08"/>
    <w:rsid w:val="00425F1B"/>
    <w:rsid w:val="00425FE4"/>
    <w:rsid w:val="004260FD"/>
    <w:rsid w:val="004266A3"/>
    <w:rsid w:val="004266B1"/>
    <w:rsid w:val="00427696"/>
    <w:rsid w:val="00427865"/>
    <w:rsid w:val="00427876"/>
    <w:rsid w:val="004278E6"/>
    <w:rsid w:val="00427BCE"/>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32B"/>
    <w:rsid w:val="0043336A"/>
    <w:rsid w:val="004334B5"/>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6A0"/>
    <w:rsid w:val="00435734"/>
    <w:rsid w:val="0043584E"/>
    <w:rsid w:val="004358C5"/>
    <w:rsid w:val="0043594B"/>
    <w:rsid w:val="004359E9"/>
    <w:rsid w:val="00435D10"/>
    <w:rsid w:val="004361C4"/>
    <w:rsid w:val="004362BB"/>
    <w:rsid w:val="004362BD"/>
    <w:rsid w:val="004368AE"/>
    <w:rsid w:val="004369C6"/>
    <w:rsid w:val="00436CDF"/>
    <w:rsid w:val="004371A6"/>
    <w:rsid w:val="00437330"/>
    <w:rsid w:val="004378EC"/>
    <w:rsid w:val="004379D0"/>
    <w:rsid w:val="00437DC9"/>
    <w:rsid w:val="00440018"/>
    <w:rsid w:val="0044019E"/>
    <w:rsid w:val="0044040B"/>
    <w:rsid w:val="00440604"/>
    <w:rsid w:val="00440753"/>
    <w:rsid w:val="00440DFC"/>
    <w:rsid w:val="00440E5B"/>
    <w:rsid w:val="00440FD7"/>
    <w:rsid w:val="00441033"/>
    <w:rsid w:val="0044129B"/>
    <w:rsid w:val="004412D1"/>
    <w:rsid w:val="0044130F"/>
    <w:rsid w:val="00441AFE"/>
    <w:rsid w:val="00441C3C"/>
    <w:rsid w:val="00442386"/>
    <w:rsid w:val="0044282E"/>
    <w:rsid w:val="00442B2E"/>
    <w:rsid w:val="00442BD9"/>
    <w:rsid w:val="00442D21"/>
    <w:rsid w:val="00443182"/>
    <w:rsid w:val="004431E9"/>
    <w:rsid w:val="00443287"/>
    <w:rsid w:val="00443392"/>
    <w:rsid w:val="004433C5"/>
    <w:rsid w:val="00443630"/>
    <w:rsid w:val="0044365B"/>
    <w:rsid w:val="0044368D"/>
    <w:rsid w:val="00443ADC"/>
    <w:rsid w:val="004441DF"/>
    <w:rsid w:val="004442DD"/>
    <w:rsid w:val="004443AF"/>
    <w:rsid w:val="00444631"/>
    <w:rsid w:val="00444B3D"/>
    <w:rsid w:val="00444C12"/>
    <w:rsid w:val="00444C4B"/>
    <w:rsid w:val="00444D1D"/>
    <w:rsid w:val="00444E76"/>
    <w:rsid w:val="00444EA8"/>
    <w:rsid w:val="00445089"/>
    <w:rsid w:val="00445144"/>
    <w:rsid w:val="0044536C"/>
    <w:rsid w:val="00445832"/>
    <w:rsid w:val="00445A93"/>
    <w:rsid w:val="00445B21"/>
    <w:rsid w:val="00445CC2"/>
    <w:rsid w:val="00445CCE"/>
    <w:rsid w:val="00445E44"/>
    <w:rsid w:val="00446095"/>
    <w:rsid w:val="004460FE"/>
    <w:rsid w:val="004464A9"/>
    <w:rsid w:val="0044680C"/>
    <w:rsid w:val="00446A40"/>
    <w:rsid w:val="00446CE8"/>
    <w:rsid w:val="004477EF"/>
    <w:rsid w:val="00447895"/>
    <w:rsid w:val="00447A38"/>
    <w:rsid w:val="00447BCF"/>
    <w:rsid w:val="00450446"/>
    <w:rsid w:val="004504D6"/>
    <w:rsid w:val="004506F2"/>
    <w:rsid w:val="004507E5"/>
    <w:rsid w:val="00450AC0"/>
    <w:rsid w:val="00450D71"/>
    <w:rsid w:val="004512E4"/>
    <w:rsid w:val="004515EB"/>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8B5"/>
    <w:rsid w:val="00456C43"/>
    <w:rsid w:val="00456EC9"/>
    <w:rsid w:val="00456EF5"/>
    <w:rsid w:val="004577BF"/>
    <w:rsid w:val="0045781E"/>
    <w:rsid w:val="00457AD9"/>
    <w:rsid w:val="00457AFC"/>
    <w:rsid w:val="00457CFF"/>
    <w:rsid w:val="004600CC"/>
    <w:rsid w:val="00460494"/>
    <w:rsid w:val="004605BC"/>
    <w:rsid w:val="00460AD1"/>
    <w:rsid w:val="00461003"/>
    <w:rsid w:val="004618B8"/>
    <w:rsid w:val="00461B72"/>
    <w:rsid w:val="00462001"/>
    <w:rsid w:val="00462117"/>
    <w:rsid w:val="00462263"/>
    <w:rsid w:val="00462400"/>
    <w:rsid w:val="004624B9"/>
    <w:rsid w:val="004627BC"/>
    <w:rsid w:val="00462C57"/>
    <w:rsid w:val="00462F8E"/>
    <w:rsid w:val="00463071"/>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66"/>
    <w:rsid w:val="00466DE0"/>
    <w:rsid w:val="00467357"/>
    <w:rsid w:val="00467610"/>
    <w:rsid w:val="004677AB"/>
    <w:rsid w:val="00467906"/>
    <w:rsid w:val="00467B7D"/>
    <w:rsid w:val="00467CFF"/>
    <w:rsid w:val="00467E58"/>
    <w:rsid w:val="00467F8C"/>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A2D"/>
    <w:rsid w:val="00471B16"/>
    <w:rsid w:val="00471B50"/>
    <w:rsid w:val="00471BD5"/>
    <w:rsid w:val="00471C87"/>
    <w:rsid w:val="00471CD6"/>
    <w:rsid w:val="00472153"/>
    <w:rsid w:val="00472155"/>
    <w:rsid w:val="0047239D"/>
    <w:rsid w:val="0047245C"/>
    <w:rsid w:val="00472465"/>
    <w:rsid w:val="00472807"/>
    <w:rsid w:val="00472866"/>
    <w:rsid w:val="00472A7A"/>
    <w:rsid w:val="00472BB9"/>
    <w:rsid w:val="00472D9E"/>
    <w:rsid w:val="00473214"/>
    <w:rsid w:val="00473405"/>
    <w:rsid w:val="0047349E"/>
    <w:rsid w:val="004736CB"/>
    <w:rsid w:val="00473717"/>
    <w:rsid w:val="004738CB"/>
    <w:rsid w:val="004738F7"/>
    <w:rsid w:val="00473935"/>
    <w:rsid w:val="004739E9"/>
    <w:rsid w:val="00473A0E"/>
    <w:rsid w:val="00473D60"/>
    <w:rsid w:val="00473EA2"/>
    <w:rsid w:val="00473EC6"/>
    <w:rsid w:val="00474437"/>
    <w:rsid w:val="0047457D"/>
    <w:rsid w:val="00474709"/>
    <w:rsid w:val="0047475A"/>
    <w:rsid w:val="00474BEC"/>
    <w:rsid w:val="00474E90"/>
    <w:rsid w:val="00474F03"/>
    <w:rsid w:val="00475053"/>
    <w:rsid w:val="004750E2"/>
    <w:rsid w:val="0047524B"/>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8C8"/>
    <w:rsid w:val="00477975"/>
    <w:rsid w:val="00477A11"/>
    <w:rsid w:val="00477D9B"/>
    <w:rsid w:val="00477F5A"/>
    <w:rsid w:val="0048001E"/>
    <w:rsid w:val="00480173"/>
    <w:rsid w:val="00480B68"/>
    <w:rsid w:val="00480B72"/>
    <w:rsid w:val="00480E45"/>
    <w:rsid w:val="00480E46"/>
    <w:rsid w:val="00481103"/>
    <w:rsid w:val="00481225"/>
    <w:rsid w:val="0048131F"/>
    <w:rsid w:val="004813B3"/>
    <w:rsid w:val="004814A1"/>
    <w:rsid w:val="004816B2"/>
    <w:rsid w:val="0048198B"/>
    <w:rsid w:val="00481A23"/>
    <w:rsid w:val="00481C46"/>
    <w:rsid w:val="00481C8A"/>
    <w:rsid w:val="00481F8D"/>
    <w:rsid w:val="00482001"/>
    <w:rsid w:val="004820A2"/>
    <w:rsid w:val="00482138"/>
    <w:rsid w:val="004824C5"/>
    <w:rsid w:val="004829E6"/>
    <w:rsid w:val="00482BD5"/>
    <w:rsid w:val="00482BDE"/>
    <w:rsid w:val="00482C59"/>
    <w:rsid w:val="00482CB3"/>
    <w:rsid w:val="00482E4F"/>
    <w:rsid w:val="00482E77"/>
    <w:rsid w:val="00483022"/>
    <w:rsid w:val="004830C8"/>
    <w:rsid w:val="004831A9"/>
    <w:rsid w:val="004836B8"/>
    <w:rsid w:val="004838D7"/>
    <w:rsid w:val="00483B40"/>
    <w:rsid w:val="00483C6D"/>
    <w:rsid w:val="00483D75"/>
    <w:rsid w:val="0048412E"/>
    <w:rsid w:val="00484273"/>
    <w:rsid w:val="004847CB"/>
    <w:rsid w:val="00484937"/>
    <w:rsid w:val="00484A58"/>
    <w:rsid w:val="00484BC0"/>
    <w:rsid w:val="004852F4"/>
    <w:rsid w:val="0048552D"/>
    <w:rsid w:val="004855D7"/>
    <w:rsid w:val="0048585C"/>
    <w:rsid w:val="00485CDE"/>
    <w:rsid w:val="00485D08"/>
    <w:rsid w:val="00485FCD"/>
    <w:rsid w:val="0048630C"/>
    <w:rsid w:val="0048641F"/>
    <w:rsid w:val="00486603"/>
    <w:rsid w:val="00486ABF"/>
    <w:rsid w:val="00486C0B"/>
    <w:rsid w:val="00486CB5"/>
    <w:rsid w:val="00486D4F"/>
    <w:rsid w:val="00486D50"/>
    <w:rsid w:val="00486D7F"/>
    <w:rsid w:val="00486EC8"/>
    <w:rsid w:val="00486F13"/>
    <w:rsid w:val="00487009"/>
    <w:rsid w:val="00487069"/>
    <w:rsid w:val="004870C9"/>
    <w:rsid w:val="004871B7"/>
    <w:rsid w:val="00487573"/>
    <w:rsid w:val="00487659"/>
    <w:rsid w:val="00487A90"/>
    <w:rsid w:val="00487D7A"/>
    <w:rsid w:val="00487DFF"/>
    <w:rsid w:val="00487F5F"/>
    <w:rsid w:val="00490293"/>
    <w:rsid w:val="004904CC"/>
    <w:rsid w:val="004907D3"/>
    <w:rsid w:val="004907F2"/>
    <w:rsid w:val="004909B7"/>
    <w:rsid w:val="00490E8E"/>
    <w:rsid w:val="00491008"/>
    <w:rsid w:val="00491088"/>
    <w:rsid w:val="00491432"/>
    <w:rsid w:val="0049143C"/>
    <w:rsid w:val="00491A0A"/>
    <w:rsid w:val="00491E20"/>
    <w:rsid w:val="00491E7D"/>
    <w:rsid w:val="00491FDA"/>
    <w:rsid w:val="0049203F"/>
    <w:rsid w:val="00492284"/>
    <w:rsid w:val="004924A9"/>
    <w:rsid w:val="00492788"/>
    <w:rsid w:val="00492A71"/>
    <w:rsid w:val="00492AA1"/>
    <w:rsid w:val="00492D47"/>
    <w:rsid w:val="00492DA2"/>
    <w:rsid w:val="00492E70"/>
    <w:rsid w:val="00492E75"/>
    <w:rsid w:val="004934CD"/>
    <w:rsid w:val="0049353A"/>
    <w:rsid w:val="00493B0F"/>
    <w:rsid w:val="00493B38"/>
    <w:rsid w:val="00493B68"/>
    <w:rsid w:val="00493BA4"/>
    <w:rsid w:val="00493CCF"/>
    <w:rsid w:val="0049434C"/>
    <w:rsid w:val="0049439A"/>
    <w:rsid w:val="00494683"/>
    <w:rsid w:val="004949AD"/>
    <w:rsid w:val="00494E20"/>
    <w:rsid w:val="00494F75"/>
    <w:rsid w:val="00495054"/>
    <w:rsid w:val="004951BE"/>
    <w:rsid w:val="0049526A"/>
    <w:rsid w:val="00495557"/>
    <w:rsid w:val="00495658"/>
    <w:rsid w:val="00495735"/>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404"/>
    <w:rsid w:val="0049681F"/>
    <w:rsid w:val="00496865"/>
    <w:rsid w:val="00496C53"/>
    <w:rsid w:val="00497272"/>
    <w:rsid w:val="00497671"/>
    <w:rsid w:val="0049782B"/>
    <w:rsid w:val="00497A6F"/>
    <w:rsid w:val="00497C2A"/>
    <w:rsid w:val="00497C74"/>
    <w:rsid w:val="00497CAB"/>
    <w:rsid w:val="004A0116"/>
    <w:rsid w:val="004A011E"/>
    <w:rsid w:val="004A03A0"/>
    <w:rsid w:val="004A03D9"/>
    <w:rsid w:val="004A05A2"/>
    <w:rsid w:val="004A05E1"/>
    <w:rsid w:val="004A07DF"/>
    <w:rsid w:val="004A0800"/>
    <w:rsid w:val="004A08B7"/>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C69"/>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6FD"/>
    <w:rsid w:val="004A713E"/>
    <w:rsid w:val="004A72C3"/>
    <w:rsid w:val="004A73E9"/>
    <w:rsid w:val="004A7407"/>
    <w:rsid w:val="004A7680"/>
    <w:rsid w:val="004A77AA"/>
    <w:rsid w:val="004A77B4"/>
    <w:rsid w:val="004A79E6"/>
    <w:rsid w:val="004B028E"/>
    <w:rsid w:val="004B038D"/>
    <w:rsid w:val="004B0446"/>
    <w:rsid w:val="004B06B6"/>
    <w:rsid w:val="004B08AF"/>
    <w:rsid w:val="004B0A61"/>
    <w:rsid w:val="004B0AEA"/>
    <w:rsid w:val="004B0BD9"/>
    <w:rsid w:val="004B0D9D"/>
    <w:rsid w:val="004B0E7C"/>
    <w:rsid w:val="004B105B"/>
    <w:rsid w:val="004B14A4"/>
    <w:rsid w:val="004B14E1"/>
    <w:rsid w:val="004B15AD"/>
    <w:rsid w:val="004B15F1"/>
    <w:rsid w:val="004B17CB"/>
    <w:rsid w:val="004B1891"/>
    <w:rsid w:val="004B18BE"/>
    <w:rsid w:val="004B203E"/>
    <w:rsid w:val="004B20F7"/>
    <w:rsid w:val="004B2173"/>
    <w:rsid w:val="004B22BC"/>
    <w:rsid w:val="004B26D0"/>
    <w:rsid w:val="004B277F"/>
    <w:rsid w:val="004B282A"/>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351"/>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1EAE"/>
    <w:rsid w:val="004C2009"/>
    <w:rsid w:val="004C2076"/>
    <w:rsid w:val="004C2237"/>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A59"/>
    <w:rsid w:val="004C3B48"/>
    <w:rsid w:val="004C3D8F"/>
    <w:rsid w:val="004C44E0"/>
    <w:rsid w:val="004C44E5"/>
    <w:rsid w:val="004C4550"/>
    <w:rsid w:val="004C4814"/>
    <w:rsid w:val="004C48EC"/>
    <w:rsid w:val="004C4A8E"/>
    <w:rsid w:val="004C4F0A"/>
    <w:rsid w:val="004C4FC4"/>
    <w:rsid w:val="004C50E9"/>
    <w:rsid w:val="004C5230"/>
    <w:rsid w:val="004C53F2"/>
    <w:rsid w:val="004C5494"/>
    <w:rsid w:val="004C55A3"/>
    <w:rsid w:val="004C5831"/>
    <w:rsid w:val="004C5B04"/>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9A1"/>
    <w:rsid w:val="004C7F3E"/>
    <w:rsid w:val="004D0147"/>
    <w:rsid w:val="004D05F3"/>
    <w:rsid w:val="004D08BF"/>
    <w:rsid w:val="004D0B9F"/>
    <w:rsid w:val="004D0BAC"/>
    <w:rsid w:val="004D0C77"/>
    <w:rsid w:val="004D0DD6"/>
    <w:rsid w:val="004D0F99"/>
    <w:rsid w:val="004D0FF1"/>
    <w:rsid w:val="004D1027"/>
    <w:rsid w:val="004D12D2"/>
    <w:rsid w:val="004D13B6"/>
    <w:rsid w:val="004D14D3"/>
    <w:rsid w:val="004D156A"/>
    <w:rsid w:val="004D1B28"/>
    <w:rsid w:val="004D1C8C"/>
    <w:rsid w:val="004D1D5E"/>
    <w:rsid w:val="004D1E00"/>
    <w:rsid w:val="004D1FEF"/>
    <w:rsid w:val="004D238F"/>
    <w:rsid w:val="004D323C"/>
    <w:rsid w:val="004D35C6"/>
    <w:rsid w:val="004D378E"/>
    <w:rsid w:val="004D3797"/>
    <w:rsid w:val="004D3A2C"/>
    <w:rsid w:val="004D3A70"/>
    <w:rsid w:val="004D3B94"/>
    <w:rsid w:val="004D3BF7"/>
    <w:rsid w:val="004D3FDF"/>
    <w:rsid w:val="004D41E6"/>
    <w:rsid w:val="004D4312"/>
    <w:rsid w:val="004D44DE"/>
    <w:rsid w:val="004D4544"/>
    <w:rsid w:val="004D4647"/>
    <w:rsid w:val="004D4C47"/>
    <w:rsid w:val="004D4F36"/>
    <w:rsid w:val="004D5477"/>
    <w:rsid w:val="004D5745"/>
    <w:rsid w:val="004D593D"/>
    <w:rsid w:val="004D5CBC"/>
    <w:rsid w:val="004D5CD9"/>
    <w:rsid w:val="004D5E82"/>
    <w:rsid w:val="004D5F42"/>
    <w:rsid w:val="004D602D"/>
    <w:rsid w:val="004D6B76"/>
    <w:rsid w:val="004D6CF4"/>
    <w:rsid w:val="004D6E44"/>
    <w:rsid w:val="004D6EDA"/>
    <w:rsid w:val="004D6F65"/>
    <w:rsid w:val="004D76BF"/>
    <w:rsid w:val="004D771F"/>
    <w:rsid w:val="004D7841"/>
    <w:rsid w:val="004D79F3"/>
    <w:rsid w:val="004D7B81"/>
    <w:rsid w:val="004E00C1"/>
    <w:rsid w:val="004E0480"/>
    <w:rsid w:val="004E0734"/>
    <w:rsid w:val="004E07AA"/>
    <w:rsid w:val="004E083B"/>
    <w:rsid w:val="004E0DAB"/>
    <w:rsid w:val="004E0E58"/>
    <w:rsid w:val="004E0E80"/>
    <w:rsid w:val="004E0E9C"/>
    <w:rsid w:val="004E1294"/>
    <w:rsid w:val="004E1447"/>
    <w:rsid w:val="004E18DF"/>
    <w:rsid w:val="004E1905"/>
    <w:rsid w:val="004E1992"/>
    <w:rsid w:val="004E1FDF"/>
    <w:rsid w:val="004E2138"/>
    <w:rsid w:val="004E21C6"/>
    <w:rsid w:val="004E22A4"/>
    <w:rsid w:val="004E244E"/>
    <w:rsid w:val="004E2637"/>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927"/>
    <w:rsid w:val="004E4B90"/>
    <w:rsid w:val="004E4F11"/>
    <w:rsid w:val="004E53E0"/>
    <w:rsid w:val="004E5A51"/>
    <w:rsid w:val="004E5A77"/>
    <w:rsid w:val="004E5AD2"/>
    <w:rsid w:val="004E5C72"/>
    <w:rsid w:val="004E5FFF"/>
    <w:rsid w:val="004E6091"/>
    <w:rsid w:val="004E6617"/>
    <w:rsid w:val="004E6625"/>
    <w:rsid w:val="004E6929"/>
    <w:rsid w:val="004E698C"/>
    <w:rsid w:val="004E69F8"/>
    <w:rsid w:val="004E6EB9"/>
    <w:rsid w:val="004E74E2"/>
    <w:rsid w:val="004E7CA9"/>
    <w:rsid w:val="004E7CE1"/>
    <w:rsid w:val="004E7D7E"/>
    <w:rsid w:val="004E7FA9"/>
    <w:rsid w:val="004F0057"/>
    <w:rsid w:val="004F0144"/>
    <w:rsid w:val="004F01C3"/>
    <w:rsid w:val="004F01DD"/>
    <w:rsid w:val="004F0776"/>
    <w:rsid w:val="004F0ACC"/>
    <w:rsid w:val="004F0C08"/>
    <w:rsid w:val="004F0D65"/>
    <w:rsid w:val="004F0D81"/>
    <w:rsid w:val="004F10BF"/>
    <w:rsid w:val="004F1AC2"/>
    <w:rsid w:val="004F1FAC"/>
    <w:rsid w:val="004F1FBB"/>
    <w:rsid w:val="004F1FE4"/>
    <w:rsid w:val="004F212A"/>
    <w:rsid w:val="004F217D"/>
    <w:rsid w:val="004F2D15"/>
    <w:rsid w:val="004F3127"/>
    <w:rsid w:val="004F313B"/>
    <w:rsid w:val="004F3365"/>
    <w:rsid w:val="004F34D9"/>
    <w:rsid w:val="004F38E8"/>
    <w:rsid w:val="004F3B07"/>
    <w:rsid w:val="004F3B17"/>
    <w:rsid w:val="004F3D83"/>
    <w:rsid w:val="004F3E85"/>
    <w:rsid w:val="004F3FEE"/>
    <w:rsid w:val="004F4071"/>
    <w:rsid w:val="004F41DE"/>
    <w:rsid w:val="004F4638"/>
    <w:rsid w:val="004F4655"/>
    <w:rsid w:val="004F481D"/>
    <w:rsid w:val="004F498B"/>
    <w:rsid w:val="004F4C1A"/>
    <w:rsid w:val="004F514F"/>
    <w:rsid w:val="004F5154"/>
    <w:rsid w:val="004F56D5"/>
    <w:rsid w:val="004F58C9"/>
    <w:rsid w:val="004F5A1A"/>
    <w:rsid w:val="004F5AA1"/>
    <w:rsid w:val="004F5AE3"/>
    <w:rsid w:val="004F5B97"/>
    <w:rsid w:val="004F6187"/>
    <w:rsid w:val="004F6302"/>
    <w:rsid w:val="004F68F7"/>
    <w:rsid w:val="004F6968"/>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84B"/>
    <w:rsid w:val="00505A5D"/>
    <w:rsid w:val="00505B38"/>
    <w:rsid w:val="00505D76"/>
    <w:rsid w:val="00505EE1"/>
    <w:rsid w:val="005062A4"/>
    <w:rsid w:val="005063C8"/>
    <w:rsid w:val="0050661D"/>
    <w:rsid w:val="0050681E"/>
    <w:rsid w:val="005069A8"/>
    <w:rsid w:val="00506B60"/>
    <w:rsid w:val="00506C13"/>
    <w:rsid w:val="00506CFE"/>
    <w:rsid w:val="00507067"/>
    <w:rsid w:val="00507367"/>
    <w:rsid w:val="00507380"/>
    <w:rsid w:val="005074C9"/>
    <w:rsid w:val="005075AB"/>
    <w:rsid w:val="005078B3"/>
    <w:rsid w:val="00507918"/>
    <w:rsid w:val="00507ABB"/>
    <w:rsid w:val="00507BA6"/>
    <w:rsid w:val="00507D22"/>
    <w:rsid w:val="00510059"/>
    <w:rsid w:val="0051085D"/>
    <w:rsid w:val="005108B1"/>
    <w:rsid w:val="00510991"/>
    <w:rsid w:val="005109F2"/>
    <w:rsid w:val="00510B8E"/>
    <w:rsid w:val="00510BAA"/>
    <w:rsid w:val="00510D35"/>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44E"/>
    <w:rsid w:val="00512A6D"/>
    <w:rsid w:val="00512BA1"/>
    <w:rsid w:val="00513033"/>
    <w:rsid w:val="0051347D"/>
    <w:rsid w:val="0051349F"/>
    <w:rsid w:val="00513851"/>
    <w:rsid w:val="00513877"/>
    <w:rsid w:val="00513BF5"/>
    <w:rsid w:val="00513CF8"/>
    <w:rsid w:val="005140E6"/>
    <w:rsid w:val="0051411E"/>
    <w:rsid w:val="005145C5"/>
    <w:rsid w:val="00514730"/>
    <w:rsid w:val="005147BB"/>
    <w:rsid w:val="005147F4"/>
    <w:rsid w:val="00514848"/>
    <w:rsid w:val="005148A3"/>
    <w:rsid w:val="00514A3A"/>
    <w:rsid w:val="00514E17"/>
    <w:rsid w:val="005152C9"/>
    <w:rsid w:val="0051551E"/>
    <w:rsid w:val="0051560D"/>
    <w:rsid w:val="00515737"/>
    <w:rsid w:val="0051587A"/>
    <w:rsid w:val="00516066"/>
    <w:rsid w:val="00516265"/>
    <w:rsid w:val="005162AC"/>
    <w:rsid w:val="00516542"/>
    <w:rsid w:val="005167F7"/>
    <w:rsid w:val="00516D9F"/>
    <w:rsid w:val="00516E9F"/>
    <w:rsid w:val="00516F49"/>
    <w:rsid w:val="00516FE4"/>
    <w:rsid w:val="00517357"/>
    <w:rsid w:val="00517567"/>
    <w:rsid w:val="005175AE"/>
    <w:rsid w:val="0051783B"/>
    <w:rsid w:val="0051788E"/>
    <w:rsid w:val="00517B20"/>
    <w:rsid w:val="00517CB7"/>
    <w:rsid w:val="00520154"/>
    <w:rsid w:val="005202BD"/>
    <w:rsid w:val="005204F4"/>
    <w:rsid w:val="005207FC"/>
    <w:rsid w:val="00520D7C"/>
    <w:rsid w:val="00521034"/>
    <w:rsid w:val="005214ED"/>
    <w:rsid w:val="005215D3"/>
    <w:rsid w:val="0052164E"/>
    <w:rsid w:val="00521799"/>
    <w:rsid w:val="0052187E"/>
    <w:rsid w:val="005219B7"/>
    <w:rsid w:val="00521AB9"/>
    <w:rsid w:val="00521ABB"/>
    <w:rsid w:val="0052209B"/>
    <w:rsid w:val="005221B2"/>
    <w:rsid w:val="005223A5"/>
    <w:rsid w:val="0052243A"/>
    <w:rsid w:val="00522965"/>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80F"/>
    <w:rsid w:val="00524C6A"/>
    <w:rsid w:val="00524F60"/>
    <w:rsid w:val="005251E4"/>
    <w:rsid w:val="005256E5"/>
    <w:rsid w:val="00525992"/>
    <w:rsid w:val="00525A0D"/>
    <w:rsid w:val="00525D0E"/>
    <w:rsid w:val="005260C5"/>
    <w:rsid w:val="0052615C"/>
    <w:rsid w:val="00526293"/>
    <w:rsid w:val="0052643B"/>
    <w:rsid w:val="005267DC"/>
    <w:rsid w:val="00526827"/>
    <w:rsid w:val="00526BD8"/>
    <w:rsid w:val="00526CA2"/>
    <w:rsid w:val="00526CA8"/>
    <w:rsid w:val="00526CCF"/>
    <w:rsid w:val="00526D49"/>
    <w:rsid w:val="00526E1F"/>
    <w:rsid w:val="00526EBD"/>
    <w:rsid w:val="0052721D"/>
    <w:rsid w:val="005272D7"/>
    <w:rsid w:val="005273F0"/>
    <w:rsid w:val="00527981"/>
    <w:rsid w:val="00527995"/>
    <w:rsid w:val="00527B51"/>
    <w:rsid w:val="00527CA2"/>
    <w:rsid w:val="005300DA"/>
    <w:rsid w:val="00530157"/>
    <w:rsid w:val="00530208"/>
    <w:rsid w:val="00530472"/>
    <w:rsid w:val="005304E0"/>
    <w:rsid w:val="005308E1"/>
    <w:rsid w:val="00530B45"/>
    <w:rsid w:val="00530CAC"/>
    <w:rsid w:val="00530D4D"/>
    <w:rsid w:val="00531062"/>
    <w:rsid w:val="00531595"/>
    <w:rsid w:val="0053187F"/>
    <w:rsid w:val="00531A82"/>
    <w:rsid w:val="00531B26"/>
    <w:rsid w:val="0053232E"/>
    <w:rsid w:val="005323F1"/>
    <w:rsid w:val="005326B3"/>
    <w:rsid w:val="005328B7"/>
    <w:rsid w:val="00532B79"/>
    <w:rsid w:val="00532BDF"/>
    <w:rsid w:val="00532D8A"/>
    <w:rsid w:val="00533276"/>
    <w:rsid w:val="005332B4"/>
    <w:rsid w:val="005332CE"/>
    <w:rsid w:val="00533353"/>
    <w:rsid w:val="005337E4"/>
    <w:rsid w:val="00533922"/>
    <w:rsid w:val="00533C71"/>
    <w:rsid w:val="00533E9B"/>
    <w:rsid w:val="00533FA2"/>
    <w:rsid w:val="00533FA7"/>
    <w:rsid w:val="00533FDB"/>
    <w:rsid w:val="00534343"/>
    <w:rsid w:val="00534644"/>
    <w:rsid w:val="00534757"/>
    <w:rsid w:val="00534EF8"/>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BDB"/>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A82"/>
    <w:rsid w:val="00546B02"/>
    <w:rsid w:val="00546D0E"/>
    <w:rsid w:val="00546D78"/>
    <w:rsid w:val="0054707A"/>
    <w:rsid w:val="005473EA"/>
    <w:rsid w:val="005475E1"/>
    <w:rsid w:val="0054763F"/>
    <w:rsid w:val="00547841"/>
    <w:rsid w:val="00547A50"/>
    <w:rsid w:val="00547A6A"/>
    <w:rsid w:val="00547DF0"/>
    <w:rsid w:val="00547F6E"/>
    <w:rsid w:val="005501E1"/>
    <w:rsid w:val="0055043E"/>
    <w:rsid w:val="0055050E"/>
    <w:rsid w:val="005508DC"/>
    <w:rsid w:val="005508F2"/>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C8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45E"/>
    <w:rsid w:val="00557827"/>
    <w:rsid w:val="00557B9E"/>
    <w:rsid w:val="00557DE4"/>
    <w:rsid w:val="00557F80"/>
    <w:rsid w:val="00557F82"/>
    <w:rsid w:val="00560102"/>
    <w:rsid w:val="00560147"/>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722"/>
    <w:rsid w:val="005629B1"/>
    <w:rsid w:val="00562BBA"/>
    <w:rsid w:val="0056371A"/>
    <w:rsid w:val="00563895"/>
    <w:rsid w:val="00563955"/>
    <w:rsid w:val="005639FD"/>
    <w:rsid w:val="00563B74"/>
    <w:rsid w:val="00563D08"/>
    <w:rsid w:val="00563DFF"/>
    <w:rsid w:val="00563E54"/>
    <w:rsid w:val="00563F16"/>
    <w:rsid w:val="00563F47"/>
    <w:rsid w:val="00563F55"/>
    <w:rsid w:val="00564021"/>
    <w:rsid w:val="00564236"/>
    <w:rsid w:val="0056431B"/>
    <w:rsid w:val="005643B1"/>
    <w:rsid w:val="005647DB"/>
    <w:rsid w:val="005648E4"/>
    <w:rsid w:val="00564B70"/>
    <w:rsid w:val="00565272"/>
    <w:rsid w:val="00565754"/>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6CA"/>
    <w:rsid w:val="005718A8"/>
    <w:rsid w:val="00571942"/>
    <w:rsid w:val="00571B48"/>
    <w:rsid w:val="00571B5A"/>
    <w:rsid w:val="00571B64"/>
    <w:rsid w:val="005721A4"/>
    <w:rsid w:val="00572203"/>
    <w:rsid w:val="005722BC"/>
    <w:rsid w:val="005723B6"/>
    <w:rsid w:val="005723BB"/>
    <w:rsid w:val="0057289B"/>
    <w:rsid w:val="005731E9"/>
    <w:rsid w:val="00573302"/>
    <w:rsid w:val="005734A3"/>
    <w:rsid w:val="005735AA"/>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5EA7"/>
    <w:rsid w:val="0057604C"/>
    <w:rsid w:val="00576147"/>
    <w:rsid w:val="00576436"/>
    <w:rsid w:val="00576564"/>
    <w:rsid w:val="0057665D"/>
    <w:rsid w:val="005767C0"/>
    <w:rsid w:val="00576A60"/>
    <w:rsid w:val="00576DD5"/>
    <w:rsid w:val="00576E34"/>
    <w:rsid w:val="00576E83"/>
    <w:rsid w:val="00576EAA"/>
    <w:rsid w:val="00576FFD"/>
    <w:rsid w:val="005771BE"/>
    <w:rsid w:val="005773DC"/>
    <w:rsid w:val="00577618"/>
    <w:rsid w:val="005776CB"/>
    <w:rsid w:val="00577812"/>
    <w:rsid w:val="005779D6"/>
    <w:rsid w:val="00577D84"/>
    <w:rsid w:val="00577DE7"/>
    <w:rsid w:val="0058007E"/>
    <w:rsid w:val="0058019F"/>
    <w:rsid w:val="005802C3"/>
    <w:rsid w:val="00580408"/>
    <w:rsid w:val="00580664"/>
    <w:rsid w:val="00580CCE"/>
    <w:rsid w:val="005814E6"/>
    <w:rsid w:val="005816B6"/>
    <w:rsid w:val="0058172C"/>
    <w:rsid w:val="00581958"/>
    <w:rsid w:val="00581A42"/>
    <w:rsid w:val="00581C03"/>
    <w:rsid w:val="00581D7D"/>
    <w:rsid w:val="005821CC"/>
    <w:rsid w:val="00582D68"/>
    <w:rsid w:val="00582E7D"/>
    <w:rsid w:val="00582E8D"/>
    <w:rsid w:val="005833D3"/>
    <w:rsid w:val="00583944"/>
    <w:rsid w:val="00583E5F"/>
    <w:rsid w:val="00583FA5"/>
    <w:rsid w:val="00584205"/>
    <w:rsid w:val="00584757"/>
    <w:rsid w:val="00584BFE"/>
    <w:rsid w:val="00584D23"/>
    <w:rsid w:val="00584EC4"/>
    <w:rsid w:val="00585172"/>
    <w:rsid w:val="00585537"/>
    <w:rsid w:val="005855E7"/>
    <w:rsid w:val="00585692"/>
    <w:rsid w:val="00585906"/>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AAA"/>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204"/>
    <w:rsid w:val="0059340C"/>
    <w:rsid w:val="00593546"/>
    <w:rsid w:val="00593C26"/>
    <w:rsid w:val="00593DE3"/>
    <w:rsid w:val="005940A3"/>
    <w:rsid w:val="00594376"/>
    <w:rsid w:val="00594451"/>
    <w:rsid w:val="0059465D"/>
    <w:rsid w:val="0059479B"/>
    <w:rsid w:val="005949B6"/>
    <w:rsid w:val="00594A07"/>
    <w:rsid w:val="00594A50"/>
    <w:rsid w:val="00594BEE"/>
    <w:rsid w:val="00594EB9"/>
    <w:rsid w:val="005951D7"/>
    <w:rsid w:val="0059526A"/>
    <w:rsid w:val="005958A4"/>
    <w:rsid w:val="005958A8"/>
    <w:rsid w:val="00595993"/>
    <w:rsid w:val="00595B35"/>
    <w:rsid w:val="00595CF0"/>
    <w:rsid w:val="00595ECA"/>
    <w:rsid w:val="0059622C"/>
    <w:rsid w:val="0059629E"/>
    <w:rsid w:val="005967D4"/>
    <w:rsid w:val="0059681A"/>
    <w:rsid w:val="00596B26"/>
    <w:rsid w:val="00596B65"/>
    <w:rsid w:val="00596CA5"/>
    <w:rsid w:val="00596DEF"/>
    <w:rsid w:val="00596F39"/>
    <w:rsid w:val="00597096"/>
    <w:rsid w:val="0059734D"/>
    <w:rsid w:val="00597394"/>
    <w:rsid w:val="0059741D"/>
    <w:rsid w:val="0059783C"/>
    <w:rsid w:val="00597C14"/>
    <w:rsid w:val="005A03EA"/>
    <w:rsid w:val="005A0474"/>
    <w:rsid w:val="005A05F8"/>
    <w:rsid w:val="005A0983"/>
    <w:rsid w:val="005A0C46"/>
    <w:rsid w:val="005A0D27"/>
    <w:rsid w:val="005A127B"/>
    <w:rsid w:val="005A12CE"/>
    <w:rsid w:val="005A14C5"/>
    <w:rsid w:val="005A16D2"/>
    <w:rsid w:val="005A19A2"/>
    <w:rsid w:val="005A19B3"/>
    <w:rsid w:val="005A19E8"/>
    <w:rsid w:val="005A1B49"/>
    <w:rsid w:val="005A1BD4"/>
    <w:rsid w:val="005A214D"/>
    <w:rsid w:val="005A2217"/>
    <w:rsid w:val="005A2383"/>
    <w:rsid w:val="005A2C93"/>
    <w:rsid w:val="005A2D82"/>
    <w:rsid w:val="005A2DFD"/>
    <w:rsid w:val="005A2E96"/>
    <w:rsid w:val="005A3447"/>
    <w:rsid w:val="005A3602"/>
    <w:rsid w:val="005A36B6"/>
    <w:rsid w:val="005A3DA1"/>
    <w:rsid w:val="005A40EB"/>
    <w:rsid w:val="005A4315"/>
    <w:rsid w:val="005A4487"/>
    <w:rsid w:val="005A4977"/>
    <w:rsid w:val="005A4A3A"/>
    <w:rsid w:val="005A4ECB"/>
    <w:rsid w:val="005A5135"/>
    <w:rsid w:val="005A54D4"/>
    <w:rsid w:val="005A5B14"/>
    <w:rsid w:val="005A5BDE"/>
    <w:rsid w:val="005A602F"/>
    <w:rsid w:val="005A60E0"/>
    <w:rsid w:val="005A633C"/>
    <w:rsid w:val="005A6498"/>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6CA"/>
    <w:rsid w:val="005B08D3"/>
    <w:rsid w:val="005B0963"/>
    <w:rsid w:val="005B0BE8"/>
    <w:rsid w:val="005B0C83"/>
    <w:rsid w:val="005B10C2"/>
    <w:rsid w:val="005B1338"/>
    <w:rsid w:val="005B141E"/>
    <w:rsid w:val="005B18B3"/>
    <w:rsid w:val="005B1A87"/>
    <w:rsid w:val="005B1AB3"/>
    <w:rsid w:val="005B1F12"/>
    <w:rsid w:val="005B20C7"/>
    <w:rsid w:val="005B215A"/>
    <w:rsid w:val="005B24B1"/>
    <w:rsid w:val="005B25EC"/>
    <w:rsid w:val="005B2820"/>
    <w:rsid w:val="005B2CBF"/>
    <w:rsid w:val="005B31C8"/>
    <w:rsid w:val="005B3204"/>
    <w:rsid w:val="005B363A"/>
    <w:rsid w:val="005B4528"/>
    <w:rsid w:val="005B45AD"/>
    <w:rsid w:val="005B466D"/>
    <w:rsid w:val="005B4899"/>
    <w:rsid w:val="005B4BB9"/>
    <w:rsid w:val="005B4EE9"/>
    <w:rsid w:val="005B4F48"/>
    <w:rsid w:val="005B5367"/>
    <w:rsid w:val="005B5615"/>
    <w:rsid w:val="005B56F3"/>
    <w:rsid w:val="005B5751"/>
    <w:rsid w:val="005B57A5"/>
    <w:rsid w:val="005B5A46"/>
    <w:rsid w:val="005B5CB2"/>
    <w:rsid w:val="005B605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252"/>
    <w:rsid w:val="005C131D"/>
    <w:rsid w:val="005C1634"/>
    <w:rsid w:val="005C1AC5"/>
    <w:rsid w:val="005C1B7D"/>
    <w:rsid w:val="005C1D27"/>
    <w:rsid w:val="005C2352"/>
    <w:rsid w:val="005C2586"/>
    <w:rsid w:val="005C28BB"/>
    <w:rsid w:val="005C2956"/>
    <w:rsid w:val="005C2DD4"/>
    <w:rsid w:val="005C2E02"/>
    <w:rsid w:val="005C2E7C"/>
    <w:rsid w:val="005C2F04"/>
    <w:rsid w:val="005C3288"/>
    <w:rsid w:val="005C32C5"/>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1EE"/>
    <w:rsid w:val="005C5364"/>
    <w:rsid w:val="005C53DD"/>
    <w:rsid w:val="005C553A"/>
    <w:rsid w:val="005C5A7E"/>
    <w:rsid w:val="005C5B7B"/>
    <w:rsid w:val="005C5BE0"/>
    <w:rsid w:val="005C5DF6"/>
    <w:rsid w:val="005C5EE0"/>
    <w:rsid w:val="005C6425"/>
    <w:rsid w:val="005C65AB"/>
    <w:rsid w:val="005C684A"/>
    <w:rsid w:val="005C69BE"/>
    <w:rsid w:val="005C6A03"/>
    <w:rsid w:val="005C6ADA"/>
    <w:rsid w:val="005C6C3D"/>
    <w:rsid w:val="005C6DC5"/>
    <w:rsid w:val="005C6DDF"/>
    <w:rsid w:val="005C71A6"/>
    <w:rsid w:val="005C71EA"/>
    <w:rsid w:val="005C730E"/>
    <w:rsid w:val="005C74D8"/>
    <w:rsid w:val="005C74DA"/>
    <w:rsid w:val="005C78FE"/>
    <w:rsid w:val="005C7BF3"/>
    <w:rsid w:val="005C7C5C"/>
    <w:rsid w:val="005C7DFF"/>
    <w:rsid w:val="005D0215"/>
    <w:rsid w:val="005D027C"/>
    <w:rsid w:val="005D077F"/>
    <w:rsid w:val="005D07C9"/>
    <w:rsid w:val="005D0E77"/>
    <w:rsid w:val="005D10A9"/>
    <w:rsid w:val="005D1144"/>
    <w:rsid w:val="005D15EE"/>
    <w:rsid w:val="005D19AC"/>
    <w:rsid w:val="005D1BA6"/>
    <w:rsid w:val="005D1C5B"/>
    <w:rsid w:val="005D1EF4"/>
    <w:rsid w:val="005D2072"/>
    <w:rsid w:val="005D221A"/>
    <w:rsid w:val="005D22EF"/>
    <w:rsid w:val="005D2333"/>
    <w:rsid w:val="005D234F"/>
    <w:rsid w:val="005D24AF"/>
    <w:rsid w:val="005D289E"/>
    <w:rsid w:val="005D297B"/>
    <w:rsid w:val="005D2A4F"/>
    <w:rsid w:val="005D2A97"/>
    <w:rsid w:val="005D2F3A"/>
    <w:rsid w:val="005D3430"/>
    <w:rsid w:val="005D360C"/>
    <w:rsid w:val="005D36CE"/>
    <w:rsid w:val="005D37DD"/>
    <w:rsid w:val="005D39A0"/>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5C99"/>
    <w:rsid w:val="005D603E"/>
    <w:rsid w:val="005D60C9"/>
    <w:rsid w:val="005D613F"/>
    <w:rsid w:val="005D6198"/>
    <w:rsid w:val="005D660C"/>
    <w:rsid w:val="005D678B"/>
    <w:rsid w:val="005D6C8E"/>
    <w:rsid w:val="005D73A6"/>
    <w:rsid w:val="005D753E"/>
    <w:rsid w:val="005D7574"/>
    <w:rsid w:val="005D77C7"/>
    <w:rsid w:val="005D790D"/>
    <w:rsid w:val="005D7951"/>
    <w:rsid w:val="005D7FE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98A"/>
    <w:rsid w:val="005E2A6D"/>
    <w:rsid w:val="005E2B22"/>
    <w:rsid w:val="005E2C61"/>
    <w:rsid w:val="005E2CA4"/>
    <w:rsid w:val="005E3046"/>
    <w:rsid w:val="005E3510"/>
    <w:rsid w:val="005E353E"/>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736"/>
    <w:rsid w:val="005E79D7"/>
    <w:rsid w:val="005E7E6E"/>
    <w:rsid w:val="005E7E8D"/>
    <w:rsid w:val="005F006A"/>
    <w:rsid w:val="005F00E1"/>
    <w:rsid w:val="005F00FC"/>
    <w:rsid w:val="005F0231"/>
    <w:rsid w:val="005F02B2"/>
    <w:rsid w:val="005F0691"/>
    <w:rsid w:val="005F09F5"/>
    <w:rsid w:val="005F0A4B"/>
    <w:rsid w:val="005F0A74"/>
    <w:rsid w:val="005F0BF7"/>
    <w:rsid w:val="005F1002"/>
    <w:rsid w:val="005F1014"/>
    <w:rsid w:val="005F117E"/>
    <w:rsid w:val="005F1311"/>
    <w:rsid w:val="005F14F7"/>
    <w:rsid w:val="005F1558"/>
    <w:rsid w:val="005F188D"/>
    <w:rsid w:val="005F1D8D"/>
    <w:rsid w:val="005F21C9"/>
    <w:rsid w:val="005F247D"/>
    <w:rsid w:val="005F26B1"/>
    <w:rsid w:val="005F2EF6"/>
    <w:rsid w:val="005F2F2E"/>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6E4"/>
    <w:rsid w:val="005F673D"/>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1BA5"/>
    <w:rsid w:val="00602081"/>
    <w:rsid w:val="00602180"/>
    <w:rsid w:val="00602383"/>
    <w:rsid w:val="006023DB"/>
    <w:rsid w:val="006026AC"/>
    <w:rsid w:val="006026E6"/>
    <w:rsid w:val="00602987"/>
    <w:rsid w:val="00602BEF"/>
    <w:rsid w:val="00602E57"/>
    <w:rsid w:val="00603012"/>
    <w:rsid w:val="00603036"/>
    <w:rsid w:val="006030BB"/>
    <w:rsid w:val="006030BD"/>
    <w:rsid w:val="00603808"/>
    <w:rsid w:val="00603C02"/>
    <w:rsid w:val="00603C48"/>
    <w:rsid w:val="006047B1"/>
    <w:rsid w:val="006047D4"/>
    <w:rsid w:val="00604C70"/>
    <w:rsid w:val="00604DE8"/>
    <w:rsid w:val="006051F3"/>
    <w:rsid w:val="00605261"/>
    <w:rsid w:val="0060542F"/>
    <w:rsid w:val="0060548A"/>
    <w:rsid w:val="006054D2"/>
    <w:rsid w:val="006055B8"/>
    <w:rsid w:val="0060563D"/>
    <w:rsid w:val="00605969"/>
    <w:rsid w:val="00605BE0"/>
    <w:rsid w:val="00605BE6"/>
    <w:rsid w:val="00605FAA"/>
    <w:rsid w:val="006064F1"/>
    <w:rsid w:val="00606608"/>
    <w:rsid w:val="0060683B"/>
    <w:rsid w:val="00606BA1"/>
    <w:rsid w:val="00606C4D"/>
    <w:rsid w:val="00606D98"/>
    <w:rsid w:val="00606FA7"/>
    <w:rsid w:val="0060719F"/>
    <w:rsid w:val="0060722B"/>
    <w:rsid w:val="006076E6"/>
    <w:rsid w:val="006076F7"/>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1FF2"/>
    <w:rsid w:val="00612031"/>
    <w:rsid w:val="006120DC"/>
    <w:rsid w:val="0061213B"/>
    <w:rsid w:val="006124F6"/>
    <w:rsid w:val="0061286F"/>
    <w:rsid w:val="00612A4F"/>
    <w:rsid w:val="00612B0B"/>
    <w:rsid w:val="00612D08"/>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54C"/>
    <w:rsid w:val="0061668C"/>
    <w:rsid w:val="00616B95"/>
    <w:rsid w:val="00617344"/>
    <w:rsid w:val="00617401"/>
    <w:rsid w:val="006176D6"/>
    <w:rsid w:val="00617784"/>
    <w:rsid w:val="00617EEA"/>
    <w:rsid w:val="006206B5"/>
    <w:rsid w:val="006207FC"/>
    <w:rsid w:val="006208FF"/>
    <w:rsid w:val="00620D96"/>
    <w:rsid w:val="00620F2E"/>
    <w:rsid w:val="00621183"/>
    <w:rsid w:val="0062190D"/>
    <w:rsid w:val="006219AD"/>
    <w:rsid w:val="00621B7A"/>
    <w:rsid w:val="00621C4D"/>
    <w:rsid w:val="00621D64"/>
    <w:rsid w:val="00621E7D"/>
    <w:rsid w:val="00622278"/>
    <w:rsid w:val="0062254B"/>
    <w:rsid w:val="00622929"/>
    <w:rsid w:val="00622945"/>
    <w:rsid w:val="00622E59"/>
    <w:rsid w:val="00623205"/>
    <w:rsid w:val="00623242"/>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15"/>
    <w:rsid w:val="0062509A"/>
    <w:rsid w:val="0062595E"/>
    <w:rsid w:val="00625C6D"/>
    <w:rsid w:val="00625F42"/>
    <w:rsid w:val="00626004"/>
    <w:rsid w:val="00626238"/>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65B"/>
    <w:rsid w:val="006316EE"/>
    <w:rsid w:val="0063176C"/>
    <w:rsid w:val="00631A71"/>
    <w:rsid w:val="00631DA7"/>
    <w:rsid w:val="00631FF6"/>
    <w:rsid w:val="00632021"/>
    <w:rsid w:val="00632080"/>
    <w:rsid w:val="0063274C"/>
    <w:rsid w:val="00632A39"/>
    <w:rsid w:val="00632C15"/>
    <w:rsid w:val="00632EE5"/>
    <w:rsid w:val="006332B9"/>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0F"/>
    <w:rsid w:val="00635317"/>
    <w:rsid w:val="00635457"/>
    <w:rsid w:val="00635485"/>
    <w:rsid w:val="0063561D"/>
    <w:rsid w:val="0063563F"/>
    <w:rsid w:val="00635860"/>
    <w:rsid w:val="006359F5"/>
    <w:rsid w:val="00635C89"/>
    <w:rsid w:val="00635DF2"/>
    <w:rsid w:val="00635E59"/>
    <w:rsid w:val="006362D8"/>
    <w:rsid w:val="00636542"/>
    <w:rsid w:val="006366DB"/>
    <w:rsid w:val="00636717"/>
    <w:rsid w:val="00636C84"/>
    <w:rsid w:val="00636CAE"/>
    <w:rsid w:val="00636DF1"/>
    <w:rsid w:val="0063717F"/>
    <w:rsid w:val="00637224"/>
    <w:rsid w:val="006377C8"/>
    <w:rsid w:val="0063790B"/>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B4"/>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5E1F"/>
    <w:rsid w:val="00646231"/>
    <w:rsid w:val="00646235"/>
    <w:rsid w:val="00646259"/>
    <w:rsid w:val="0064625A"/>
    <w:rsid w:val="006469BA"/>
    <w:rsid w:val="00646E88"/>
    <w:rsid w:val="00646EE8"/>
    <w:rsid w:val="0064706F"/>
    <w:rsid w:val="0064732A"/>
    <w:rsid w:val="006474B3"/>
    <w:rsid w:val="006474F2"/>
    <w:rsid w:val="0064791C"/>
    <w:rsid w:val="00647B1C"/>
    <w:rsid w:val="00647BDF"/>
    <w:rsid w:val="00647EB2"/>
    <w:rsid w:val="00647FD7"/>
    <w:rsid w:val="0065008E"/>
    <w:rsid w:val="00650092"/>
    <w:rsid w:val="006506EC"/>
    <w:rsid w:val="0065098C"/>
    <w:rsid w:val="006509B8"/>
    <w:rsid w:val="00650BC9"/>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510"/>
    <w:rsid w:val="0065373D"/>
    <w:rsid w:val="00653842"/>
    <w:rsid w:val="006539EE"/>
    <w:rsid w:val="00653E12"/>
    <w:rsid w:val="00653E17"/>
    <w:rsid w:val="00654090"/>
    <w:rsid w:val="00654280"/>
    <w:rsid w:val="006542F2"/>
    <w:rsid w:val="006543E4"/>
    <w:rsid w:val="0065444A"/>
    <w:rsid w:val="00654461"/>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456"/>
    <w:rsid w:val="0065663A"/>
    <w:rsid w:val="00656AF0"/>
    <w:rsid w:val="00656C7F"/>
    <w:rsid w:val="00656CC2"/>
    <w:rsid w:val="00656E87"/>
    <w:rsid w:val="00656F8B"/>
    <w:rsid w:val="00656FCA"/>
    <w:rsid w:val="00657366"/>
    <w:rsid w:val="006573EA"/>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41"/>
    <w:rsid w:val="006646A5"/>
    <w:rsid w:val="00664883"/>
    <w:rsid w:val="00664974"/>
    <w:rsid w:val="00664975"/>
    <w:rsid w:val="00664ADF"/>
    <w:rsid w:val="00664C11"/>
    <w:rsid w:val="00664CFD"/>
    <w:rsid w:val="00664DA3"/>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6E16"/>
    <w:rsid w:val="00666F0E"/>
    <w:rsid w:val="006675B0"/>
    <w:rsid w:val="00667961"/>
    <w:rsid w:val="00667D30"/>
    <w:rsid w:val="0067002B"/>
    <w:rsid w:val="00670147"/>
    <w:rsid w:val="0067029D"/>
    <w:rsid w:val="006703B1"/>
    <w:rsid w:val="00670403"/>
    <w:rsid w:val="006704C3"/>
    <w:rsid w:val="00670B0C"/>
    <w:rsid w:val="00670F2F"/>
    <w:rsid w:val="00671028"/>
    <w:rsid w:val="00671299"/>
    <w:rsid w:val="006713DF"/>
    <w:rsid w:val="0067143B"/>
    <w:rsid w:val="00671487"/>
    <w:rsid w:val="006715B7"/>
    <w:rsid w:val="0067162C"/>
    <w:rsid w:val="00671D6A"/>
    <w:rsid w:val="00672129"/>
    <w:rsid w:val="0067253E"/>
    <w:rsid w:val="00672583"/>
    <w:rsid w:val="00672736"/>
    <w:rsid w:val="006729B7"/>
    <w:rsid w:val="00672AE2"/>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6DAE"/>
    <w:rsid w:val="00676F9E"/>
    <w:rsid w:val="00677604"/>
    <w:rsid w:val="00677861"/>
    <w:rsid w:val="0067798F"/>
    <w:rsid w:val="00677AD6"/>
    <w:rsid w:val="00677EAA"/>
    <w:rsid w:val="006800E7"/>
    <w:rsid w:val="00680197"/>
    <w:rsid w:val="006804C4"/>
    <w:rsid w:val="00680500"/>
    <w:rsid w:val="006806CA"/>
    <w:rsid w:val="00680A21"/>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9C8"/>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C85"/>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2DEE"/>
    <w:rsid w:val="00693086"/>
    <w:rsid w:val="0069346F"/>
    <w:rsid w:val="006935A4"/>
    <w:rsid w:val="0069360E"/>
    <w:rsid w:val="0069389B"/>
    <w:rsid w:val="00693943"/>
    <w:rsid w:val="00693A6B"/>
    <w:rsid w:val="00693AC5"/>
    <w:rsid w:val="00693D4E"/>
    <w:rsid w:val="00693F81"/>
    <w:rsid w:val="006941FD"/>
    <w:rsid w:val="0069432C"/>
    <w:rsid w:val="00694540"/>
    <w:rsid w:val="006945B4"/>
    <w:rsid w:val="00694630"/>
    <w:rsid w:val="0069471C"/>
    <w:rsid w:val="00694A94"/>
    <w:rsid w:val="00694C68"/>
    <w:rsid w:val="00694E98"/>
    <w:rsid w:val="0069509A"/>
    <w:rsid w:val="006952CE"/>
    <w:rsid w:val="00695629"/>
    <w:rsid w:val="006956AF"/>
    <w:rsid w:val="006956C3"/>
    <w:rsid w:val="006959EB"/>
    <w:rsid w:val="00695BC0"/>
    <w:rsid w:val="00695C46"/>
    <w:rsid w:val="00695D25"/>
    <w:rsid w:val="00696041"/>
    <w:rsid w:val="006963CB"/>
    <w:rsid w:val="006969DC"/>
    <w:rsid w:val="00696E73"/>
    <w:rsid w:val="00696EAD"/>
    <w:rsid w:val="00696EF5"/>
    <w:rsid w:val="00696FA3"/>
    <w:rsid w:val="006971B0"/>
    <w:rsid w:val="00697310"/>
    <w:rsid w:val="00697441"/>
    <w:rsid w:val="00697BF7"/>
    <w:rsid w:val="006A01DE"/>
    <w:rsid w:val="006A024D"/>
    <w:rsid w:val="006A0927"/>
    <w:rsid w:val="006A0A0A"/>
    <w:rsid w:val="006A0C73"/>
    <w:rsid w:val="006A0D67"/>
    <w:rsid w:val="006A114D"/>
    <w:rsid w:val="006A12FF"/>
    <w:rsid w:val="006A153A"/>
    <w:rsid w:val="006A1831"/>
    <w:rsid w:val="006A1981"/>
    <w:rsid w:val="006A1C0D"/>
    <w:rsid w:val="006A1F34"/>
    <w:rsid w:val="006A2071"/>
    <w:rsid w:val="006A2238"/>
    <w:rsid w:val="006A22D0"/>
    <w:rsid w:val="006A2370"/>
    <w:rsid w:val="006A2436"/>
    <w:rsid w:val="006A2479"/>
    <w:rsid w:val="006A25BC"/>
    <w:rsid w:val="006A264A"/>
    <w:rsid w:val="006A2BCE"/>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97D"/>
    <w:rsid w:val="006A4B86"/>
    <w:rsid w:val="006A4C45"/>
    <w:rsid w:val="006A4E79"/>
    <w:rsid w:val="006A4F27"/>
    <w:rsid w:val="006A4F64"/>
    <w:rsid w:val="006A5093"/>
    <w:rsid w:val="006A52D5"/>
    <w:rsid w:val="006A544E"/>
    <w:rsid w:val="006A56EF"/>
    <w:rsid w:val="006A5729"/>
    <w:rsid w:val="006A5A90"/>
    <w:rsid w:val="006A5BCC"/>
    <w:rsid w:val="006A5D48"/>
    <w:rsid w:val="006A5D76"/>
    <w:rsid w:val="006A5E27"/>
    <w:rsid w:val="006A5EA3"/>
    <w:rsid w:val="006A5F2A"/>
    <w:rsid w:val="006A5F46"/>
    <w:rsid w:val="006A63F1"/>
    <w:rsid w:val="006A6433"/>
    <w:rsid w:val="006A64A4"/>
    <w:rsid w:val="006A677A"/>
    <w:rsid w:val="006A6BD0"/>
    <w:rsid w:val="006A6C22"/>
    <w:rsid w:val="006A6C6C"/>
    <w:rsid w:val="006A6D16"/>
    <w:rsid w:val="006A6E8C"/>
    <w:rsid w:val="006A6EC9"/>
    <w:rsid w:val="006A70FE"/>
    <w:rsid w:val="006A7227"/>
    <w:rsid w:val="006A735B"/>
    <w:rsid w:val="006A7738"/>
    <w:rsid w:val="006A77C7"/>
    <w:rsid w:val="006A7DBE"/>
    <w:rsid w:val="006A7F52"/>
    <w:rsid w:val="006A7FF0"/>
    <w:rsid w:val="006B0075"/>
    <w:rsid w:val="006B028F"/>
    <w:rsid w:val="006B0483"/>
    <w:rsid w:val="006B0784"/>
    <w:rsid w:val="006B0992"/>
    <w:rsid w:val="006B09D4"/>
    <w:rsid w:val="006B0C5B"/>
    <w:rsid w:val="006B0DB4"/>
    <w:rsid w:val="006B130E"/>
    <w:rsid w:val="006B1587"/>
    <w:rsid w:val="006B1766"/>
    <w:rsid w:val="006B1AD0"/>
    <w:rsid w:val="006B1ED2"/>
    <w:rsid w:val="006B21BB"/>
    <w:rsid w:val="006B2449"/>
    <w:rsid w:val="006B2734"/>
    <w:rsid w:val="006B2757"/>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411"/>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ADD"/>
    <w:rsid w:val="006C0C90"/>
    <w:rsid w:val="006C0EE9"/>
    <w:rsid w:val="006C0FCD"/>
    <w:rsid w:val="006C1729"/>
    <w:rsid w:val="006C192D"/>
    <w:rsid w:val="006C1C38"/>
    <w:rsid w:val="006C1CD1"/>
    <w:rsid w:val="006C1CEA"/>
    <w:rsid w:val="006C1FDC"/>
    <w:rsid w:val="006C21BB"/>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C97"/>
    <w:rsid w:val="006C5F68"/>
    <w:rsid w:val="006C609A"/>
    <w:rsid w:val="006C61F8"/>
    <w:rsid w:val="006C64D5"/>
    <w:rsid w:val="006C6607"/>
    <w:rsid w:val="006C67DA"/>
    <w:rsid w:val="006C684F"/>
    <w:rsid w:val="006C6D0C"/>
    <w:rsid w:val="006C6E6D"/>
    <w:rsid w:val="006C6FCD"/>
    <w:rsid w:val="006C7242"/>
    <w:rsid w:val="006C74DD"/>
    <w:rsid w:val="006C79A8"/>
    <w:rsid w:val="006C7AE2"/>
    <w:rsid w:val="006C7CC7"/>
    <w:rsid w:val="006D077B"/>
    <w:rsid w:val="006D0974"/>
    <w:rsid w:val="006D09D2"/>
    <w:rsid w:val="006D0A72"/>
    <w:rsid w:val="006D0C8A"/>
    <w:rsid w:val="006D0D92"/>
    <w:rsid w:val="006D0E5B"/>
    <w:rsid w:val="006D121E"/>
    <w:rsid w:val="006D13F9"/>
    <w:rsid w:val="006D176E"/>
    <w:rsid w:val="006D1B94"/>
    <w:rsid w:val="006D1BD4"/>
    <w:rsid w:val="006D1EE5"/>
    <w:rsid w:val="006D2145"/>
    <w:rsid w:val="006D2526"/>
    <w:rsid w:val="006D2ED4"/>
    <w:rsid w:val="006D2FF8"/>
    <w:rsid w:val="006D302A"/>
    <w:rsid w:val="006D30B2"/>
    <w:rsid w:val="006D35FD"/>
    <w:rsid w:val="006D3811"/>
    <w:rsid w:val="006D3872"/>
    <w:rsid w:val="006D3AB6"/>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576"/>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073"/>
    <w:rsid w:val="006E14B3"/>
    <w:rsid w:val="006E175D"/>
    <w:rsid w:val="006E191C"/>
    <w:rsid w:val="006E1963"/>
    <w:rsid w:val="006E1EAC"/>
    <w:rsid w:val="006E1F52"/>
    <w:rsid w:val="006E22E1"/>
    <w:rsid w:val="006E2353"/>
    <w:rsid w:val="006E2554"/>
    <w:rsid w:val="006E260F"/>
    <w:rsid w:val="006E2653"/>
    <w:rsid w:val="006E27DA"/>
    <w:rsid w:val="006E2875"/>
    <w:rsid w:val="006E2D3E"/>
    <w:rsid w:val="006E329A"/>
    <w:rsid w:val="006E3474"/>
    <w:rsid w:val="006E3477"/>
    <w:rsid w:val="006E358D"/>
    <w:rsid w:val="006E3A90"/>
    <w:rsid w:val="006E3CC7"/>
    <w:rsid w:val="006E3E7E"/>
    <w:rsid w:val="006E4585"/>
    <w:rsid w:val="006E4900"/>
    <w:rsid w:val="006E4923"/>
    <w:rsid w:val="006E4960"/>
    <w:rsid w:val="006E4BBD"/>
    <w:rsid w:val="006E4DC4"/>
    <w:rsid w:val="006E4FEC"/>
    <w:rsid w:val="006E50BE"/>
    <w:rsid w:val="006E5332"/>
    <w:rsid w:val="006E533F"/>
    <w:rsid w:val="006E53A3"/>
    <w:rsid w:val="006E5696"/>
    <w:rsid w:val="006E5BBA"/>
    <w:rsid w:val="006E6338"/>
    <w:rsid w:val="006E66A7"/>
    <w:rsid w:val="006E68C1"/>
    <w:rsid w:val="006E6EAF"/>
    <w:rsid w:val="006E6F14"/>
    <w:rsid w:val="006E79B9"/>
    <w:rsid w:val="006F007E"/>
    <w:rsid w:val="006F02FD"/>
    <w:rsid w:val="006F04D5"/>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678"/>
    <w:rsid w:val="006F5608"/>
    <w:rsid w:val="006F560B"/>
    <w:rsid w:val="006F56F8"/>
    <w:rsid w:val="006F604B"/>
    <w:rsid w:val="006F6337"/>
    <w:rsid w:val="006F6502"/>
    <w:rsid w:val="006F6847"/>
    <w:rsid w:val="006F6C1E"/>
    <w:rsid w:val="006F7262"/>
    <w:rsid w:val="006F73B3"/>
    <w:rsid w:val="006F73B4"/>
    <w:rsid w:val="006F73FC"/>
    <w:rsid w:val="006F7524"/>
    <w:rsid w:val="006F7546"/>
    <w:rsid w:val="006F76C5"/>
    <w:rsid w:val="006F78B1"/>
    <w:rsid w:val="006F794B"/>
    <w:rsid w:val="006F796D"/>
    <w:rsid w:val="006F7A24"/>
    <w:rsid w:val="006F7CA3"/>
    <w:rsid w:val="006F7E47"/>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2B0"/>
    <w:rsid w:val="00705306"/>
    <w:rsid w:val="007053A6"/>
    <w:rsid w:val="007054E5"/>
    <w:rsid w:val="00705812"/>
    <w:rsid w:val="00705B0D"/>
    <w:rsid w:val="00705B91"/>
    <w:rsid w:val="00706076"/>
    <w:rsid w:val="007060FC"/>
    <w:rsid w:val="007061B1"/>
    <w:rsid w:val="00706625"/>
    <w:rsid w:val="0070690C"/>
    <w:rsid w:val="00706952"/>
    <w:rsid w:val="00706B0E"/>
    <w:rsid w:val="00706B40"/>
    <w:rsid w:val="00706C63"/>
    <w:rsid w:val="00706FC4"/>
    <w:rsid w:val="007073B1"/>
    <w:rsid w:val="0070768C"/>
    <w:rsid w:val="007076E6"/>
    <w:rsid w:val="00707D18"/>
    <w:rsid w:val="00707EB4"/>
    <w:rsid w:val="00707F91"/>
    <w:rsid w:val="00710129"/>
    <w:rsid w:val="00710736"/>
    <w:rsid w:val="00710C08"/>
    <w:rsid w:val="00710F1F"/>
    <w:rsid w:val="0071112B"/>
    <w:rsid w:val="007112F8"/>
    <w:rsid w:val="00711AB9"/>
    <w:rsid w:val="00711E02"/>
    <w:rsid w:val="0071226A"/>
    <w:rsid w:val="007122DA"/>
    <w:rsid w:val="00712475"/>
    <w:rsid w:val="0071247C"/>
    <w:rsid w:val="0071255A"/>
    <w:rsid w:val="00712622"/>
    <w:rsid w:val="0071266F"/>
    <w:rsid w:val="007126B1"/>
    <w:rsid w:val="007127A2"/>
    <w:rsid w:val="007127A3"/>
    <w:rsid w:val="007129D9"/>
    <w:rsid w:val="00712B88"/>
    <w:rsid w:val="00712C57"/>
    <w:rsid w:val="00712F2D"/>
    <w:rsid w:val="00713515"/>
    <w:rsid w:val="00713587"/>
    <w:rsid w:val="0071385C"/>
    <w:rsid w:val="007138DE"/>
    <w:rsid w:val="00713970"/>
    <w:rsid w:val="0071433C"/>
    <w:rsid w:val="0071469C"/>
    <w:rsid w:val="00714A31"/>
    <w:rsid w:val="00714A43"/>
    <w:rsid w:val="007150B0"/>
    <w:rsid w:val="007155A6"/>
    <w:rsid w:val="00715783"/>
    <w:rsid w:val="00715797"/>
    <w:rsid w:val="00715A61"/>
    <w:rsid w:val="00715A9A"/>
    <w:rsid w:val="00715B97"/>
    <w:rsid w:val="00716124"/>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0FE3"/>
    <w:rsid w:val="00721020"/>
    <w:rsid w:val="00721163"/>
    <w:rsid w:val="00721572"/>
    <w:rsid w:val="007216A8"/>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2FFF"/>
    <w:rsid w:val="0072339E"/>
    <w:rsid w:val="007233C9"/>
    <w:rsid w:val="0072350A"/>
    <w:rsid w:val="00723619"/>
    <w:rsid w:val="00723859"/>
    <w:rsid w:val="00723D05"/>
    <w:rsid w:val="00723D0A"/>
    <w:rsid w:val="00723E3D"/>
    <w:rsid w:val="00723F44"/>
    <w:rsid w:val="00724316"/>
    <w:rsid w:val="007249C7"/>
    <w:rsid w:val="00724A89"/>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0B7"/>
    <w:rsid w:val="00730286"/>
    <w:rsid w:val="007306DC"/>
    <w:rsid w:val="007309B3"/>
    <w:rsid w:val="00730A05"/>
    <w:rsid w:val="00730C79"/>
    <w:rsid w:val="007312CA"/>
    <w:rsid w:val="007317E5"/>
    <w:rsid w:val="0073183B"/>
    <w:rsid w:val="00731859"/>
    <w:rsid w:val="007318DD"/>
    <w:rsid w:val="00731D48"/>
    <w:rsid w:val="00731DB2"/>
    <w:rsid w:val="00732362"/>
    <w:rsid w:val="00732583"/>
    <w:rsid w:val="00732593"/>
    <w:rsid w:val="00732779"/>
    <w:rsid w:val="00732854"/>
    <w:rsid w:val="00732A4F"/>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63E"/>
    <w:rsid w:val="00735777"/>
    <w:rsid w:val="00735A18"/>
    <w:rsid w:val="00735BA3"/>
    <w:rsid w:val="00736037"/>
    <w:rsid w:val="0073605C"/>
    <w:rsid w:val="007364DE"/>
    <w:rsid w:val="007365B7"/>
    <w:rsid w:val="00736924"/>
    <w:rsid w:val="00736971"/>
    <w:rsid w:val="007369CD"/>
    <w:rsid w:val="00736A21"/>
    <w:rsid w:val="007371C1"/>
    <w:rsid w:val="007371F5"/>
    <w:rsid w:val="007373D9"/>
    <w:rsid w:val="00737595"/>
    <w:rsid w:val="00737925"/>
    <w:rsid w:val="00737C55"/>
    <w:rsid w:val="00737CDA"/>
    <w:rsid w:val="00737D5E"/>
    <w:rsid w:val="0074002E"/>
    <w:rsid w:val="00740045"/>
    <w:rsid w:val="007401CE"/>
    <w:rsid w:val="00740260"/>
    <w:rsid w:val="0074028F"/>
    <w:rsid w:val="007402F4"/>
    <w:rsid w:val="00740FDE"/>
    <w:rsid w:val="0074107F"/>
    <w:rsid w:val="007410B5"/>
    <w:rsid w:val="00741202"/>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24A"/>
    <w:rsid w:val="00744A81"/>
    <w:rsid w:val="00744AF4"/>
    <w:rsid w:val="00744C07"/>
    <w:rsid w:val="00744EE4"/>
    <w:rsid w:val="007457BD"/>
    <w:rsid w:val="0074586F"/>
    <w:rsid w:val="007459BF"/>
    <w:rsid w:val="00745A65"/>
    <w:rsid w:val="00745CA3"/>
    <w:rsid w:val="00745D71"/>
    <w:rsid w:val="00745E81"/>
    <w:rsid w:val="007460AE"/>
    <w:rsid w:val="00746214"/>
    <w:rsid w:val="007463AA"/>
    <w:rsid w:val="00746512"/>
    <w:rsid w:val="00746521"/>
    <w:rsid w:val="007468D5"/>
    <w:rsid w:val="00746F46"/>
    <w:rsid w:val="007471F8"/>
    <w:rsid w:val="00747516"/>
    <w:rsid w:val="0074755D"/>
    <w:rsid w:val="007476F0"/>
    <w:rsid w:val="00747949"/>
    <w:rsid w:val="00747BB2"/>
    <w:rsid w:val="00747C21"/>
    <w:rsid w:val="00747E51"/>
    <w:rsid w:val="007502BA"/>
    <w:rsid w:val="007505E4"/>
    <w:rsid w:val="00750897"/>
    <w:rsid w:val="00750981"/>
    <w:rsid w:val="00750C2F"/>
    <w:rsid w:val="00750D2E"/>
    <w:rsid w:val="00751098"/>
    <w:rsid w:val="0075111B"/>
    <w:rsid w:val="007513EE"/>
    <w:rsid w:val="00751872"/>
    <w:rsid w:val="007519B2"/>
    <w:rsid w:val="00751B89"/>
    <w:rsid w:val="00751B8F"/>
    <w:rsid w:val="00751C7C"/>
    <w:rsid w:val="00751F34"/>
    <w:rsid w:val="0075295E"/>
    <w:rsid w:val="007529BE"/>
    <w:rsid w:val="00752ACF"/>
    <w:rsid w:val="00752E3A"/>
    <w:rsid w:val="00752E92"/>
    <w:rsid w:val="00752EC6"/>
    <w:rsid w:val="00752FB3"/>
    <w:rsid w:val="00752FD3"/>
    <w:rsid w:val="007532EE"/>
    <w:rsid w:val="00753543"/>
    <w:rsid w:val="007536E9"/>
    <w:rsid w:val="0075393B"/>
    <w:rsid w:val="00753A31"/>
    <w:rsid w:val="00754589"/>
    <w:rsid w:val="00754F4E"/>
    <w:rsid w:val="00754F9F"/>
    <w:rsid w:val="00755089"/>
    <w:rsid w:val="00755223"/>
    <w:rsid w:val="00755262"/>
    <w:rsid w:val="00755375"/>
    <w:rsid w:val="007555BA"/>
    <w:rsid w:val="007555DD"/>
    <w:rsid w:val="007555F5"/>
    <w:rsid w:val="00755851"/>
    <w:rsid w:val="00755955"/>
    <w:rsid w:val="00755F22"/>
    <w:rsid w:val="00755FD6"/>
    <w:rsid w:val="00755FF4"/>
    <w:rsid w:val="007560B5"/>
    <w:rsid w:val="00756393"/>
    <w:rsid w:val="007563FF"/>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CD0"/>
    <w:rsid w:val="00760F11"/>
    <w:rsid w:val="0076101C"/>
    <w:rsid w:val="0076130B"/>
    <w:rsid w:val="0076146C"/>
    <w:rsid w:val="00761660"/>
    <w:rsid w:val="00761894"/>
    <w:rsid w:val="00761949"/>
    <w:rsid w:val="00761B10"/>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1D"/>
    <w:rsid w:val="00763F2D"/>
    <w:rsid w:val="00764135"/>
    <w:rsid w:val="00764194"/>
    <w:rsid w:val="0076445A"/>
    <w:rsid w:val="0076446C"/>
    <w:rsid w:val="00764490"/>
    <w:rsid w:val="007646AC"/>
    <w:rsid w:val="00764A6D"/>
    <w:rsid w:val="00764C3D"/>
    <w:rsid w:val="00765A1B"/>
    <w:rsid w:val="00765A2E"/>
    <w:rsid w:val="00765B8D"/>
    <w:rsid w:val="00765C5D"/>
    <w:rsid w:val="00765ECF"/>
    <w:rsid w:val="00765FE6"/>
    <w:rsid w:val="0076612F"/>
    <w:rsid w:val="0076642C"/>
    <w:rsid w:val="0076647C"/>
    <w:rsid w:val="00766491"/>
    <w:rsid w:val="007664B8"/>
    <w:rsid w:val="00766609"/>
    <w:rsid w:val="0076685D"/>
    <w:rsid w:val="0076687C"/>
    <w:rsid w:val="00766F38"/>
    <w:rsid w:val="007672A6"/>
    <w:rsid w:val="007675D8"/>
    <w:rsid w:val="0076768E"/>
    <w:rsid w:val="007676E5"/>
    <w:rsid w:val="00767700"/>
    <w:rsid w:val="0076771A"/>
    <w:rsid w:val="0076788A"/>
    <w:rsid w:val="00767D35"/>
    <w:rsid w:val="00767E15"/>
    <w:rsid w:val="00767FD9"/>
    <w:rsid w:val="007700F8"/>
    <w:rsid w:val="007703E0"/>
    <w:rsid w:val="00770D59"/>
    <w:rsid w:val="00770D71"/>
    <w:rsid w:val="007713FB"/>
    <w:rsid w:val="00771AE2"/>
    <w:rsid w:val="00771BFA"/>
    <w:rsid w:val="00771C6C"/>
    <w:rsid w:val="00771D80"/>
    <w:rsid w:val="00771DD7"/>
    <w:rsid w:val="00771E2B"/>
    <w:rsid w:val="007721A7"/>
    <w:rsid w:val="007721DC"/>
    <w:rsid w:val="00772257"/>
    <w:rsid w:val="00772356"/>
    <w:rsid w:val="007725AF"/>
    <w:rsid w:val="007726A9"/>
    <w:rsid w:val="00772723"/>
    <w:rsid w:val="00772BB8"/>
    <w:rsid w:val="00772E41"/>
    <w:rsid w:val="0077313D"/>
    <w:rsid w:val="0077352E"/>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DC3"/>
    <w:rsid w:val="00775F0A"/>
    <w:rsid w:val="007762E2"/>
    <w:rsid w:val="007767EC"/>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C52"/>
    <w:rsid w:val="00780D9E"/>
    <w:rsid w:val="00780E5D"/>
    <w:rsid w:val="007813C1"/>
    <w:rsid w:val="007814AB"/>
    <w:rsid w:val="007814F2"/>
    <w:rsid w:val="0078189F"/>
    <w:rsid w:val="00781BEF"/>
    <w:rsid w:val="00781C13"/>
    <w:rsid w:val="00781C62"/>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883"/>
    <w:rsid w:val="00784C02"/>
    <w:rsid w:val="00784C1B"/>
    <w:rsid w:val="00784D76"/>
    <w:rsid w:val="00784E22"/>
    <w:rsid w:val="00784FC2"/>
    <w:rsid w:val="00785562"/>
    <w:rsid w:val="00785A27"/>
    <w:rsid w:val="00785BF5"/>
    <w:rsid w:val="00785F6D"/>
    <w:rsid w:val="0078660B"/>
    <w:rsid w:val="00786A73"/>
    <w:rsid w:val="00786ACC"/>
    <w:rsid w:val="00786CE9"/>
    <w:rsid w:val="00786D0E"/>
    <w:rsid w:val="00786D77"/>
    <w:rsid w:val="00787634"/>
    <w:rsid w:val="0078784E"/>
    <w:rsid w:val="00787999"/>
    <w:rsid w:val="00787BFE"/>
    <w:rsid w:val="00787F3E"/>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3E5E"/>
    <w:rsid w:val="00794503"/>
    <w:rsid w:val="007946CE"/>
    <w:rsid w:val="00794740"/>
    <w:rsid w:val="007948B5"/>
    <w:rsid w:val="007949EC"/>
    <w:rsid w:val="00794BA7"/>
    <w:rsid w:val="00794F8E"/>
    <w:rsid w:val="00795330"/>
    <w:rsid w:val="0079533F"/>
    <w:rsid w:val="007954DA"/>
    <w:rsid w:val="007959A9"/>
    <w:rsid w:val="007959D7"/>
    <w:rsid w:val="00795AC3"/>
    <w:rsid w:val="00795AD3"/>
    <w:rsid w:val="00795BEE"/>
    <w:rsid w:val="007960CB"/>
    <w:rsid w:val="007962E0"/>
    <w:rsid w:val="00796386"/>
    <w:rsid w:val="007966B4"/>
    <w:rsid w:val="00796862"/>
    <w:rsid w:val="00796C25"/>
    <w:rsid w:val="00796CFC"/>
    <w:rsid w:val="00796D4B"/>
    <w:rsid w:val="00797165"/>
    <w:rsid w:val="007974B1"/>
    <w:rsid w:val="00797545"/>
    <w:rsid w:val="00797556"/>
    <w:rsid w:val="007975D5"/>
    <w:rsid w:val="007975F5"/>
    <w:rsid w:val="00797701"/>
    <w:rsid w:val="00797CF0"/>
    <w:rsid w:val="00797F43"/>
    <w:rsid w:val="007A0231"/>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B8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21C"/>
    <w:rsid w:val="007A64CF"/>
    <w:rsid w:val="007A6708"/>
    <w:rsid w:val="007A685F"/>
    <w:rsid w:val="007A6CA9"/>
    <w:rsid w:val="007A6ED6"/>
    <w:rsid w:val="007A71D7"/>
    <w:rsid w:val="007A7600"/>
    <w:rsid w:val="007A76C9"/>
    <w:rsid w:val="007A7960"/>
    <w:rsid w:val="007B0002"/>
    <w:rsid w:val="007B017D"/>
    <w:rsid w:val="007B01AF"/>
    <w:rsid w:val="007B075C"/>
    <w:rsid w:val="007B083D"/>
    <w:rsid w:val="007B09B4"/>
    <w:rsid w:val="007B09D1"/>
    <w:rsid w:val="007B0ACC"/>
    <w:rsid w:val="007B11FF"/>
    <w:rsid w:val="007B1265"/>
    <w:rsid w:val="007B1A21"/>
    <w:rsid w:val="007B1ACD"/>
    <w:rsid w:val="007B1FAA"/>
    <w:rsid w:val="007B21B1"/>
    <w:rsid w:val="007B234D"/>
    <w:rsid w:val="007B2840"/>
    <w:rsid w:val="007B28B4"/>
    <w:rsid w:val="007B2E7A"/>
    <w:rsid w:val="007B2FDF"/>
    <w:rsid w:val="007B30EA"/>
    <w:rsid w:val="007B33D2"/>
    <w:rsid w:val="007B354B"/>
    <w:rsid w:val="007B3A86"/>
    <w:rsid w:val="007B3AA3"/>
    <w:rsid w:val="007B3DE7"/>
    <w:rsid w:val="007B4246"/>
    <w:rsid w:val="007B43A1"/>
    <w:rsid w:val="007B4499"/>
    <w:rsid w:val="007B473D"/>
    <w:rsid w:val="007B4BFD"/>
    <w:rsid w:val="007B5366"/>
    <w:rsid w:val="007B5419"/>
    <w:rsid w:val="007B544B"/>
    <w:rsid w:val="007B55D0"/>
    <w:rsid w:val="007B56C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3DA"/>
    <w:rsid w:val="007C1743"/>
    <w:rsid w:val="007C187F"/>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4EE3"/>
    <w:rsid w:val="007C5039"/>
    <w:rsid w:val="007C5273"/>
    <w:rsid w:val="007C527F"/>
    <w:rsid w:val="007C59EB"/>
    <w:rsid w:val="007C5A14"/>
    <w:rsid w:val="007C5B8F"/>
    <w:rsid w:val="007C5C83"/>
    <w:rsid w:val="007C5D8A"/>
    <w:rsid w:val="007C6321"/>
    <w:rsid w:val="007C662A"/>
    <w:rsid w:val="007C66AF"/>
    <w:rsid w:val="007C6958"/>
    <w:rsid w:val="007C6A21"/>
    <w:rsid w:val="007C6AAA"/>
    <w:rsid w:val="007C708A"/>
    <w:rsid w:val="007C70D1"/>
    <w:rsid w:val="007C7680"/>
    <w:rsid w:val="007C7885"/>
    <w:rsid w:val="007C7D92"/>
    <w:rsid w:val="007D00FA"/>
    <w:rsid w:val="007D014E"/>
    <w:rsid w:val="007D022D"/>
    <w:rsid w:val="007D0527"/>
    <w:rsid w:val="007D0846"/>
    <w:rsid w:val="007D0C47"/>
    <w:rsid w:val="007D0D50"/>
    <w:rsid w:val="007D0DD4"/>
    <w:rsid w:val="007D0EF7"/>
    <w:rsid w:val="007D14BC"/>
    <w:rsid w:val="007D16FF"/>
    <w:rsid w:val="007D1A42"/>
    <w:rsid w:val="007D1A5A"/>
    <w:rsid w:val="007D1AFC"/>
    <w:rsid w:val="007D1DCE"/>
    <w:rsid w:val="007D1DE9"/>
    <w:rsid w:val="007D221D"/>
    <w:rsid w:val="007D269C"/>
    <w:rsid w:val="007D26D0"/>
    <w:rsid w:val="007D2ACC"/>
    <w:rsid w:val="007D2B58"/>
    <w:rsid w:val="007D2B94"/>
    <w:rsid w:val="007D2CAF"/>
    <w:rsid w:val="007D2E62"/>
    <w:rsid w:val="007D31A0"/>
    <w:rsid w:val="007D31AD"/>
    <w:rsid w:val="007D34B9"/>
    <w:rsid w:val="007D35B2"/>
    <w:rsid w:val="007D3AEC"/>
    <w:rsid w:val="007D3FD8"/>
    <w:rsid w:val="007D4DC3"/>
    <w:rsid w:val="007D50FE"/>
    <w:rsid w:val="007D5181"/>
    <w:rsid w:val="007D5317"/>
    <w:rsid w:val="007D5450"/>
    <w:rsid w:val="007D573B"/>
    <w:rsid w:val="007D57F6"/>
    <w:rsid w:val="007D5967"/>
    <w:rsid w:val="007D5A68"/>
    <w:rsid w:val="007D5E26"/>
    <w:rsid w:val="007D5F56"/>
    <w:rsid w:val="007D602B"/>
    <w:rsid w:val="007D61E4"/>
    <w:rsid w:val="007D628A"/>
    <w:rsid w:val="007D62B4"/>
    <w:rsid w:val="007D6487"/>
    <w:rsid w:val="007D64D8"/>
    <w:rsid w:val="007D6551"/>
    <w:rsid w:val="007D67A4"/>
    <w:rsid w:val="007D69BC"/>
    <w:rsid w:val="007D6AFB"/>
    <w:rsid w:val="007D6BAA"/>
    <w:rsid w:val="007D6D5E"/>
    <w:rsid w:val="007D6E5F"/>
    <w:rsid w:val="007D6F6B"/>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5CC"/>
    <w:rsid w:val="007E1915"/>
    <w:rsid w:val="007E2202"/>
    <w:rsid w:val="007E249B"/>
    <w:rsid w:val="007E2590"/>
    <w:rsid w:val="007E2756"/>
    <w:rsid w:val="007E2770"/>
    <w:rsid w:val="007E286C"/>
    <w:rsid w:val="007E288F"/>
    <w:rsid w:val="007E2A73"/>
    <w:rsid w:val="007E2B3E"/>
    <w:rsid w:val="007E2B72"/>
    <w:rsid w:val="007E2E46"/>
    <w:rsid w:val="007E2F5A"/>
    <w:rsid w:val="007E320E"/>
    <w:rsid w:val="007E340D"/>
    <w:rsid w:val="007E3484"/>
    <w:rsid w:val="007E3982"/>
    <w:rsid w:val="007E3DB0"/>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C2D"/>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035"/>
    <w:rsid w:val="007F53A9"/>
    <w:rsid w:val="007F55F1"/>
    <w:rsid w:val="007F5623"/>
    <w:rsid w:val="007F5C43"/>
    <w:rsid w:val="007F5D52"/>
    <w:rsid w:val="007F5EAD"/>
    <w:rsid w:val="007F5F33"/>
    <w:rsid w:val="007F6724"/>
    <w:rsid w:val="007F67A9"/>
    <w:rsid w:val="007F67C3"/>
    <w:rsid w:val="007F691E"/>
    <w:rsid w:val="007F6E0C"/>
    <w:rsid w:val="007F6EA1"/>
    <w:rsid w:val="007F7038"/>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3D0"/>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0CC"/>
    <w:rsid w:val="00805262"/>
    <w:rsid w:val="00805269"/>
    <w:rsid w:val="0080543D"/>
    <w:rsid w:val="008055A7"/>
    <w:rsid w:val="008055EA"/>
    <w:rsid w:val="0080578D"/>
    <w:rsid w:val="008057EA"/>
    <w:rsid w:val="008058F6"/>
    <w:rsid w:val="00805C7D"/>
    <w:rsid w:val="00805DE6"/>
    <w:rsid w:val="00805FB9"/>
    <w:rsid w:val="00806141"/>
    <w:rsid w:val="00806932"/>
    <w:rsid w:val="00806B10"/>
    <w:rsid w:val="00806BF8"/>
    <w:rsid w:val="00807252"/>
    <w:rsid w:val="00807383"/>
    <w:rsid w:val="00807419"/>
    <w:rsid w:val="00807643"/>
    <w:rsid w:val="008076A5"/>
    <w:rsid w:val="008077B2"/>
    <w:rsid w:val="0080780B"/>
    <w:rsid w:val="008078B7"/>
    <w:rsid w:val="00807C1A"/>
    <w:rsid w:val="00807CE2"/>
    <w:rsid w:val="00807CE5"/>
    <w:rsid w:val="008102A7"/>
    <w:rsid w:val="00810474"/>
    <w:rsid w:val="00810D86"/>
    <w:rsid w:val="008111F2"/>
    <w:rsid w:val="0081147E"/>
    <w:rsid w:val="00812128"/>
    <w:rsid w:val="00812176"/>
    <w:rsid w:val="00812321"/>
    <w:rsid w:val="00812818"/>
    <w:rsid w:val="00812AAE"/>
    <w:rsid w:val="00812AF2"/>
    <w:rsid w:val="00812D5C"/>
    <w:rsid w:val="00812E06"/>
    <w:rsid w:val="00813274"/>
    <w:rsid w:val="00813288"/>
    <w:rsid w:val="00813315"/>
    <w:rsid w:val="008133B2"/>
    <w:rsid w:val="008136B2"/>
    <w:rsid w:val="00813804"/>
    <w:rsid w:val="00813855"/>
    <w:rsid w:val="00813888"/>
    <w:rsid w:val="00813B99"/>
    <w:rsid w:val="00813D75"/>
    <w:rsid w:val="008141D2"/>
    <w:rsid w:val="0081445E"/>
    <w:rsid w:val="0081457A"/>
    <w:rsid w:val="008145BC"/>
    <w:rsid w:val="00814855"/>
    <w:rsid w:val="00814AC5"/>
    <w:rsid w:val="00814AF0"/>
    <w:rsid w:val="00814B2A"/>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499"/>
    <w:rsid w:val="008257AA"/>
    <w:rsid w:val="0082585C"/>
    <w:rsid w:val="00825925"/>
    <w:rsid w:val="008259D7"/>
    <w:rsid w:val="00825B33"/>
    <w:rsid w:val="00825C27"/>
    <w:rsid w:val="00825CBB"/>
    <w:rsid w:val="00825DFA"/>
    <w:rsid w:val="00825FA7"/>
    <w:rsid w:val="008263BD"/>
    <w:rsid w:val="008264D6"/>
    <w:rsid w:val="0082663A"/>
    <w:rsid w:val="008266F1"/>
    <w:rsid w:val="008268CA"/>
    <w:rsid w:val="00826994"/>
    <w:rsid w:val="008269A8"/>
    <w:rsid w:val="00826B81"/>
    <w:rsid w:val="00826EB4"/>
    <w:rsid w:val="008270CD"/>
    <w:rsid w:val="00827109"/>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412"/>
    <w:rsid w:val="00831943"/>
    <w:rsid w:val="00831B63"/>
    <w:rsid w:val="00831BD2"/>
    <w:rsid w:val="00831E69"/>
    <w:rsid w:val="00831EFF"/>
    <w:rsid w:val="00831F1E"/>
    <w:rsid w:val="0083219B"/>
    <w:rsid w:val="0083247A"/>
    <w:rsid w:val="00832B6F"/>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B66"/>
    <w:rsid w:val="00834CD1"/>
    <w:rsid w:val="00834CE9"/>
    <w:rsid w:val="00835077"/>
    <w:rsid w:val="00835635"/>
    <w:rsid w:val="00835773"/>
    <w:rsid w:val="00835A9C"/>
    <w:rsid w:val="00835B17"/>
    <w:rsid w:val="00835CCC"/>
    <w:rsid w:val="00835FCE"/>
    <w:rsid w:val="0083602B"/>
    <w:rsid w:val="00836126"/>
    <w:rsid w:val="00836715"/>
    <w:rsid w:val="008367CD"/>
    <w:rsid w:val="00836E03"/>
    <w:rsid w:val="00836EFF"/>
    <w:rsid w:val="00836F2C"/>
    <w:rsid w:val="0083725C"/>
    <w:rsid w:val="00837468"/>
    <w:rsid w:val="00837848"/>
    <w:rsid w:val="008379C8"/>
    <w:rsid w:val="00837D08"/>
    <w:rsid w:val="00840853"/>
    <w:rsid w:val="0084097C"/>
    <w:rsid w:val="00840AAC"/>
    <w:rsid w:val="00840B80"/>
    <w:rsid w:val="00841012"/>
    <w:rsid w:val="00841076"/>
    <w:rsid w:val="008416C0"/>
    <w:rsid w:val="008416F2"/>
    <w:rsid w:val="008418B1"/>
    <w:rsid w:val="008418F3"/>
    <w:rsid w:val="008419C5"/>
    <w:rsid w:val="00841BFE"/>
    <w:rsid w:val="00841C7E"/>
    <w:rsid w:val="00841F59"/>
    <w:rsid w:val="00841F66"/>
    <w:rsid w:val="0084226A"/>
    <w:rsid w:val="00842BB3"/>
    <w:rsid w:val="00842D1C"/>
    <w:rsid w:val="00842F90"/>
    <w:rsid w:val="0084310E"/>
    <w:rsid w:val="00843591"/>
    <w:rsid w:val="00843761"/>
    <w:rsid w:val="008438B6"/>
    <w:rsid w:val="00843AA6"/>
    <w:rsid w:val="00843E2B"/>
    <w:rsid w:val="00843FFE"/>
    <w:rsid w:val="0084406B"/>
    <w:rsid w:val="008443BA"/>
    <w:rsid w:val="0084458D"/>
    <w:rsid w:val="00844606"/>
    <w:rsid w:val="008446F6"/>
    <w:rsid w:val="00844856"/>
    <w:rsid w:val="00844AA5"/>
    <w:rsid w:val="00844CD8"/>
    <w:rsid w:val="0084522A"/>
    <w:rsid w:val="00845809"/>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86"/>
    <w:rsid w:val="008477BD"/>
    <w:rsid w:val="0084781B"/>
    <w:rsid w:val="0084791B"/>
    <w:rsid w:val="0084796D"/>
    <w:rsid w:val="00847B3A"/>
    <w:rsid w:val="00847C98"/>
    <w:rsid w:val="00847CB1"/>
    <w:rsid w:val="00847D3B"/>
    <w:rsid w:val="00847E2C"/>
    <w:rsid w:val="00847ED7"/>
    <w:rsid w:val="00847F2D"/>
    <w:rsid w:val="008500FA"/>
    <w:rsid w:val="0085026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58E"/>
    <w:rsid w:val="00854AC2"/>
    <w:rsid w:val="00854BC0"/>
    <w:rsid w:val="00854C05"/>
    <w:rsid w:val="00855525"/>
    <w:rsid w:val="008558EF"/>
    <w:rsid w:val="008559FD"/>
    <w:rsid w:val="00855C66"/>
    <w:rsid w:val="00855D46"/>
    <w:rsid w:val="008560CE"/>
    <w:rsid w:val="008561F9"/>
    <w:rsid w:val="00856992"/>
    <w:rsid w:val="00856A09"/>
    <w:rsid w:val="00856AA3"/>
    <w:rsid w:val="00857DEE"/>
    <w:rsid w:val="00857DF4"/>
    <w:rsid w:val="0086033F"/>
    <w:rsid w:val="008607F2"/>
    <w:rsid w:val="00860AD4"/>
    <w:rsid w:val="00860C63"/>
    <w:rsid w:val="00860CFA"/>
    <w:rsid w:val="00860DB7"/>
    <w:rsid w:val="00860DD6"/>
    <w:rsid w:val="00860E34"/>
    <w:rsid w:val="00860F8F"/>
    <w:rsid w:val="00860F9B"/>
    <w:rsid w:val="00861272"/>
    <w:rsid w:val="00861477"/>
    <w:rsid w:val="008614CA"/>
    <w:rsid w:val="0086179E"/>
    <w:rsid w:val="008618DD"/>
    <w:rsid w:val="00862226"/>
    <w:rsid w:val="00862902"/>
    <w:rsid w:val="00862C4F"/>
    <w:rsid w:val="00862CD3"/>
    <w:rsid w:val="00862DAC"/>
    <w:rsid w:val="00863378"/>
    <w:rsid w:val="008637E9"/>
    <w:rsid w:val="00863958"/>
    <w:rsid w:val="00863D7C"/>
    <w:rsid w:val="00863DD8"/>
    <w:rsid w:val="00863DF7"/>
    <w:rsid w:val="00863E90"/>
    <w:rsid w:val="00863EF6"/>
    <w:rsid w:val="0086409B"/>
    <w:rsid w:val="00864576"/>
    <w:rsid w:val="00864660"/>
    <w:rsid w:val="00864B33"/>
    <w:rsid w:val="00864B88"/>
    <w:rsid w:val="00864E6D"/>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73A"/>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7E7"/>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98A"/>
    <w:rsid w:val="00873CDB"/>
    <w:rsid w:val="00873E43"/>
    <w:rsid w:val="008740AE"/>
    <w:rsid w:val="008744A8"/>
    <w:rsid w:val="00874609"/>
    <w:rsid w:val="0087490F"/>
    <w:rsid w:val="00874991"/>
    <w:rsid w:val="00874AD4"/>
    <w:rsid w:val="00874B51"/>
    <w:rsid w:val="00874DD4"/>
    <w:rsid w:val="00874E18"/>
    <w:rsid w:val="008751E6"/>
    <w:rsid w:val="00875296"/>
    <w:rsid w:val="0087531F"/>
    <w:rsid w:val="00875B1F"/>
    <w:rsid w:val="00875D8A"/>
    <w:rsid w:val="00875FD1"/>
    <w:rsid w:val="00875FFE"/>
    <w:rsid w:val="0087610F"/>
    <w:rsid w:val="00876321"/>
    <w:rsid w:val="0087659D"/>
    <w:rsid w:val="00876731"/>
    <w:rsid w:val="00876797"/>
    <w:rsid w:val="008767A3"/>
    <w:rsid w:val="00876859"/>
    <w:rsid w:val="008769B5"/>
    <w:rsid w:val="00876B80"/>
    <w:rsid w:val="00876E00"/>
    <w:rsid w:val="00876E8B"/>
    <w:rsid w:val="008774C0"/>
    <w:rsid w:val="00877BD5"/>
    <w:rsid w:val="00877DE5"/>
    <w:rsid w:val="00877F09"/>
    <w:rsid w:val="0088010C"/>
    <w:rsid w:val="0088019B"/>
    <w:rsid w:val="008802CA"/>
    <w:rsid w:val="00880355"/>
    <w:rsid w:val="0088051A"/>
    <w:rsid w:val="00880834"/>
    <w:rsid w:val="00880CBB"/>
    <w:rsid w:val="00880FD7"/>
    <w:rsid w:val="0088127C"/>
    <w:rsid w:val="0088159C"/>
    <w:rsid w:val="00881887"/>
    <w:rsid w:val="008818C8"/>
    <w:rsid w:val="008818E4"/>
    <w:rsid w:val="00881FA5"/>
    <w:rsid w:val="0088215C"/>
    <w:rsid w:val="008822D5"/>
    <w:rsid w:val="00882364"/>
    <w:rsid w:val="008823A3"/>
    <w:rsid w:val="008824F9"/>
    <w:rsid w:val="008826DC"/>
    <w:rsid w:val="00882967"/>
    <w:rsid w:val="008829D5"/>
    <w:rsid w:val="00882BE0"/>
    <w:rsid w:val="00882C14"/>
    <w:rsid w:val="00882E4B"/>
    <w:rsid w:val="00883483"/>
    <w:rsid w:val="008839E4"/>
    <w:rsid w:val="00883A07"/>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5F2F"/>
    <w:rsid w:val="008863A6"/>
    <w:rsid w:val="008865E3"/>
    <w:rsid w:val="008865F9"/>
    <w:rsid w:val="008866E0"/>
    <w:rsid w:val="00886F5E"/>
    <w:rsid w:val="008872C2"/>
    <w:rsid w:val="008872C6"/>
    <w:rsid w:val="0088760C"/>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2FB5"/>
    <w:rsid w:val="00893121"/>
    <w:rsid w:val="00893473"/>
    <w:rsid w:val="00893656"/>
    <w:rsid w:val="0089365A"/>
    <w:rsid w:val="00893665"/>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02"/>
    <w:rsid w:val="008952F1"/>
    <w:rsid w:val="00895545"/>
    <w:rsid w:val="00895D58"/>
    <w:rsid w:val="00895D8B"/>
    <w:rsid w:val="00895E0F"/>
    <w:rsid w:val="00895F62"/>
    <w:rsid w:val="00895F87"/>
    <w:rsid w:val="008960C5"/>
    <w:rsid w:val="008961A7"/>
    <w:rsid w:val="008961E5"/>
    <w:rsid w:val="008962CD"/>
    <w:rsid w:val="008963A5"/>
    <w:rsid w:val="00896575"/>
    <w:rsid w:val="00896612"/>
    <w:rsid w:val="008967FA"/>
    <w:rsid w:val="008968D9"/>
    <w:rsid w:val="0089690E"/>
    <w:rsid w:val="00896A26"/>
    <w:rsid w:val="00896BC5"/>
    <w:rsid w:val="00896BFD"/>
    <w:rsid w:val="00896ED7"/>
    <w:rsid w:val="008972EC"/>
    <w:rsid w:val="0089797E"/>
    <w:rsid w:val="00897A0E"/>
    <w:rsid w:val="00897ED1"/>
    <w:rsid w:val="00897F20"/>
    <w:rsid w:val="008A0453"/>
    <w:rsid w:val="008A061D"/>
    <w:rsid w:val="008A07CE"/>
    <w:rsid w:val="008A07F0"/>
    <w:rsid w:val="008A0BD3"/>
    <w:rsid w:val="008A0C6F"/>
    <w:rsid w:val="008A1017"/>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9DE"/>
    <w:rsid w:val="008A4F1E"/>
    <w:rsid w:val="008A529E"/>
    <w:rsid w:val="008A53F8"/>
    <w:rsid w:val="008A56DC"/>
    <w:rsid w:val="008A5771"/>
    <w:rsid w:val="008A57FB"/>
    <w:rsid w:val="008A5E33"/>
    <w:rsid w:val="008A5ED4"/>
    <w:rsid w:val="008A63B0"/>
    <w:rsid w:val="008A65AB"/>
    <w:rsid w:val="008A6623"/>
    <w:rsid w:val="008A663D"/>
    <w:rsid w:val="008A6741"/>
    <w:rsid w:val="008A680F"/>
    <w:rsid w:val="008A6A40"/>
    <w:rsid w:val="008A6ECD"/>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563"/>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C66"/>
    <w:rsid w:val="008B4D2A"/>
    <w:rsid w:val="008B4FC7"/>
    <w:rsid w:val="008B5102"/>
    <w:rsid w:val="008B548D"/>
    <w:rsid w:val="008B54EE"/>
    <w:rsid w:val="008B5812"/>
    <w:rsid w:val="008B58E7"/>
    <w:rsid w:val="008B5A6D"/>
    <w:rsid w:val="008B5E20"/>
    <w:rsid w:val="008B615E"/>
    <w:rsid w:val="008B63D6"/>
    <w:rsid w:val="008B67BC"/>
    <w:rsid w:val="008B6CF8"/>
    <w:rsid w:val="008B6E48"/>
    <w:rsid w:val="008B6FC0"/>
    <w:rsid w:val="008B7102"/>
    <w:rsid w:val="008B7149"/>
    <w:rsid w:val="008B71D6"/>
    <w:rsid w:val="008B723D"/>
    <w:rsid w:val="008B7272"/>
    <w:rsid w:val="008B76EE"/>
    <w:rsid w:val="008B7721"/>
    <w:rsid w:val="008B77E9"/>
    <w:rsid w:val="008B781A"/>
    <w:rsid w:val="008B7CB2"/>
    <w:rsid w:val="008B7CC8"/>
    <w:rsid w:val="008B7F4B"/>
    <w:rsid w:val="008C0597"/>
    <w:rsid w:val="008C081E"/>
    <w:rsid w:val="008C0908"/>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30D"/>
    <w:rsid w:val="008C65CC"/>
    <w:rsid w:val="008C6796"/>
    <w:rsid w:val="008C6D97"/>
    <w:rsid w:val="008C6FA4"/>
    <w:rsid w:val="008C7015"/>
    <w:rsid w:val="008C7160"/>
    <w:rsid w:val="008C73AC"/>
    <w:rsid w:val="008C7674"/>
    <w:rsid w:val="008C770D"/>
    <w:rsid w:val="008C779D"/>
    <w:rsid w:val="008C781A"/>
    <w:rsid w:val="008C7953"/>
    <w:rsid w:val="008C79B9"/>
    <w:rsid w:val="008C7B2E"/>
    <w:rsid w:val="008C7C58"/>
    <w:rsid w:val="008C7C7C"/>
    <w:rsid w:val="008D052F"/>
    <w:rsid w:val="008D06AC"/>
    <w:rsid w:val="008D06CF"/>
    <w:rsid w:val="008D0782"/>
    <w:rsid w:val="008D0833"/>
    <w:rsid w:val="008D0B68"/>
    <w:rsid w:val="008D0D2A"/>
    <w:rsid w:val="008D0DAA"/>
    <w:rsid w:val="008D115B"/>
    <w:rsid w:val="008D122C"/>
    <w:rsid w:val="008D1351"/>
    <w:rsid w:val="008D1B09"/>
    <w:rsid w:val="008D1B67"/>
    <w:rsid w:val="008D1DA5"/>
    <w:rsid w:val="008D204F"/>
    <w:rsid w:val="008D20E2"/>
    <w:rsid w:val="008D2347"/>
    <w:rsid w:val="008D2521"/>
    <w:rsid w:val="008D2624"/>
    <w:rsid w:val="008D2C41"/>
    <w:rsid w:val="008D3245"/>
    <w:rsid w:val="008D3301"/>
    <w:rsid w:val="008D3347"/>
    <w:rsid w:val="008D3604"/>
    <w:rsid w:val="008D394B"/>
    <w:rsid w:val="008D3AC8"/>
    <w:rsid w:val="008D3F44"/>
    <w:rsid w:val="008D40E4"/>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54"/>
    <w:rsid w:val="008D6B6B"/>
    <w:rsid w:val="008D6CA4"/>
    <w:rsid w:val="008D6CCB"/>
    <w:rsid w:val="008D6EF6"/>
    <w:rsid w:val="008D71C6"/>
    <w:rsid w:val="008D754B"/>
    <w:rsid w:val="008D7579"/>
    <w:rsid w:val="008D76E4"/>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6AE"/>
    <w:rsid w:val="008E171E"/>
    <w:rsid w:val="008E1816"/>
    <w:rsid w:val="008E1A26"/>
    <w:rsid w:val="008E1CA0"/>
    <w:rsid w:val="008E230E"/>
    <w:rsid w:val="008E2823"/>
    <w:rsid w:val="008E2A23"/>
    <w:rsid w:val="008E2ABF"/>
    <w:rsid w:val="008E2C87"/>
    <w:rsid w:val="008E37BC"/>
    <w:rsid w:val="008E3A51"/>
    <w:rsid w:val="008E3D95"/>
    <w:rsid w:val="008E3EDB"/>
    <w:rsid w:val="008E3EE0"/>
    <w:rsid w:val="008E3FEB"/>
    <w:rsid w:val="008E4256"/>
    <w:rsid w:val="008E45AD"/>
    <w:rsid w:val="008E460F"/>
    <w:rsid w:val="008E48AD"/>
    <w:rsid w:val="008E48E8"/>
    <w:rsid w:val="008E4B6C"/>
    <w:rsid w:val="008E4F0C"/>
    <w:rsid w:val="008E503F"/>
    <w:rsid w:val="008E5070"/>
    <w:rsid w:val="008E53A2"/>
    <w:rsid w:val="008E5434"/>
    <w:rsid w:val="008E5981"/>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18"/>
    <w:rsid w:val="008E7B49"/>
    <w:rsid w:val="008E7B51"/>
    <w:rsid w:val="008E7CC6"/>
    <w:rsid w:val="008F0202"/>
    <w:rsid w:val="008F03B6"/>
    <w:rsid w:val="008F054C"/>
    <w:rsid w:val="008F0CE6"/>
    <w:rsid w:val="008F0D78"/>
    <w:rsid w:val="008F0FAA"/>
    <w:rsid w:val="008F122E"/>
    <w:rsid w:val="008F1286"/>
    <w:rsid w:val="008F1311"/>
    <w:rsid w:val="008F1584"/>
    <w:rsid w:val="008F165E"/>
    <w:rsid w:val="008F1676"/>
    <w:rsid w:val="008F1693"/>
    <w:rsid w:val="008F179B"/>
    <w:rsid w:val="008F18EC"/>
    <w:rsid w:val="008F197E"/>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C8E"/>
    <w:rsid w:val="008F4E07"/>
    <w:rsid w:val="008F4F30"/>
    <w:rsid w:val="008F4F8E"/>
    <w:rsid w:val="008F55E8"/>
    <w:rsid w:val="008F56EA"/>
    <w:rsid w:val="008F596E"/>
    <w:rsid w:val="008F5F8F"/>
    <w:rsid w:val="008F68DC"/>
    <w:rsid w:val="008F6A3B"/>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B7C"/>
    <w:rsid w:val="00902E36"/>
    <w:rsid w:val="00902E73"/>
    <w:rsid w:val="00902FFC"/>
    <w:rsid w:val="009030C4"/>
    <w:rsid w:val="009032CA"/>
    <w:rsid w:val="00903532"/>
    <w:rsid w:val="00903906"/>
    <w:rsid w:val="00903914"/>
    <w:rsid w:val="00903B72"/>
    <w:rsid w:val="00903BF8"/>
    <w:rsid w:val="009040B5"/>
    <w:rsid w:val="0090460F"/>
    <w:rsid w:val="009046B5"/>
    <w:rsid w:val="00904A2B"/>
    <w:rsid w:val="00905201"/>
    <w:rsid w:val="00905396"/>
    <w:rsid w:val="00905468"/>
    <w:rsid w:val="009054A3"/>
    <w:rsid w:val="00905775"/>
    <w:rsid w:val="00905939"/>
    <w:rsid w:val="0090594B"/>
    <w:rsid w:val="009059C1"/>
    <w:rsid w:val="00905A22"/>
    <w:rsid w:val="00905DB4"/>
    <w:rsid w:val="00905F2A"/>
    <w:rsid w:val="00906310"/>
    <w:rsid w:val="009064A7"/>
    <w:rsid w:val="00906817"/>
    <w:rsid w:val="009069DA"/>
    <w:rsid w:val="00906AC3"/>
    <w:rsid w:val="00906C6F"/>
    <w:rsid w:val="009070A1"/>
    <w:rsid w:val="00907123"/>
    <w:rsid w:val="00907197"/>
    <w:rsid w:val="00907276"/>
    <w:rsid w:val="009073ED"/>
    <w:rsid w:val="00907604"/>
    <w:rsid w:val="00907AAB"/>
    <w:rsid w:val="00907AC2"/>
    <w:rsid w:val="00907B27"/>
    <w:rsid w:val="00907BBE"/>
    <w:rsid w:val="00907E9A"/>
    <w:rsid w:val="00910259"/>
    <w:rsid w:val="00910332"/>
    <w:rsid w:val="00910422"/>
    <w:rsid w:val="00910455"/>
    <w:rsid w:val="009107F5"/>
    <w:rsid w:val="00910832"/>
    <w:rsid w:val="00910A32"/>
    <w:rsid w:val="00910BB5"/>
    <w:rsid w:val="00910CED"/>
    <w:rsid w:val="00910EE8"/>
    <w:rsid w:val="00910F83"/>
    <w:rsid w:val="00911278"/>
    <w:rsid w:val="009115BB"/>
    <w:rsid w:val="009115CC"/>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7E5"/>
    <w:rsid w:val="00915A63"/>
    <w:rsid w:val="00915EF3"/>
    <w:rsid w:val="00915FC6"/>
    <w:rsid w:val="009168D4"/>
    <w:rsid w:val="00916CF7"/>
    <w:rsid w:val="00916EB2"/>
    <w:rsid w:val="00917175"/>
    <w:rsid w:val="0091762D"/>
    <w:rsid w:val="009177D8"/>
    <w:rsid w:val="00917A4F"/>
    <w:rsid w:val="00917B90"/>
    <w:rsid w:val="00917F4E"/>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8F0"/>
    <w:rsid w:val="00921CAD"/>
    <w:rsid w:val="00922481"/>
    <w:rsid w:val="009226FB"/>
    <w:rsid w:val="00922ECF"/>
    <w:rsid w:val="00923092"/>
    <w:rsid w:val="009231BC"/>
    <w:rsid w:val="009231DC"/>
    <w:rsid w:val="0092330D"/>
    <w:rsid w:val="009233CD"/>
    <w:rsid w:val="009234A1"/>
    <w:rsid w:val="00923881"/>
    <w:rsid w:val="00923A7F"/>
    <w:rsid w:val="00923B39"/>
    <w:rsid w:val="00923C54"/>
    <w:rsid w:val="00923CAC"/>
    <w:rsid w:val="00923D1C"/>
    <w:rsid w:val="00924208"/>
    <w:rsid w:val="009246EF"/>
    <w:rsid w:val="0092498B"/>
    <w:rsid w:val="009249A3"/>
    <w:rsid w:val="00924B8D"/>
    <w:rsid w:val="00924D43"/>
    <w:rsid w:val="00924F9A"/>
    <w:rsid w:val="0092510C"/>
    <w:rsid w:val="009251E1"/>
    <w:rsid w:val="009252F0"/>
    <w:rsid w:val="00925316"/>
    <w:rsid w:val="00925946"/>
    <w:rsid w:val="00925AD5"/>
    <w:rsid w:val="00925FBF"/>
    <w:rsid w:val="0092606F"/>
    <w:rsid w:val="009263BA"/>
    <w:rsid w:val="0092657E"/>
    <w:rsid w:val="00926837"/>
    <w:rsid w:val="00926A86"/>
    <w:rsid w:val="00927126"/>
    <w:rsid w:val="009276B5"/>
    <w:rsid w:val="00927913"/>
    <w:rsid w:val="00927987"/>
    <w:rsid w:val="009279C3"/>
    <w:rsid w:val="00927B2F"/>
    <w:rsid w:val="00927C80"/>
    <w:rsid w:val="00927F58"/>
    <w:rsid w:val="00930019"/>
    <w:rsid w:val="00930063"/>
    <w:rsid w:val="009305F1"/>
    <w:rsid w:val="0093065A"/>
    <w:rsid w:val="00930B2A"/>
    <w:rsid w:val="00930D85"/>
    <w:rsid w:val="00930F3E"/>
    <w:rsid w:val="00931144"/>
    <w:rsid w:val="009312FC"/>
    <w:rsid w:val="009315BA"/>
    <w:rsid w:val="0093175F"/>
    <w:rsid w:val="00931AB8"/>
    <w:rsid w:val="00931BC2"/>
    <w:rsid w:val="00931CA7"/>
    <w:rsid w:val="00931DB3"/>
    <w:rsid w:val="00931E9E"/>
    <w:rsid w:val="00932106"/>
    <w:rsid w:val="00932647"/>
    <w:rsid w:val="009326FE"/>
    <w:rsid w:val="00932746"/>
    <w:rsid w:val="009328DF"/>
    <w:rsid w:val="00932CA3"/>
    <w:rsid w:val="00932D5A"/>
    <w:rsid w:val="0093322F"/>
    <w:rsid w:val="00933350"/>
    <w:rsid w:val="00933379"/>
    <w:rsid w:val="009337AC"/>
    <w:rsid w:val="00933813"/>
    <w:rsid w:val="00933BCC"/>
    <w:rsid w:val="00933D05"/>
    <w:rsid w:val="00933E0F"/>
    <w:rsid w:val="009341F9"/>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E3B"/>
    <w:rsid w:val="00935F85"/>
    <w:rsid w:val="00936658"/>
    <w:rsid w:val="00936CCE"/>
    <w:rsid w:val="00936CF4"/>
    <w:rsid w:val="00936E80"/>
    <w:rsid w:val="009370A1"/>
    <w:rsid w:val="00937175"/>
    <w:rsid w:val="00937760"/>
    <w:rsid w:val="009377E4"/>
    <w:rsid w:val="00937BB5"/>
    <w:rsid w:val="0094008E"/>
    <w:rsid w:val="00940266"/>
    <w:rsid w:val="00940537"/>
    <w:rsid w:val="0094067C"/>
    <w:rsid w:val="009406DE"/>
    <w:rsid w:val="00940CDC"/>
    <w:rsid w:val="00940EBC"/>
    <w:rsid w:val="00940F49"/>
    <w:rsid w:val="0094112C"/>
    <w:rsid w:val="009412BE"/>
    <w:rsid w:val="009413F8"/>
    <w:rsid w:val="00941412"/>
    <w:rsid w:val="009416F3"/>
    <w:rsid w:val="00941920"/>
    <w:rsid w:val="009419EE"/>
    <w:rsid w:val="00941D68"/>
    <w:rsid w:val="00941FAC"/>
    <w:rsid w:val="00942270"/>
    <w:rsid w:val="009427AB"/>
    <w:rsid w:val="009429B6"/>
    <w:rsid w:val="00942ED0"/>
    <w:rsid w:val="0094321B"/>
    <w:rsid w:val="00943A3D"/>
    <w:rsid w:val="00943DCF"/>
    <w:rsid w:val="00943DE2"/>
    <w:rsid w:val="00943E9A"/>
    <w:rsid w:val="009441E4"/>
    <w:rsid w:val="009441F5"/>
    <w:rsid w:val="009442FA"/>
    <w:rsid w:val="00944375"/>
    <w:rsid w:val="00944845"/>
    <w:rsid w:val="00944B9C"/>
    <w:rsid w:val="00944E0B"/>
    <w:rsid w:val="00944E96"/>
    <w:rsid w:val="00945179"/>
    <w:rsid w:val="009451C8"/>
    <w:rsid w:val="0094538B"/>
    <w:rsid w:val="009455B1"/>
    <w:rsid w:val="00945637"/>
    <w:rsid w:val="00945742"/>
    <w:rsid w:val="00945824"/>
    <w:rsid w:val="00945988"/>
    <w:rsid w:val="00945A6B"/>
    <w:rsid w:val="00945D77"/>
    <w:rsid w:val="00945EB0"/>
    <w:rsid w:val="00945F9F"/>
    <w:rsid w:val="00946198"/>
    <w:rsid w:val="0094624D"/>
    <w:rsid w:val="009463BF"/>
    <w:rsid w:val="0094667B"/>
    <w:rsid w:val="00946740"/>
    <w:rsid w:val="00946746"/>
    <w:rsid w:val="0094678F"/>
    <w:rsid w:val="00946C09"/>
    <w:rsid w:val="00946EE4"/>
    <w:rsid w:val="00947339"/>
    <w:rsid w:val="009473AB"/>
    <w:rsid w:val="00947511"/>
    <w:rsid w:val="009475D0"/>
    <w:rsid w:val="00947611"/>
    <w:rsid w:val="00947D9F"/>
    <w:rsid w:val="00947E10"/>
    <w:rsid w:val="00947FE4"/>
    <w:rsid w:val="00950292"/>
    <w:rsid w:val="0095032F"/>
    <w:rsid w:val="00950499"/>
    <w:rsid w:val="0095071A"/>
    <w:rsid w:val="00950937"/>
    <w:rsid w:val="00950AD0"/>
    <w:rsid w:val="00950AEF"/>
    <w:rsid w:val="00950DFA"/>
    <w:rsid w:val="009510C4"/>
    <w:rsid w:val="0095114E"/>
    <w:rsid w:val="0095147A"/>
    <w:rsid w:val="009516C4"/>
    <w:rsid w:val="009519DA"/>
    <w:rsid w:val="00951B64"/>
    <w:rsid w:val="00952202"/>
    <w:rsid w:val="0095239B"/>
    <w:rsid w:val="009525CB"/>
    <w:rsid w:val="009529F3"/>
    <w:rsid w:val="00952A1B"/>
    <w:rsid w:val="00952C29"/>
    <w:rsid w:val="00952CFE"/>
    <w:rsid w:val="00952E5F"/>
    <w:rsid w:val="0095306E"/>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C04"/>
    <w:rsid w:val="00955DDE"/>
    <w:rsid w:val="009561EF"/>
    <w:rsid w:val="00956793"/>
    <w:rsid w:val="00956827"/>
    <w:rsid w:val="009568F4"/>
    <w:rsid w:val="00956983"/>
    <w:rsid w:val="00956A3A"/>
    <w:rsid w:val="00956A8E"/>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573"/>
    <w:rsid w:val="00961597"/>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B14"/>
    <w:rsid w:val="00963EC6"/>
    <w:rsid w:val="0096417C"/>
    <w:rsid w:val="009645D2"/>
    <w:rsid w:val="00964834"/>
    <w:rsid w:val="00964EA4"/>
    <w:rsid w:val="00964F30"/>
    <w:rsid w:val="00964F50"/>
    <w:rsid w:val="009653A7"/>
    <w:rsid w:val="009658C6"/>
    <w:rsid w:val="00965AD4"/>
    <w:rsid w:val="00965C8E"/>
    <w:rsid w:val="00965CB9"/>
    <w:rsid w:val="00965DF9"/>
    <w:rsid w:val="00965FD4"/>
    <w:rsid w:val="00965FE7"/>
    <w:rsid w:val="009660AB"/>
    <w:rsid w:val="009661AC"/>
    <w:rsid w:val="009662A4"/>
    <w:rsid w:val="00966389"/>
    <w:rsid w:val="009663F1"/>
    <w:rsid w:val="00966488"/>
    <w:rsid w:val="009665B9"/>
    <w:rsid w:val="009665DA"/>
    <w:rsid w:val="0096669B"/>
    <w:rsid w:val="009667BE"/>
    <w:rsid w:val="009669BE"/>
    <w:rsid w:val="00966B4A"/>
    <w:rsid w:val="00967021"/>
    <w:rsid w:val="009674AC"/>
    <w:rsid w:val="009675C9"/>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4A"/>
    <w:rsid w:val="00972F5B"/>
    <w:rsid w:val="009733B4"/>
    <w:rsid w:val="009733D4"/>
    <w:rsid w:val="009734B2"/>
    <w:rsid w:val="0097357D"/>
    <w:rsid w:val="00973604"/>
    <w:rsid w:val="00973607"/>
    <w:rsid w:val="009738A9"/>
    <w:rsid w:val="009739F4"/>
    <w:rsid w:val="00973BDF"/>
    <w:rsid w:val="00973FF9"/>
    <w:rsid w:val="009740EE"/>
    <w:rsid w:val="00974552"/>
    <w:rsid w:val="009745C3"/>
    <w:rsid w:val="009745F4"/>
    <w:rsid w:val="00974688"/>
    <w:rsid w:val="009746CB"/>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DA1"/>
    <w:rsid w:val="00977E3C"/>
    <w:rsid w:val="00980064"/>
    <w:rsid w:val="0098013A"/>
    <w:rsid w:val="00980301"/>
    <w:rsid w:val="0098030B"/>
    <w:rsid w:val="009803DC"/>
    <w:rsid w:val="009804B5"/>
    <w:rsid w:val="0098050D"/>
    <w:rsid w:val="00980629"/>
    <w:rsid w:val="0098083F"/>
    <w:rsid w:val="00980865"/>
    <w:rsid w:val="00980B01"/>
    <w:rsid w:val="00980B57"/>
    <w:rsid w:val="00980E28"/>
    <w:rsid w:val="00980E63"/>
    <w:rsid w:val="009815EC"/>
    <w:rsid w:val="009818A8"/>
    <w:rsid w:val="00981C16"/>
    <w:rsid w:val="00981CD0"/>
    <w:rsid w:val="00981D00"/>
    <w:rsid w:val="00981D20"/>
    <w:rsid w:val="00981D2C"/>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3E06"/>
    <w:rsid w:val="0098408A"/>
    <w:rsid w:val="00984240"/>
    <w:rsid w:val="00984369"/>
    <w:rsid w:val="0098449E"/>
    <w:rsid w:val="0098464F"/>
    <w:rsid w:val="0098480B"/>
    <w:rsid w:val="00985149"/>
    <w:rsid w:val="00985488"/>
    <w:rsid w:val="009854FA"/>
    <w:rsid w:val="00985C21"/>
    <w:rsid w:val="00985C48"/>
    <w:rsid w:val="00985E24"/>
    <w:rsid w:val="0098616F"/>
    <w:rsid w:val="0098673A"/>
    <w:rsid w:val="00986900"/>
    <w:rsid w:val="00986DA8"/>
    <w:rsid w:val="00986E12"/>
    <w:rsid w:val="009875AA"/>
    <w:rsid w:val="009877AD"/>
    <w:rsid w:val="009877BF"/>
    <w:rsid w:val="009901BE"/>
    <w:rsid w:val="00990461"/>
    <w:rsid w:val="00990698"/>
    <w:rsid w:val="00990790"/>
    <w:rsid w:val="0099095D"/>
    <w:rsid w:val="00990991"/>
    <w:rsid w:val="00990A5D"/>
    <w:rsid w:val="00990BE4"/>
    <w:rsid w:val="00990C54"/>
    <w:rsid w:val="009910BA"/>
    <w:rsid w:val="0099135D"/>
    <w:rsid w:val="0099168F"/>
    <w:rsid w:val="0099179C"/>
    <w:rsid w:val="00991819"/>
    <w:rsid w:val="009918EC"/>
    <w:rsid w:val="00991D3C"/>
    <w:rsid w:val="00991D93"/>
    <w:rsid w:val="009921C0"/>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984"/>
    <w:rsid w:val="00994A45"/>
    <w:rsid w:val="00994B76"/>
    <w:rsid w:val="00994CA4"/>
    <w:rsid w:val="00994FA1"/>
    <w:rsid w:val="00995104"/>
    <w:rsid w:val="009951D8"/>
    <w:rsid w:val="009951F2"/>
    <w:rsid w:val="00995295"/>
    <w:rsid w:val="009958BA"/>
    <w:rsid w:val="00995AC7"/>
    <w:rsid w:val="00995D14"/>
    <w:rsid w:val="00995D18"/>
    <w:rsid w:val="00995E52"/>
    <w:rsid w:val="00995E56"/>
    <w:rsid w:val="009960AC"/>
    <w:rsid w:val="009965FE"/>
    <w:rsid w:val="009966ED"/>
    <w:rsid w:val="0099684B"/>
    <w:rsid w:val="00996856"/>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DDF"/>
    <w:rsid w:val="009A0E0E"/>
    <w:rsid w:val="009A11FA"/>
    <w:rsid w:val="009A133C"/>
    <w:rsid w:val="009A140D"/>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3DFB"/>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AA7"/>
    <w:rsid w:val="009A6B3E"/>
    <w:rsid w:val="009A6BC5"/>
    <w:rsid w:val="009A6CA4"/>
    <w:rsid w:val="009A6EA0"/>
    <w:rsid w:val="009A6FD9"/>
    <w:rsid w:val="009A6FF6"/>
    <w:rsid w:val="009A70AF"/>
    <w:rsid w:val="009A71C8"/>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ED6"/>
    <w:rsid w:val="009B4139"/>
    <w:rsid w:val="009B4268"/>
    <w:rsid w:val="009B433D"/>
    <w:rsid w:val="009B4496"/>
    <w:rsid w:val="009B46AF"/>
    <w:rsid w:val="009B4797"/>
    <w:rsid w:val="009B47BE"/>
    <w:rsid w:val="009B4CFD"/>
    <w:rsid w:val="009B4D72"/>
    <w:rsid w:val="009B4E72"/>
    <w:rsid w:val="009B504B"/>
    <w:rsid w:val="009B53BD"/>
    <w:rsid w:val="009B545F"/>
    <w:rsid w:val="009B57EC"/>
    <w:rsid w:val="009B5BA4"/>
    <w:rsid w:val="009B5E8D"/>
    <w:rsid w:val="009B5F42"/>
    <w:rsid w:val="009B5FC2"/>
    <w:rsid w:val="009B61B8"/>
    <w:rsid w:val="009B61DD"/>
    <w:rsid w:val="009B6596"/>
    <w:rsid w:val="009B65AD"/>
    <w:rsid w:val="009B6982"/>
    <w:rsid w:val="009B6B3D"/>
    <w:rsid w:val="009B6DA1"/>
    <w:rsid w:val="009B6F81"/>
    <w:rsid w:val="009B7003"/>
    <w:rsid w:val="009B7631"/>
    <w:rsid w:val="009B782C"/>
    <w:rsid w:val="009B7E72"/>
    <w:rsid w:val="009B7EC9"/>
    <w:rsid w:val="009C056C"/>
    <w:rsid w:val="009C0732"/>
    <w:rsid w:val="009C0A90"/>
    <w:rsid w:val="009C0BE8"/>
    <w:rsid w:val="009C0C27"/>
    <w:rsid w:val="009C0E4B"/>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44D"/>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82A"/>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33E"/>
    <w:rsid w:val="009D05BF"/>
    <w:rsid w:val="009D08F6"/>
    <w:rsid w:val="009D09B5"/>
    <w:rsid w:val="009D15AE"/>
    <w:rsid w:val="009D17EA"/>
    <w:rsid w:val="009D17FA"/>
    <w:rsid w:val="009D18AC"/>
    <w:rsid w:val="009D1A01"/>
    <w:rsid w:val="009D1F0C"/>
    <w:rsid w:val="009D1F29"/>
    <w:rsid w:val="009D203F"/>
    <w:rsid w:val="009D22E8"/>
    <w:rsid w:val="009D268F"/>
    <w:rsid w:val="009D2740"/>
    <w:rsid w:val="009D2B9C"/>
    <w:rsid w:val="009D2BD0"/>
    <w:rsid w:val="009D2BDC"/>
    <w:rsid w:val="009D2DE3"/>
    <w:rsid w:val="009D38C0"/>
    <w:rsid w:val="009D3A3D"/>
    <w:rsid w:val="009D3B39"/>
    <w:rsid w:val="009D3C12"/>
    <w:rsid w:val="009D3D89"/>
    <w:rsid w:val="009D4016"/>
    <w:rsid w:val="009D4291"/>
    <w:rsid w:val="009D461D"/>
    <w:rsid w:val="009D4778"/>
    <w:rsid w:val="009D4A3E"/>
    <w:rsid w:val="009D4B04"/>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0D74"/>
    <w:rsid w:val="009E1439"/>
    <w:rsid w:val="009E149D"/>
    <w:rsid w:val="009E175C"/>
    <w:rsid w:val="009E175E"/>
    <w:rsid w:val="009E187B"/>
    <w:rsid w:val="009E19FF"/>
    <w:rsid w:val="009E1CA3"/>
    <w:rsid w:val="009E1D65"/>
    <w:rsid w:val="009E1DD1"/>
    <w:rsid w:val="009E1E6F"/>
    <w:rsid w:val="009E1F77"/>
    <w:rsid w:val="009E216E"/>
    <w:rsid w:val="009E2245"/>
    <w:rsid w:val="009E22DA"/>
    <w:rsid w:val="009E276A"/>
    <w:rsid w:val="009E27E3"/>
    <w:rsid w:val="009E29A1"/>
    <w:rsid w:val="009E2D74"/>
    <w:rsid w:val="009E2FE1"/>
    <w:rsid w:val="009E2FF2"/>
    <w:rsid w:val="009E3297"/>
    <w:rsid w:val="009E34BF"/>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7F"/>
    <w:rsid w:val="009E59B4"/>
    <w:rsid w:val="009E5B20"/>
    <w:rsid w:val="009E5B4D"/>
    <w:rsid w:val="009E5B90"/>
    <w:rsid w:val="009E5BF9"/>
    <w:rsid w:val="009E5DCF"/>
    <w:rsid w:val="009E5F36"/>
    <w:rsid w:val="009E5F3B"/>
    <w:rsid w:val="009E6042"/>
    <w:rsid w:val="009E610E"/>
    <w:rsid w:val="009E634F"/>
    <w:rsid w:val="009E6426"/>
    <w:rsid w:val="009E6B48"/>
    <w:rsid w:val="009E6CDE"/>
    <w:rsid w:val="009E71AF"/>
    <w:rsid w:val="009E72D8"/>
    <w:rsid w:val="009E734D"/>
    <w:rsid w:val="009E7364"/>
    <w:rsid w:val="009E74F7"/>
    <w:rsid w:val="009E7530"/>
    <w:rsid w:val="009E76F9"/>
    <w:rsid w:val="009E77FC"/>
    <w:rsid w:val="009E7C1D"/>
    <w:rsid w:val="009E7F0F"/>
    <w:rsid w:val="009F0014"/>
    <w:rsid w:val="009F009B"/>
    <w:rsid w:val="009F028D"/>
    <w:rsid w:val="009F079A"/>
    <w:rsid w:val="009F09D7"/>
    <w:rsid w:val="009F0A1D"/>
    <w:rsid w:val="009F0BB9"/>
    <w:rsid w:val="009F0C46"/>
    <w:rsid w:val="009F0DCC"/>
    <w:rsid w:val="009F0E1A"/>
    <w:rsid w:val="009F122A"/>
    <w:rsid w:val="009F13D3"/>
    <w:rsid w:val="009F1912"/>
    <w:rsid w:val="009F1C9B"/>
    <w:rsid w:val="009F1D06"/>
    <w:rsid w:val="009F2269"/>
    <w:rsid w:val="009F22B1"/>
    <w:rsid w:val="009F258D"/>
    <w:rsid w:val="009F27B5"/>
    <w:rsid w:val="009F28B5"/>
    <w:rsid w:val="009F2E5F"/>
    <w:rsid w:val="009F2F2C"/>
    <w:rsid w:val="009F3077"/>
    <w:rsid w:val="009F30A9"/>
    <w:rsid w:val="009F3581"/>
    <w:rsid w:val="009F36B1"/>
    <w:rsid w:val="009F3A71"/>
    <w:rsid w:val="009F3DD0"/>
    <w:rsid w:val="009F3DE5"/>
    <w:rsid w:val="009F3FB2"/>
    <w:rsid w:val="009F410E"/>
    <w:rsid w:val="009F4261"/>
    <w:rsid w:val="009F4450"/>
    <w:rsid w:val="009F465A"/>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5AB"/>
    <w:rsid w:val="009F662B"/>
    <w:rsid w:val="009F6737"/>
    <w:rsid w:val="009F68E2"/>
    <w:rsid w:val="009F6B62"/>
    <w:rsid w:val="009F6E3A"/>
    <w:rsid w:val="009F707C"/>
    <w:rsid w:val="009F72B0"/>
    <w:rsid w:val="009F7403"/>
    <w:rsid w:val="009F741C"/>
    <w:rsid w:val="009F7500"/>
    <w:rsid w:val="009F758F"/>
    <w:rsid w:val="009F7626"/>
    <w:rsid w:val="009F7681"/>
    <w:rsid w:val="009F768E"/>
    <w:rsid w:val="009F76E7"/>
    <w:rsid w:val="009F76F9"/>
    <w:rsid w:val="009F7A94"/>
    <w:rsid w:val="009F7D59"/>
    <w:rsid w:val="009F7D5D"/>
    <w:rsid w:val="00A0010B"/>
    <w:rsid w:val="00A00943"/>
    <w:rsid w:val="00A010DC"/>
    <w:rsid w:val="00A012C7"/>
    <w:rsid w:val="00A01677"/>
    <w:rsid w:val="00A017E1"/>
    <w:rsid w:val="00A01B12"/>
    <w:rsid w:val="00A01E2A"/>
    <w:rsid w:val="00A01E81"/>
    <w:rsid w:val="00A0225F"/>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4C23"/>
    <w:rsid w:val="00A0512C"/>
    <w:rsid w:val="00A051CB"/>
    <w:rsid w:val="00A052DE"/>
    <w:rsid w:val="00A05977"/>
    <w:rsid w:val="00A05A8A"/>
    <w:rsid w:val="00A05ABE"/>
    <w:rsid w:val="00A05ACE"/>
    <w:rsid w:val="00A05CC5"/>
    <w:rsid w:val="00A05ED2"/>
    <w:rsid w:val="00A05F04"/>
    <w:rsid w:val="00A06019"/>
    <w:rsid w:val="00A06168"/>
    <w:rsid w:val="00A06186"/>
    <w:rsid w:val="00A06372"/>
    <w:rsid w:val="00A06D59"/>
    <w:rsid w:val="00A06D7F"/>
    <w:rsid w:val="00A073CF"/>
    <w:rsid w:val="00A0752A"/>
    <w:rsid w:val="00A078F4"/>
    <w:rsid w:val="00A07980"/>
    <w:rsid w:val="00A07B04"/>
    <w:rsid w:val="00A07D10"/>
    <w:rsid w:val="00A07E9F"/>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2FFC"/>
    <w:rsid w:val="00A135A8"/>
    <w:rsid w:val="00A13725"/>
    <w:rsid w:val="00A1386E"/>
    <w:rsid w:val="00A138EF"/>
    <w:rsid w:val="00A13C1F"/>
    <w:rsid w:val="00A141BA"/>
    <w:rsid w:val="00A14210"/>
    <w:rsid w:val="00A142AE"/>
    <w:rsid w:val="00A148BF"/>
    <w:rsid w:val="00A14A24"/>
    <w:rsid w:val="00A14D9A"/>
    <w:rsid w:val="00A15108"/>
    <w:rsid w:val="00A1521B"/>
    <w:rsid w:val="00A15335"/>
    <w:rsid w:val="00A159F7"/>
    <w:rsid w:val="00A15C50"/>
    <w:rsid w:val="00A15CF5"/>
    <w:rsid w:val="00A15F89"/>
    <w:rsid w:val="00A161D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9F6"/>
    <w:rsid w:val="00A20A4E"/>
    <w:rsid w:val="00A20C1B"/>
    <w:rsid w:val="00A20D5C"/>
    <w:rsid w:val="00A21113"/>
    <w:rsid w:val="00A21277"/>
    <w:rsid w:val="00A212EF"/>
    <w:rsid w:val="00A2136B"/>
    <w:rsid w:val="00A21569"/>
    <w:rsid w:val="00A217EC"/>
    <w:rsid w:val="00A21AE9"/>
    <w:rsid w:val="00A21B58"/>
    <w:rsid w:val="00A2222A"/>
    <w:rsid w:val="00A224EB"/>
    <w:rsid w:val="00A225CB"/>
    <w:rsid w:val="00A22951"/>
    <w:rsid w:val="00A22B7E"/>
    <w:rsid w:val="00A22FA4"/>
    <w:rsid w:val="00A23113"/>
    <w:rsid w:val="00A231F1"/>
    <w:rsid w:val="00A231F2"/>
    <w:rsid w:val="00A236CB"/>
    <w:rsid w:val="00A237E3"/>
    <w:rsid w:val="00A23968"/>
    <w:rsid w:val="00A23B78"/>
    <w:rsid w:val="00A23C2D"/>
    <w:rsid w:val="00A23D71"/>
    <w:rsid w:val="00A23D7F"/>
    <w:rsid w:val="00A243EF"/>
    <w:rsid w:val="00A24401"/>
    <w:rsid w:val="00A244A8"/>
    <w:rsid w:val="00A24CB3"/>
    <w:rsid w:val="00A24D27"/>
    <w:rsid w:val="00A252EF"/>
    <w:rsid w:val="00A253A6"/>
    <w:rsid w:val="00A25A78"/>
    <w:rsid w:val="00A25ACB"/>
    <w:rsid w:val="00A25B9E"/>
    <w:rsid w:val="00A2642F"/>
    <w:rsid w:val="00A26B77"/>
    <w:rsid w:val="00A26D36"/>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6A0"/>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3D9A"/>
    <w:rsid w:val="00A342D4"/>
    <w:rsid w:val="00A3432B"/>
    <w:rsid w:val="00A3445C"/>
    <w:rsid w:val="00A345AC"/>
    <w:rsid w:val="00A34613"/>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DED"/>
    <w:rsid w:val="00A41F51"/>
    <w:rsid w:val="00A42067"/>
    <w:rsid w:val="00A42165"/>
    <w:rsid w:val="00A42213"/>
    <w:rsid w:val="00A42463"/>
    <w:rsid w:val="00A427B3"/>
    <w:rsid w:val="00A429F6"/>
    <w:rsid w:val="00A42AC6"/>
    <w:rsid w:val="00A42B71"/>
    <w:rsid w:val="00A42B99"/>
    <w:rsid w:val="00A43042"/>
    <w:rsid w:val="00A4317B"/>
    <w:rsid w:val="00A4353D"/>
    <w:rsid w:val="00A436BB"/>
    <w:rsid w:val="00A4371D"/>
    <w:rsid w:val="00A43806"/>
    <w:rsid w:val="00A438A2"/>
    <w:rsid w:val="00A43CC0"/>
    <w:rsid w:val="00A43E9C"/>
    <w:rsid w:val="00A43EA3"/>
    <w:rsid w:val="00A44006"/>
    <w:rsid w:val="00A443EC"/>
    <w:rsid w:val="00A447DD"/>
    <w:rsid w:val="00A44806"/>
    <w:rsid w:val="00A449DF"/>
    <w:rsid w:val="00A44AA7"/>
    <w:rsid w:val="00A44BF3"/>
    <w:rsid w:val="00A44C55"/>
    <w:rsid w:val="00A44C6A"/>
    <w:rsid w:val="00A44C83"/>
    <w:rsid w:val="00A44C96"/>
    <w:rsid w:val="00A44F67"/>
    <w:rsid w:val="00A45218"/>
    <w:rsid w:val="00A454CE"/>
    <w:rsid w:val="00A45751"/>
    <w:rsid w:val="00A45893"/>
    <w:rsid w:val="00A4593B"/>
    <w:rsid w:val="00A45C67"/>
    <w:rsid w:val="00A45CF3"/>
    <w:rsid w:val="00A45D05"/>
    <w:rsid w:val="00A45D78"/>
    <w:rsid w:val="00A45DED"/>
    <w:rsid w:val="00A45E1D"/>
    <w:rsid w:val="00A46189"/>
    <w:rsid w:val="00A46772"/>
    <w:rsid w:val="00A467B3"/>
    <w:rsid w:val="00A46FB6"/>
    <w:rsid w:val="00A4708A"/>
    <w:rsid w:val="00A4723A"/>
    <w:rsid w:val="00A47B6C"/>
    <w:rsid w:val="00A47CB5"/>
    <w:rsid w:val="00A47E64"/>
    <w:rsid w:val="00A50335"/>
    <w:rsid w:val="00A511D6"/>
    <w:rsid w:val="00A5151F"/>
    <w:rsid w:val="00A516D5"/>
    <w:rsid w:val="00A5191C"/>
    <w:rsid w:val="00A51AF2"/>
    <w:rsid w:val="00A51C53"/>
    <w:rsid w:val="00A51F40"/>
    <w:rsid w:val="00A520B6"/>
    <w:rsid w:val="00A5217E"/>
    <w:rsid w:val="00A522FF"/>
    <w:rsid w:val="00A523E0"/>
    <w:rsid w:val="00A52402"/>
    <w:rsid w:val="00A52580"/>
    <w:rsid w:val="00A525D8"/>
    <w:rsid w:val="00A528BA"/>
    <w:rsid w:val="00A52A26"/>
    <w:rsid w:val="00A52D50"/>
    <w:rsid w:val="00A52DAE"/>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EFD"/>
    <w:rsid w:val="00A55FD9"/>
    <w:rsid w:val="00A5668D"/>
    <w:rsid w:val="00A567C0"/>
    <w:rsid w:val="00A56B05"/>
    <w:rsid w:val="00A56B33"/>
    <w:rsid w:val="00A57016"/>
    <w:rsid w:val="00A57049"/>
    <w:rsid w:val="00A57103"/>
    <w:rsid w:val="00A5715D"/>
    <w:rsid w:val="00A57162"/>
    <w:rsid w:val="00A571C1"/>
    <w:rsid w:val="00A5787D"/>
    <w:rsid w:val="00A57935"/>
    <w:rsid w:val="00A57B78"/>
    <w:rsid w:val="00A57CF9"/>
    <w:rsid w:val="00A600A1"/>
    <w:rsid w:val="00A602AD"/>
    <w:rsid w:val="00A60708"/>
    <w:rsid w:val="00A60BFE"/>
    <w:rsid w:val="00A60DF7"/>
    <w:rsid w:val="00A60EEA"/>
    <w:rsid w:val="00A612B7"/>
    <w:rsid w:val="00A61D48"/>
    <w:rsid w:val="00A62420"/>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303"/>
    <w:rsid w:val="00A655AB"/>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6EB"/>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4F7"/>
    <w:rsid w:val="00A73621"/>
    <w:rsid w:val="00A73811"/>
    <w:rsid w:val="00A73D03"/>
    <w:rsid w:val="00A73F50"/>
    <w:rsid w:val="00A7428C"/>
    <w:rsid w:val="00A74790"/>
    <w:rsid w:val="00A749D2"/>
    <w:rsid w:val="00A74DB9"/>
    <w:rsid w:val="00A751EF"/>
    <w:rsid w:val="00A752D8"/>
    <w:rsid w:val="00A753D5"/>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8A6"/>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ACA"/>
    <w:rsid w:val="00A82C49"/>
    <w:rsid w:val="00A82D76"/>
    <w:rsid w:val="00A82E0C"/>
    <w:rsid w:val="00A83141"/>
    <w:rsid w:val="00A831ED"/>
    <w:rsid w:val="00A83369"/>
    <w:rsid w:val="00A83525"/>
    <w:rsid w:val="00A836CD"/>
    <w:rsid w:val="00A83851"/>
    <w:rsid w:val="00A83BF4"/>
    <w:rsid w:val="00A83C2C"/>
    <w:rsid w:val="00A84074"/>
    <w:rsid w:val="00A8409F"/>
    <w:rsid w:val="00A841B8"/>
    <w:rsid w:val="00A8489D"/>
    <w:rsid w:val="00A8492F"/>
    <w:rsid w:val="00A84967"/>
    <w:rsid w:val="00A849AF"/>
    <w:rsid w:val="00A849D1"/>
    <w:rsid w:val="00A84A59"/>
    <w:rsid w:val="00A84B62"/>
    <w:rsid w:val="00A84B65"/>
    <w:rsid w:val="00A84C30"/>
    <w:rsid w:val="00A84C41"/>
    <w:rsid w:val="00A85115"/>
    <w:rsid w:val="00A85241"/>
    <w:rsid w:val="00A8546E"/>
    <w:rsid w:val="00A855C1"/>
    <w:rsid w:val="00A857A8"/>
    <w:rsid w:val="00A8597C"/>
    <w:rsid w:val="00A859B4"/>
    <w:rsid w:val="00A859E5"/>
    <w:rsid w:val="00A85C13"/>
    <w:rsid w:val="00A85C6A"/>
    <w:rsid w:val="00A861D1"/>
    <w:rsid w:val="00A862C5"/>
    <w:rsid w:val="00A86418"/>
    <w:rsid w:val="00A86617"/>
    <w:rsid w:val="00A86A09"/>
    <w:rsid w:val="00A86E24"/>
    <w:rsid w:val="00A86F95"/>
    <w:rsid w:val="00A870D1"/>
    <w:rsid w:val="00A87180"/>
    <w:rsid w:val="00A87261"/>
    <w:rsid w:val="00A87514"/>
    <w:rsid w:val="00A87648"/>
    <w:rsid w:val="00A878D1"/>
    <w:rsid w:val="00A87CC9"/>
    <w:rsid w:val="00A87E55"/>
    <w:rsid w:val="00A90154"/>
    <w:rsid w:val="00A90272"/>
    <w:rsid w:val="00A90657"/>
    <w:rsid w:val="00A906FA"/>
    <w:rsid w:val="00A90944"/>
    <w:rsid w:val="00A90A7F"/>
    <w:rsid w:val="00A90AAD"/>
    <w:rsid w:val="00A90B82"/>
    <w:rsid w:val="00A90FFA"/>
    <w:rsid w:val="00A91051"/>
    <w:rsid w:val="00A91215"/>
    <w:rsid w:val="00A9132A"/>
    <w:rsid w:val="00A9134F"/>
    <w:rsid w:val="00A918E3"/>
    <w:rsid w:val="00A91943"/>
    <w:rsid w:val="00A91BCE"/>
    <w:rsid w:val="00A91E60"/>
    <w:rsid w:val="00A9216C"/>
    <w:rsid w:val="00A928CC"/>
    <w:rsid w:val="00A92B1E"/>
    <w:rsid w:val="00A92DBF"/>
    <w:rsid w:val="00A9343B"/>
    <w:rsid w:val="00A941B9"/>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4AC"/>
    <w:rsid w:val="00A976F1"/>
    <w:rsid w:val="00A9775F"/>
    <w:rsid w:val="00A97A08"/>
    <w:rsid w:val="00A97CE6"/>
    <w:rsid w:val="00AA02CB"/>
    <w:rsid w:val="00AA05DF"/>
    <w:rsid w:val="00AA0AC1"/>
    <w:rsid w:val="00AA0B79"/>
    <w:rsid w:val="00AA0FBF"/>
    <w:rsid w:val="00AA0FDB"/>
    <w:rsid w:val="00AA1092"/>
    <w:rsid w:val="00AA13D7"/>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26"/>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6DB"/>
    <w:rsid w:val="00AA68D2"/>
    <w:rsid w:val="00AA6AC1"/>
    <w:rsid w:val="00AA6AE7"/>
    <w:rsid w:val="00AA6B65"/>
    <w:rsid w:val="00AA6DD4"/>
    <w:rsid w:val="00AA7090"/>
    <w:rsid w:val="00AA73FF"/>
    <w:rsid w:val="00AA7751"/>
    <w:rsid w:val="00AA77EF"/>
    <w:rsid w:val="00AA7D2E"/>
    <w:rsid w:val="00AA7F7D"/>
    <w:rsid w:val="00AB01F2"/>
    <w:rsid w:val="00AB0274"/>
    <w:rsid w:val="00AB036B"/>
    <w:rsid w:val="00AB039D"/>
    <w:rsid w:val="00AB03F7"/>
    <w:rsid w:val="00AB0436"/>
    <w:rsid w:val="00AB0525"/>
    <w:rsid w:val="00AB05A8"/>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04"/>
    <w:rsid w:val="00AB361A"/>
    <w:rsid w:val="00AB3657"/>
    <w:rsid w:val="00AB389B"/>
    <w:rsid w:val="00AB38C6"/>
    <w:rsid w:val="00AB3960"/>
    <w:rsid w:val="00AB39B3"/>
    <w:rsid w:val="00AB3A69"/>
    <w:rsid w:val="00AB3B56"/>
    <w:rsid w:val="00AB3B80"/>
    <w:rsid w:val="00AB3E86"/>
    <w:rsid w:val="00AB4299"/>
    <w:rsid w:val="00AB44AC"/>
    <w:rsid w:val="00AB4865"/>
    <w:rsid w:val="00AB4D93"/>
    <w:rsid w:val="00AB4DA2"/>
    <w:rsid w:val="00AB4E60"/>
    <w:rsid w:val="00AB52DD"/>
    <w:rsid w:val="00AB5486"/>
    <w:rsid w:val="00AB56A2"/>
    <w:rsid w:val="00AB58D2"/>
    <w:rsid w:val="00AB5DE5"/>
    <w:rsid w:val="00AB5E40"/>
    <w:rsid w:val="00AB5F98"/>
    <w:rsid w:val="00AB608D"/>
    <w:rsid w:val="00AB60F7"/>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2BB"/>
    <w:rsid w:val="00AC2487"/>
    <w:rsid w:val="00AC26B7"/>
    <w:rsid w:val="00AC27FF"/>
    <w:rsid w:val="00AC2A2F"/>
    <w:rsid w:val="00AC2C04"/>
    <w:rsid w:val="00AC2C70"/>
    <w:rsid w:val="00AC31EC"/>
    <w:rsid w:val="00AC31FD"/>
    <w:rsid w:val="00AC3293"/>
    <w:rsid w:val="00AC3624"/>
    <w:rsid w:val="00AC39FE"/>
    <w:rsid w:val="00AC3B0B"/>
    <w:rsid w:val="00AC3B27"/>
    <w:rsid w:val="00AC3BB2"/>
    <w:rsid w:val="00AC410C"/>
    <w:rsid w:val="00AC429F"/>
    <w:rsid w:val="00AC4321"/>
    <w:rsid w:val="00AC4557"/>
    <w:rsid w:val="00AC4851"/>
    <w:rsid w:val="00AC49CF"/>
    <w:rsid w:val="00AC4A47"/>
    <w:rsid w:val="00AC4B2B"/>
    <w:rsid w:val="00AC527B"/>
    <w:rsid w:val="00AC53F6"/>
    <w:rsid w:val="00AC542C"/>
    <w:rsid w:val="00AC58F6"/>
    <w:rsid w:val="00AC59A7"/>
    <w:rsid w:val="00AC5B6C"/>
    <w:rsid w:val="00AC5BE8"/>
    <w:rsid w:val="00AC5C06"/>
    <w:rsid w:val="00AC5EFE"/>
    <w:rsid w:val="00AC63BC"/>
    <w:rsid w:val="00AC68C8"/>
    <w:rsid w:val="00AC6955"/>
    <w:rsid w:val="00AC6AFA"/>
    <w:rsid w:val="00AC6B05"/>
    <w:rsid w:val="00AC6F35"/>
    <w:rsid w:val="00AC6F6C"/>
    <w:rsid w:val="00AC717A"/>
    <w:rsid w:val="00AC77CB"/>
    <w:rsid w:val="00AC782D"/>
    <w:rsid w:val="00AC7908"/>
    <w:rsid w:val="00AC79A0"/>
    <w:rsid w:val="00AC7A16"/>
    <w:rsid w:val="00AC7C5A"/>
    <w:rsid w:val="00AC7E54"/>
    <w:rsid w:val="00AD0009"/>
    <w:rsid w:val="00AD012E"/>
    <w:rsid w:val="00AD069D"/>
    <w:rsid w:val="00AD081B"/>
    <w:rsid w:val="00AD084B"/>
    <w:rsid w:val="00AD0914"/>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8A1"/>
    <w:rsid w:val="00AD2DAC"/>
    <w:rsid w:val="00AD2E1C"/>
    <w:rsid w:val="00AD2E79"/>
    <w:rsid w:val="00AD2EC5"/>
    <w:rsid w:val="00AD30BA"/>
    <w:rsid w:val="00AD323C"/>
    <w:rsid w:val="00AD36E0"/>
    <w:rsid w:val="00AD3888"/>
    <w:rsid w:val="00AD38A2"/>
    <w:rsid w:val="00AD38EF"/>
    <w:rsid w:val="00AD3A52"/>
    <w:rsid w:val="00AD3A59"/>
    <w:rsid w:val="00AD3F62"/>
    <w:rsid w:val="00AD4035"/>
    <w:rsid w:val="00AD44DE"/>
    <w:rsid w:val="00AD4872"/>
    <w:rsid w:val="00AD4DB2"/>
    <w:rsid w:val="00AD4EEA"/>
    <w:rsid w:val="00AD500B"/>
    <w:rsid w:val="00AD51A0"/>
    <w:rsid w:val="00AD51AB"/>
    <w:rsid w:val="00AD5205"/>
    <w:rsid w:val="00AD52EC"/>
    <w:rsid w:val="00AD5708"/>
    <w:rsid w:val="00AD5852"/>
    <w:rsid w:val="00AD598B"/>
    <w:rsid w:val="00AD5E0C"/>
    <w:rsid w:val="00AD6123"/>
    <w:rsid w:val="00AD615A"/>
    <w:rsid w:val="00AD6845"/>
    <w:rsid w:val="00AD68C1"/>
    <w:rsid w:val="00AD6C00"/>
    <w:rsid w:val="00AD6C74"/>
    <w:rsid w:val="00AD6E68"/>
    <w:rsid w:val="00AD7053"/>
    <w:rsid w:val="00AD7374"/>
    <w:rsid w:val="00AD748B"/>
    <w:rsid w:val="00AD7659"/>
    <w:rsid w:val="00AD7895"/>
    <w:rsid w:val="00AD79F1"/>
    <w:rsid w:val="00AD79F4"/>
    <w:rsid w:val="00AD7B8E"/>
    <w:rsid w:val="00AD7FC8"/>
    <w:rsid w:val="00AE00E2"/>
    <w:rsid w:val="00AE01C5"/>
    <w:rsid w:val="00AE01CF"/>
    <w:rsid w:val="00AE01E4"/>
    <w:rsid w:val="00AE01EF"/>
    <w:rsid w:val="00AE0677"/>
    <w:rsid w:val="00AE0A3A"/>
    <w:rsid w:val="00AE0C87"/>
    <w:rsid w:val="00AE0DCC"/>
    <w:rsid w:val="00AE1315"/>
    <w:rsid w:val="00AE1842"/>
    <w:rsid w:val="00AE19E5"/>
    <w:rsid w:val="00AE1A07"/>
    <w:rsid w:val="00AE1C39"/>
    <w:rsid w:val="00AE2025"/>
    <w:rsid w:val="00AE2421"/>
    <w:rsid w:val="00AE26DD"/>
    <w:rsid w:val="00AE2A19"/>
    <w:rsid w:val="00AE2EA0"/>
    <w:rsid w:val="00AE2FA7"/>
    <w:rsid w:val="00AE3158"/>
    <w:rsid w:val="00AE368F"/>
    <w:rsid w:val="00AE386E"/>
    <w:rsid w:val="00AE41B1"/>
    <w:rsid w:val="00AE4234"/>
    <w:rsid w:val="00AE4240"/>
    <w:rsid w:val="00AE43E9"/>
    <w:rsid w:val="00AE45D5"/>
    <w:rsid w:val="00AE46C8"/>
    <w:rsid w:val="00AE4955"/>
    <w:rsid w:val="00AE4BDE"/>
    <w:rsid w:val="00AE4C04"/>
    <w:rsid w:val="00AE4E68"/>
    <w:rsid w:val="00AE4E9D"/>
    <w:rsid w:val="00AE527A"/>
    <w:rsid w:val="00AE5404"/>
    <w:rsid w:val="00AE5422"/>
    <w:rsid w:val="00AE5791"/>
    <w:rsid w:val="00AE579B"/>
    <w:rsid w:val="00AE57BB"/>
    <w:rsid w:val="00AE59A6"/>
    <w:rsid w:val="00AE6394"/>
    <w:rsid w:val="00AE6AAA"/>
    <w:rsid w:val="00AE6BE3"/>
    <w:rsid w:val="00AE6F13"/>
    <w:rsid w:val="00AE7068"/>
    <w:rsid w:val="00AE7321"/>
    <w:rsid w:val="00AE7366"/>
    <w:rsid w:val="00AE73D7"/>
    <w:rsid w:val="00AE75C1"/>
    <w:rsid w:val="00AE76FD"/>
    <w:rsid w:val="00AE7841"/>
    <w:rsid w:val="00AE7B30"/>
    <w:rsid w:val="00AE7C82"/>
    <w:rsid w:val="00AE7D10"/>
    <w:rsid w:val="00AE7F5F"/>
    <w:rsid w:val="00AF025C"/>
    <w:rsid w:val="00AF043A"/>
    <w:rsid w:val="00AF0562"/>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3DE3"/>
    <w:rsid w:val="00AF3F5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50"/>
    <w:rsid w:val="00AF76E1"/>
    <w:rsid w:val="00AF79E5"/>
    <w:rsid w:val="00AF7A9B"/>
    <w:rsid w:val="00AF7E92"/>
    <w:rsid w:val="00B00018"/>
    <w:rsid w:val="00B00097"/>
    <w:rsid w:val="00B000BE"/>
    <w:rsid w:val="00B0030E"/>
    <w:rsid w:val="00B00879"/>
    <w:rsid w:val="00B00938"/>
    <w:rsid w:val="00B00C29"/>
    <w:rsid w:val="00B00D80"/>
    <w:rsid w:val="00B012CA"/>
    <w:rsid w:val="00B01369"/>
    <w:rsid w:val="00B01900"/>
    <w:rsid w:val="00B01D56"/>
    <w:rsid w:val="00B01E3F"/>
    <w:rsid w:val="00B01FF1"/>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7A"/>
    <w:rsid w:val="00B048F0"/>
    <w:rsid w:val="00B04D56"/>
    <w:rsid w:val="00B0510E"/>
    <w:rsid w:val="00B05139"/>
    <w:rsid w:val="00B052F6"/>
    <w:rsid w:val="00B05423"/>
    <w:rsid w:val="00B05BB6"/>
    <w:rsid w:val="00B05D68"/>
    <w:rsid w:val="00B05FEC"/>
    <w:rsid w:val="00B0627F"/>
    <w:rsid w:val="00B062B1"/>
    <w:rsid w:val="00B064DB"/>
    <w:rsid w:val="00B066FD"/>
    <w:rsid w:val="00B06898"/>
    <w:rsid w:val="00B06F20"/>
    <w:rsid w:val="00B0726C"/>
    <w:rsid w:val="00B073B7"/>
    <w:rsid w:val="00B073DD"/>
    <w:rsid w:val="00B07491"/>
    <w:rsid w:val="00B07527"/>
    <w:rsid w:val="00B07569"/>
    <w:rsid w:val="00B07601"/>
    <w:rsid w:val="00B076A4"/>
    <w:rsid w:val="00B079BF"/>
    <w:rsid w:val="00B07AC0"/>
    <w:rsid w:val="00B07BA0"/>
    <w:rsid w:val="00B07C18"/>
    <w:rsid w:val="00B07D12"/>
    <w:rsid w:val="00B07D87"/>
    <w:rsid w:val="00B07F3D"/>
    <w:rsid w:val="00B1019C"/>
    <w:rsid w:val="00B101CD"/>
    <w:rsid w:val="00B101F3"/>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E43"/>
    <w:rsid w:val="00B12F0E"/>
    <w:rsid w:val="00B12F3B"/>
    <w:rsid w:val="00B13015"/>
    <w:rsid w:val="00B13206"/>
    <w:rsid w:val="00B132F4"/>
    <w:rsid w:val="00B13405"/>
    <w:rsid w:val="00B13474"/>
    <w:rsid w:val="00B136FB"/>
    <w:rsid w:val="00B13794"/>
    <w:rsid w:val="00B1382F"/>
    <w:rsid w:val="00B13921"/>
    <w:rsid w:val="00B13A33"/>
    <w:rsid w:val="00B13A9F"/>
    <w:rsid w:val="00B13B99"/>
    <w:rsid w:val="00B13CD1"/>
    <w:rsid w:val="00B1412C"/>
    <w:rsid w:val="00B144A8"/>
    <w:rsid w:val="00B144F6"/>
    <w:rsid w:val="00B14578"/>
    <w:rsid w:val="00B14A35"/>
    <w:rsid w:val="00B14F54"/>
    <w:rsid w:val="00B15302"/>
    <w:rsid w:val="00B1535C"/>
    <w:rsid w:val="00B1536C"/>
    <w:rsid w:val="00B15397"/>
    <w:rsid w:val="00B15581"/>
    <w:rsid w:val="00B155AE"/>
    <w:rsid w:val="00B15A59"/>
    <w:rsid w:val="00B161E9"/>
    <w:rsid w:val="00B16354"/>
    <w:rsid w:val="00B16548"/>
    <w:rsid w:val="00B169C7"/>
    <w:rsid w:val="00B169DB"/>
    <w:rsid w:val="00B169F0"/>
    <w:rsid w:val="00B16AEC"/>
    <w:rsid w:val="00B16C7D"/>
    <w:rsid w:val="00B16EFC"/>
    <w:rsid w:val="00B17232"/>
    <w:rsid w:val="00B17491"/>
    <w:rsid w:val="00B17AFB"/>
    <w:rsid w:val="00B17DB5"/>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3E"/>
    <w:rsid w:val="00B2319A"/>
    <w:rsid w:val="00B234C3"/>
    <w:rsid w:val="00B235E1"/>
    <w:rsid w:val="00B2377F"/>
    <w:rsid w:val="00B237DE"/>
    <w:rsid w:val="00B23887"/>
    <w:rsid w:val="00B23950"/>
    <w:rsid w:val="00B23DBD"/>
    <w:rsid w:val="00B24082"/>
    <w:rsid w:val="00B241F9"/>
    <w:rsid w:val="00B24238"/>
    <w:rsid w:val="00B246D4"/>
    <w:rsid w:val="00B24721"/>
    <w:rsid w:val="00B24CD7"/>
    <w:rsid w:val="00B24F22"/>
    <w:rsid w:val="00B24F96"/>
    <w:rsid w:val="00B25579"/>
    <w:rsid w:val="00B25994"/>
    <w:rsid w:val="00B259BD"/>
    <w:rsid w:val="00B259CD"/>
    <w:rsid w:val="00B25F06"/>
    <w:rsid w:val="00B25F50"/>
    <w:rsid w:val="00B25F52"/>
    <w:rsid w:val="00B2603B"/>
    <w:rsid w:val="00B26150"/>
    <w:rsid w:val="00B261AA"/>
    <w:rsid w:val="00B261DE"/>
    <w:rsid w:val="00B2621B"/>
    <w:rsid w:val="00B263D0"/>
    <w:rsid w:val="00B266A0"/>
    <w:rsid w:val="00B266C8"/>
    <w:rsid w:val="00B26A1F"/>
    <w:rsid w:val="00B26A5D"/>
    <w:rsid w:val="00B26B55"/>
    <w:rsid w:val="00B27104"/>
    <w:rsid w:val="00B2731F"/>
    <w:rsid w:val="00B2748A"/>
    <w:rsid w:val="00B27560"/>
    <w:rsid w:val="00B275FA"/>
    <w:rsid w:val="00B276E7"/>
    <w:rsid w:val="00B2779E"/>
    <w:rsid w:val="00B27937"/>
    <w:rsid w:val="00B27B06"/>
    <w:rsid w:val="00B27B3F"/>
    <w:rsid w:val="00B27BC2"/>
    <w:rsid w:val="00B27BD5"/>
    <w:rsid w:val="00B27D92"/>
    <w:rsid w:val="00B27EAF"/>
    <w:rsid w:val="00B302ED"/>
    <w:rsid w:val="00B305A8"/>
    <w:rsid w:val="00B307A7"/>
    <w:rsid w:val="00B3087F"/>
    <w:rsid w:val="00B30929"/>
    <w:rsid w:val="00B3114C"/>
    <w:rsid w:val="00B31308"/>
    <w:rsid w:val="00B31441"/>
    <w:rsid w:val="00B31560"/>
    <w:rsid w:val="00B31669"/>
    <w:rsid w:val="00B317FA"/>
    <w:rsid w:val="00B3191D"/>
    <w:rsid w:val="00B319B0"/>
    <w:rsid w:val="00B32343"/>
    <w:rsid w:val="00B3274B"/>
    <w:rsid w:val="00B32D73"/>
    <w:rsid w:val="00B32F05"/>
    <w:rsid w:val="00B32FAD"/>
    <w:rsid w:val="00B330EE"/>
    <w:rsid w:val="00B331E1"/>
    <w:rsid w:val="00B332CB"/>
    <w:rsid w:val="00B33494"/>
    <w:rsid w:val="00B336BF"/>
    <w:rsid w:val="00B33C54"/>
    <w:rsid w:val="00B33C83"/>
    <w:rsid w:val="00B33E67"/>
    <w:rsid w:val="00B33F8B"/>
    <w:rsid w:val="00B3400C"/>
    <w:rsid w:val="00B34194"/>
    <w:rsid w:val="00B3452F"/>
    <w:rsid w:val="00B34564"/>
    <w:rsid w:val="00B34A7B"/>
    <w:rsid w:val="00B34AF9"/>
    <w:rsid w:val="00B34F0D"/>
    <w:rsid w:val="00B34F20"/>
    <w:rsid w:val="00B352C0"/>
    <w:rsid w:val="00B3533D"/>
    <w:rsid w:val="00B35523"/>
    <w:rsid w:val="00B35BF4"/>
    <w:rsid w:val="00B35E70"/>
    <w:rsid w:val="00B36091"/>
    <w:rsid w:val="00B3614B"/>
    <w:rsid w:val="00B36749"/>
    <w:rsid w:val="00B36803"/>
    <w:rsid w:val="00B36921"/>
    <w:rsid w:val="00B36DE3"/>
    <w:rsid w:val="00B3750F"/>
    <w:rsid w:val="00B37757"/>
    <w:rsid w:val="00B37967"/>
    <w:rsid w:val="00B37D40"/>
    <w:rsid w:val="00B37DE1"/>
    <w:rsid w:val="00B37DFC"/>
    <w:rsid w:val="00B37EA2"/>
    <w:rsid w:val="00B37EF4"/>
    <w:rsid w:val="00B40760"/>
    <w:rsid w:val="00B409C0"/>
    <w:rsid w:val="00B409F4"/>
    <w:rsid w:val="00B40CD0"/>
    <w:rsid w:val="00B40D9D"/>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721"/>
    <w:rsid w:val="00B44915"/>
    <w:rsid w:val="00B44C24"/>
    <w:rsid w:val="00B45079"/>
    <w:rsid w:val="00B4556A"/>
    <w:rsid w:val="00B45626"/>
    <w:rsid w:val="00B458CE"/>
    <w:rsid w:val="00B45AF9"/>
    <w:rsid w:val="00B45B79"/>
    <w:rsid w:val="00B45B7A"/>
    <w:rsid w:val="00B46350"/>
    <w:rsid w:val="00B46B64"/>
    <w:rsid w:val="00B46BDD"/>
    <w:rsid w:val="00B46CC1"/>
    <w:rsid w:val="00B46DBE"/>
    <w:rsid w:val="00B470EA"/>
    <w:rsid w:val="00B47394"/>
    <w:rsid w:val="00B473C0"/>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6FB"/>
    <w:rsid w:val="00B569A4"/>
    <w:rsid w:val="00B569B8"/>
    <w:rsid w:val="00B570A5"/>
    <w:rsid w:val="00B570F1"/>
    <w:rsid w:val="00B57DC9"/>
    <w:rsid w:val="00B57E2F"/>
    <w:rsid w:val="00B60670"/>
    <w:rsid w:val="00B60950"/>
    <w:rsid w:val="00B609BB"/>
    <w:rsid w:val="00B60A8D"/>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76"/>
    <w:rsid w:val="00B672A1"/>
    <w:rsid w:val="00B67333"/>
    <w:rsid w:val="00B673C4"/>
    <w:rsid w:val="00B67518"/>
    <w:rsid w:val="00B678D5"/>
    <w:rsid w:val="00B678D9"/>
    <w:rsid w:val="00B67CB0"/>
    <w:rsid w:val="00B67DB4"/>
    <w:rsid w:val="00B67DB7"/>
    <w:rsid w:val="00B67DC3"/>
    <w:rsid w:val="00B67E5F"/>
    <w:rsid w:val="00B70554"/>
    <w:rsid w:val="00B706D1"/>
    <w:rsid w:val="00B70A44"/>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62"/>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AF1"/>
    <w:rsid w:val="00B80C40"/>
    <w:rsid w:val="00B80E47"/>
    <w:rsid w:val="00B81052"/>
    <w:rsid w:val="00B81116"/>
    <w:rsid w:val="00B81156"/>
    <w:rsid w:val="00B812BD"/>
    <w:rsid w:val="00B815B0"/>
    <w:rsid w:val="00B81879"/>
    <w:rsid w:val="00B81A78"/>
    <w:rsid w:val="00B81B6B"/>
    <w:rsid w:val="00B81C89"/>
    <w:rsid w:val="00B81E3E"/>
    <w:rsid w:val="00B82082"/>
    <w:rsid w:val="00B82321"/>
    <w:rsid w:val="00B82338"/>
    <w:rsid w:val="00B8255F"/>
    <w:rsid w:val="00B825B0"/>
    <w:rsid w:val="00B82A7D"/>
    <w:rsid w:val="00B82C01"/>
    <w:rsid w:val="00B82C1F"/>
    <w:rsid w:val="00B82E52"/>
    <w:rsid w:val="00B8304C"/>
    <w:rsid w:val="00B83232"/>
    <w:rsid w:val="00B83381"/>
    <w:rsid w:val="00B835A3"/>
    <w:rsid w:val="00B83737"/>
    <w:rsid w:val="00B83E46"/>
    <w:rsid w:val="00B843B6"/>
    <w:rsid w:val="00B84689"/>
    <w:rsid w:val="00B849C9"/>
    <w:rsid w:val="00B84A62"/>
    <w:rsid w:val="00B84B08"/>
    <w:rsid w:val="00B84ED3"/>
    <w:rsid w:val="00B84F34"/>
    <w:rsid w:val="00B84F7F"/>
    <w:rsid w:val="00B853C7"/>
    <w:rsid w:val="00B85414"/>
    <w:rsid w:val="00B85465"/>
    <w:rsid w:val="00B85747"/>
    <w:rsid w:val="00B85E77"/>
    <w:rsid w:val="00B8645C"/>
    <w:rsid w:val="00B86801"/>
    <w:rsid w:val="00B86933"/>
    <w:rsid w:val="00B86BB1"/>
    <w:rsid w:val="00B86C48"/>
    <w:rsid w:val="00B87258"/>
    <w:rsid w:val="00B87688"/>
    <w:rsid w:val="00B8777E"/>
    <w:rsid w:val="00B87D7A"/>
    <w:rsid w:val="00B905A5"/>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B7"/>
    <w:rsid w:val="00B94ADD"/>
    <w:rsid w:val="00B94C87"/>
    <w:rsid w:val="00B94D17"/>
    <w:rsid w:val="00B950CA"/>
    <w:rsid w:val="00B952CC"/>
    <w:rsid w:val="00B952F6"/>
    <w:rsid w:val="00B953B9"/>
    <w:rsid w:val="00B95491"/>
    <w:rsid w:val="00B95568"/>
    <w:rsid w:val="00B9557F"/>
    <w:rsid w:val="00B95AB2"/>
    <w:rsid w:val="00B95D4B"/>
    <w:rsid w:val="00B95D73"/>
    <w:rsid w:val="00B96316"/>
    <w:rsid w:val="00B963DB"/>
    <w:rsid w:val="00B964E1"/>
    <w:rsid w:val="00B9652D"/>
    <w:rsid w:val="00B965FD"/>
    <w:rsid w:val="00B96748"/>
    <w:rsid w:val="00B96766"/>
    <w:rsid w:val="00B96C7F"/>
    <w:rsid w:val="00B96E51"/>
    <w:rsid w:val="00B970A0"/>
    <w:rsid w:val="00B97189"/>
    <w:rsid w:val="00B972E1"/>
    <w:rsid w:val="00B972F6"/>
    <w:rsid w:val="00B973EA"/>
    <w:rsid w:val="00B977E4"/>
    <w:rsid w:val="00B97959"/>
    <w:rsid w:val="00B97A18"/>
    <w:rsid w:val="00B97B3D"/>
    <w:rsid w:val="00BA015D"/>
    <w:rsid w:val="00BA0229"/>
    <w:rsid w:val="00BA0860"/>
    <w:rsid w:val="00BA0A8E"/>
    <w:rsid w:val="00BA0B1A"/>
    <w:rsid w:val="00BA0ECC"/>
    <w:rsid w:val="00BA17E4"/>
    <w:rsid w:val="00BA1A10"/>
    <w:rsid w:val="00BA1B35"/>
    <w:rsid w:val="00BA1B99"/>
    <w:rsid w:val="00BA1BFB"/>
    <w:rsid w:val="00BA1C72"/>
    <w:rsid w:val="00BA1C8A"/>
    <w:rsid w:val="00BA2652"/>
    <w:rsid w:val="00BA2911"/>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80"/>
    <w:rsid w:val="00BA45D8"/>
    <w:rsid w:val="00BA52B6"/>
    <w:rsid w:val="00BA5320"/>
    <w:rsid w:val="00BA532E"/>
    <w:rsid w:val="00BA53F5"/>
    <w:rsid w:val="00BA5982"/>
    <w:rsid w:val="00BA5B32"/>
    <w:rsid w:val="00BA5B52"/>
    <w:rsid w:val="00BA5B9A"/>
    <w:rsid w:val="00BA5E53"/>
    <w:rsid w:val="00BA5ED7"/>
    <w:rsid w:val="00BA613A"/>
    <w:rsid w:val="00BA6226"/>
    <w:rsid w:val="00BA6510"/>
    <w:rsid w:val="00BA65AB"/>
    <w:rsid w:val="00BA688B"/>
    <w:rsid w:val="00BA688E"/>
    <w:rsid w:val="00BA6C06"/>
    <w:rsid w:val="00BA6DF7"/>
    <w:rsid w:val="00BA6E83"/>
    <w:rsid w:val="00BA7246"/>
    <w:rsid w:val="00BA7262"/>
    <w:rsid w:val="00BA7269"/>
    <w:rsid w:val="00BA757B"/>
    <w:rsid w:val="00BA7AAD"/>
    <w:rsid w:val="00BA7AB6"/>
    <w:rsid w:val="00BA7B74"/>
    <w:rsid w:val="00BA7D3A"/>
    <w:rsid w:val="00BB0871"/>
    <w:rsid w:val="00BB0E11"/>
    <w:rsid w:val="00BB0F25"/>
    <w:rsid w:val="00BB0F4D"/>
    <w:rsid w:val="00BB1628"/>
    <w:rsid w:val="00BB1803"/>
    <w:rsid w:val="00BB1837"/>
    <w:rsid w:val="00BB1857"/>
    <w:rsid w:val="00BB18C4"/>
    <w:rsid w:val="00BB19EB"/>
    <w:rsid w:val="00BB1BA1"/>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5C2"/>
    <w:rsid w:val="00BB4AEA"/>
    <w:rsid w:val="00BB4B7E"/>
    <w:rsid w:val="00BB4F35"/>
    <w:rsid w:val="00BB5673"/>
    <w:rsid w:val="00BB56F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EEC"/>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58"/>
    <w:rsid w:val="00BC2DB1"/>
    <w:rsid w:val="00BC2DD0"/>
    <w:rsid w:val="00BC33CF"/>
    <w:rsid w:val="00BC35A6"/>
    <w:rsid w:val="00BC3659"/>
    <w:rsid w:val="00BC38CE"/>
    <w:rsid w:val="00BC390A"/>
    <w:rsid w:val="00BC3991"/>
    <w:rsid w:val="00BC3FD0"/>
    <w:rsid w:val="00BC4609"/>
    <w:rsid w:val="00BC49CA"/>
    <w:rsid w:val="00BC4B45"/>
    <w:rsid w:val="00BC4B70"/>
    <w:rsid w:val="00BC555E"/>
    <w:rsid w:val="00BC575C"/>
    <w:rsid w:val="00BC5923"/>
    <w:rsid w:val="00BC5A95"/>
    <w:rsid w:val="00BC5AD6"/>
    <w:rsid w:val="00BC613B"/>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342"/>
    <w:rsid w:val="00BD05D8"/>
    <w:rsid w:val="00BD06E7"/>
    <w:rsid w:val="00BD0A2B"/>
    <w:rsid w:val="00BD0A32"/>
    <w:rsid w:val="00BD0C7F"/>
    <w:rsid w:val="00BD0CAD"/>
    <w:rsid w:val="00BD1733"/>
    <w:rsid w:val="00BD1838"/>
    <w:rsid w:val="00BD1BAB"/>
    <w:rsid w:val="00BD1CFD"/>
    <w:rsid w:val="00BD1E13"/>
    <w:rsid w:val="00BD20C3"/>
    <w:rsid w:val="00BD216D"/>
    <w:rsid w:val="00BD2C72"/>
    <w:rsid w:val="00BD2CF3"/>
    <w:rsid w:val="00BD3003"/>
    <w:rsid w:val="00BD30D1"/>
    <w:rsid w:val="00BD33D9"/>
    <w:rsid w:val="00BD36DF"/>
    <w:rsid w:val="00BD3886"/>
    <w:rsid w:val="00BD3A20"/>
    <w:rsid w:val="00BD3A2C"/>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0EC"/>
    <w:rsid w:val="00BD5550"/>
    <w:rsid w:val="00BD559C"/>
    <w:rsid w:val="00BD56B8"/>
    <w:rsid w:val="00BD5802"/>
    <w:rsid w:val="00BD5C8A"/>
    <w:rsid w:val="00BD618C"/>
    <w:rsid w:val="00BD64BE"/>
    <w:rsid w:val="00BD6593"/>
    <w:rsid w:val="00BD6630"/>
    <w:rsid w:val="00BD6C37"/>
    <w:rsid w:val="00BD6DFD"/>
    <w:rsid w:val="00BD6FDD"/>
    <w:rsid w:val="00BD7460"/>
    <w:rsid w:val="00BD74BF"/>
    <w:rsid w:val="00BD7990"/>
    <w:rsid w:val="00BE0066"/>
    <w:rsid w:val="00BE0156"/>
    <w:rsid w:val="00BE046F"/>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623"/>
    <w:rsid w:val="00BE2748"/>
    <w:rsid w:val="00BE2A26"/>
    <w:rsid w:val="00BE2A83"/>
    <w:rsid w:val="00BE2A90"/>
    <w:rsid w:val="00BE2C59"/>
    <w:rsid w:val="00BE3137"/>
    <w:rsid w:val="00BE3405"/>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19B"/>
    <w:rsid w:val="00BE6458"/>
    <w:rsid w:val="00BE6628"/>
    <w:rsid w:val="00BE6C18"/>
    <w:rsid w:val="00BE6CE4"/>
    <w:rsid w:val="00BE6D4A"/>
    <w:rsid w:val="00BE74FD"/>
    <w:rsid w:val="00BE7598"/>
    <w:rsid w:val="00BE78AF"/>
    <w:rsid w:val="00BE7912"/>
    <w:rsid w:val="00BE7CF2"/>
    <w:rsid w:val="00BE7DC5"/>
    <w:rsid w:val="00BF000B"/>
    <w:rsid w:val="00BF0046"/>
    <w:rsid w:val="00BF0052"/>
    <w:rsid w:val="00BF026E"/>
    <w:rsid w:val="00BF044C"/>
    <w:rsid w:val="00BF0757"/>
    <w:rsid w:val="00BF09EB"/>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1E2"/>
    <w:rsid w:val="00BF322D"/>
    <w:rsid w:val="00BF325C"/>
    <w:rsid w:val="00BF32B7"/>
    <w:rsid w:val="00BF330A"/>
    <w:rsid w:val="00BF3715"/>
    <w:rsid w:val="00BF38CD"/>
    <w:rsid w:val="00BF3B82"/>
    <w:rsid w:val="00BF3E3F"/>
    <w:rsid w:val="00BF4775"/>
    <w:rsid w:val="00BF4860"/>
    <w:rsid w:val="00BF489B"/>
    <w:rsid w:val="00BF48E2"/>
    <w:rsid w:val="00BF4BF3"/>
    <w:rsid w:val="00BF4D7A"/>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B79"/>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A"/>
    <w:rsid w:val="00C05EFF"/>
    <w:rsid w:val="00C05F5A"/>
    <w:rsid w:val="00C05FFB"/>
    <w:rsid w:val="00C06179"/>
    <w:rsid w:val="00C06186"/>
    <w:rsid w:val="00C0691E"/>
    <w:rsid w:val="00C069F1"/>
    <w:rsid w:val="00C06BCE"/>
    <w:rsid w:val="00C06DB4"/>
    <w:rsid w:val="00C06F28"/>
    <w:rsid w:val="00C06FD0"/>
    <w:rsid w:val="00C0707C"/>
    <w:rsid w:val="00C07267"/>
    <w:rsid w:val="00C0747B"/>
    <w:rsid w:val="00C075E5"/>
    <w:rsid w:val="00C076C2"/>
    <w:rsid w:val="00C07972"/>
    <w:rsid w:val="00C07A09"/>
    <w:rsid w:val="00C07E81"/>
    <w:rsid w:val="00C07ED2"/>
    <w:rsid w:val="00C10448"/>
    <w:rsid w:val="00C105C2"/>
    <w:rsid w:val="00C109CB"/>
    <w:rsid w:val="00C10C9B"/>
    <w:rsid w:val="00C10CC1"/>
    <w:rsid w:val="00C10F6E"/>
    <w:rsid w:val="00C10F78"/>
    <w:rsid w:val="00C11561"/>
    <w:rsid w:val="00C11727"/>
    <w:rsid w:val="00C117BA"/>
    <w:rsid w:val="00C1200C"/>
    <w:rsid w:val="00C1249E"/>
    <w:rsid w:val="00C124C9"/>
    <w:rsid w:val="00C12554"/>
    <w:rsid w:val="00C1256A"/>
    <w:rsid w:val="00C127B6"/>
    <w:rsid w:val="00C12A64"/>
    <w:rsid w:val="00C12DD6"/>
    <w:rsid w:val="00C138AF"/>
    <w:rsid w:val="00C13C42"/>
    <w:rsid w:val="00C140D4"/>
    <w:rsid w:val="00C14165"/>
    <w:rsid w:val="00C1458C"/>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BF4"/>
    <w:rsid w:val="00C17DE5"/>
    <w:rsid w:val="00C17E68"/>
    <w:rsid w:val="00C17F3E"/>
    <w:rsid w:val="00C17FB2"/>
    <w:rsid w:val="00C200FD"/>
    <w:rsid w:val="00C205B9"/>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1FA7"/>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8A7"/>
    <w:rsid w:val="00C249AF"/>
    <w:rsid w:val="00C24BE2"/>
    <w:rsid w:val="00C24DE8"/>
    <w:rsid w:val="00C24ED1"/>
    <w:rsid w:val="00C24F1D"/>
    <w:rsid w:val="00C24F6C"/>
    <w:rsid w:val="00C25159"/>
    <w:rsid w:val="00C253E2"/>
    <w:rsid w:val="00C25D5F"/>
    <w:rsid w:val="00C26040"/>
    <w:rsid w:val="00C26758"/>
    <w:rsid w:val="00C267C6"/>
    <w:rsid w:val="00C26CC7"/>
    <w:rsid w:val="00C27002"/>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3FB"/>
    <w:rsid w:val="00C33439"/>
    <w:rsid w:val="00C33DAD"/>
    <w:rsid w:val="00C348C9"/>
    <w:rsid w:val="00C349B8"/>
    <w:rsid w:val="00C34A49"/>
    <w:rsid w:val="00C34BAA"/>
    <w:rsid w:val="00C34F1C"/>
    <w:rsid w:val="00C35415"/>
    <w:rsid w:val="00C354E3"/>
    <w:rsid w:val="00C355EB"/>
    <w:rsid w:val="00C357F3"/>
    <w:rsid w:val="00C35D6A"/>
    <w:rsid w:val="00C35E06"/>
    <w:rsid w:val="00C35FA2"/>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4E2"/>
    <w:rsid w:val="00C407AB"/>
    <w:rsid w:val="00C40AAF"/>
    <w:rsid w:val="00C40C50"/>
    <w:rsid w:val="00C40F89"/>
    <w:rsid w:val="00C41695"/>
    <w:rsid w:val="00C41926"/>
    <w:rsid w:val="00C41B04"/>
    <w:rsid w:val="00C41D69"/>
    <w:rsid w:val="00C41F7A"/>
    <w:rsid w:val="00C42042"/>
    <w:rsid w:val="00C4265D"/>
    <w:rsid w:val="00C42674"/>
    <w:rsid w:val="00C428A6"/>
    <w:rsid w:val="00C42ADA"/>
    <w:rsid w:val="00C42B92"/>
    <w:rsid w:val="00C42D3F"/>
    <w:rsid w:val="00C43908"/>
    <w:rsid w:val="00C43B4A"/>
    <w:rsid w:val="00C43C91"/>
    <w:rsid w:val="00C44069"/>
    <w:rsid w:val="00C443DF"/>
    <w:rsid w:val="00C44476"/>
    <w:rsid w:val="00C44B34"/>
    <w:rsid w:val="00C44D07"/>
    <w:rsid w:val="00C44E50"/>
    <w:rsid w:val="00C4500C"/>
    <w:rsid w:val="00C4504E"/>
    <w:rsid w:val="00C45414"/>
    <w:rsid w:val="00C4545E"/>
    <w:rsid w:val="00C4574A"/>
    <w:rsid w:val="00C458FE"/>
    <w:rsid w:val="00C45A54"/>
    <w:rsid w:val="00C45C73"/>
    <w:rsid w:val="00C4629F"/>
    <w:rsid w:val="00C463D5"/>
    <w:rsid w:val="00C4644A"/>
    <w:rsid w:val="00C464FE"/>
    <w:rsid w:val="00C465E1"/>
    <w:rsid w:val="00C46661"/>
    <w:rsid w:val="00C467FD"/>
    <w:rsid w:val="00C46812"/>
    <w:rsid w:val="00C468EE"/>
    <w:rsid w:val="00C46AA1"/>
    <w:rsid w:val="00C472B8"/>
    <w:rsid w:val="00C472DF"/>
    <w:rsid w:val="00C4730A"/>
    <w:rsid w:val="00C4751E"/>
    <w:rsid w:val="00C4751F"/>
    <w:rsid w:val="00C47594"/>
    <w:rsid w:val="00C47831"/>
    <w:rsid w:val="00C47A2C"/>
    <w:rsid w:val="00C47AA1"/>
    <w:rsid w:val="00C47C2D"/>
    <w:rsid w:val="00C47DD8"/>
    <w:rsid w:val="00C50676"/>
    <w:rsid w:val="00C50A03"/>
    <w:rsid w:val="00C5100D"/>
    <w:rsid w:val="00C51307"/>
    <w:rsid w:val="00C51415"/>
    <w:rsid w:val="00C5156D"/>
    <w:rsid w:val="00C517CA"/>
    <w:rsid w:val="00C51864"/>
    <w:rsid w:val="00C51878"/>
    <w:rsid w:val="00C51A6C"/>
    <w:rsid w:val="00C522C3"/>
    <w:rsid w:val="00C523B3"/>
    <w:rsid w:val="00C524BE"/>
    <w:rsid w:val="00C5277B"/>
    <w:rsid w:val="00C52BF3"/>
    <w:rsid w:val="00C52C2A"/>
    <w:rsid w:val="00C52DED"/>
    <w:rsid w:val="00C52F8C"/>
    <w:rsid w:val="00C531B8"/>
    <w:rsid w:val="00C531C3"/>
    <w:rsid w:val="00C53708"/>
    <w:rsid w:val="00C53728"/>
    <w:rsid w:val="00C53955"/>
    <w:rsid w:val="00C53A76"/>
    <w:rsid w:val="00C53BAC"/>
    <w:rsid w:val="00C53ED9"/>
    <w:rsid w:val="00C53F6B"/>
    <w:rsid w:val="00C540EA"/>
    <w:rsid w:val="00C5438F"/>
    <w:rsid w:val="00C54667"/>
    <w:rsid w:val="00C54668"/>
    <w:rsid w:val="00C546C6"/>
    <w:rsid w:val="00C5472E"/>
    <w:rsid w:val="00C548E5"/>
    <w:rsid w:val="00C54DFB"/>
    <w:rsid w:val="00C5501D"/>
    <w:rsid w:val="00C55124"/>
    <w:rsid w:val="00C552C8"/>
    <w:rsid w:val="00C5537A"/>
    <w:rsid w:val="00C55395"/>
    <w:rsid w:val="00C55402"/>
    <w:rsid w:val="00C5552B"/>
    <w:rsid w:val="00C5579F"/>
    <w:rsid w:val="00C5599F"/>
    <w:rsid w:val="00C55A42"/>
    <w:rsid w:val="00C55BED"/>
    <w:rsid w:val="00C55D4D"/>
    <w:rsid w:val="00C56A0D"/>
    <w:rsid w:val="00C56A9E"/>
    <w:rsid w:val="00C56E99"/>
    <w:rsid w:val="00C5700F"/>
    <w:rsid w:val="00C57049"/>
    <w:rsid w:val="00C571D1"/>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414"/>
    <w:rsid w:val="00C61495"/>
    <w:rsid w:val="00C61516"/>
    <w:rsid w:val="00C61646"/>
    <w:rsid w:val="00C616E3"/>
    <w:rsid w:val="00C61856"/>
    <w:rsid w:val="00C618C3"/>
    <w:rsid w:val="00C618E4"/>
    <w:rsid w:val="00C61916"/>
    <w:rsid w:val="00C619ED"/>
    <w:rsid w:val="00C61B02"/>
    <w:rsid w:val="00C61E6A"/>
    <w:rsid w:val="00C62091"/>
    <w:rsid w:val="00C62171"/>
    <w:rsid w:val="00C622F5"/>
    <w:rsid w:val="00C62699"/>
    <w:rsid w:val="00C626A1"/>
    <w:rsid w:val="00C626A2"/>
    <w:rsid w:val="00C62853"/>
    <w:rsid w:val="00C62975"/>
    <w:rsid w:val="00C629C6"/>
    <w:rsid w:val="00C62E15"/>
    <w:rsid w:val="00C62E42"/>
    <w:rsid w:val="00C62F90"/>
    <w:rsid w:val="00C6301C"/>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372"/>
    <w:rsid w:val="00C65572"/>
    <w:rsid w:val="00C65655"/>
    <w:rsid w:val="00C657DD"/>
    <w:rsid w:val="00C65A5E"/>
    <w:rsid w:val="00C65A69"/>
    <w:rsid w:val="00C65A6A"/>
    <w:rsid w:val="00C65D4F"/>
    <w:rsid w:val="00C66083"/>
    <w:rsid w:val="00C661D4"/>
    <w:rsid w:val="00C66225"/>
    <w:rsid w:val="00C662B0"/>
    <w:rsid w:val="00C663FE"/>
    <w:rsid w:val="00C6645A"/>
    <w:rsid w:val="00C66482"/>
    <w:rsid w:val="00C6659F"/>
    <w:rsid w:val="00C66878"/>
    <w:rsid w:val="00C66ABC"/>
    <w:rsid w:val="00C66B3A"/>
    <w:rsid w:val="00C66C0D"/>
    <w:rsid w:val="00C66D04"/>
    <w:rsid w:val="00C66EAE"/>
    <w:rsid w:val="00C66F28"/>
    <w:rsid w:val="00C67001"/>
    <w:rsid w:val="00C67495"/>
    <w:rsid w:val="00C67507"/>
    <w:rsid w:val="00C67561"/>
    <w:rsid w:val="00C67747"/>
    <w:rsid w:val="00C70017"/>
    <w:rsid w:val="00C7026C"/>
    <w:rsid w:val="00C7031D"/>
    <w:rsid w:val="00C704C0"/>
    <w:rsid w:val="00C704C9"/>
    <w:rsid w:val="00C706C6"/>
    <w:rsid w:val="00C70720"/>
    <w:rsid w:val="00C70866"/>
    <w:rsid w:val="00C70A1C"/>
    <w:rsid w:val="00C70BC1"/>
    <w:rsid w:val="00C70ED2"/>
    <w:rsid w:val="00C71189"/>
    <w:rsid w:val="00C71824"/>
    <w:rsid w:val="00C71889"/>
    <w:rsid w:val="00C7198A"/>
    <w:rsid w:val="00C72074"/>
    <w:rsid w:val="00C7217C"/>
    <w:rsid w:val="00C7233C"/>
    <w:rsid w:val="00C72406"/>
    <w:rsid w:val="00C7288A"/>
    <w:rsid w:val="00C72BA9"/>
    <w:rsid w:val="00C72BB1"/>
    <w:rsid w:val="00C72C42"/>
    <w:rsid w:val="00C732CF"/>
    <w:rsid w:val="00C737F5"/>
    <w:rsid w:val="00C73805"/>
    <w:rsid w:val="00C738CF"/>
    <w:rsid w:val="00C73A42"/>
    <w:rsid w:val="00C73DD4"/>
    <w:rsid w:val="00C74147"/>
    <w:rsid w:val="00C74327"/>
    <w:rsid w:val="00C74BBD"/>
    <w:rsid w:val="00C74D0D"/>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77937"/>
    <w:rsid w:val="00C80519"/>
    <w:rsid w:val="00C80A52"/>
    <w:rsid w:val="00C80A72"/>
    <w:rsid w:val="00C80AF3"/>
    <w:rsid w:val="00C81009"/>
    <w:rsid w:val="00C8110D"/>
    <w:rsid w:val="00C81331"/>
    <w:rsid w:val="00C81975"/>
    <w:rsid w:val="00C81BF0"/>
    <w:rsid w:val="00C8238A"/>
    <w:rsid w:val="00C82540"/>
    <w:rsid w:val="00C82624"/>
    <w:rsid w:val="00C82EBF"/>
    <w:rsid w:val="00C82ED3"/>
    <w:rsid w:val="00C82FB5"/>
    <w:rsid w:val="00C83405"/>
    <w:rsid w:val="00C83613"/>
    <w:rsid w:val="00C83958"/>
    <w:rsid w:val="00C83AC9"/>
    <w:rsid w:val="00C83F9A"/>
    <w:rsid w:val="00C84324"/>
    <w:rsid w:val="00C8434D"/>
    <w:rsid w:val="00C84898"/>
    <w:rsid w:val="00C848A0"/>
    <w:rsid w:val="00C84A98"/>
    <w:rsid w:val="00C84AE5"/>
    <w:rsid w:val="00C84D61"/>
    <w:rsid w:val="00C850F8"/>
    <w:rsid w:val="00C85145"/>
    <w:rsid w:val="00C853A2"/>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87D47"/>
    <w:rsid w:val="00C90482"/>
    <w:rsid w:val="00C904A8"/>
    <w:rsid w:val="00C90603"/>
    <w:rsid w:val="00C90DA1"/>
    <w:rsid w:val="00C90F11"/>
    <w:rsid w:val="00C9131E"/>
    <w:rsid w:val="00C915A0"/>
    <w:rsid w:val="00C9185A"/>
    <w:rsid w:val="00C919A9"/>
    <w:rsid w:val="00C919DA"/>
    <w:rsid w:val="00C91A1D"/>
    <w:rsid w:val="00C91AB0"/>
    <w:rsid w:val="00C91BE3"/>
    <w:rsid w:val="00C91D76"/>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2B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659"/>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A1B"/>
    <w:rsid w:val="00CA4C2D"/>
    <w:rsid w:val="00CA4C6A"/>
    <w:rsid w:val="00CA51C3"/>
    <w:rsid w:val="00CA5B28"/>
    <w:rsid w:val="00CA5CEA"/>
    <w:rsid w:val="00CA5D19"/>
    <w:rsid w:val="00CA5E81"/>
    <w:rsid w:val="00CA633D"/>
    <w:rsid w:val="00CA63D9"/>
    <w:rsid w:val="00CA6759"/>
    <w:rsid w:val="00CA76F9"/>
    <w:rsid w:val="00CA7700"/>
    <w:rsid w:val="00CA7755"/>
    <w:rsid w:val="00CA776B"/>
    <w:rsid w:val="00CA777E"/>
    <w:rsid w:val="00CA7A40"/>
    <w:rsid w:val="00CA7AA0"/>
    <w:rsid w:val="00CA7BAC"/>
    <w:rsid w:val="00CA7D9A"/>
    <w:rsid w:val="00CA7E3F"/>
    <w:rsid w:val="00CB0237"/>
    <w:rsid w:val="00CB0447"/>
    <w:rsid w:val="00CB0480"/>
    <w:rsid w:val="00CB053B"/>
    <w:rsid w:val="00CB0729"/>
    <w:rsid w:val="00CB074A"/>
    <w:rsid w:val="00CB07D9"/>
    <w:rsid w:val="00CB08CA"/>
    <w:rsid w:val="00CB09B7"/>
    <w:rsid w:val="00CB0F1F"/>
    <w:rsid w:val="00CB0F7E"/>
    <w:rsid w:val="00CB102A"/>
    <w:rsid w:val="00CB13A2"/>
    <w:rsid w:val="00CB1792"/>
    <w:rsid w:val="00CB1846"/>
    <w:rsid w:val="00CB184E"/>
    <w:rsid w:val="00CB202F"/>
    <w:rsid w:val="00CB224B"/>
    <w:rsid w:val="00CB23F7"/>
    <w:rsid w:val="00CB2514"/>
    <w:rsid w:val="00CB257A"/>
    <w:rsid w:val="00CB2643"/>
    <w:rsid w:val="00CB2775"/>
    <w:rsid w:val="00CB2EB3"/>
    <w:rsid w:val="00CB346D"/>
    <w:rsid w:val="00CB34E4"/>
    <w:rsid w:val="00CB3621"/>
    <w:rsid w:val="00CB373A"/>
    <w:rsid w:val="00CB38DE"/>
    <w:rsid w:val="00CB400B"/>
    <w:rsid w:val="00CB4184"/>
    <w:rsid w:val="00CB41CD"/>
    <w:rsid w:val="00CB41DB"/>
    <w:rsid w:val="00CB421E"/>
    <w:rsid w:val="00CB469E"/>
    <w:rsid w:val="00CB486E"/>
    <w:rsid w:val="00CB494A"/>
    <w:rsid w:val="00CB4995"/>
    <w:rsid w:val="00CB4BBC"/>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8D6"/>
    <w:rsid w:val="00CB7B22"/>
    <w:rsid w:val="00CB7C5C"/>
    <w:rsid w:val="00CB7DE0"/>
    <w:rsid w:val="00CC0543"/>
    <w:rsid w:val="00CC05D3"/>
    <w:rsid w:val="00CC0609"/>
    <w:rsid w:val="00CC071E"/>
    <w:rsid w:val="00CC083E"/>
    <w:rsid w:val="00CC1463"/>
    <w:rsid w:val="00CC158D"/>
    <w:rsid w:val="00CC168E"/>
    <w:rsid w:val="00CC1C59"/>
    <w:rsid w:val="00CC1D4B"/>
    <w:rsid w:val="00CC1D5B"/>
    <w:rsid w:val="00CC1E96"/>
    <w:rsid w:val="00CC20BF"/>
    <w:rsid w:val="00CC2255"/>
    <w:rsid w:val="00CC237C"/>
    <w:rsid w:val="00CC246F"/>
    <w:rsid w:val="00CC25A8"/>
    <w:rsid w:val="00CC263C"/>
    <w:rsid w:val="00CC2E07"/>
    <w:rsid w:val="00CC31E7"/>
    <w:rsid w:val="00CC3491"/>
    <w:rsid w:val="00CC3538"/>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3D7"/>
    <w:rsid w:val="00CC554A"/>
    <w:rsid w:val="00CC5C70"/>
    <w:rsid w:val="00CC5DBC"/>
    <w:rsid w:val="00CC6139"/>
    <w:rsid w:val="00CC6282"/>
    <w:rsid w:val="00CC67AF"/>
    <w:rsid w:val="00CC6897"/>
    <w:rsid w:val="00CC68DC"/>
    <w:rsid w:val="00CC6A7E"/>
    <w:rsid w:val="00CC6F8F"/>
    <w:rsid w:val="00CC73A8"/>
    <w:rsid w:val="00CC745A"/>
    <w:rsid w:val="00CC7832"/>
    <w:rsid w:val="00CC783C"/>
    <w:rsid w:val="00CC7939"/>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617"/>
    <w:rsid w:val="00CD2912"/>
    <w:rsid w:val="00CD291D"/>
    <w:rsid w:val="00CD2C3B"/>
    <w:rsid w:val="00CD2E1F"/>
    <w:rsid w:val="00CD2E51"/>
    <w:rsid w:val="00CD2EB3"/>
    <w:rsid w:val="00CD30ED"/>
    <w:rsid w:val="00CD3197"/>
    <w:rsid w:val="00CD34DD"/>
    <w:rsid w:val="00CD34FA"/>
    <w:rsid w:val="00CD3544"/>
    <w:rsid w:val="00CD3E8B"/>
    <w:rsid w:val="00CD41DD"/>
    <w:rsid w:val="00CD47F2"/>
    <w:rsid w:val="00CD4957"/>
    <w:rsid w:val="00CD4E1C"/>
    <w:rsid w:val="00CD4EBB"/>
    <w:rsid w:val="00CD5571"/>
    <w:rsid w:val="00CD5991"/>
    <w:rsid w:val="00CD5AC0"/>
    <w:rsid w:val="00CD5B48"/>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310"/>
    <w:rsid w:val="00CE1636"/>
    <w:rsid w:val="00CE185B"/>
    <w:rsid w:val="00CE19D8"/>
    <w:rsid w:val="00CE1A6A"/>
    <w:rsid w:val="00CE1BFB"/>
    <w:rsid w:val="00CE1EF2"/>
    <w:rsid w:val="00CE1FA2"/>
    <w:rsid w:val="00CE1FBD"/>
    <w:rsid w:val="00CE2001"/>
    <w:rsid w:val="00CE20D4"/>
    <w:rsid w:val="00CE2735"/>
    <w:rsid w:val="00CE2C4C"/>
    <w:rsid w:val="00CE2FEC"/>
    <w:rsid w:val="00CE3343"/>
    <w:rsid w:val="00CE3552"/>
    <w:rsid w:val="00CE3589"/>
    <w:rsid w:val="00CE3C8A"/>
    <w:rsid w:val="00CE3D2A"/>
    <w:rsid w:val="00CE3F2C"/>
    <w:rsid w:val="00CE436D"/>
    <w:rsid w:val="00CE44A8"/>
    <w:rsid w:val="00CE48FA"/>
    <w:rsid w:val="00CE495C"/>
    <w:rsid w:val="00CE5216"/>
    <w:rsid w:val="00CE52E3"/>
    <w:rsid w:val="00CE5923"/>
    <w:rsid w:val="00CE5986"/>
    <w:rsid w:val="00CE59B3"/>
    <w:rsid w:val="00CE5DD1"/>
    <w:rsid w:val="00CE5E30"/>
    <w:rsid w:val="00CE5E85"/>
    <w:rsid w:val="00CE5FAA"/>
    <w:rsid w:val="00CE63FA"/>
    <w:rsid w:val="00CE6D9C"/>
    <w:rsid w:val="00CE6EC3"/>
    <w:rsid w:val="00CE6EEE"/>
    <w:rsid w:val="00CE7572"/>
    <w:rsid w:val="00CE76EE"/>
    <w:rsid w:val="00CE7B52"/>
    <w:rsid w:val="00CE7E4D"/>
    <w:rsid w:val="00CE7E70"/>
    <w:rsid w:val="00CF0243"/>
    <w:rsid w:val="00CF02A7"/>
    <w:rsid w:val="00CF02FB"/>
    <w:rsid w:val="00CF0607"/>
    <w:rsid w:val="00CF0741"/>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228"/>
    <w:rsid w:val="00CF36BD"/>
    <w:rsid w:val="00CF3769"/>
    <w:rsid w:val="00CF3C30"/>
    <w:rsid w:val="00CF547E"/>
    <w:rsid w:val="00CF568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72B"/>
    <w:rsid w:val="00CF7861"/>
    <w:rsid w:val="00CF7BFD"/>
    <w:rsid w:val="00CF7D09"/>
    <w:rsid w:val="00CF7D64"/>
    <w:rsid w:val="00CF7E82"/>
    <w:rsid w:val="00D00051"/>
    <w:rsid w:val="00D00083"/>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0FC4"/>
    <w:rsid w:val="00D0114A"/>
    <w:rsid w:val="00D015EF"/>
    <w:rsid w:val="00D01688"/>
    <w:rsid w:val="00D016DD"/>
    <w:rsid w:val="00D01865"/>
    <w:rsid w:val="00D01AD7"/>
    <w:rsid w:val="00D01DEF"/>
    <w:rsid w:val="00D01E2C"/>
    <w:rsid w:val="00D01E95"/>
    <w:rsid w:val="00D01F9A"/>
    <w:rsid w:val="00D02198"/>
    <w:rsid w:val="00D0238E"/>
    <w:rsid w:val="00D0239F"/>
    <w:rsid w:val="00D02640"/>
    <w:rsid w:val="00D0285E"/>
    <w:rsid w:val="00D0325B"/>
    <w:rsid w:val="00D03C56"/>
    <w:rsid w:val="00D03E40"/>
    <w:rsid w:val="00D04064"/>
    <w:rsid w:val="00D04154"/>
    <w:rsid w:val="00D04509"/>
    <w:rsid w:val="00D04ABA"/>
    <w:rsid w:val="00D04AEC"/>
    <w:rsid w:val="00D05038"/>
    <w:rsid w:val="00D050CD"/>
    <w:rsid w:val="00D050ED"/>
    <w:rsid w:val="00D05236"/>
    <w:rsid w:val="00D05591"/>
    <w:rsid w:val="00D055E1"/>
    <w:rsid w:val="00D0579D"/>
    <w:rsid w:val="00D057AE"/>
    <w:rsid w:val="00D05910"/>
    <w:rsid w:val="00D05F13"/>
    <w:rsid w:val="00D05F34"/>
    <w:rsid w:val="00D062BC"/>
    <w:rsid w:val="00D0659A"/>
    <w:rsid w:val="00D065A0"/>
    <w:rsid w:val="00D0691C"/>
    <w:rsid w:val="00D06E25"/>
    <w:rsid w:val="00D0712F"/>
    <w:rsid w:val="00D07276"/>
    <w:rsid w:val="00D0742A"/>
    <w:rsid w:val="00D07497"/>
    <w:rsid w:val="00D07682"/>
    <w:rsid w:val="00D077B3"/>
    <w:rsid w:val="00D07841"/>
    <w:rsid w:val="00D07984"/>
    <w:rsid w:val="00D07ACF"/>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37"/>
    <w:rsid w:val="00D12B64"/>
    <w:rsid w:val="00D12B78"/>
    <w:rsid w:val="00D13416"/>
    <w:rsid w:val="00D1366E"/>
    <w:rsid w:val="00D13839"/>
    <w:rsid w:val="00D13B8E"/>
    <w:rsid w:val="00D13CA8"/>
    <w:rsid w:val="00D13D6E"/>
    <w:rsid w:val="00D13FA5"/>
    <w:rsid w:val="00D14003"/>
    <w:rsid w:val="00D14040"/>
    <w:rsid w:val="00D14131"/>
    <w:rsid w:val="00D1414C"/>
    <w:rsid w:val="00D1418E"/>
    <w:rsid w:val="00D142FA"/>
    <w:rsid w:val="00D14613"/>
    <w:rsid w:val="00D148DD"/>
    <w:rsid w:val="00D14E4A"/>
    <w:rsid w:val="00D151D9"/>
    <w:rsid w:val="00D1520E"/>
    <w:rsid w:val="00D15262"/>
    <w:rsid w:val="00D15465"/>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5F0"/>
    <w:rsid w:val="00D20878"/>
    <w:rsid w:val="00D2089A"/>
    <w:rsid w:val="00D208BA"/>
    <w:rsid w:val="00D20933"/>
    <w:rsid w:val="00D209FF"/>
    <w:rsid w:val="00D20C9E"/>
    <w:rsid w:val="00D217C9"/>
    <w:rsid w:val="00D21913"/>
    <w:rsid w:val="00D2193A"/>
    <w:rsid w:val="00D2196A"/>
    <w:rsid w:val="00D21B70"/>
    <w:rsid w:val="00D21C40"/>
    <w:rsid w:val="00D21C72"/>
    <w:rsid w:val="00D21EEA"/>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037"/>
    <w:rsid w:val="00D271AC"/>
    <w:rsid w:val="00D27609"/>
    <w:rsid w:val="00D27950"/>
    <w:rsid w:val="00D279BB"/>
    <w:rsid w:val="00D27AAA"/>
    <w:rsid w:val="00D27C35"/>
    <w:rsid w:val="00D300DA"/>
    <w:rsid w:val="00D30119"/>
    <w:rsid w:val="00D30132"/>
    <w:rsid w:val="00D303EE"/>
    <w:rsid w:val="00D306B6"/>
    <w:rsid w:val="00D307D9"/>
    <w:rsid w:val="00D30DEE"/>
    <w:rsid w:val="00D30E18"/>
    <w:rsid w:val="00D30E78"/>
    <w:rsid w:val="00D31170"/>
    <w:rsid w:val="00D311E7"/>
    <w:rsid w:val="00D31348"/>
    <w:rsid w:val="00D314AD"/>
    <w:rsid w:val="00D31582"/>
    <w:rsid w:val="00D31BDD"/>
    <w:rsid w:val="00D32151"/>
    <w:rsid w:val="00D324FC"/>
    <w:rsid w:val="00D32558"/>
    <w:rsid w:val="00D32912"/>
    <w:rsid w:val="00D32A27"/>
    <w:rsid w:val="00D32BA8"/>
    <w:rsid w:val="00D32F54"/>
    <w:rsid w:val="00D3320F"/>
    <w:rsid w:val="00D3343E"/>
    <w:rsid w:val="00D33491"/>
    <w:rsid w:val="00D334D5"/>
    <w:rsid w:val="00D33919"/>
    <w:rsid w:val="00D33AAD"/>
    <w:rsid w:val="00D33B8B"/>
    <w:rsid w:val="00D33C1C"/>
    <w:rsid w:val="00D34189"/>
    <w:rsid w:val="00D343D7"/>
    <w:rsid w:val="00D34589"/>
    <w:rsid w:val="00D34757"/>
    <w:rsid w:val="00D349D7"/>
    <w:rsid w:val="00D34CAB"/>
    <w:rsid w:val="00D34ED7"/>
    <w:rsid w:val="00D34FE4"/>
    <w:rsid w:val="00D35223"/>
    <w:rsid w:val="00D3540D"/>
    <w:rsid w:val="00D3552E"/>
    <w:rsid w:val="00D3553D"/>
    <w:rsid w:val="00D3576B"/>
    <w:rsid w:val="00D35B03"/>
    <w:rsid w:val="00D35C4C"/>
    <w:rsid w:val="00D35FD5"/>
    <w:rsid w:val="00D361A7"/>
    <w:rsid w:val="00D362BB"/>
    <w:rsid w:val="00D36A01"/>
    <w:rsid w:val="00D36A0C"/>
    <w:rsid w:val="00D36ADA"/>
    <w:rsid w:val="00D36E44"/>
    <w:rsid w:val="00D36F14"/>
    <w:rsid w:val="00D3736D"/>
    <w:rsid w:val="00D37550"/>
    <w:rsid w:val="00D376ED"/>
    <w:rsid w:val="00D37715"/>
    <w:rsid w:val="00D37B46"/>
    <w:rsid w:val="00D37C5C"/>
    <w:rsid w:val="00D400B0"/>
    <w:rsid w:val="00D4030A"/>
    <w:rsid w:val="00D403C0"/>
    <w:rsid w:val="00D4075C"/>
    <w:rsid w:val="00D40BE5"/>
    <w:rsid w:val="00D40CD6"/>
    <w:rsid w:val="00D40CDC"/>
    <w:rsid w:val="00D40CE6"/>
    <w:rsid w:val="00D40E31"/>
    <w:rsid w:val="00D40F7B"/>
    <w:rsid w:val="00D412B0"/>
    <w:rsid w:val="00D416CC"/>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9C2"/>
    <w:rsid w:val="00D43EFA"/>
    <w:rsid w:val="00D44230"/>
    <w:rsid w:val="00D442C7"/>
    <w:rsid w:val="00D446BC"/>
    <w:rsid w:val="00D44B15"/>
    <w:rsid w:val="00D44B2B"/>
    <w:rsid w:val="00D44B5D"/>
    <w:rsid w:val="00D4517E"/>
    <w:rsid w:val="00D4543F"/>
    <w:rsid w:val="00D45502"/>
    <w:rsid w:val="00D45508"/>
    <w:rsid w:val="00D457C5"/>
    <w:rsid w:val="00D4589B"/>
    <w:rsid w:val="00D45DFA"/>
    <w:rsid w:val="00D45EFB"/>
    <w:rsid w:val="00D460EB"/>
    <w:rsid w:val="00D46363"/>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596"/>
    <w:rsid w:val="00D50674"/>
    <w:rsid w:val="00D506D1"/>
    <w:rsid w:val="00D506F5"/>
    <w:rsid w:val="00D50B35"/>
    <w:rsid w:val="00D50CCE"/>
    <w:rsid w:val="00D50F49"/>
    <w:rsid w:val="00D50FEC"/>
    <w:rsid w:val="00D513C0"/>
    <w:rsid w:val="00D51A70"/>
    <w:rsid w:val="00D51AB2"/>
    <w:rsid w:val="00D51D3E"/>
    <w:rsid w:val="00D51D9F"/>
    <w:rsid w:val="00D51ED2"/>
    <w:rsid w:val="00D51F0A"/>
    <w:rsid w:val="00D5200B"/>
    <w:rsid w:val="00D52280"/>
    <w:rsid w:val="00D52478"/>
    <w:rsid w:val="00D524BE"/>
    <w:rsid w:val="00D52956"/>
    <w:rsid w:val="00D529C8"/>
    <w:rsid w:val="00D52BBC"/>
    <w:rsid w:val="00D52C38"/>
    <w:rsid w:val="00D52CE1"/>
    <w:rsid w:val="00D52CE3"/>
    <w:rsid w:val="00D52F3A"/>
    <w:rsid w:val="00D53235"/>
    <w:rsid w:val="00D536A4"/>
    <w:rsid w:val="00D5392B"/>
    <w:rsid w:val="00D53980"/>
    <w:rsid w:val="00D53989"/>
    <w:rsid w:val="00D5399E"/>
    <w:rsid w:val="00D539DD"/>
    <w:rsid w:val="00D53A41"/>
    <w:rsid w:val="00D53E5D"/>
    <w:rsid w:val="00D53FF4"/>
    <w:rsid w:val="00D5468E"/>
    <w:rsid w:val="00D54785"/>
    <w:rsid w:val="00D54BF9"/>
    <w:rsid w:val="00D54E5B"/>
    <w:rsid w:val="00D5500B"/>
    <w:rsid w:val="00D55018"/>
    <w:rsid w:val="00D5547D"/>
    <w:rsid w:val="00D55572"/>
    <w:rsid w:val="00D5560D"/>
    <w:rsid w:val="00D557C6"/>
    <w:rsid w:val="00D557EE"/>
    <w:rsid w:val="00D5583B"/>
    <w:rsid w:val="00D55AA4"/>
    <w:rsid w:val="00D55AB3"/>
    <w:rsid w:val="00D56136"/>
    <w:rsid w:val="00D563FE"/>
    <w:rsid w:val="00D5640B"/>
    <w:rsid w:val="00D56C12"/>
    <w:rsid w:val="00D57040"/>
    <w:rsid w:val="00D57068"/>
    <w:rsid w:val="00D57446"/>
    <w:rsid w:val="00D576BC"/>
    <w:rsid w:val="00D579A6"/>
    <w:rsid w:val="00D579CC"/>
    <w:rsid w:val="00D57A73"/>
    <w:rsid w:val="00D57D22"/>
    <w:rsid w:val="00D60235"/>
    <w:rsid w:val="00D60339"/>
    <w:rsid w:val="00D6035A"/>
    <w:rsid w:val="00D6036D"/>
    <w:rsid w:val="00D6053E"/>
    <w:rsid w:val="00D60564"/>
    <w:rsid w:val="00D6083C"/>
    <w:rsid w:val="00D6088B"/>
    <w:rsid w:val="00D60C5B"/>
    <w:rsid w:val="00D60EED"/>
    <w:rsid w:val="00D60F21"/>
    <w:rsid w:val="00D615AD"/>
    <w:rsid w:val="00D617CC"/>
    <w:rsid w:val="00D61820"/>
    <w:rsid w:val="00D6183D"/>
    <w:rsid w:val="00D61A02"/>
    <w:rsid w:val="00D61C90"/>
    <w:rsid w:val="00D62208"/>
    <w:rsid w:val="00D625C5"/>
    <w:rsid w:val="00D625F2"/>
    <w:rsid w:val="00D62AAF"/>
    <w:rsid w:val="00D62B8A"/>
    <w:rsid w:val="00D62FCC"/>
    <w:rsid w:val="00D634A7"/>
    <w:rsid w:val="00D634E9"/>
    <w:rsid w:val="00D636AA"/>
    <w:rsid w:val="00D6379C"/>
    <w:rsid w:val="00D63CDA"/>
    <w:rsid w:val="00D63CEA"/>
    <w:rsid w:val="00D643C5"/>
    <w:rsid w:val="00D64791"/>
    <w:rsid w:val="00D647D7"/>
    <w:rsid w:val="00D6480C"/>
    <w:rsid w:val="00D64A46"/>
    <w:rsid w:val="00D64B5A"/>
    <w:rsid w:val="00D64CE8"/>
    <w:rsid w:val="00D64F53"/>
    <w:rsid w:val="00D65064"/>
    <w:rsid w:val="00D6563A"/>
    <w:rsid w:val="00D656B9"/>
    <w:rsid w:val="00D656D3"/>
    <w:rsid w:val="00D65BA6"/>
    <w:rsid w:val="00D65E4D"/>
    <w:rsid w:val="00D65EB9"/>
    <w:rsid w:val="00D66132"/>
    <w:rsid w:val="00D66287"/>
    <w:rsid w:val="00D662C9"/>
    <w:rsid w:val="00D665A3"/>
    <w:rsid w:val="00D66644"/>
    <w:rsid w:val="00D66CDA"/>
    <w:rsid w:val="00D66CDB"/>
    <w:rsid w:val="00D66EFF"/>
    <w:rsid w:val="00D66F39"/>
    <w:rsid w:val="00D67710"/>
    <w:rsid w:val="00D677CA"/>
    <w:rsid w:val="00D67C18"/>
    <w:rsid w:val="00D67F36"/>
    <w:rsid w:val="00D70039"/>
    <w:rsid w:val="00D70318"/>
    <w:rsid w:val="00D70604"/>
    <w:rsid w:val="00D70631"/>
    <w:rsid w:val="00D708BC"/>
    <w:rsid w:val="00D709D6"/>
    <w:rsid w:val="00D709EB"/>
    <w:rsid w:val="00D70B9C"/>
    <w:rsid w:val="00D70C68"/>
    <w:rsid w:val="00D70C6E"/>
    <w:rsid w:val="00D70E1F"/>
    <w:rsid w:val="00D70EFA"/>
    <w:rsid w:val="00D70F42"/>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3FC"/>
    <w:rsid w:val="00D7476D"/>
    <w:rsid w:val="00D74933"/>
    <w:rsid w:val="00D749DD"/>
    <w:rsid w:val="00D74A63"/>
    <w:rsid w:val="00D74AF0"/>
    <w:rsid w:val="00D74BDE"/>
    <w:rsid w:val="00D74D0C"/>
    <w:rsid w:val="00D750BA"/>
    <w:rsid w:val="00D75160"/>
    <w:rsid w:val="00D755E7"/>
    <w:rsid w:val="00D756AA"/>
    <w:rsid w:val="00D757BD"/>
    <w:rsid w:val="00D75843"/>
    <w:rsid w:val="00D75BCB"/>
    <w:rsid w:val="00D75DE5"/>
    <w:rsid w:val="00D75FA2"/>
    <w:rsid w:val="00D76097"/>
    <w:rsid w:val="00D762D5"/>
    <w:rsid w:val="00D765A0"/>
    <w:rsid w:val="00D765D0"/>
    <w:rsid w:val="00D765DF"/>
    <w:rsid w:val="00D76709"/>
    <w:rsid w:val="00D767A0"/>
    <w:rsid w:val="00D7682A"/>
    <w:rsid w:val="00D76B3F"/>
    <w:rsid w:val="00D76D12"/>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7B3"/>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80E"/>
    <w:rsid w:val="00D83BC6"/>
    <w:rsid w:val="00D83E71"/>
    <w:rsid w:val="00D84417"/>
    <w:rsid w:val="00D8442D"/>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4C"/>
    <w:rsid w:val="00D90555"/>
    <w:rsid w:val="00D907B3"/>
    <w:rsid w:val="00D9089A"/>
    <w:rsid w:val="00D90932"/>
    <w:rsid w:val="00D90C91"/>
    <w:rsid w:val="00D90CD2"/>
    <w:rsid w:val="00D912E6"/>
    <w:rsid w:val="00D913F5"/>
    <w:rsid w:val="00D918D4"/>
    <w:rsid w:val="00D91D74"/>
    <w:rsid w:val="00D91E52"/>
    <w:rsid w:val="00D91E68"/>
    <w:rsid w:val="00D9201D"/>
    <w:rsid w:val="00D925AB"/>
    <w:rsid w:val="00D92877"/>
    <w:rsid w:val="00D9294C"/>
    <w:rsid w:val="00D92A24"/>
    <w:rsid w:val="00D92BFF"/>
    <w:rsid w:val="00D92DE5"/>
    <w:rsid w:val="00D92F09"/>
    <w:rsid w:val="00D9302F"/>
    <w:rsid w:val="00D930B9"/>
    <w:rsid w:val="00D93316"/>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5FC5"/>
    <w:rsid w:val="00D96231"/>
    <w:rsid w:val="00D96714"/>
    <w:rsid w:val="00D969F4"/>
    <w:rsid w:val="00D96AFE"/>
    <w:rsid w:val="00D96EA9"/>
    <w:rsid w:val="00D96FEE"/>
    <w:rsid w:val="00D97320"/>
    <w:rsid w:val="00D9777D"/>
    <w:rsid w:val="00D9784A"/>
    <w:rsid w:val="00D978E5"/>
    <w:rsid w:val="00D97D00"/>
    <w:rsid w:val="00D97EFE"/>
    <w:rsid w:val="00DA008F"/>
    <w:rsid w:val="00DA01BF"/>
    <w:rsid w:val="00DA08BB"/>
    <w:rsid w:val="00DA09AF"/>
    <w:rsid w:val="00DA09D2"/>
    <w:rsid w:val="00DA0B44"/>
    <w:rsid w:val="00DA0CA7"/>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2A"/>
    <w:rsid w:val="00DA3D62"/>
    <w:rsid w:val="00DA3DE7"/>
    <w:rsid w:val="00DA4049"/>
    <w:rsid w:val="00DA43F1"/>
    <w:rsid w:val="00DA4549"/>
    <w:rsid w:val="00DA455E"/>
    <w:rsid w:val="00DA48EF"/>
    <w:rsid w:val="00DA49CA"/>
    <w:rsid w:val="00DA49CF"/>
    <w:rsid w:val="00DA5281"/>
    <w:rsid w:val="00DA5446"/>
    <w:rsid w:val="00DA59A2"/>
    <w:rsid w:val="00DA5E4B"/>
    <w:rsid w:val="00DA6189"/>
    <w:rsid w:val="00DA6A3D"/>
    <w:rsid w:val="00DA7613"/>
    <w:rsid w:val="00DA7622"/>
    <w:rsid w:val="00DA7637"/>
    <w:rsid w:val="00DA77EB"/>
    <w:rsid w:val="00DA7A4E"/>
    <w:rsid w:val="00DA7BE9"/>
    <w:rsid w:val="00DA7C43"/>
    <w:rsid w:val="00DA7C5F"/>
    <w:rsid w:val="00DA7D70"/>
    <w:rsid w:val="00DA7E37"/>
    <w:rsid w:val="00DA7F1F"/>
    <w:rsid w:val="00DA7FD7"/>
    <w:rsid w:val="00DB0259"/>
    <w:rsid w:val="00DB072F"/>
    <w:rsid w:val="00DB0B99"/>
    <w:rsid w:val="00DB0CC9"/>
    <w:rsid w:val="00DB0D3F"/>
    <w:rsid w:val="00DB0DAC"/>
    <w:rsid w:val="00DB124D"/>
    <w:rsid w:val="00DB17CA"/>
    <w:rsid w:val="00DB1835"/>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37E"/>
    <w:rsid w:val="00DB3507"/>
    <w:rsid w:val="00DB3734"/>
    <w:rsid w:val="00DB37CD"/>
    <w:rsid w:val="00DB39D1"/>
    <w:rsid w:val="00DB3C5B"/>
    <w:rsid w:val="00DB3F0A"/>
    <w:rsid w:val="00DB3F75"/>
    <w:rsid w:val="00DB41CC"/>
    <w:rsid w:val="00DB4665"/>
    <w:rsid w:val="00DB46B9"/>
    <w:rsid w:val="00DB49E5"/>
    <w:rsid w:val="00DB4AFF"/>
    <w:rsid w:val="00DB4B12"/>
    <w:rsid w:val="00DB4B7C"/>
    <w:rsid w:val="00DB4C97"/>
    <w:rsid w:val="00DB52BA"/>
    <w:rsid w:val="00DB53FD"/>
    <w:rsid w:val="00DB54E4"/>
    <w:rsid w:val="00DB54EB"/>
    <w:rsid w:val="00DB599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D0B"/>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4F8B"/>
    <w:rsid w:val="00DC511F"/>
    <w:rsid w:val="00DC551C"/>
    <w:rsid w:val="00DC58BD"/>
    <w:rsid w:val="00DC5931"/>
    <w:rsid w:val="00DC5A0D"/>
    <w:rsid w:val="00DC5C6C"/>
    <w:rsid w:val="00DC5E12"/>
    <w:rsid w:val="00DC5F93"/>
    <w:rsid w:val="00DC6203"/>
    <w:rsid w:val="00DC6387"/>
    <w:rsid w:val="00DC641F"/>
    <w:rsid w:val="00DC6685"/>
    <w:rsid w:val="00DC6868"/>
    <w:rsid w:val="00DC6A46"/>
    <w:rsid w:val="00DC6B52"/>
    <w:rsid w:val="00DC6DCC"/>
    <w:rsid w:val="00DC6F0E"/>
    <w:rsid w:val="00DC7000"/>
    <w:rsid w:val="00DC742E"/>
    <w:rsid w:val="00DC78B7"/>
    <w:rsid w:val="00DC7FD6"/>
    <w:rsid w:val="00DD0135"/>
    <w:rsid w:val="00DD0249"/>
    <w:rsid w:val="00DD042F"/>
    <w:rsid w:val="00DD05DC"/>
    <w:rsid w:val="00DD061A"/>
    <w:rsid w:val="00DD0931"/>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F52"/>
    <w:rsid w:val="00DD4022"/>
    <w:rsid w:val="00DD419B"/>
    <w:rsid w:val="00DD42BA"/>
    <w:rsid w:val="00DD453D"/>
    <w:rsid w:val="00DD4556"/>
    <w:rsid w:val="00DD473F"/>
    <w:rsid w:val="00DD478F"/>
    <w:rsid w:val="00DD4849"/>
    <w:rsid w:val="00DD4901"/>
    <w:rsid w:val="00DD49C0"/>
    <w:rsid w:val="00DD49E2"/>
    <w:rsid w:val="00DD4BE6"/>
    <w:rsid w:val="00DD513E"/>
    <w:rsid w:val="00DD55DE"/>
    <w:rsid w:val="00DD577E"/>
    <w:rsid w:val="00DD5812"/>
    <w:rsid w:val="00DD58DE"/>
    <w:rsid w:val="00DD59C0"/>
    <w:rsid w:val="00DD5ABC"/>
    <w:rsid w:val="00DD60CD"/>
    <w:rsid w:val="00DD6535"/>
    <w:rsid w:val="00DD6C24"/>
    <w:rsid w:val="00DD70F4"/>
    <w:rsid w:val="00DD786C"/>
    <w:rsid w:val="00DE0556"/>
    <w:rsid w:val="00DE074F"/>
    <w:rsid w:val="00DE0B91"/>
    <w:rsid w:val="00DE0CD8"/>
    <w:rsid w:val="00DE0EA8"/>
    <w:rsid w:val="00DE0F6A"/>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EFB"/>
    <w:rsid w:val="00DE5F9A"/>
    <w:rsid w:val="00DE6233"/>
    <w:rsid w:val="00DE6364"/>
    <w:rsid w:val="00DE63B4"/>
    <w:rsid w:val="00DE6412"/>
    <w:rsid w:val="00DE6922"/>
    <w:rsid w:val="00DE6952"/>
    <w:rsid w:val="00DE6CE1"/>
    <w:rsid w:val="00DE6D8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8D"/>
    <w:rsid w:val="00DF48F5"/>
    <w:rsid w:val="00DF4927"/>
    <w:rsid w:val="00DF4AB5"/>
    <w:rsid w:val="00DF4F79"/>
    <w:rsid w:val="00DF507F"/>
    <w:rsid w:val="00DF554D"/>
    <w:rsid w:val="00DF568B"/>
    <w:rsid w:val="00DF576F"/>
    <w:rsid w:val="00DF58BC"/>
    <w:rsid w:val="00DF5A87"/>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13"/>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15A"/>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DDC"/>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C18"/>
    <w:rsid w:val="00E14E2B"/>
    <w:rsid w:val="00E1524E"/>
    <w:rsid w:val="00E152EE"/>
    <w:rsid w:val="00E15474"/>
    <w:rsid w:val="00E15572"/>
    <w:rsid w:val="00E159CE"/>
    <w:rsid w:val="00E15A95"/>
    <w:rsid w:val="00E15B88"/>
    <w:rsid w:val="00E15CF7"/>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863"/>
    <w:rsid w:val="00E21A01"/>
    <w:rsid w:val="00E21B98"/>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95"/>
    <w:rsid w:val="00E23ABC"/>
    <w:rsid w:val="00E23AE2"/>
    <w:rsid w:val="00E23B6E"/>
    <w:rsid w:val="00E23B9A"/>
    <w:rsid w:val="00E23E77"/>
    <w:rsid w:val="00E24102"/>
    <w:rsid w:val="00E24196"/>
    <w:rsid w:val="00E243FC"/>
    <w:rsid w:val="00E24559"/>
    <w:rsid w:val="00E24633"/>
    <w:rsid w:val="00E247A6"/>
    <w:rsid w:val="00E24AE3"/>
    <w:rsid w:val="00E24BC9"/>
    <w:rsid w:val="00E24DE0"/>
    <w:rsid w:val="00E24ED2"/>
    <w:rsid w:val="00E25A72"/>
    <w:rsid w:val="00E25B4C"/>
    <w:rsid w:val="00E25C15"/>
    <w:rsid w:val="00E25CCF"/>
    <w:rsid w:val="00E25D73"/>
    <w:rsid w:val="00E25F74"/>
    <w:rsid w:val="00E25FD4"/>
    <w:rsid w:val="00E26300"/>
    <w:rsid w:val="00E263D8"/>
    <w:rsid w:val="00E269D7"/>
    <w:rsid w:val="00E26D53"/>
    <w:rsid w:val="00E26E81"/>
    <w:rsid w:val="00E2716E"/>
    <w:rsid w:val="00E27435"/>
    <w:rsid w:val="00E275A5"/>
    <w:rsid w:val="00E2767F"/>
    <w:rsid w:val="00E276DE"/>
    <w:rsid w:val="00E27A53"/>
    <w:rsid w:val="00E27C79"/>
    <w:rsid w:val="00E27D41"/>
    <w:rsid w:val="00E300BD"/>
    <w:rsid w:val="00E3064C"/>
    <w:rsid w:val="00E3083D"/>
    <w:rsid w:val="00E30897"/>
    <w:rsid w:val="00E309D2"/>
    <w:rsid w:val="00E30ACA"/>
    <w:rsid w:val="00E30CA3"/>
    <w:rsid w:val="00E30E94"/>
    <w:rsid w:val="00E31064"/>
    <w:rsid w:val="00E311E3"/>
    <w:rsid w:val="00E317EA"/>
    <w:rsid w:val="00E318E0"/>
    <w:rsid w:val="00E31AB6"/>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A91"/>
    <w:rsid w:val="00E33BD0"/>
    <w:rsid w:val="00E33C5E"/>
    <w:rsid w:val="00E33CEC"/>
    <w:rsid w:val="00E33DE9"/>
    <w:rsid w:val="00E33E62"/>
    <w:rsid w:val="00E33F98"/>
    <w:rsid w:val="00E34156"/>
    <w:rsid w:val="00E34DB2"/>
    <w:rsid w:val="00E3507E"/>
    <w:rsid w:val="00E350FC"/>
    <w:rsid w:val="00E351A5"/>
    <w:rsid w:val="00E351F9"/>
    <w:rsid w:val="00E35384"/>
    <w:rsid w:val="00E35390"/>
    <w:rsid w:val="00E3556F"/>
    <w:rsid w:val="00E3564F"/>
    <w:rsid w:val="00E3578F"/>
    <w:rsid w:val="00E35871"/>
    <w:rsid w:val="00E35AA6"/>
    <w:rsid w:val="00E35AC5"/>
    <w:rsid w:val="00E36196"/>
    <w:rsid w:val="00E36483"/>
    <w:rsid w:val="00E364E8"/>
    <w:rsid w:val="00E36D4D"/>
    <w:rsid w:val="00E36EE5"/>
    <w:rsid w:val="00E36FD9"/>
    <w:rsid w:val="00E371F6"/>
    <w:rsid w:val="00E3769A"/>
    <w:rsid w:val="00E3773D"/>
    <w:rsid w:val="00E378C4"/>
    <w:rsid w:val="00E378EC"/>
    <w:rsid w:val="00E379C2"/>
    <w:rsid w:val="00E379F2"/>
    <w:rsid w:val="00E37B9B"/>
    <w:rsid w:val="00E37BA8"/>
    <w:rsid w:val="00E37F75"/>
    <w:rsid w:val="00E37FD7"/>
    <w:rsid w:val="00E4019B"/>
    <w:rsid w:val="00E4067A"/>
    <w:rsid w:val="00E4081E"/>
    <w:rsid w:val="00E40984"/>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A04"/>
    <w:rsid w:val="00E42D92"/>
    <w:rsid w:val="00E42D96"/>
    <w:rsid w:val="00E430D4"/>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BA0"/>
    <w:rsid w:val="00E46CB0"/>
    <w:rsid w:val="00E46D65"/>
    <w:rsid w:val="00E4702F"/>
    <w:rsid w:val="00E472AF"/>
    <w:rsid w:val="00E47530"/>
    <w:rsid w:val="00E47550"/>
    <w:rsid w:val="00E477B9"/>
    <w:rsid w:val="00E47A00"/>
    <w:rsid w:val="00E47B48"/>
    <w:rsid w:val="00E47F05"/>
    <w:rsid w:val="00E500A1"/>
    <w:rsid w:val="00E5019D"/>
    <w:rsid w:val="00E501CA"/>
    <w:rsid w:val="00E502F0"/>
    <w:rsid w:val="00E50475"/>
    <w:rsid w:val="00E505A5"/>
    <w:rsid w:val="00E508AD"/>
    <w:rsid w:val="00E509AB"/>
    <w:rsid w:val="00E509DF"/>
    <w:rsid w:val="00E50CEC"/>
    <w:rsid w:val="00E50EF3"/>
    <w:rsid w:val="00E51B67"/>
    <w:rsid w:val="00E51E55"/>
    <w:rsid w:val="00E52544"/>
    <w:rsid w:val="00E52569"/>
    <w:rsid w:val="00E52FC4"/>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9A2"/>
    <w:rsid w:val="00E55F2E"/>
    <w:rsid w:val="00E56166"/>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A7A"/>
    <w:rsid w:val="00E61B0B"/>
    <w:rsid w:val="00E61C4A"/>
    <w:rsid w:val="00E61F89"/>
    <w:rsid w:val="00E61FA1"/>
    <w:rsid w:val="00E61FC7"/>
    <w:rsid w:val="00E61FE8"/>
    <w:rsid w:val="00E624A7"/>
    <w:rsid w:val="00E627CE"/>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10B"/>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B8"/>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37"/>
    <w:rsid w:val="00E70797"/>
    <w:rsid w:val="00E70895"/>
    <w:rsid w:val="00E709A0"/>
    <w:rsid w:val="00E70A49"/>
    <w:rsid w:val="00E70CDE"/>
    <w:rsid w:val="00E70CEB"/>
    <w:rsid w:val="00E71027"/>
    <w:rsid w:val="00E711AB"/>
    <w:rsid w:val="00E7124E"/>
    <w:rsid w:val="00E71322"/>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8CD"/>
    <w:rsid w:val="00E749EE"/>
    <w:rsid w:val="00E74BA6"/>
    <w:rsid w:val="00E74ED0"/>
    <w:rsid w:val="00E750C5"/>
    <w:rsid w:val="00E75156"/>
    <w:rsid w:val="00E75422"/>
    <w:rsid w:val="00E75467"/>
    <w:rsid w:val="00E7578E"/>
    <w:rsid w:val="00E75947"/>
    <w:rsid w:val="00E7596A"/>
    <w:rsid w:val="00E759B2"/>
    <w:rsid w:val="00E75B45"/>
    <w:rsid w:val="00E75FC2"/>
    <w:rsid w:val="00E76045"/>
    <w:rsid w:val="00E762C5"/>
    <w:rsid w:val="00E763A2"/>
    <w:rsid w:val="00E7641C"/>
    <w:rsid w:val="00E7642C"/>
    <w:rsid w:val="00E764AC"/>
    <w:rsid w:val="00E765E8"/>
    <w:rsid w:val="00E76DE3"/>
    <w:rsid w:val="00E77057"/>
    <w:rsid w:val="00E7718B"/>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3B"/>
    <w:rsid w:val="00E80C42"/>
    <w:rsid w:val="00E813C0"/>
    <w:rsid w:val="00E81459"/>
    <w:rsid w:val="00E82093"/>
    <w:rsid w:val="00E821F0"/>
    <w:rsid w:val="00E822E6"/>
    <w:rsid w:val="00E82324"/>
    <w:rsid w:val="00E82471"/>
    <w:rsid w:val="00E8265B"/>
    <w:rsid w:val="00E826FB"/>
    <w:rsid w:val="00E8271A"/>
    <w:rsid w:val="00E8286F"/>
    <w:rsid w:val="00E8293D"/>
    <w:rsid w:val="00E82AE3"/>
    <w:rsid w:val="00E82FD4"/>
    <w:rsid w:val="00E8303D"/>
    <w:rsid w:val="00E8324C"/>
    <w:rsid w:val="00E835C1"/>
    <w:rsid w:val="00E83933"/>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12B"/>
    <w:rsid w:val="00E8639A"/>
    <w:rsid w:val="00E863B0"/>
    <w:rsid w:val="00E86508"/>
    <w:rsid w:val="00E86577"/>
    <w:rsid w:val="00E86799"/>
    <w:rsid w:val="00E86CB5"/>
    <w:rsid w:val="00E86D66"/>
    <w:rsid w:val="00E86FCF"/>
    <w:rsid w:val="00E87307"/>
    <w:rsid w:val="00E87313"/>
    <w:rsid w:val="00E87333"/>
    <w:rsid w:val="00E87362"/>
    <w:rsid w:val="00E8748C"/>
    <w:rsid w:val="00E87722"/>
    <w:rsid w:val="00E87744"/>
    <w:rsid w:val="00E877FB"/>
    <w:rsid w:val="00E87A47"/>
    <w:rsid w:val="00E87D94"/>
    <w:rsid w:val="00E87F55"/>
    <w:rsid w:val="00E87FC4"/>
    <w:rsid w:val="00E90A1C"/>
    <w:rsid w:val="00E91109"/>
    <w:rsid w:val="00E91191"/>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7E2"/>
    <w:rsid w:val="00E93D4E"/>
    <w:rsid w:val="00E93FE0"/>
    <w:rsid w:val="00E946BB"/>
    <w:rsid w:val="00E95131"/>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1E2"/>
    <w:rsid w:val="00E9629C"/>
    <w:rsid w:val="00E962BC"/>
    <w:rsid w:val="00E96707"/>
    <w:rsid w:val="00E96B7D"/>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823"/>
    <w:rsid w:val="00EA2903"/>
    <w:rsid w:val="00EA298F"/>
    <w:rsid w:val="00EA2B7A"/>
    <w:rsid w:val="00EA2CA7"/>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54"/>
    <w:rsid w:val="00EA50D8"/>
    <w:rsid w:val="00EA522B"/>
    <w:rsid w:val="00EA5A22"/>
    <w:rsid w:val="00EA5A4F"/>
    <w:rsid w:val="00EA5AFA"/>
    <w:rsid w:val="00EA5B6F"/>
    <w:rsid w:val="00EA5B73"/>
    <w:rsid w:val="00EA5D70"/>
    <w:rsid w:val="00EA6602"/>
    <w:rsid w:val="00EA6ECA"/>
    <w:rsid w:val="00EA7007"/>
    <w:rsid w:val="00EA73A2"/>
    <w:rsid w:val="00EA75DC"/>
    <w:rsid w:val="00EA7828"/>
    <w:rsid w:val="00EA7A72"/>
    <w:rsid w:val="00EA7C4C"/>
    <w:rsid w:val="00EB0340"/>
    <w:rsid w:val="00EB077B"/>
    <w:rsid w:val="00EB0B6C"/>
    <w:rsid w:val="00EB0EB9"/>
    <w:rsid w:val="00EB0EEC"/>
    <w:rsid w:val="00EB11E7"/>
    <w:rsid w:val="00EB190B"/>
    <w:rsid w:val="00EB1C28"/>
    <w:rsid w:val="00EB1CD5"/>
    <w:rsid w:val="00EB1CE6"/>
    <w:rsid w:val="00EB1DAC"/>
    <w:rsid w:val="00EB1E29"/>
    <w:rsid w:val="00EB2769"/>
    <w:rsid w:val="00EB2874"/>
    <w:rsid w:val="00EB28DB"/>
    <w:rsid w:val="00EB29DD"/>
    <w:rsid w:val="00EB2F42"/>
    <w:rsid w:val="00EB2F87"/>
    <w:rsid w:val="00EB2FD2"/>
    <w:rsid w:val="00EB2FDD"/>
    <w:rsid w:val="00EB3011"/>
    <w:rsid w:val="00EB303B"/>
    <w:rsid w:val="00EB3664"/>
    <w:rsid w:val="00EB3DA5"/>
    <w:rsid w:val="00EB3F1C"/>
    <w:rsid w:val="00EB416E"/>
    <w:rsid w:val="00EB4294"/>
    <w:rsid w:val="00EB4A71"/>
    <w:rsid w:val="00EB4D0F"/>
    <w:rsid w:val="00EB534E"/>
    <w:rsid w:val="00EB5353"/>
    <w:rsid w:val="00EB59CA"/>
    <w:rsid w:val="00EB5AF8"/>
    <w:rsid w:val="00EB5B9D"/>
    <w:rsid w:val="00EB682B"/>
    <w:rsid w:val="00EB68EF"/>
    <w:rsid w:val="00EB6B54"/>
    <w:rsid w:val="00EB6B99"/>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76C"/>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950"/>
    <w:rsid w:val="00EC2C0C"/>
    <w:rsid w:val="00EC2CA9"/>
    <w:rsid w:val="00EC3557"/>
    <w:rsid w:val="00EC3722"/>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590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016"/>
    <w:rsid w:val="00ED0155"/>
    <w:rsid w:val="00ED01A6"/>
    <w:rsid w:val="00ED04F3"/>
    <w:rsid w:val="00ED0550"/>
    <w:rsid w:val="00ED067C"/>
    <w:rsid w:val="00ED07E4"/>
    <w:rsid w:val="00ED0CB4"/>
    <w:rsid w:val="00ED1353"/>
    <w:rsid w:val="00ED1686"/>
    <w:rsid w:val="00ED1CC6"/>
    <w:rsid w:val="00ED1CD0"/>
    <w:rsid w:val="00ED20C8"/>
    <w:rsid w:val="00ED21AB"/>
    <w:rsid w:val="00ED2824"/>
    <w:rsid w:val="00ED2C72"/>
    <w:rsid w:val="00ED2C7A"/>
    <w:rsid w:val="00ED3995"/>
    <w:rsid w:val="00ED3B96"/>
    <w:rsid w:val="00ED4191"/>
    <w:rsid w:val="00ED4495"/>
    <w:rsid w:val="00ED44D6"/>
    <w:rsid w:val="00ED465C"/>
    <w:rsid w:val="00ED4867"/>
    <w:rsid w:val="00ED487C"/>
    <w:rsid w:val="00ED4E07"/>
    <w:rsid w:val="00ED542F"/>
    <w:rsid w:val="00ED5905"/>
    <w:rsid w:val="00ED59D0"/>
    <w:rsid w:val="00ED5C0F"/>
    <w:rsid w:val="00ED602B"/>
    <w:rsid w:val="00ED6042"/>
    <w:rsid w:val="00ED60CF"/>
    <w:rsid w:val="00ED61AC"/>
    <w:rsid w:val="00ED63A3"/>
    <w:rsid w:val="00ED6779"/>
    <w:rsid w:val="00ED6AD4"/>
    <w:rsid w:val="00ED6B96"/>
    <w:rsid w:val="00ED6C07"/>
    <w:rsid w:val="00ED6CB8"/>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43E"/>
    <w:rsid w:val="00EE161B"/>
    <w:rsid w:val="00EE1622"/>
    <w:rsid w:val="00EE1951"/>
    <w:rsid w:val="00EE19D4"/>
    <w:rsid w:val="00EE1B3E"/>
    <w:rsid w:val="00EE1BB6"/>
    <w:rsid w:val="00EE1E5C"/>
    <w:rsid w:val="00EE204E"/>
    <w:rsid w:val="00EE21AE"/>
    <w:rsid w:val="00EE25C4"/>
    <w:rsid w:val="00EE272B"/>
    <w:rsid w:val="00EE27E9"/>
    <w:rsid w:val="00EE281B"/>
    <w:rsid w:val="00EE29B5"/>
    <w:rsid w:val="00EE2AAE"/>
    <w:rsid w:val="00EE2D67"/>
    <w:rsid w:val="00EE2DB3"/>
    <w:rsid w:val="00EE3073"/>
    <w:rsid w:val="00EE30E9"/>
    <w:rsid w:val="00EE3106"/>
    <w:rsid w:val="00EE3153"/>
    <w:rsid w:val="00EE3257"/>
    <w:rsid w:val="00EE37BA"/>
    <w:rsid w:val="00EE3916"/>
    <w:rsid w:val="00EE3964"/>
    <w:rsid w:val="00EE3B00"/>
    <w:rsid w:val="00EE3EF6"/>
    <w:rsid w:val="00EE4149"/>
    <w:rsid w:val="00EE442F"/>
    <w:rsid w:val="00EE4465"/>
    <w:rsid w:val="00EE45B8"/>
    <w:rsid w:val="00EE4A2C"/>
    <w:rsid w:val="00EE4AA2"/>
    <w:rsid w:val="00EE4BBF"/>
    <w:rsid w:val="00EE4EC1"/>
    <w:rsid w:val="00EE50BC"/>
    <w:rsid w:val="00EE5154"/>
    <w:rsid w:val="00EE5281"/>
    <w:rsid w:val="00EE56C9"/>
    <w:rsid w:val="00EE5AAD"/>
    <w:rsid w:val="00EE5ADD"/>
    <w:rsid w:val="00EE5D24"/>
    <w:rsid w:val="00EE5E84"/>
    <w:rsid w:val="00EE5F0D"/>
    <w:rsid w:val="00EE6039"/>
    <w:rsid w:val="00EE623A"/>
    <w:rsid w:val="00EE664D"/>
    <w:rsid w:val="00EE67DD"/>
    <w:rsid w:val="00EE6C68"/>
    <w:rsid w:val="00EE6F30"/>
    <w:rsid w:val="00EE72E4"/>
    <w:rsid w:val="00EE7551"/>
    <w:rsid w:val="00EE7572"/>
    <w:rsid w:val="00EE75D7"/>
    <w:rsid w:val="00EE77A2"/>
    <w:rsid w:val="00EE7922"/>
    <w:rsid w:val="00EF004A"/>
    <w:rsid w:val="00EF0160"/>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941"/>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31E"/>
    <w:rsid w:val="00EF468F"/>
    <w:rsid w:val="00EF4699"/>
    <w:rsid w:val="00EF46A9"/>
    <w:rsid w:val="00EF46CC"/>
    <w:rsid w:val="00EF4A1C"/>
    <w:rsid w:val="00EF4C3A"/>
    <w:rsid w:val="00EF4C8D"/>
    <w:rsid w:val="00EF4DCA"/>
    <w:rsid w:val="00EF4DCD"/>
    <w:rsid w:val="00EF526B"/>
    <w:rsid w:val="00EF5B07"/>
    <w:rsid w:val="00EF5C68"/>
    <w:rsid w:val="00EF60FE"/>
    <w:rsid w:val="00EF6281"/>
    <w:rsid w:val="00EF6321"/>
    <w:rsid w:val="00EF6489"/>
    <w:rsid w:val="00EF650B"/>
    <w:rsid w:val="00EF661D"/>
    <w:rsid w:val="00EF66FF"/>
    <w:rsid w:val="00EF695C"/>
    <w:rsid w:val="00EF6DD2"/>
    <w:rsid w:val="00EF6EF5"/>
    <w:rsid w:val="00EF7072"/>
    <w:rsid w:val="00EF7523"/>
    <w:rsid w:val="00EF754B"/>
    <w:rsid w:val="00EF7658"/>
    <w:rsid w:val="00EF76ED"/>
    <w:rsid w:val="00EF7798"/>
    <w:rsid w:val="00EF784C"/>
    <w:rsid w:val="00EF7989"/>
    <w:rsid w:val="00EF79D3"/>
    <w:rsid w:val="00EF7A3F"/>
    <w:rsid w:val="00EF7E61"/>
    <w:rsid w:val="00EF7F91"/>
    <w:rsid w:val="00F009AF"/>
    <w:rsid w:val="00F00ABB"/>
    <w:rsid w:val="00F00AD5"/>
    <w:rsid w:val="00F00B17"/>
    <w:rsid w:val="00F0135A"/>
    <w:rsid w:val="00F01A65"/>
    <w:rsid w:val="00F02197"/>
    <w:rsid w:val="00F0219B"/>
    <w:rsid w:val="00F023D8"/>
    <w:rsid w:val="00F02440"/>
    <w:rsid w:val="00F02465"/>
    <w:rsid w:val="00F02500"/>
    <w:rsid w:val="00F026AC"/>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E60"/>
    <w:rsid w:val="00F04F72"/>
    <w:rsid w:val="00F050D8"/>
    <w:rsid w:val="00F0544C"/>
    <w:rsid w:val="00F054F5"/>
    <w:rsid w:val="00F05602"/>
    <w:rsid w:val="00F05A0C"/>
    <w:rsid w:val="00F05A7F"/>
    <w:rsid w:val="00F05A8D"/>
    <w:rsid w:val="00F05C9A"/>
    <w:rsid w:val="00F05D80"/>
    <w:rsid w:val="00F06248"/>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4B0"/>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37"/>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CB1"/>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34D"/>
    <w:rsid w:val="00F2443F"/>
    <w:rsid w:val="00F24580"/>
    <w:rsid w:val="00F24607"/>
    <w:rsid w:val="00F247D1"/>
    <w:rsid w:val="00F247D4"/>
    <w:rsid w:val="00F24A48"/>
    <w:rsid w:val="00F24A59"/>
    <w:rsid w:val="00F25012"/>
    <w:rsid w:val="00F25485"/>
    <w:rsid w:val="00F25A20"/>
    <w:rsid w:val="00F25E1A"/>
    <w:rsid w:val="00F26131"/>
    <w:rsid w:val="00F262FC"/>
    <w:rsid w:val="00F26331"/>
    <w:rsid w:val="00F2658D"/>
    <w:rsid w:val="00F26630"/>
    <w:rsid w:val="00F26666"/>
    <w:rsid w:val="00F26C6F"/>
    <w:rsid w:val="00F26E9E"/>
    <w:rsid w:val="00F26F51"/>
    <w:rsid w:val="00F26F8E"/>
    <w:rsid w:val="00F2708E"/>
    <w:rsid w:val="00F270A8"/>
    <w:rsid w:val="00F271CD"/>
    <w:rsid w:val="00F2755A"/>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1E4"/>
    <w:rsid w:val="00F322A0"/>
    <w:rsid w:val="00F3257D"/>
    <w:rsid w:val="00F32681"/>
    <w:rsid w:val="00F3269A"/>
    <w:rsid w:val="00F3281E"/>
    <w:rsid w:val="00F3296B"/>
    <w:rsid w:val="00F32B4F"/>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02F"/>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701"/>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3E4"/>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294"/>
    <w:rsid w:val="00F504F1"/>
    <w:rsid w:val="00F506CE"/>
    <w:rsid w:val="00F50DDB"/>
    <w:rsid w:val="00F50E6C"/>
    <w:rsid w:val="00F512B8"/>
    <w:rsid w:val="00F51319"/>
    <w:rsid w:val="00F51513"/>
    <w:rsid w:val="00F516B8"/>
    <w:rsid w:val="00F517FF"/>
    <w:rsid w:val="00F51838"/>
    <w:rsid w:val="00F51909"/>
    <w:rsid w:val="00F51AA0"/>
    <w:rsid w:val="00F51AC4"/>
    <w:rsid w:val="00F51B82"/>
    <w:rsid w:val="00F51D19"/>
    <w:rsid w:val="00F51F71"/>
    <w:rsid w:val="00F520FD"/>
    <w:rsid w:val="00F5239E"/>
    <w:rsid w:val="00F52641"/>
    <w:rsid w:val="00F526B3"/>
    <w:rsid w:val="00F526F2"/>
    <w:rsid w:val="00F52808"/>
    <w:rsid w:val="00F5296E"/>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A8B"/>
    <w:rsid w:val="00F55D7B"/>
    <w:rsid w:val="00F55DB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3D"/>
    <w:rsid w:val="00F57AA8"/>
    <w:rsid w:val="00F57ADE"/>
    <w:rsid w:val="00F57C34"/>
    <w:rsid w:val="00F57D2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AEC"/>
    <w:rsid w:val="00F62CC8"/>
    <w:rsid w:val="00F62E7B"/>
    <w:rsid w:val="00F63311"/>
    <w:rsid w:val="00F63851"/>
    <w:rsid w:val="00F63A58"/>
    <w:rsid w:val="00F63E86"/>
    <w:rsid w:val="00F64115"/>
    <w:rsid w:val="00F6434A"/>
    <w:rsid w:val="00F646F5"/>
    <w:rsid w:val="00F64751"/>
    <w:rsid w:val="00F64AAE"/>
    <w:rsid w:val="00F65515"/>
    <w:rsid w:val="00F6564C"/>
    <w:rsid w:val="00F65CC6"/>
    <w:rsid w:val="00F65D6B"/>
    <w:rsid w:val="00F65FCB"/>
    <w:rsid w:val="00F66039"/>
    <w:rsid w:val="00F66117"/>
    <w:rsid w:val="00F661DC"/>
    <w:rsid w:val="00F6642E"/>
    <w:rsid w:val="00F664DE"/>
    <w:rsid w:val="00F66AFB"/>
    <w:rsid w:val="00F66B38"/>
    <w:rsid w:val="00F66F83"/>
    <w:rsid w:val="00F670CE"/>
    <w:rsid w:val="00F67175"/>
    <w:rsid w:val="00F673B6"/>
    <w:rsid w:val="00F67603"/>
    <w:rsid w:val="00F67627"/>
    <w:rsid w:val="00F6765F"/>
    <w:rsid w:val="00F6796C"/>
    <w:rsid w:val="00F67AA3"/>
    <w:rsid w:val="00F67BC2"/>
    <w:rsid w:val="00F67E5B"/>
    <w:rsid w:val="00F67F9C"/>
    <w:rsid w:val="00F70381"/>
    <w:rsid w:val="00F709B2"/>
    <w:rsid w:val="00F70B5F"/>
    <w:rsid w:val="00F7118F"/>
    <w:rsid w:val="00F712A5"/>
    <w:rsid w:val="00F713FD"/>
    <w:rsid w:val="00F71522"/>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2FE"/>
    <w:rsid w:val="00F73330"/>
    <w:rsid w:val="00F7381F"/>
    <w:rsid w:val="00F73C74"/>
    <w:rsid w:val="00F742FE"/>
    <w:rsid w:val="00F74427"/>
    <w:rsid w:val="00F7480D"/>
    <w:rsid w:val="00F74B21"/>
    <w:rsid w:val="00F74BC8"/>
    <w:rsid w:val="00F7520F"/>
    <w:rsid w:val="00F756D4"/>
    <w:rsid w:val="00F75F2B"/>
    <w:rsid w:val="00F76562"/>
    <w:rsid w:val="00F765D2"/>
    <w:rsid w:val="00F76BDA"/>
    <w:rsid w:val="00F76D01"/>
    <w:rsid w:val="00F77038"/>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63"/>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A"/>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CFE"/>
    <w:rsid w:val="00F87F8A"/>
    <w:rsid w:val="00F90229"/>
    <w:rsid w:val="00F90345"/>
    <w:rsid w:val="00F9051C"/>
    <w:rsid w:val="00F90788"/>
    <w:rsid w:val="00F909DD"/>
    <w:rsid w:val="00F90C44"/>
    <w:rsid w:val="00F90C5C"/>
    <w:rsid w:val="00F90D7F"/>
    <w:rsid w:val="00F90DA1"/>
    <w:rsid w:val="00F90DF7"/>
    <w:rsid w:val="00F91322"/>
    <w:rsid w:val="00F91A11"/>
    <w:rsid w:val="00F91A18"/>
    <w:rsid w:val="00F91A88"/>
    <w:rsid w:val="00F91F66"/>
    <w:rsid w:val="00F922B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1B"/>
    <w:rsid w:val="00F95C96"/>
    <w:rsid w:val="00F95D78"/>
    <w:rsid w:val="00F960A8"/>
    <w:rsid w:val="00F96289"/>
    <w:rsid w:val="00F9651A"/>
    <w:rsid w:val="00F96752"/>
    <w:rsid w:val="00F968F9"/>
    <w:rsid w:val="00F96AD5"/>
    <w:rsid w:val="00F96C3F"/>
    <w:rsid w:val="00F96DC1"/>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9E5"/>
    <w:rsid w:val="00FA1B8D"/>
    <w:rsid w:val="00FA20FE"/>
    <w:rsid w:val="00FA2688"/>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7DE"/>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CAB"/>
    <w:rsid w:val="00FB3ED3"/>
    <w:rsid w:val="00FB4279"/>
    <w:rsid w:val="00FB42AB"/>
    <w:rsid w:val="00FB45B7"/>
    <w:rsid w:val="00FB4652"/>
    <w:rsid w:val="00FB4942"/>
    <w:rsid w:val="00FB4967"/>
    <w:rsid w:val="00FB49AF"/>
    <w:rsid w:val="00FB4D53"/>
    <w:rsid w:val="00FB50EC"/>
    <w:rsid w:val="00FB5182"/>
    <w:rsid w:val="00FB53E3"/>
    <w:rsid w:val="00FB5500"/>
    <w:rsid w:val="00FB566D"/>
    <w:rsid w:val="00FB5B40"/>
    <w:rsid w:val="00FB5D16"/>
    <w:rsid w:val="00FB5D3D"/>
    <w:rsid w:val="00FB5E9C"/>
    <w:rsid w:val="00FB5F51"/>
    <w:rsid w:val="00FB5FC8"/>
    <w:rsid w:val="00FB60DF"/>
    <w:rsid w:val="00FB6449"/>
    <w:rsid w:val="00FB6504"/>
    <w:rsid w:val="00FB66B4"/>
    <w:rsid w:val="00FB6773"/>
    <w:rsid w:val="00FB69CF"/>
    <w:rsid w:val="00FB6A40"/>
    <w:rsid w:val="00FB6B07"/>
    <w:rsid w:val="00FB6BA1"/>
    <w:rsid w:val="00FB6C29"/>
    <w:rsid w:val="00FB6C90"/>
    <w:rsid w:val="00FB6CB2"/>
    <w:rsid w:val="00FB6D4D"/>
    <w:rsid w:val="00FB7222"/>
    <w:rsid w:val="00FB72B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349"/>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BD7"/>
    <w:rsid w:val="00FC4C80"/>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C76AA"/>
    <w:rsid w:val="00FD01AF"/>
    <w:rsid w:val="00FD0660"/>
    <w:rsid w:val="00FD0BB7"/>
    <w:rsid w:val="00FD0CD2"/>
    <w:rsid w:val="00FD0E43"/>
    <w:rsid w:val="00FD0F39"/>
    <w:rsid w:val="00FD1555"/>
    <w:rsid w:val="00FD15B5"/>
    <w:rsid w:val="00FD184B"/>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873"/>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022"/>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3D8"/>
    <w:rsid w:val="00FE2839"/>
    <w:rsid w:val="00FE2AD3"/>
    <w:rsid w:val="00FE2BDA"/>
    <w:rsid w:val="00FE2EB1"/>
    <w:rsid w:val="00FE313D"/>
    <w:rsid w:val="00FE315A"/>
    <w:rsid w:val="00FE32E0"/>
    <w:rsid w:val="00FE35A4"/>
    <w:rsid w:val="00FE39B7"/>
    <w:rsid w:val="00FE3A18"/>
    <w:rsid w:val="00FE3E10"/>
    <w:rsid w:val="00FE4123"/>
    <w:rsid w:val="00FE413C"/>
    <w:rsid w:val="00FE4734"/>
    <w:rsid w:val="00FE486D"/>
    <w:rsid w:val="00FE4A75"/>
    <w:rsid w:val="00FE4B5B"/>
    <w:rsid w:val="00FE4DE0"/>
    <w:rsid w:val="00FE4DF5"/>
    <w:rsid w:val="00FE4E3A"/>
    <w:rsid w:val="00FE5281"/>
    <w:rsid w:val="00FE52E1"/>
    <w:rsid w:val="00FE549E"/>
    <w:rsid w:val="00FE5561"/>
    <w:rsid w:val="00FE5668"/>
    <w:rsid w:val="00FE5A05"/>
    <w:rsid w:val="00FE5B78"/>
    <w:rsid w:val="00FE5D14"/>
    <w:rsid w:val="00FE5F4A"/>
    <w:rsid w:val="00FE6003"/>
    <w:rsid w:val="00FE6155"/>
    <w:rsid w:val="00FE6183"/>
    <w:rsid w:val="00FE619E"/>
    <w:rsid w:val="00FE6462"/>
    <w:rsid w:val="00FE6A92"/>
    <w:rsid w:val="00FE6B9A"/>
    <w:rsid w:val="00FE6FB2"/>
    <w:rsid w:val="00FE7026"/>
    <w:rsid w:val="00FE738E"/>
    <w:rsid w:val="00FE7614"/>
    <w:rsid w:val="00FE76B0"/>
    <w:rsid w:val="00FE7B92"/>
    <w:rsid w:val="00FE7BF6"/>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70"/>
    <w:rsid w:val="00FF4D84"/>
    <w:rsid w:val="00FF524E"/>
    <w:rsid w:val="00FF52B6"/>
    <w:rsid w:val="00FF562A"/>
    <w:rsid w:val="00FF56FD"/>
    <w:rsid w:val="00FF57D9"/>
    <w:rsid w:val="00FF585E"/>
    <w:rsid w:val="00FF5975"/>
    <w:rsid w:val="00FF5B6B"/>
    <w:rsid w:val="00FF5C2A"/>
    <w:rsid w:val="00FF5E4C"/>
    <w:rsid w:val="00FF5EA9"/>
    <w:rsid w:val="00FF5EEB"/>
    <w:rsid w:val="00FF6037"/>
    <w:rsid w:val="00FF610D"/>
    <w:rsid w:val="00FF6664"/>
    <w:rsid w:val="00FF668D"/>
    <w:rsid w:val="00FF6832"/>
    <w:rsid w:val="00FF6A9D"/>
    <w:rsid w:val="00FF6BB9"/>
    <w:rsid w:val="00FF6DE6"/>
    <w:rsid w:val="00FF6E87"/>
    <w:rsid w:val="00FF6F78"/>
    <w:rsid w:val="00FF6FBA"/>
    <w:rsid w:val="00FF7211"/>
    <w:rsid w:val="00FF7652"/>
    <w:rsid w:val="011B9C5E"/>
    <w:rsid w:val="029F98EC"/>
    <w:rsid w:val="02AA940C"/>
    <w:rsid w:val="02C09C87"/>
    <w:rsid w:val="02D0B433"/>
    <w:rsid w:val="05D4E31F"/>
    <w:rsid w:val="08911B5D"/>
    <w:rsid w:val="08930D39"/>
    <w:rsid w:val="0A286CB7"/>
    <w:rsid w:val="0A72A1D6"/>
    <w:rsid w:val="0D47B39C"/>
    <w:rsid w:val="0DD6CCDD"/>
    <w:rsid w:val="0E3C4663"/>
    <w:rsid w:val="100481F4"/>
    <w:rsid w:val="106DE9F7"/>
    <w:rsid w:val="108F434C"/>
    <w:rsid w:val="10AA3560"/>
    <w:rsid w:val="1487E7E3"/>
    <w:rsid w:val="14D57C12"/>
    <w:rsid w:val="1562476B"/>
    <w:rsid w:val="15C59090"/>
    <w:rsid w:val="162C9FD1"/>
    <w:rsid w:val="181B7371"/>
    <w:rsid w:val="18AA335F"/>
    <w:rsid w:val="19E65CEB"/>
    <w:rsid w:val="1AD3588A"/>
    <w:rsid w:val="1C2CCCC3"/>
    <w:rsid w:val="1DB37B19"/>
    <w:rsid w:val="1F1F366B"/>
    <w:rsid w:val="2077612C"/>
    <w:rsid w:val="21F3CE19"/>
    <w:rsid w:val="2333B4D2"/>
    <w:rsid w:val="25323EB1"/>
    <w:rsid w:val="25CB1BAE"/>
    <w:rsid w:val="262B7212"/>
    <w:rsid w:val="277E3E12"/>
    <w:rsid w:val="295A4DCE"/>
    <w:rsid w:val="297FDAC9"/>
    <w:rsid w:val="29BE7951"/>
    <w:rsid w:val="2A1786F7"/>
    <w:rsid w:val="2ADD71DA"/>
    <w:rsid w:val="2D3121FF"/>
    <w:rsid w:val="2F2EF5D0"/>
    <w:rsid w:val="2F8AE107"/>
    <w:rsid w:val="3044D312"/>
    <w:rsid w:val="309DE59D"/>
    <w:rsid w:val="3205D788"/>
    <w:rsid w:val="32B778E3"/>
    <w:rsid w:val="3372F7D1"/>
    <w:rsid w:val="33F648B0"/>
    <w:rsid w:val="355E8137"/>
    <w:rsid w:val="3597ADDE"/>
    <w:rsid w:val="35EDD63C"/>
    <w:rsid w:val="366C539D"/>
    <w:rsid w:val="373A6AFF"/>
    <w:rsid w:val="37466858"/>
    <w:rsid w:val="37686484"/>
    <w:rsid w:val="385F94AF"/>
    <w:rsid w:val="388A9E88"/>
    <w:rsid w:val="3966E13F"/>
    <w:rsid w:val="39B7BBBA"/>
    <w:rsid w:val="3A900463"/>
    <w:rsid w:val="3AFEE93C"/>
    <w:rsid w:val="3B61F9D5"/>
    <w:rsid w:val="3C50EE5F"/>
    <w:rsid w:val="3F419DA2"/>
    <w:rsid w:val="41324714"/>
    <w:rsid w:val="420335DB"/>
    <w:rsid w:val="42FA533D"/>
    <w:rsid w:val="497E9256"/>
    <w:rsid w:val="4A707545"/>
    <w:rsid w:val="4B0EA379"/>
    <w:rsid w:val="4BCF5ECD"/>
    <w:rsid w:val="4C957C8D"/>
    <w:rsid w:val="4CDFC61C"/>
    <w:rsid w:val="4D8447AA"/>
    <w:rsid w:val="4EBA1960"/>
    <w:rsid w:val="50855F1B"/>
    <w:rsid w:val="50C4A70F"/>
    <w:rsid w:val="51B46DE9"/>
    <w:rsid w:val="51D74F00"/>
    <w:rsid w:val="51DCE5E1"/>
    <w:rsid w:val="52F7D1B5"/>
    <w:rsid w:val="546301A3"/>
    <w:rsid w:val="56E47B5C"/>
    <w:rsid w:val="590E6B6D"/>
    <w:rsid w:val="593653B2"/>
    <w:rsid w:val="5B0D8786"/>
    <w:rsid w:val="5F179ADE"/>
    <w:rsid w:val="606154ED"/>
    <w:rsid w:val="60833369"/>
    <w:rsid w:val="6282C9B1"/>
    <w:rsid w:val="631429F7"/>
    <w:rsid w:val="63C4A25D"/>
    <w:rsid w:val="65092B22"/>
    <w:rsid w:val="6613F6CA"/>
    <w:rsid w:val="66666971"/>
    <w:rsid w:val="6973AEE2"/>
    <w:rsid w:val="6B5799EB"/>
    <w:rsid w:val="6DF591D1"/>
    <w:rsid w:val="6F652458"/>
    <w:rsid w:val="6FA4AA9C"/>
    <w:rsid w:val="708637D3"/>
    <w:rsid w:val="70F7E7D5"/>
    <w:rsid w:val="7406A8AA"/>
    <w:rsid w:val="74A21B01"/>
    <w:rsid w:val="75AA6B62"/>
    <w:rsid w:val="7832F7A4"/>
    <w:rsid w:val="7953E33B"/>
    <w:rsid w:val="7AF608CF"/>
    <w:rsid w:val="7B325E02"/>
    <w:rsid w:val="7BBA3B4F"/>
    <w:rsid w:val="7E5FD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44CF5C3B-E4FD-4FBB-9991-E3AC0B86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7"/>
      </w:numPr>
      <w:spacing w:before="240"/>
      <w:outlineLvl w:val="0"/>
    </w:pPr>
    <w:rPr>
      <w:b/>
      <w:smallCaps/>
    </w:rPr>
  </w:style>
  <w:style w:type="paragraph" w:styleId="Heading2">
    <w:name w:val="heading 2"/>
    <w:basedOn w:val="Normal"/>
    <w:next w:val="Text2"/>
    <w:qFormat/>
    <w:pPr>
      <w:keepNext/>
      <w:numPr>
        <w:ilvl w:val="1"/>
        <w:numId w:val="7"/>
      </w:numPr>
      <w:outlineLvl w:val="1"/>
    </w:pPr>
    <w:rPr>
      <w:b/>
    </w:rPr>
  </w:style>
  <w:style w:type="paragraph" w:styleId="Heading3">
    <w:name w:val="heading 3"/>
    <w:basedOn w:val="Normal"/>
    <w:next w:val="Text3"/>
    <w:link w:val="Heading3Char"/>
    <w:qFormat/>
    <w:pPr>
      <w:keepNext/>
      <w:numPr>
        <w:ilvl w:val="2"/>
        <w:numId w:val="7"/>
      </w:numPr>
      <w:outlineLvl w:val="2"/>
    </w:pPr>
    <w:rPr>
      <w:i/>
    </w:rPr>
  </w:style>
  <w:style w:type="paragraph" w:styleId="Heading4">
    <w:name w:val="heading 4"/>
    <w:basedOn w:val="Normal"/>
    <w:next w:val="Text4"/>
    <w:qFormat/>
    <w:pPr>
      <w:keepNext/>
      <w:numPr>
        <w:ilvl w:val="3"/>
        <w:numId w:val="7"/>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8"/>
      </w:numPr>
    </w:pPr>
  </w:style>
  <w:style w:type="paragraph" w:styleId="ListBullet2">
    <w:name w:val="List Bullet 2"/>
    <w:basedOn w:val="Text2"/>
    <w:uiPriority w:val="99"/>
    <w:pPr>
      <w:numPr>
        <w:numId w:val="10"/>
      </w:numPr>
      <w:tabs>
        <w:tab w:val="clear" w:pos="2160"/>
      </w:tabs>
    </w:pPr>
  </w:style>
  <w:style w:type="paragraph" w:styleId="ListBullet3">
    <w:name w:val="List Bullet 3"/>
    <w:basedOn w:val="Text3"/>
    <w:pPr>
      <w:numPr>
        <w:numId w:val="11"/>
      </w:numPr>
      <w:tabs>
        <w:tab w:val="clear" w:pos="2302"/>
      </w:tabs>
    </w:pPr>
  </w:style>
  <w:style w:type="paragraph" w:styleId="ListBullet4">
    <w:name w:val="List Bullet 4"/>
    <w:basedOn w:val="Text4"/>
    <w:pPr>
      <w:numPr>
        <w:numId w:val="12"/>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7"/>
      </w:numPr>
    </w:pPr>
    <w:rPr>
      <w:rFonts w:ascii="Times New Roman" w:hAnsi="Times New Roman"/>
    </w:rPr>
  </w:style>
  <w:style w:type="paragraph" w:styleId="ListNumber2">
    <w:name w:val="List Number 2"/>
    <w:basedOn w:val="Text2"/>
    <w:pPr>
      <w:numPr>
        <w:numId w:val="19"/>
      </w:numPr>
      <w:tabs>
        <w:tab w:val="clear" w:pos="2160"/>
      </w:tabs>
    </w:pPr>
  </w:style>
  <w:style w:type="paragraph" w:styleId="ListNumber3">
    <w:name w:val="List Number 3"/>
    <w:basedOn w:val="Text3"/>
    <w:pPr>
      <w:numPr>
        <w:numId w:val="20"/>
      </w:numPr>
      <w:tabs>
        <w:tab w:val="clear" w:pos="2302"/>
      </w:tabs>
    </w:pPr>
  </w:style>
  <w:style w:type="paragraph" w:styleId="ListNumber4">
    <w:name w:val="List Number 4"/>
    <w:basedOn w:val="Text4"/>
    <w:pPr>
      <w:numPr>
        <w:numId w:val="21"/>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9"/>
      </w:numPr>
    </w:pPr>
  </w:style>
  <w:style w:type="paragraph" w:customStyle="1" w:styleId="ListDash">
    <w:name w:val="List Dash"/>
    <w:basedOn w:val="Normal"/>
    <w:link w:val="ListDashChar"/>
    <w:pPr>
      <w:numPr>
        <w:numId w:val="24"/>
      </w:numPr>
    </w:pPr>
  </w:style>
  <w:style w:type="paragraph" w:customStyle="1" w:styleId="ListDash1">
    <w:name w:val="List Dash 1"/>
    <w:basedOn w:val="Text1"/>
    <w:pPr>
      <w:numPr>
        <w:numId w:val="13"/>
      </w:numPr>
    </w:pPr>
  </w:style>
  <w:style w:type="paragraph" w:customStyle="1" w:styleId="ListDash2">
    <w:name w:val="List Dash 2"/>
    <w:basedOn w:val="Text2"/>
    <w:pPr>
      <w:numPr>
        <w:numId w:val="14"/>
      </w:numPr>
      <w:tabs>
        <w:tab w:val="clear" w:pos="2160"/>
      </w:tabs>
    </w:pPr>
  </w:style>
  <w:style w:type="paragraph" w:customStyle="1" w:styleId="ListDash3">
    <w:name w:val="List Dash 3"/>
    <w:basedOn w:val="Text3"/>
    <w:pPr>
      <w:numPr>
        <w:numId w:val="15"/>
      </w:numPr>
      <w:tabs>
        <w:tab w:val="clear" w:pos="2302"/>
      </w:tabs>
    </w:pPr>
  </w:style>
  <w:style w:type="paragraph" w:customStyle="1" w:styleId="ListDash4">
    <w:name w:val="List Dash 4"/>
    <w:basedOn w:val="Text4"/>
    <w:pPr>
      <w:numPr>
        <w:numId w:val="16"/>
      </w:numPr>
    </w:pPr>
  </w:style>
  <w:style w:type="paragraph" w:customStyle="1" w:styleId="ListNumberLevel2">
    <w:name w:val="List Number (Level 2)"/>
    <w:basedOn w:val="Normal"/>
    <w:pPr>
      <w:numPr>
        <w:ilvl w:val="1"/>
        <w:numId w:val="17"/>
      </w:numPr>
    </w:pPr>
  </w:style>
  <w:style w:type="paragraph" w:customStyle="1" w:styleId="ListNumberLevel3">
    <w:name w:val="List Number (Level 3)"/>
    <w:basedOn w:val="Normal"/>
    <w:pPr>
      <w:numPr>
        <w:ilvl w:val="2"/>
        <w:numId w:val="17"/>
      </w:numPr>
    </w:pPr>
  </w:style>
  <w:style w:type="paragraph" w:customStyle="1" w:styleId="ListNumberLevel4">
    <w:name w:val="List Number (Level 4)"/>
    <w:basedOn w:val="Normal"/>
    <w:pPr>
      <w:numPr>
        <w:ilvl w:val="3"/>
        <w:numId w:val="17"/>
      </w:numPr>
    </w:pPr>
  </w:style>
  <w:style w:type="paragraph" w:customStyle="1" w:styleId="ListNumber1">
    <w:name w:val="List Number 1"/>
    <w:basedOn w:val="Text1"/>
    <w:pPr>
      <w:numPr>
        <w:numId w:val="18"/>
      </w:numPr>
    </w:pPr>
  </w:style>
  <w:style w:type="paragraph" w:customStyle="1" w:styleId="ListNumber1Level2">
    <w:name w:val="List Number 1 (Level 2)"/>
    <w:basedOn w:val="Text1"/>
    <w:pPr>
      <w:numPr>
        <w:ilvl w:val="1"/>
        <w:numId w:val="18"/>
      </w:numPr>
    </w:pPr>
  </w:style>
  <w:style w:type="paragraph" w:customStyle="1" w:styleId="ListNumber1Level3">
    <w:name w:val="List Number 1 (Level 3)"/>
    <w:basedOn w:val="Text1"/>
    <w:pPr>
      <w:numPr>
        <w:ilvl w:val="2"/>
        <w:numId w:val="18"/>
      </w:numPr>
    </w:pPr>
  </w:style>
  <w:style w:type="paragraph" w:customStyle="1" w:styleId="ListNumber1Level4">
    <w:name w:val="List Number 1 (Level 4)"/>
    <w:basedOn w:val="Text1"/>
    <w:pPr>
      <w:numPr>
        <w:ilvl w:val="3"/>
        <w:numId w:val="18"/>
      </w:numPr>
    </w:pPr>
  </w:style>
  <w:style w:type="paragraph" w:customStyle="1" w:styleId="ListNumber2Level2">
    <w:name w:val="List Number 2 (Level 2)"/>
    <w:basedOn w:val="Text2"/>
    <w:pPr>
      <w:numPr>
        <w:ilvl w:val="1"/>
        <w:numId w:val="19"/>
      </w:numPr>
      <w:tabs>
        <w:tab w:val="clear" w:pos="2160"/>
      </w:tabs>
    </w:pPr>
  </w:style>
  <w:style w:type="paragraph" w:customStyle="1" w:styleId="ListNumber2Level3">
    <w:name w:val="List Number 2 (Level 3)"/>
    <w:basedOn w:val="Text2"/>
    <w:pPr>
      <w:numPr>
        <w:ilvl w:val="2"/>
        <w:numId w:val="19"/>
      </w:numPr>
      <w:tabs>
        <w:tab w:val="clear" w:pos="2160"/>
      </w:tabs>
    </w:pPr>
  </w:style>
  <w:style w:type="paragraph" w:customStyle="1" w:styleId="ListNumber2Level4">
    <w:name w:val="List Number 2 (Level 4)"/>
    <w:basedOn w:val="Text2"/>
    <w:pPr>
      <w:numPr>
        <w:ilvl w:val="3"/>
        <w:numId w:val="19"/>
      </w:numPr>
      <w:tabs>
        <w:tab w:val="clear" w:pos="2160"/>
      </w:tabs>
    </w:pPr>
  </w:style>
  <w:style w:type="paragraph" w:customStyle="1" w:styleId="ListNumber3Level2">
    <w:name w:val="List Number 3 (Level 2)"/>
    <w:basedOn w:val="Text3"/>
    <w:pPr>
      <w:numPr>
        <w:ilvl w:val="1"/>
        <w:numId w:val="20"/>
      </w:numPr>
      <w:tabs>
        <w:tab w:val="clear" w:pos="2302"/>
      </w:tabs>
    </w:pPr>
  </w:style>
  <w:style w:type="paragraph" w:customStyle="1" w:styleId="ListNumber3Level3">
    <w:name w:val="List Number 3 (Level 3)"/>
    <w:basedOn w:val="Text3"/>
    <w:pPr>
      <w:numPr>
        <w:ilvl w:val="2"/>
        <w:numId w:val="20"/>
      </w:numPr>
      <w:tabs>
        <w:tab w:val="clear" w:pos="2302"/>
      </w:tabs>
    </w:pPr>
  </w:style>
  <w:style w:type="paragraph" w:customStyle="1" w:styleId="ListNumber3Level4">
    <w:name w:val="List Number 3 (Level 4)"/>
    <w:basedOn w:val="Text3"/>
    <w:pPr>
      <w:numPr>
        <w:ilvl w:val="3"/>
        <w:numId w:val="20"/>
      </w:numPr>
      <w:tabs>
        <w:tab w:val="clear" w:pos="2302"/>
      </w:tabs>
    </w:pPr>
  </w:style>
  <w:style w:type="paragraph" w:customStyle="1" w:styleId="ListNumber4Level2">
    <w:name w:val="List Number 4 (Level 2)"/>
    <w:basedOn w:val="Text4"/>
    <w:pPr>
      <w:numPr>
        <w:ilvl w:val="1"/>
        <w:numId w:val="21"/>
      </w:numPr>
    </w:pPr>
  </w:style>
  <w:style w:type="paragraph" w:customStyle="1" w:styleId="ListNumber4Level3">
    <w:name w:val="List Number 4 (Level 3)"/>
    <w:basedOn w:val="Text4"/>
    <w:pPr>
      <w:numPr>
        <w:ilvl w:val="2"/>
        <w:numId w:val="21"/>
      </w:numPr>
    </w:pPr>
  </w:style>
  <w:style w:type="paragraph" w:customStyle="1" w:styleId="ListNumber4Level4">
    <w:name w:val="List Number 4 (Level 4)"/>
    <w:basedOn w:val="Text4"/>
    <w:pPr>
      <w:numPr>
        <w:ilvl w:val="3"/>
        <w:numId w:val="21"/>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2"/>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3"/>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5"/>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6"/>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7"/>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8"/>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paragraph" w:customStyle="1" w:styleId="NormalHanging12a">
    <w:name w:val="NormalHanging12a"/>
    <w:basedOn w:val="Normal"/>
    <w:link w:val="NormalHanging12aChar"/>
    <w:rsid w:val="00AC4851"/>
    <w:pPr>
      <w:ind w:left="567" w:hanging="567"/>
      <w:jc w:val="left"/>
    </w:pPr>
    <w:rPr>
      <w:rFonts w:ascii="Times New Roman" w:hAnsi="Times New Roman"/>
      <w:snapToGrid w:val="0"/>
      <w:lang w:eastAsia="en-US"/>
    </w:rPr>
  </w:style>
  <w:style w:type="character" w:customStyle="1" w:styleId="NormalHanging12aChar">
    <w:name w:val="NormalHanging12a Char"/>
    <w:link w:val="NormalHanging12a"/>
    <w:rsid w:val="00AC4851"/>
    <w:rPr>
      <w:snapToGrid w:val="0"/>
      <w:sz w:val="24"/>
      <w:lang w:val="fr-FR" w:eastAsia="en-US"/>
    </w:rPr>
  </w:style>
  <w:style w:type="paragraph" w:customStyle="1" w:styleId="paragraph">
    <w:name w:val="paragraph"/>
    <w:basedOn w:val="Normal"/>
    <w:rsid w:val="00AC22BB"/>
    <w:pPr>
      <w:spacing w:before="100" w:beforeAutospacing="1" w:after="100" w:afterAutospacing="1"/>
      <w:jc w:val="left"/>
    </w:pPr>
    <w:rPr>
      <w:rFonts w:ascii="Times New Roman" w:hAnsi="Times New Roman"/>
      <w:szCs w:val="24"/>
      <w:lang w:eastAsia="en-IE"/>
    </w:rPr>
  </w:style>
  <w:style w:type="character" w:customStyle="1" w:styleId="normaltextrun">
    <w:name w:val="normaltextrun"/>
    <w:basedOn w:val="DefaultParagraphFont"/>
    <w:rsid w:val="00AC22BB"/>
  </w:style>
  <w:style w:type="character" w:customStyle="1" w:styleId="eop">
    <w:name w:val="eop"/>
    <w:basedOn w:val="DefaultParagraphFont"/>
    <w:rsid w:val="00AC22BB"/>
  </w:style>
  <w:style w:type="character" w:styleId="UnresolvedMention">
    <w:name w:val="Unresolved Mention"/>
    <w:uiPriority w:val="99"/>
    <w:semiHidden/>
    <w:unhideWhenUsed/>
    <w:rsid w:val="00904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91">
      <w:bodyDiv w:val="1"/>
      <w:marLeft w:val="0"/>
      <w:marRight w:val="0"/>
      <w:marTop w:val="0"/>
      <w:marBottom w:val="0"/>
      <w:divBdr>
        <w:top w:val="none" w:sz="0" w:space="0" w:color="auto"/>
        <w:left w:val="none" w:sz="0" w:space="0" w:color="auto"/>
        <w:bottom w:val="none" w:sz="0" w:space="0" w:color="auto"/>
        <w:right w:val="none" w:sz="0" w:space="0" w:color="auto"/>
      </w:divBdr>
      <w:divsChild>
        <w:div w:id="199048967">
          <w:marLeft w:val="0"/>
          <w:marRight w:val="0"/>
          <w:marTop w:val="0"/>
          <w:marBottom w:val="0"/>
          <w:divBdr>
            <w:top w:val="none" w:sz="0" w:space="0" w:color="auto"/>
            <w:left w:val="none" w:sz="0" w:space="0" w:color="auto"/>
            <w:bottom w:val="none" w:sz="0" w:space="0" w:color="auto"/>
            <w:right w:val="none" w:sz="0" w:space="0" w:color="auto"/>
          </w:divBdr>
        </w:div>
        <w:div w:id="208418054">
          <w:marLeft w:val="0"/>
          <w:marRight w:val="0"/>
          <w:marTop w:val="0"/>
          <w:marBottom w:val="0"/>
          <w:divBdr>
            <w:top w:val="none" w:sz="0" w:space="0" w:color="auto"/>
            <w:left w:val="none" w:sz="0" w:space="0" w:color="auto"/>
            <w:bottom w:val="none" w:sz="0" w:space="0" w:color="auto"/>
            <w:right w:val="none" w:sz="0" w:space="0" w:color="auto"/>
          </w:divBdr>
        </w:div>
        <w:div w:id="487942779">
          <w:marLeft w:val="0"/>
          <w:marRight w:val="0"/>
          <w:marTop w:val="0"/>
          <w:marBottom w:val="0"/>
          <w:divBdr>
            <w:top w:val="none" w:sz="0" w:space="0" w:color="auto"/>
            <w:left w:val="none" w:sz="0" w:space="0" w:color="auto"/>
            <w:bottom w:val="none" w:sz="0" w:space="0" w:color="auto"/>
            <w:right w:val="none" w:sz="0" w:space="0" w:color="auto"/>
          </w:divBdr>
        </w:div>
        <w:div w:id="1195390253">
          <w:marLeft w:val="0"/>
          <w:marRight w:val="0"/>
          <w:marTop w:val="0"/>
          <w:marBottom w:val="0"/>
          <w:divBdr>
            <w:top w:val="none" w:sz="0" w:space="0" w:color="auto"/>
            <w:left w:val="none" w:sz="0" w:space="0" w:color="auto"/>
            <w:bottom w:val="none" w:sz="0" w:space="0" w:color="auto"/>
            <w:right w:val="none" w:sz="0" w:space="0" w:color="auto"/>
          </w:divBdr>
        </w:div>
        <w:div w:id="1569536875">
          <w:marLeft w:val="0"/>
          <w:marRight w:val="0"/>
          <w:marTop w:val="0"/>
          <w:marBottom w:val="0"/>
          <w:divBdr>
            <w:top w:val="none" w:sz="0" w:space="0" w:color="auto"/>
            <w:left w:val="none" w:sz="0" w:space="0" w:color="auto"/>
            <w:bottom w:val="none" w:sz="0" w:space="0" w:color="auto"/>
            <w:right w:val="none" w:sz="0" w:space="0" w:color="auto"/>
          </w:divBdr>
        </w:div>
      </w:divsChild>
    </w:div>
    <w:div w:id="342753752">
      <w:bodyDiv w:val="1"/>
      <w:marLeft w:val="0"/>
      <w:marRight w:val="0"/>
      <w:marTop w:val="0"/>
      <w:marBottom w:val="0"/>
      <w:divBdr>
        <w:top w:val="none" w:sz="0" w:space="0" w:color="auto"/>
        <w:left w:val="none" w:sz="0" w:space="0" w:color="auto"/>
        <w:bottom w:val="none" w:sz="0" w:space="0" w:color="auto"/>
        <w:right w:val="none" w:sz="0" w:space="0" w:color="auto"/>
      </w:divBdr>
      <w:divsChild>
        <w:div w:id="1251424711">
          <w:marLeft w:val="0"/>
          <w:marRight w:val="0"/>
          <w:marTop w:val="0"/>
          <w:marBottom w:val="0"/>
          <w:divBdr>
            <w:top w:val="none" w:sz="0" w:space="0" w:color="auto"/>
            <w:left w:val="none" w:sz="0" w:space="0" w:color="auto"/>
            <w:bottom w:val="none" w:sz="0" w:space="0" w:color="auto"/>
            <w:right w:val="none" w:sz="0" w:space="0" w:color="auto"/>
          </w:divBdr>
        </w:div>
        <w:div w:id="1336693394">
          <w:marLeft w:val="0"/>
          <w:marRight w:val="0"/>
          <w:marTop w:val="0"/>
          <w:marBottom w:val="0"/>
          <w:divBdr>
            <w:top w:val="none" w:sz="0" w:space="0" w:color="auto"/>
            <w:left w:val="none" w:sz="0" w:space="0" w:color="auto"/>
            <w:bottom w:val="none" w:sz="0" w:space="0" w:color="auto"/>
            <w:right w:val="none" w:sz="0" w:space="0" w:color="auto"/>
          </w:divBdr>
          <w:divsChild>
            <w:div w:id="20709715">
              <w:marLeft w:val="0"/>
              <w:marRight w:val="0"/>
              <w:marTop w:val="0"/>
              <w:marBottom w:val="0"/>
              <w:divBdr>
                <w:top w:val="none" w:sz="0" w:space="0" w:color="auto"/>
                <w:left w:val="none" w:sz="0" w:space="0" w:color="auto"/>
                <w:bottom w:val="none" w:sz="0" w:space="0" w:color="auto"/>
                <w:right w:val="none" w:sz="0" w:space="0" w:color="auto"/>
              </w:divBdr>
            </w:div>
            <w:div w:id="105777433">
              <w:marLeft w:val="0"/>
              <w:marRight w:val="0"/>
              <w:marTop w:val="0"/>
              <w:marBottom w:val="0"/>
              <w:divBdr>
                <w:top w:val="none" w:sz="0" w:space="0" w:color="auto"/>
                <w:left w:val="none" w:sz="0" w:space="0" w:color="auto"/>
                <w:bottom w:val="none" w:sz="0" w:space="0" w:color="auto"/>
                <w:right w:val="none" w:sz="0" w:space="0" w:color="auto"/>
              </w:divBdr>
            </w:div>
            <w:div w:id="216748673">
              <w:marLeft w:val="0"/>
              <w:marRight w:val="0"/>
              <w:marTop w:val="0"/>
              <w:marBottom w:val="0"/>
              <w:divBdr>
                <w:top w:val="none" w:sz="0" w:space="0" w:color="auto"/>
                <w:left w:val="none" w:sz="0" w:space="0" w:color="auto"/>
                <w:bottom w:val="none" w:sz="0" w:space="0" w:color="auto"/>
                <w:right w:val="none" w:sz="0" w:space="0" w:color="auto"/>
              </w:divBdr>
            </w:div>
            <w:div w:id="251624263">
              <w:marLeft w:val="0"/>
              <w:marRight w:val="0"/>
              <w:marTop w:val="0"/>
              <w:marBottom w:val="0"/>
              <w:divBdr>
                <w:top w:val="none" w:sz="0" w:space="0" w:color="auto"/>
                <w:left w:val="none" w:sz="0" w:space="0" w:color="auto"/>
                <w:bottom w:val="none" w:sz="0" w:space="0" w:color="auto"/>
                <w:right w:val="none" w:sz="0" w:space="0" w:color="auto"/>
              </w:divBdr>
            </w:div>
            <w:div w:id="934099105">
              <w:marLeft w:val="0"/>
              <w:marRight w:val="0"/>
              <w:marTop w:val="0"/>
              <w:marBottom w:val="0"/>
              <w:divBdr>
                <w:top w:val="none" w:sz="0" w:space="0" w:color="auto"/>
                <w:left w:val="none" w:sz="0" w:space="0" w:color="auto"/>
                <w:bottom w:val="none" w:sz="0" w:space="0" w:color="auto"/>
                <w:right w:val="none" w:sz="0" w:space="0" w:color="auto"/>
              </w:divBdr>
            </w:div>
            <w:div w:id="1510021127">
              <w:marLeft w:val="0"/>
              <w:marRight w:val="0"/>
              <w:marTop w:val="0"/>
              <w:marBottom w:val="0"/>
              <w:divBdr>
                <w:top w:val="none" w:sz="0" w:space="0" w:color="auto"/>
                <w:left w:val="none" w:sz="0" w:space="0" w:color="auto"/>
                <w:bottom w:val="none" w:sz="0" w:space="0" w:color="auto"/>
                <w:right w:val="none" w:sz="0" w:space="0" w:color="auto"/>
              </w:divBdr>
            </w:div>
            <w:div w:id="1657805579">
              <w:marLeft w:val="0"/>
              <w:marRight w:val="0"/>
              <w:marTop w:val="0"/>
              <w:marBottom w:val="0"/>
              <w:divBdr>
                <w:top w:val="none" w:sz="0" w:space="0" w:color="auto"/>
                <w:left w:val="none" w:sz="0" w:space="0" w:color="auto"/>
                <w:bottom w:val="none" w:sz="0" w:space="0" w:color="auto"/>
                <w:right w:val="none" w:sz="0" w:space="0" w:color="auto"/>
              </w:divBdr>
            </w:div>
            <w:div w:id="1886676705">
              <w:marLeft w:val="0"/>
              <w:marRight w:val="0"/>
              <w:marTop w:val="0"/>
              <w:marBottom w:val="0"/>
              <w:divBdr>
                <w:top w:val="none" w:sz="0" w:space="0" w:color="auto"/>
                <w:left w:val="none" w:sz="0" w:space="0" w:color="auto"/>
                <w:bottom w:val="none" w:sz="0" w:space="0" w:color="auto"/>
                <w:right w:val="none" w:sz="0" w:space="0" w:color="auto"/>
              </w:divBdr>
            </w:div>
            <w:div w:id="20218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6689">
      <w:bodyDiv w:val="1"/>
      <w:marLeft w:val="0"/>
      <w:marRight w:val="0"/>
      <w:marTop w:val="0"/>
      <w:marBottom w:val="0"/>
      <w:divBdr>
        <w:top w:val="none" w:sz="0" w:space="0" w:color="auto"/>
        <w:left w:val="none" w:sz="0" w:space="0" w:color="auto"/>
        <w:bottom w:val="none" w:sz="0" w:space="0" w:color="auto"/>
        <w:right w:val="none" w:sz="0" w:space="0" w:color="auto"/>
      </w:divBdr>
      <w:divsChild>
        <w:div w:id="9359959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1037849440">
          <w:marLeft w:val="0"/>
          <w:marRight w:val="0"/>
          <w:marTop w:val="0"/>
          <w:marBottom w:val="0"/>
          <w:divBdr>
            <w:top w:val="none" w:sz="0" w:space="0" w:color="auto"/>
            <w:left w:val="none" w:sz="0" w:space="0" w:color="auto"/>
            <w:bottom w:val="none" w:sz="0" w:space="0" w:color="auto"/>
            <w:right w:val="none" w:sz="0" w:space="0" w:color="auto"/>
          </w:divBdr>
        </w:div>
        <w:div w:id="1416898403">
          <w:marLeft w:val="0"/>
          <w:marRight w:val="0"/>
          <w:marTop w:val="0"/>
          <w:marBottom w:val="0"/>
          <w:divBdr>
            <w:top w:val="none" w:sz="0" w:space="0" w:color="auto"/>
            <w:left w:val="none" w:sz="0" w:space="0" w:color="auto"/>
            <w:bottom w:val="none" w:sz="0" w:space="0" w:color="auto"/>
            <w:right w:val="none" w:sz="0" w:space="0" w:color="auto"/>
          </w:divBdr>
        </w:div>
        <w:div w:id="1696153765">
          <w:marLeft w:val="0"/>
          <w:marRight w:val="0"/>
          <w:marTop w:val="0"/>
          <w:marBottom w:val="0"/>
          <w:divBdr>
            <w:top w:val="none" w:sz="0" w:space="0" w:color="auto"/>
            <w:left w:val="none" w:sz="0" w:space="0" w:color="auto"/>
            <w:bottom w:val="none" w:sz="0" w:space="0" w:color="auto"/>
            <w:right w:val="none" w:sz="0" w:space="0" w:color="auto"/>
          </w:divBdr>
        </w:div>
        <w:div w:id="1728793745">
          <w:marLeft w:val="0"/>
          <w:marRight w:val="0"/>
          <w:marTop w:val="0"/>
          <w:marBottom w:val="0"/>
          <w:divBdr>
            <w:top w:val="none" w:sz="0" w:space="0" w:color="auto"/>
            <w:left w:val="none" w:sz="0" w:space="0" w:color="auto"/>
            <w:bottom w:val="none" w:sz="0" w:space="0" w:color="auto"/>
            <w:right w:val="none" w:sz="0" w:space="0" w:color="auto"/>
          </w:divBdr>
        </w:div>
      </w:divsChild>
    </w:div>
    <w:div w:id="515584429">
      <w:bodyDiv w:val="1"/>
      <w:marLeft w:val="0"/>
      <w:marRight w:val="0"/>
      <w:marTop w:val="0"/>
      <w:marBottom w:val="0"/>
      <w:divBdr>
        <w:top w:val="none" w:sz="0" w:space="0" w:color="auto"/>
        <w:left w:val="none" w:sz="0" w:space="0" w:color="auto"/>
        <w:bottom w:val="none" w:sz="0" w:space="0" w:color="auto"/>
        <w:right w:val="none" w:sz="0" w:space="0" w:color="auto"/>
      </w:divBdr>
      <w:divsChild>
        <w:div w:id="1594627811">
          <w:marLeft w:val="0"/>
          <w:marRight w:val="0"/>
          <w:marTop w:val="0"/>
          <w:marBottom w:val="0"/>
          <w:divBdr>
            <w:top w:val="none" w:sz="0" w:space="0" w:color="auto"/>
            <w:left w:val="none" w:sz="0" w:space="0" w:color="auto"/>
            <w:bottom w:val="none" w:sz="0" w:space="0" w:color="auto"/>
            <w:right w:val="none" w:sz="0" w:space="0" w:color="auto"/>
          </w:divBdr>
          <w:divsChild>
            <w:div w:id="19027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3216">
      <w:bodyDiv w:val="1"/>
      <w:marLeft w:val="0"/>
      <w:marRight w:val="0"/>
      <w:marTop w:val="0"/>
      <w:marBottom w:val="0"/>
      <w:divBdr>
        <w:top w:val="none" w:sz="0" w:space="0" w:color="auto"/>
        <w:left w:val="none" w:sz="0" w:space="0" w:color="auto"/>
        <w:bottom w:val="none" w:sz="0" w:space="0" w:color="auto"/>
        <w:right w:val="none" w:sz="0" w:space="0" w:color="auto"/>
      </w:divBdr>
      <w:divsChild>
        <w:div w:id="1117334534">
          <w:marLeft w:val="0"/>
          <w:marRight w:val="0"/>
          <w:marTop w:val="0"/>
          <w:marBottom w:val="0"/>
          <w:divBdr>
            <w:top w:val="none" w:sz="0" w:space="0" w:color="auto"/>
            <w:left w:val="none" w:sz="0" w:space="0" w:color="auto"/>
            <w:bottom w:val="none" w:sz="0" w:space="0" w:color="auto"/>
            <w:right w:val="none" w:sz="0" w:space="0" w:color="auto"/>
          </w:divBdr>
          <w:divsChild>
            <w:div w:id="19121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3681">
      <w:bodyDiv w:val="1"/>
      <w:marLeft w:val="0"/>
      <w:marRight w:val="0"/>
      <w:marTop w:val="0"/>
      <w:marBottom w:val="0"/>
      <w:divBdr>
        <w:top w:val="none" w:sz="0" w:space="0" w:color="auto"/>
        <w:left w:val="none" w:sz="0" w:space="0" w:color="auto"/>
        <w:bottom w:val="none" w:sz="0" w:space="0" w:color="auto"/>
        <w:right w:val="none" w:sz="0" w:space="0" w:color="auto"/>
      </w:divBdr>
      <w:divsChild>
        <w:div w:id="591087559">
          <w:marLeft w:val="0"/>
          <w:marRight w:val="0"/>
          <w:marTop w:val="0"/>
          <w:marBottom w:val="0"/>
          <w:divBdr>
            <w:top w:val="none" w:sz="0" w:space="0" w:color="auto"/>
            <w:left w:val="none" w:sz="0" w:space="0" w:color="auto"/>
            <w:bottom w:val="none" w:sz="0" w:space="0" w:color="auto"/>
            <w:right w:val="none" w:sz="0" w:space="0" w:color="auto"/>
          </w:divBdr>
          <w:divsChild>
            <w:div w:id="4138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22642">
      <w:bodyDiv w:val="1"/>
      <w:marLeft w:val="0"/>
      <w:marRight w:val="0"/>
      <w:marTop w:val="0"/>
      <w:marBottom w:val="0"/>
      <w:divBdr>
        <w:top w:val="none" w:sz="0" w:space="0" w:color="auto"/>
        <w:left w:val="none" w:sz="0" w:space="0" w:color="auto"/>
        <w:bottom w:val="none" w:sz="0" w:space="0" w:color="auto"/>
        <w:right w:val="none" w:sz="0" w:space="0" w:color="auto"/>
      </w:divBdr>
      <w:divsChild>
        <w:div w:id="280113673">
          <w:marLeft w:val="0"/>
          <w:marRight w:val="0"/>
          <w:marTop w:val="0"/>
          <w:marBottom w:val="0"/>
          <w:divBdr>
            <w:top w:val="none" w:sz="0" w:space="0" w:color="auto"/>
            <w:left w:val="none" w:sz="0" w:space="0" w:color="auto"/>
            <w:bottom w:val="none" w:sz="0" w:space="0" w:color="auto"/>
            <w:right w:val="none" w:sz="0" w:space="0" w:color="auto"/>
          </w:divBdr>
          <w:divsChild>
            <w:div w:id="1409187586">
              <w:marLeft w:val="0"/>
              <w:marRight w:val="0"/>
              <w:marTop w:val="0"/>
              <w:marBottom w:val="0"/>
              <w:divBdr>
                <w:top w:val="none" w:sz="0" w:space="0" w:color="auto"/>
                <w:left w:val="none" w:sz="0" w:space="0" w:color="auto"/>
                <w:bottom w:val="none" w:sz="0" w:space="0" w:color="auto"/>
                <w:right w:val="none" w:sz="0" w:space="0" w:color="auto"/>
              </w:divBdr>
              <w:divsChild>
                <w:div w:id="1435592390">
                  <w:marLeft w:val="0"/>
                  <w:marRight w:val="0"/>
                  <w:marTop w:val="0"/>
                  <w:marBottom w:val="0"/>
                  <w:divBdr>
                    <w:top w:val="none" w:sz="0" w:space="0" w:color="auto"/>
                    <w:left w:val="none" w:sz="0" w:space="0" w:color="auto"/>
                    <w:bottom w:val="none" w:sz="0" w:space="0" w:color="auto"/>
                    <w:right w:val="none" w:sz="0" w:space="0" w:color="auto"/>
                  </w:divBdr>
                  <w:divsChild>
                    <w:div w:id="1316685293">
                      <w:marLeft w:val="0"/>
                      <w:marRight w:val="0"/>
                      <w:marTop w:val="0"/>
                      <w:marBottom w:val="0"/>
                      <w:divBdr>
                        <w:top w:val="none" w:sz="0" w:space="0" w:color="auto"/>
                        <w:left w:val="none" w:sz="0" w:space="0" w:color="auto"/>
                        <w:bottom w:val="none" w:sz="0" w:space="0" w:color="auto"/>
                        <w:right w:val="none" w:sz="0" w:space="0" w:color="auto"/>
                      </w:divBdr>
                      <w:divsChild>
                        <w:div w:id="1408532144">
                          <w:marLeft w:val="0"/>
                          <w:marRight w:val="0"/>
                          <w:marTop w:val="0"/>
                          <w:marBottom w:val="0"/>
                          <w:divBdr>
                            <w:top w:val="none" w:sz="0" w:space="0" w:color="auto"/>
                            <w:left w:val="none" w:sz="0" w:space="0" w:color="auto"/>
                            <w:bottom w:val="none" w:sz="0" w:space="0" w:color="auto"/>
                            <w:right w:val="none" w:sz="0" w:space="0" w:color="auto"/>
                          </w:divBdr>
                          <w:divsChild>
                            <w:div w:id="1152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52105">
      <w:bodyDiv w:val="1"/>
      <w:marLeft w:val="0"/>
      <w:marRight w:val="0"/>
      <w:marTop w:val="0"/>
      <w:marBottom w:val="0"/>
      <w:divBdr>
        <w:top w:val="none" w:sz="0" w:space="0" w:color="auto"/>
        <w:left w:val="none" w:sz="0" w:space="0" w:color="auto"/>
        <w:bottom w:val="none" w:sz="0" w:space="0" w:color="auto"/>
        <w:right w:val="none" w:sz="0" w:space="0" w:color="auto"/>
      </w:divBdr>
      <w:divsChild>
        <w:div w:id="38093076">
          <w:marLeft w:val="0"/>
          <w:marRight w:val="0"/>
          <w:marTop w:val="0"/>
          <w:marBottom w:val="0"/>
          <w:divBdr>
            <w:top w:val="none" w:sz="0" w:space="0" w:color="auto"/>
            <w:left w:val="none" w:sz="0" w:space="0" w:color="auto"/>
            <w:bottom w:val="none" w:sz="0" w:space="0" w:color="auto"/>
            <w:right w:val="none" w:sz="0" w:space="0" w:color="auto"/>
          </w:divBdr>
        </w:div>
        <w:div w:id="297228915">
          <w:marLeft w:val="0"/>
          <w:marRight w:val="0"/>
          <w:marTop w:val="0"/>
          <w:marBottom w:val="0"/>
          <w:divBdr>
            <w:top w:val="none" w:sz="0" w:space="0" w:color="auto"/>
            <w:left w:val="none" w:sz="0" w:space="0" w:color="auto"/>
            <w:bottom w:val="none" w:sz="0" w:space="0" w:color="auto"/>
            <w:right w:val="none" w:sz="0" w:space="0" w:color="auto"/>
          </w:divBdr>
        </w:div>
        <w:div w:id="680863127">
          <w:marLeft w:val="0"/>
          <w:marRight w:val="0"/>
          <w:marTop w:val="0"/>
          <w:marBottom w:val="0"/>
          <w:divBdr>
            <w:top w:val="none" w:sz="0" w:space="0" w:color="auto"/>
            <w:left w:val="none" w:sz="0" w:space="0" w:color="auto"/>
            <w:bottom w:val="none" w:sz="0" w:space="0" w:color="auto"/>
            <w:right w:val="none" w:sz="0" w:space="0" w:color="auto"/>
          </w:divBdr>
        </w:div>
      </w:divsChild>
    </w:div>
    <w:div w:id="718556128">
      <w:bodyDiv w:val="1"/>
      <w:marLeft w:val="0"/>
      <w:marRight w:val="0"/>
      <w:marTop w:val="0"/>
      <w:marBottom w:val="0"/>
      <w:divBdr>
        <w:top w:val="none" w:sz="0" w:space="0" w:color="auto"/>
        <w:left w:val="none" w:sz="0" w:space="0" w:color="auto"/>
        <w:bottom w:val="none" w:sz="0" w:space="0" w:color="auto"/>
        <w:right w:val="none" w:sz="0" w:space="0" w:color="auto"/>
      </w:divBdr>
      <w:divsChild>
        <w:div w:id="77602269">
          <w:marLeft w:val="0"/>
          <w:marRight w:val="0"/>
          <w:marTop w:val="0"/>
          <w:marBottom w:val="0"/>
          <w:divBdr>
            <w:top w:val="none" w:sz="0" w:space="0" w:color="auto"/>
            <w:left w:val="none" w:sz="0" w:space="0" w:color="auto"/>
            <w:bottom w:val="none" w:sz="0" w:space="0" w:color="auto"/>
            <w:right w:val="none" w:sz="0" w:space="0" w:color="auto"/>
          </w:divBdr>
          <w:divsChild>
            <w:div w:id="35089670">
              <w:marLeft w:val="0"/>
              <w:marRight w:val="0"/>
              <w:marTop w:val="0"/>
              <w:marBottom w:val="0"/>
              <w:divBdr>
                <w:top w:val="none" w:sz="0" w:space="0" w:color="auto"/>
                <w:left w:val="none" w:sz="0" w:space="0" w:color="auto"/>
                <w:bottom w:val="none" w:sz="0" w:space="0" w:color="auto"/>
                <w:right w:val="none" w:sz="0" w:space="0" w:color="auto"/>
              </w:divBdr>
            </w:div>
            <w:div w:id="168913353">
              <w:marLeft w:val="0"/>
              <w:marRight w:val="0"/>
              <w:marTop w:val="0"/>
              <w:marBottom w:val="0"/>
              <w:divBdr>
                <w:top w:val="none" w:sz="0" w:space="0" w:color="auto"/>
                <w:left w:val="none" w:sz="0" w:space="0" w:color="auto"/>
                <w:bottom w:val="none" w:sz="0" w:space="0" w:color="auto"/>
                <w:right w:val="none" w:sz="0" w:space="0" w:color="auto"/>
              </w:divBdr>
            </w:div>
            <w:div w:id="499006513">
              <w:marLeft w:val="0"/>
              <w:marRight w:val="0"/>
              <w:marTop w:val="0"/>
              <w:marBottom w:val="0"/>
              <w:divBdr>
                <w:top w:val="none" w:sz="0" w:space="0" w:color="auto"/>
                <w:left w:val="none" w:sz="0" w:space="0" w:color="auto"/>
                <w:bottom w:val="none" w:sz="0" w:space="0" w:color="auto"/>
                <w:right w:val="none" w:sz="0" w:space="0" w:color="auto"/>
              </w:divBdr>
            </w:div>
            <w:div w:id="771439857">
              <w:marLeft w:val="0"/>
              <w:marRight w:val="0"/>
              <w:marTop w:val="0"/>
              <w:marBottom w:val="0"/>
              <w:divBdr>
                <w:top w:val="none" w:sz="0" w:space="0" w:color="auto"/>
                <w:left w:val="none" w:sz="0" w:space="0" w:color="auto"/>
                <w:bottom w:val="none" w:sz="0" w:space="0" w:color="auto"/>
                <w:right w:val="none" w:sz="0" w:space="0" w:color="auto"/>
              </w:divBdr>
            </w:div>
            <w:div w:id="1205560534">
              <w:marLeft w:val="0"/>
              <w:marRight w:val="0"/>
              <w:marTop w:val="0"/>
              <w:marBottom w:val="0"/>
              <w:divBdr>
                <w:top w:val="none" w:sz="0" w:space="0" w:color="auto"/>
                <w:left w:val="none" w:sz="0" w:space="0" w:color="auto"/>
                <w:bottom w:val="none" w:sz="0" w:space="0" w:color="auto"/>
                <w:right w:val="none" w:sz="0" w:space="0" w:color="auto"/>
              </w:divBdr>
            </w:div>
            <w:div w:id="1307511379">
              <w:marLeft w:val="0"/>
              <w:marRight w:val="0"/>
              <w:marTop w:val="0"/>
              <w:marBottom w:val="0"/>
              <w:divBdr>
                <w:top w:val="none" w:sz="0" w:space="0" w:color="auto"/>
                <w:left w:val="none" w:sz="0" w:space="0" w:color="auto"/>
                <w:bottom w:val="none" w:sz="0" w:space="0" w:color="auto"/>
                <w:right w:val="none" w:sz="0" w:space="0" w:color="auto"/>
              </w:divBdr>
            </w:div>
            <w:div w:id="1848444061">
              <w:marLeft w:val="0"/>
              <w:marRight w:val="0"/>
              <w:marTop w:val="0"/>
              <w:marBottom w:val="0"/>
              <w:divBdr>
                <w:top w:val="none" w:sz="0" w:space="0" w:color="auto"/>
                <w:left w:val="none" w:sz="0" w:space="0" w:color="auto"/>
                <w:bottom w:val="none" w:sz="0" w:space="0" w:color="auto"/>
                <w:right w:val="none" w:sz="0" w:space="0" w:color="auto"/>
              </w:divBdr>
            </w:div>
            <w:div w:id="1889564917">
              <w:marLeft w:val="0"/>
              <w:marRight w:val="0"/>
              <w:marTop w:val="0"/>
              <w:marBottom w:val="0"/>
              <w:divBdr>
                <w:top w:val="none" w:sz="0" w:space="0" w:color="auto"/>
                <w:left w:val="none" w:sz="0" w:space="0" w:color="auto"/>
                <w:bottom w:val="none" w:sz="0" w:space="0" w:color="auto"/>
                <w:right w:val="none" w:sz="0" w:space="0" w:color="auto"/>
              </w:divBdr>
            </w:div>
            <w:div w:id="2132507396">
              <w:marLeft w:val="0"/>
              <w:marRight w:val="0"/>
              <w:marTop w:val="0"/>
              <w:marBottom w:val="0"/>
              <w:divBdr>
                <w:top w:val="none" w:sz="0" w:space="0" w:color="auto"/>
                <w:left w:val="none" w:sz="0" w:space="0" w:color="auto"/>
                <w:bottom w:val="none" w:sz="0" w:space="0" w:color="auto"/>
                <w:right w:val="none" w:sz="0" w:space="0" w:color="auto"/>
              </w:divBdr>
            </w:div>
          </w:divsChild>
        </w:div>
        <w:div w:id="714698364">
          <w:marLeft w:val="0"/>
          <w:marRight w:val="0"/>
          <w:marTop w:val="0"/>
          <w:marBottom w:val="0"/>
          <w:divBdr>
            <w:top w:val="none" w:sz="0" w:space="0" w:color="auto"/>
            <w:left w:val="none" w:sz="0" w:space="0" w:color="auto"/>
            <w:bottom w:val="none" w:sz="0" w:space="0" w:color="auto"/>
            <w:right w:val="none" w:sz="0" w:space="0" w:color="auto"/>
          </w:divBdr>
        </w:div>
      </w:divsChild>
    </w:div>
    <w:div w:id="859396383">
      <w:bodyDiv w:val="1"/>
      <w:marLeft w:val="0"/>
      <w:marRight w:val="0"/>
      <w:marTop w:val="0"/>
      <w:marBottom w:val="0"/>
      <w:divBdr>
        <w:top w:val="none" w:sz="0" w:space="0" w:color="auto"/>
        <w:left w:val="none" w:sz="0" w:space="0" w:color="auto"/>
        <w:bottom w:val="none" w:sz="0" w:space="0" w:color="auto"/>
        <w:right w:val="none" w:sz="0" w:space="0" w:color="auto"/>
      </w:divBdr>
      <w:divsChild>
        <w:div w:id="1361053419">
          <w:marLeft w:val="0"/>
          <w:marRight w:val="0"/>
          <w:marTop w:val="0"/>
          <w:marBottom w:val="0"/>
          <w:divBdr>
            <w:top w:val="none" w:sz="0" w:space="0" w:color="auto"/>
            <w:left w:val="none" w:sz="0" w:space="0" w:color="auto"/>
            <w:bottom w:val="none" w:sz="0" w:space="0" w:color="auto"/>
            <w:right w:val="none" w:sz="0" w:space="0" w:color="auto"/>
          </w:divBdr>
          <w:divsChild>
            <w:div w:id="13106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537616593">
      <w:bodyDiv w:val="1"/>
      <w:marLeft w:val="0"/>
      <w:marRight w:val="0"/>
      <w:marTop w:val="0"/>
      <w:marBottom w:val="0"/>
      <w:divBdr>
        <w:top w:val="none" w:sz="0" w:space="0" w:color="auto"/>
        <w:left w:val="none" w:sz="0" w:space="0" w:color="auto"/>
        <w:bottom w:val="none" w:sz="0" w:space="0" w:color="auto"/>
        <w:right w:val="none" w:sz="0" w:space="0" w:color="auto"/>
      </w:divBdr>
      <w:divsChild>
        <w:div w:id="1181237439">
          <w:marLeft w:val="0"/>
          <w:marRight w:val="0"/>
          <w:marTop w:val="0"/>
          <w:marBottom w:val="0"/>
          <w:divBdr>
            <w:top w:val="none" w:sz="0" w:space="0" w:color="auto"/>
            <w:left w:val="none" w:sz="0" w:space="0" w:color="auto"/>
            <w:bottom w:val="none" w:sz="0" w:space="0" w:color="auto"/>
            <w:right w:val="none" w:sz="0" w:space="0" w:color="auto"/>
          </w:divBdr>
        </w:div>
        <w:div w:id="1521700615">
          <w:marLeft w:val="0"/>
          <w:marRight w:val="0"/>
          <w:marTop w:val="0"/>
          <w:marBottom w:val="0"/>
          <w:divBdr>
            <w:top w:val="none" w:sz="0" w:space="0" w:color="auto"/>
            <w:left w:val="none" w:sz="0" w:space="0" w:color="auto"/>
            <w:bottom w:val="none" w:sz="0" w:space="0" w:color="auto"/>
            <w:right w:val="none" w:sz="0" w:space="0" w:color="auto"/>
          </w:divBdr>
        </w:div>
        <w:div w:id="1533372943">
          <w:marLeft w:val="0"/>
          <w:marRight w:val="0"/>
          <w:marTop w:val="0"/>
          <w:marBottom w:val="0"/>
          <w:divBdr>
            <w:top w:val="none" w:sz="0" w:space="0" w:color="auto"/>
            <w:left w:val="none" w:sz="0" w:space="0" w:color="auto"/>
            <w:bottom w:val="none" w:sz="0" w:space="0" w:color="auto"/>
            <w:right w:val="none" w:sz="0" w:space="0" w:color="auto"/>
          </w:divBdr>
        </w:div>
        <w:div w:id="1799446027">
          <w:marLeft w:val="0"/>
          <w:marRight w:val="0"/>
          <w:marTop w:val="0"/>
          <w:marBottom w:val="0"/>
          <w:divBdr>
            <w:top w:val="none" w:sz="0" w:space="0" w:color="auto"/>
            <w:left w:val="none" w:sz="0" w:space="0" w:color="auto"/>
            <w:bottom w:val="none" w:sz="0" w:space="0" w:color="auto"/>
            <w:right w:val="none" w:sz="0" w:space="0" w:color="auto"/>
          </w:divBdr>
        </w:div>
        <w:div w:id="1997103403">
          <w:marLeft w:val="0"/>
          <w:marRight w:val="0"/>
          <w:marTop w:val="0"/>
          <w:marBottom w:val="0"/>
          <w:divBdr>
            <w:top w:val="none" w:sz="0" w:space="0" w:color="auto"/>
            <w:left w:val="none" w:sz="0" w:space="0" w:color="auto"/>
            <w:bottom w:val="none" w:sz="0" w:space="0" w:color="auto"/>
            <w:right w:val="none" w:sz="0" w:space="0" w:color="auto"/>
          </w:divBdr>
        </w:div>
        <w:div w:id="2060934283">
          <w:marLeft w:val="0"/>
          <w:marRight w:val="0"/>
          <w:marTop w:val="0"/>
          <w:marBottom w:val="0"/>
          <w:divBdr>
            <w:top w:val="none" w:sz="0" w:space="0" w:color="auto"/>
            <w:left w:val="none" w:sz="0" w:space="0" w:color="auto"/>
            <w:bottom w:val="none" w:sz="0" w:space="0" w:color="auto"/>
            <w:right w:val="none" w:sz="0" w:space="0" w:color="auto"/>
          </w:divBdr>
        </w:div>
      </w:divsChild>
    </w:div>
    <w:div w:id="1643998739">
      <w:bodyDiv w:val="1"/>
      <w:marLeft w:val="0"/>
      <w:marRight w:val="0"/>
      <w:marTop w:val="0"/>
      <w:marBottom w:val="0"/>
      <w:divBdr>
        <w:top w:val="none" w:sz="0" w:space="0" w:color="auto"/>
        <w:left w:val="none" w:sz="0" w:space="0" w:color="auto"/>
        <w:bottom w:val="none" w:sz="0" w:space="0" w:color="auto"/>
        <w:right w:val="none" w:sz="0" w:space="0" w:color="auto"/>
      </w:divBdr>
    </w:div>
    <w:div w:id="1750689412">
      <w:bodyDiv w:val="1"/>
      <w:marLeft w:val="0"/>
      <w:marRight w:val="0"/>
      <w:marTop w:val="0"/>
      <w:marBottom w:val="0"/>
      <w:divBdr>
        <w:top w:val="none" w:sz="0" w:space="0" w:color="auto"/>
        <w:left w:val="none" w:sz="0" w:space="0" w:color="auto"/>
        <w:bottom w:val="none" w:sz="0" w:space="0" w:color="auto"/>
        <w:right w:val="none" w:sz="0" w:space="0" w:color="auto"/>
      </w:divBdr>
      <w:divsChild>
        <w:div w:id="102071384">
          <w:marLeft w:val="0"/>
          <w:marRight w:val="0"/>
          <w:marTop w:val="0"/>
          <w:marBottom w:val="0"/>
          <w:divBdr>
            <w:top w:val="none" w:sz="0" w:space="0" w:color="auto"/>
            <w:left w:val="none" w:sz="0" w:space="0" w:color="auto"/>
            <w:bottom w:val="none" w:sz="0" w:space="0" w:color="auto"/>
            <w:right w:val="none" w:sz="0" w:space="0" w:color="auto"/>
          </w:divBdr>
          <w:divsChild>
            <w:div w:id="489105494">
              <w:marLeft w:val="0"/>
              <w:marRight w:val="0"/>
              <w:marTop w:val="0"/>
              <w:marBottom w:val="0"/>
              <w:divBdr>
                <w:top w:val="none" w:sz="0" w:space="0" w:color="auto"/>
                <w:left w:val="none" w:sz="0" w:space="0" w:color="auto"/>
                <w:bottom w:val="none" w:sz="0" w:space="0" w:color="auto"/>
                <w:right w:val="none" w:sz="0" w:space="0" w:color="auto"/>
              </w:divBdr>
              <w:divsChild>
                <w:div w:id="1024939965">
                  <w:marLeft w:val="0"/>
                  <w:marRight w:val="0"/>
                  <w:marTop w:val="0"/>
                  <w:marBottom w:val="0"/>
                  <w:divBdr>
                    <w:top w:val="none" w:sz="0" w:space="0" w:color="auto"/>
                    <w:left w:val="none" w:sz="0" w:space="0" w:color="auto"/>
                    <w:bottom w:val="none" w:sz="0" w:space="0" w:color="auto"/>
                    <w:right w:val="none" w:sz="0" w:space="0" w:color="auto"/>
                  </w:divBdr>
                  <w:divsChild>
                    <w:div w:id="2071224472">
                      <w:marLeft w:val="0"/>
                      <w:marRight w:val="0"/>
                      <w:marTop w:val="0"/>
                      <w:marBottom w:val="0"/>
                      <w:divBdr>
                        <w:top w:val="none" w:sz="0" w:space="0" w:color="auto"/>
                        <w:left w:val="none" w:sz="0" w:space="0" w:color="auto"/>
                        <w:bottom w:val="none" w:sz="0" w:space="0" w:color="auto"/>
                        <w:right w:val="none" w:sz="0" w:space="0" w:color="auto"/>
                      </w:divBdr>
                      <w:divsChild>
                        <w:div w:id="1094667222">
                          <w:marLeft w:val="0"/>
                          <w:marRight w:val="0"/>
                          <w:marTop w:val="0"/>
                          <w:marBottom w:val="0"/>
                          <w:divBdr>
                            <w:top w:val="none" w:sz="0" w:space="0" w:color="auto"/>
                            <w:left w:val="none" w:sz="0" w:space="0" w:color="auto"/>
                            <w:bottom w:val="none" w:sz="0" w:space="0" w:color="auto"/>
                            <w:right w:val="none" w:sz="0" w:space="0" w:color="auto"/>
                          </w:divBdr>
                          <w:divsChild>
                            <w:div w:id="174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368950">
      <w:bodyDiv w:val="1"/>
      <w:marLeft w:val="0"/>
      <w:marRight w:val="0"/>
      <w:marTop w:val="0"/>
      <w:marBottom w:val="0"/>
      <w:divBdr>
        <w:top w:val="none" w:sz="0" w:space="0" w:color="auto"/>
        <w:left w:val="none" w:sz="0" w:space="0" w:color="auto"/>
        <w:bottom w:val="none" w:sz="0" w:space="0" w:color="auto"/>
        <w:right w:val="none" w:sz="0" w:space="0" w:color="auto"/>
      </w:divBdr>
      <w:divsChild>
        <w:div w:id="1377663875">
          <w:marLeft w:val="0"/>
          <w:marRight w:val="0"/>
          <w:marTop w:val="0"/>
          <w:marBottom w:val="0"/>
          <w:divBdr>
            <w:top w:val="none" w:sz="0" w:space="0" w:color="auto"/>
            <w:left w:val="none" w:sz="0" w:space="0" w:color="auto"/>
            <w:bottom w:val="none" w:sz="0" w:space="0" w:color="auto"/>
            <w:right w:val="none" w:sz="0" w:space="0" w:color="auto"/>
          </w:divBdr>
          <w:divsChild>
            <w:div w:id="10722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6280">
      <w:bodyDiv w:val="1"/>
      <w:marLeft w:val="0"/>
      <w:marRight w:val="0"/>
      <w:marTop w:val="0"/>
      <w:marBottom w:val="0"/>
      <w:divBdr>
        <w:top w:val="none" w:sz="0" w:space="0" w:color="auto"/>
        <w:left w:val="none" w:sz="0" w:space="0" w:color="auto"/>
        <w:bottom w:val="none" w:sz="0" w:space="0" w:color="auto"/>
        <w:right w:val="none" w:sz="0" w:space="0" w:color="auto"/>
      </w:divBdr>
      <w:divsChild>
        <w:div w:id="228852772">
          <w:marLeft w:val="0"/>
          <w:marRight w:val="0"/>
          <w:marTop w:val="0"/>
          <w:marBottom w:val="0"/>
          <w:divBdr>
            <w:top w:val="none" w:sz="0" w:space="0" w:color="auto"/>
            <w:left w:val="none" w:sz="0" w:space="0" w:color="auto"/>
            <w:bottom w:val="none" w:sz="0" w:space="0" w:color="auto"/>
            <w:right w:val="none" w:sz="0" w:space="0" w:color="auto"/>
          </w:divBdr>
        </w:div>
        <w:div w:id="384910747">
          <w:marLeft w:val="0"/>
          <w:marRight w:val="0"/>
          <w:marTop w:val="0"/>
          <w:marBottom w:val="0"/>
          <w:divBdr>
            <w:top w:val="none" w:sz="0" w:space="0" w:color="auto"/>
            <w:left w:val="none" w:sz="0" w:space="0" w:color="auto"/>
            <w:bottom w:val="none" w:sz="0" w:space="0" w:color="auto"/>
            <w:right w:val="none" w:sz="0" w:space="0" w:color="auto"/>
          </w:divBdr>
        </w:div>
        <w:div w:id="1071931823">
          <w:marLeft w:val="0"/>
          <w:marRight w:val="0"/>
          <w:marTop w:val="0"/>
          <w:marBottom w:val="0"/>
          <w:divBdr>
            <w:top w:val="none" w:sz="0" w:space="0" w:color="auto"/>
            <w:left w:val="none" w:sz="0" w:space="0" w:color="auto"/>
            <w:bottom w:val="none" w:sz="0" w:space="0" w:color="auto"/>
            <w:right w:val="none" w:sz="0" w:space="0" w:color="auto"/>
          </w:divBdr>
        </w:div>
        <w:div w:id="1525052120">
          <w:marLeft w:val="0"/>
          <w:marRight w:val="0"/>
          <w:marTop w:val="0"/>
          <w:marBottom w:val="0"/>
          <w:divBdr>
            <w:top w:val="none" w:sz="0" w:space="0" w:color="auto"/>
            <w:left w:val="none" w:sz="0" w:space="0" w:color="auto"/>
            <w:bottom w:val="none" w:sz="0" w:space="0" w:color="auto"/>
            <w:right w:val="none" w:sz="0" w:space="0" w:color="auto"/>
          </w:divBdr>
        </w:div>
        <w:div w:id="1527014211">
          <w:marLeft w:val="0"/>
          <w:marRight w:val="0"/>
          <w:marTop w:val="0"/>
          <w:marBottom w:val="0"/>
          <w:divBdr>
            <w:top w:val="none" w:sz="0" w:space="0" w:color="auto"/>
            <w:left w:val="none" w:sz="0" w:space="0" w:color="auto"/>
            <w:bottom w:val="none" w:sz="0" w:space="0" w:color="auto"/>
            <w:right w:val="none" w:sz="0" w:space="0" w:color="auto"/>
          </w:divBdr>
        </w:div>
      </w:divsChild>
    </w:div>
    <w:div w:id="2047216044">
      <w:bodyDiv w:val="1"/>
      <w:marLeft w:val="0"/>
      <w:marRight w:val="0"/>
      <w:marTop w:val="0"/>
      <w:marBottom w:val="0"/>
      <w:divBdr>
        <w:top w:val="none" w:sz="0" w:space="0" w:color="auto"/>
        <w:left w:val="none" w:sz="0" w:space="0" w:color="auto"/>
        <w:bottom w:val="none" w:sz="0" w:space="0" w:color="auto"/>
        <w:right w:val="none" w:sz="0" w:space="0" w:color="auto"/>
      </w:divBdr>
      <w:divsChild>
        <w:div w:id="750350450">
          <w:marLeft w:val="0"/>
          <w:marRight w:val="0"/>
          <w:marTop w:val="0"/>
          <w:marBottom w:val="0"/>
          <w:divBdr>
            <w:top w:val="none" w:sz="0" w:space="0" w:color="auto"/>
            <w:left w:val="none" w:sz="0" w:space="0" w:color="auto"/>
            <w:bottom w:val="none" w:sz="0" w:space="0" w:color="auto"/>
            <w:right w:val="none" w:sz="0" w:space="0" w:color="auto"/>
          </w:divBdr>
        </w:div>
        <w:div w:id="1211071745">
          <w:marLeft w:val="0"/>
          <w:marRight w:val="0"/>
          <w:marTop w:val="0"/>
          <w:marBottom w:val="0"/>
          <w:divBdr>
            <w:top w:val="none" w:sz="0" w:space="0" w:color="auto"/>
            <w:left w:val="none" w:sz="0" w:space="0" w:color="auto"/>
            <w:bottom w:val="none" w:sz="0" w:space="0" w:color="auto"/>
            <w:right w:val="none" w:sz="0" w:space="0" w:color="auto"/>
          </w:divBdr>
        </w:div>
        <w:div w:id="2086223089">
          <w:marLeft w:val="0"/>
          <w:marRight w:val="0"/>
          <w:marTop w:val="0"/>
          <w:marBottom w:val="0"/>
          <w:divBdr>
            <w:top w:val="none" w:sz="0" w:space="0" w:color="auto"/>
            <w:left w:val="none" w:sz="0" w:space="0" w:color="auto"/>
            <w:bottom w:val="none" w:sz="0" w:space="0" w:color="auto"/>
            <w:right w:val="none" w:sz="0" w:space="0" w:color="auto"/>
          </w:divBdr>
        </w:div>
      </w:divsChild>
    </w:div>
    <w:div w:id="2119447597">
      <w:bodyDiv w:val="1"/>
      <w:marLeft w:val="0"/>
      <w:marRight w:val="0"/>
      <w:marTop w:val="0"/>
      <w:marBottom w:val="0"/>
      <w:divBdr>
        <w:top w:val="none" w:sz="0" w:space="0" w:color="auto"/>
        <w:left w:val="none" w:sz="0" w:space="0" w:color="auto"/>
        <w:bottom w:val="none" w:sz="0" w:space="0" w:color="auto"/>
        <w:right w:val="none" w:sz="0" w:space="0" w:color="auto"/>
      </w:divBdr>
      <w:divsChild>
        <w:div w:id="140001031">
          <w:marLeft w:val="0"/>
          <w:marRight w:val="0"/>
          <w:marTop w:val="0"/>
          <w:marBottom w:val="0"/>
          <w:divBdr>
            <w:top w:val="none" w:sz="0" w:space="0" w:color="auto"/>
            <w:left w:val="none" w:sz="0" w:space="0" w:color="auto"/>
            <w:bottom w:val="none" w:sz="0" w:space="0" w:color="auto"/>
            <w:right w:val="none" w:sz="0" w:space="0" w:color="auto"/>
          </w:divBdr>
        </w:div>
        <w:div w:id="914701479">
          <w:marLeft w:val="0"/>
          <w:marRight w:val="0"/>
          <w:marTop w:val="0"/>
          <w:marBottom w:val="0"/>
          <w:divBdr>
            <w:top w:val="none" w:sz="0" w:space="0" w:color="auto"/>
            <w:left w:val="none" w:sz="0" w:space="0" w:color="auto"/>
            <w:bottom w:val="none" w:sz="0" w:space="0" w:color="auto"/>
            <w:right w:val="none" w:sz="0" w:space="0" w:color="auto"/>
          </w:divBdr>
        </w:div>
        <w:div w:id="1789544930">
          <w:marLeft w:val="0"/>
          <w:marRight w:val="0"/>
          <w:marTop w:val="0"/>
          <w:marBottom w:val="0"/>
          <w:divBdr>
            <w:top w:val="none" w:sz="0" w:space="0" w:color="auto"/>
            <w:left w:val="none" w:sz="0" w:space="0" w:color="auto"/>
            <w:bottom w:val="none" w:sz="0" w:space="0" w:color="auto"/>
            <w:right w:val="none" w:sz="0" w:space="0" w:color="auto"/>
          </w:divBdr>
        </w:div>
        <w:div w:id="1934820726">
          <w:marLeft w:val="0"/>
          <w:marRight w:val="0"/>
          <w:marTop w:val="0"/>
          <w:marBottom w:val="0"/>
          <w:divBdr>
            <w:top w:val="none" w:sz="0" w:space="0" w:color="auto"/>
            <w:left w:val="none" w:sz="0" w:space="0" w:color="auto"/>
            <w:bottom w:val="none" w:sz="0" w:space="0" w:color="auto"/>
            <w:right w:val="none" w:sz="0" w:space="0" w:color="auto"/>
          </w:divBdr>
        </w:div>
        <w:div w:id="196623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trategy-and-policy/eu-budget/performance-and-reporting/horizontal-priorities/gender-equality-mainstreaming_e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il.europarl.europa.eu/oeil/fr/procedure-file?reference=2025/2033(IN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hyperlink" Target="https://commission.europa.eu/publications/budget-expenditure-tracking-and-performance-framework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law/law-making-process/better-regulation/better-regulation-guidelines-and-toolbox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565&amp;qid=1753801752960" TargetMode="External"/><Relationship Id="rId13" Type="http://schemas.openxmlformats.org/officeDocument/2006/relationships/hyperlink" Target="https://eur-lex.europa.eu/eli/reg/2024/2509/oj/fra" TargetMode="External"/><Relationship Id="rId3" Type="http://schemas.openxmlformats.org/officeDocument/2006/relationships/hyperlink" Target="https://eur-lex.europa.eu/eli/reg/2021/695/oj?locale=fr" TargetMode="External"/><Relationship Id="rId7" Type="http://schemas.openxmlformats.org/officeDocument/2006/relationships/hyperlink" Target="https://commission.europa.eu/publications/budget-expenditure-tracking-and-performance-framework_en" TargetMode="External"/><Relationship Id="rId12" Type="http://schemas.openxmlformats.org/officeDocument/2006/relationships/hyperlink" Target="https://commission.europa.eu/publications/agoraeu_en" TargetMode="External"/><Relationship Id="rId2" Type="http://schemas.openxmlformats.org/officeDocument/2006/relationships/hyperlink" Target="https://eur-lex.europa.eu/legal-content/FR/TXT/?uri=CELEX:32021R1060" TargetMode="External"/><Relationship Id="rId1" Type="http://schemas.openxmlformats.org/officeDocument/2006/relationships/hyperlink" Target="https://eur-lex.europa.eu/eli/reg/2021/947/oj/fra" TargetMode="External"/><Relationship Id="rId6" Type="http://schemas.openxmlformats.org/officeDocument/2006/relationships/hyperlink" Target="https://commission.europa.eu/publications/budget-expenditure-tracking-and-performance-framework_en" TargetMode="External"/><Relationship Id="rId11" Type="http://schemas.openxmlformats.org/officeDocument/2006/relationships/hyperlink" Target="https://commission.europa.eu/publications/global-europe_en" TargetMode="External"/><Relationship Id="rId5" Type="http://schemas.openxmlformats.org/officeDocument/2006/relationships/hyperlink" Target="https://eur-lex.europa.eu/eli/reg/2021/2115/oj/fra" TargetMode="External"/><Relationship Id="rId10" Type="http://schemas.openxmlformats.org/officeDocument/2006/relationships/hyperlink" Target="https://commission.europa.eu/publications/horizon-europe_en" TargetMode="External"/><Relationship Id="rId4" Type="http://schemas.openxmlformats.org/officeDocument/2006/relationships/hyperlink" Target="https://eur-lex.europa.eu/eli/reg/2021/241/oj/fra" TargetMode="External"/><Relationship Id="rId9" Type="http://schemas.openxmlformats.org/officeDocument/2006/relationships/hyperlink" Target="https://commission.europa.eu/publications/european-competitiveness-fund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05B9FCA0-05A9-484D-9993-E47BCB38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9</Pages>
  <Words>4917</Words>
  <Characters>26852</Characters>
  <Application>Microsoft Office Word</Application>
  <DocSecurity>0</DocSecurity>
  <PresentationFormat>Microsoft Word 8.0b</PresentationFormat>
  <Lines>383</Lines>
  <Paragraphs>51</Paragraphs>
  <ScaleCrop>false</ScaleCrop>
  <Company>European Commission</Company>
  <LinksUpToDate>false</LinksUpToDate>
  <CharactersWithSpaces>31718</CharactersWithSpaces>
  <SharedDoc>false</SharedDoc>
  <HLinks>
    <vt:vector size="108" baseType="variant">
      <vt:variant>
        <vt:i4>393272</vt:i4>
      </vt:variant>
      <vt:variant>
        <vt:i4>18</vt:i4>
      </vt:variant>
      <vt:variant>
        <vt:i4>0</vt:i4>
      </vt:variant>
      <vt:variant>
        <vt:i4>5</vt:i4>
      </vt:variant>
      <vt:variant>
        <vt:lpwstr>https://commission.europa.eu/publications/budget-expenditure-tracking-and-performance-framework_en</vt:lpwstr>
      </vt:variant>
      <vt:variant>
        <vt:lpwstr/>
      </vt:variant>
      <vt:variant>
        <vt:i4>5243002</vt:i4>
      </vt:variant>
      <vt:variant>
        <vt:i4>15</vt:i4>
      </vt:variant>
      <vt:variant>
        <vt:i4>0</vt:i4>
      </vt:variant>
      <vt:variant>
        <vt:i4>5</vt:i4>
      </vt:variant>
      <vt:variant>
        <vt:lpwstr>https://commission.europa.eu/law/law-making-process/better-regulation/better-regulation-guidelines-and-toolbox_en</vt:lpwstr>
      </vt:variant>
      <vt:variant>
        <vt:lpwstr/>
      </vt:variant>
      <vt:variant>
        <vt:i4>6553683</vt:i4>
      </vt:variant>
      <vt:variant>
        <vt:i4>12</vt:i4>
      </vt:variant>
      <vt:variant>
        <vt:i4>0</vt:i4>
      </vt:variant>
      <vt:variant>
        <vt:i4>5</vt:i4>
      </vt:variant>
      <vt:variant>
        <vt:lpwstr>https://commission.europa.eu/strategy-and-policy/eu-budget/performance-and-reporting/horizontal-priorities/gender-equality-mainstreaming_en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ariant>
        <vt:i4>8061035</vt:i4>
      </vt:variant>
      <vt:variant>
        <vt:i4>39</vt:i4>
      </vt:variant>
      <vt:variant>
        <vt:i4>0</vt:i4>
      </vt:variant>
      <vt:variant>
        <vt:i4>5</vt:i4>
      </vt:variant>
      <vt:variant>
        <vt:lpwstr>https://eur-lex.europa.eu/eli/reg/2024/2509/oj/eng</vt:lpwstr>
      </vt:variant>
      <vt:variant>
        <vt:lpwstr/>
      </vt:variant>
      <vt:variant>
        <vt:i4>2621513</vt:i4>
      </vt:variant>
      <vt:variant>
        <vt:i4>36</vt:i4>
      </vt:variant>
      <vt:variant>
        <vt:i4>0</vt:i4>
      </vt:variant>
      <vt:variant>
        <vt:i4>5</vt:i4>
      </vt:variant>
      <vt:variant>
        <vt:lpwstr>https://commission.europa.eu/publications/agoraeu_en</vt:lpwstr>
      </vt:variant>
      <vt:variant>
        <vt:lpwstr/>
      </vt:variant>
      <vt:variant>
        <vt:i4>6094952</vt:i4>
      </vt:variant>
      <vt:variant>
        <vt:i4>33</vt:i4>
      </vt:variant>
      <vt:variant>
        <vt:i4>0</vt:i4>
      </vt:variant>
      <vt:variant>
        <vt:i4>5</vt:i4>
      </vt:variant>
      <vt:variant>
        <vt:lpwstr>https://commission.europa.eu/publications/global-europe_en</vt:lpwstr>
      </vt:variant>
      <vt:variant>
        <vt:lpwstr/>
      </vt:variant>
      <vt:variant>
        <vt:i4>3604480</vt:i4>
      </vt:variant>
      <vt:variant>
        <vt:i4>30</vt:i4>
      </vt:variant>
      <vt:variant>
        <vt:i4>0</vt:i4>
      </vt:variant>
      <vt:variant>
        <vt:i4>5</vt:i4>
      </vt:variant>
      <vt:variant>
        <vt:lpwstr>https://commission.europa.eu/publications/horizon-europe_en</vt:lpwstr>
      </vt:variant>
      <vt:variant>
        <vt:lpwstr/>
      </vt:variant>
      <vt:variant>
        <vt:i4>5832752</vt:i4>
      </vt:variant>
      <vt:variant>
        <vt:i4>24</vt:i4>
      </vt:variant>
      <vt:variant>
        <vt:i4>0</vt:i4>
      </vt:variant>
      <vt:variant>
        <vt:i4>5</vt:i4>
      </vt:variant>
      <vt:variant>
        <vt:lpwstr>https://commission.europa.eu/publications/european-competitiveness-fund_en</vt:lpwstr>
      </vt:variant>
      <vt:variant>
        <vt:lpwstr/>
      </vt:variant>
      <vt:variant>
        <vt:i4>1638406</vt:i4>
      </vt:variant>
      <vt:variant>
        <vt:i4>21</vt:i4>
      </vt:variant>
      <vt:variant>
        <vt:i4>0</vt:i4>
      </vt:variant>
      <vt:variant>
        <vt:i4>5</vt:i4>
      </vt:variant>
      <vt:variant>
        <vt:lpwstr>https://eur-lex.europa.eu/legal-content/EN/TXT/?uri=CELEX%3A52025PC0565&amp;qid=1753801752960</vt:lpwstr>
      </vt:variant>
      <vt:variant>
        <vt:lpwstr/>
      </vt:variant>
      <vt:variant>
        <vt:i4>393272</vt:i4>
      </vt:variant>
      <vt:variant>
        <vt:i4>18</vt:i4>
      </vt:variant>
      <vt:variant>
        <vt:i4>0</vt:i4>
      </vt:variant>
      <vt:variant>
        <vt:i4>5</vt:i4>
      </vt:variant>
      <vt:variant>
        <vt:lpwstr>https://commission.europa.eu/publications/budget-expenditure-tracking-and-performance-framework_en</vt:lpwstr>
      </vt:variant>
      <vt:variant>
        <vt:lpwstr/>
      </vt:variant>
      <vt:variant>
        <vt:i4>393272</vt:i4>
      </vt:variant>
      <vt:variant>
        <vt:i4>15</vt:i4>
      </vt:variant>
      <vt:variant>
        <vt:i4>0</vt:i4>
      </vt:variant>
      <vt:variant>
        <vt:i4>5</vt:i4>
      </vt:variant>
      <vt:variant>
        <vt:lpwstr>https://commission.europa.eu/publications/budget-expenditure-tracking-and-performance-framework_en</vt:lpwstr>
      </vt:variant>
      <vt:variant>
        <vt:lpwstr/>
      </vt:variant>
      <vt:variant>
        <vt:i4>8323171</vt:i4>
      </vt:variant>
      <vt:variant>
        <vt:i4>12</vt:i4>
      </vt:variant>
      <vt:variant>
        <vt:i4>0</vt:i4>
      </vt:variant>
      <vt:variant>
        <vt:i4>5</vt:i4>
      </vt:variant>
      <vt:variant>
        <vt:lpwstr>https://eur-lex.europa.eu/eli/reg/2021/2115/oj/eng</vt:lpwstr>
      </vt:variant>
      <vt:variant>
        <vt:lpwstr/>
      </vt:variant>
      <vt:variant>
        <vt:i4>1441885</vt:i4>
      </vt:variant>
      <vt:variant>
        <vt:i4>9</vt:i4>
      </vt:variant>
      <vt:variant>
        <vt:i4>0</vt:i4>
      </vt:variant>
      <vt:variant>
        <vt:i4>5</vt:i4>
      </vt:variant>
      <vt:variant>
        <vt:lpwstr>https://eur-lex.europa.eu/eli/reg/2021/241/oj/eng</vt:lpwstr>
      </vt:variant>
      <vt:variant>
        <vt:lpwstr/>
      </vt:variant>
      <vt:variant>
        <vt:i4>5701727</vt:i4>
      </vt:variant>
      <vt:variant>
        <vt:i4>6</vt:i4>
      </vt:variant>
      <vt:variant>
        <vt:i4>0</vt:i4>
      </vt:variant>
      <vt:variant>
        <vt:i4>5</vt:i4>
      </vt:variant>
      <vt:variant>
        <vt:lpwstr>https://eur-lex.europa.eu/eli/reg/2021/695/oj</vt:lpwstr>
      </vt:variant>
      <vt:variant>
        <vt:lpwstr/>
      </vt:variant>
      <vt:variant>
        <vt:i4>1441863</vt:i4>
      </vt:variant>
      <vt:variant>
        <vt:i4>3</vt:i4>
      </vt:variant>
      <vt:variant>
        <vt:i4>0</vt:i4>
      </vt:variant>
      <vt:variant>
        <vt:i4>5</vt:i4>
      </vt:variant>
      <vt:variant>
        <vt:lpwstr>https://eur-lex.europa.eu/legal-content/EN/TXT/?uri=CELEX:32021R1060</vt:lpwstr>
      </vt:variant>
      <vt:variant>
        <vt:lpwstr/>
      </vt:variant>
      <vt:variant>
        <vt:i4>1769565</vt:i4>
      </vt:variant>
      <vt:variant>
        <vt:i4>0</vt:i4>
      </vt:variant>
      <vt:variant>
        <vt:i4>0</vt:i4>
      </vt:variant>
      <vt:variant>
        <vt:i4>5</vt:i4>
      </vt:variant>
      <vt:variant>
        <vt:lpwstr>https://eur-lex.europa.eu/eli/reg/2021/947/oj/eng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2017-11-26T08:27:00Z</cp:lastPrinted>
  <dcterms:created xsi:type="dcterms:W3CDTF">2026-02-23T12:21:00Z</dcterms:created>
  <dcterms:modified xsi:type="dcterms:W3CDTF">2026-02-23T12:21:00Z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y fmtid="{D5CDD505-2E9C-101B-9397-08002B2CF9AE}" pid="23" name="Countries">
    <vt:lpwstr/>
  </property>
  <property fmtid="{D5CDD505-2E9C-101B-9397-08002B2CF9AE}" pid="24" name="DGs">
    <vt:lpwstr/>
  </property>
</Properties>
</file>