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3AD78779" w:rsidR="00963420" w:rsidRPr="00882CCC" w:rsidRDefault="00963420" w:rsidP="0084310E">
      <w:pPr>
        <w:spacing w:after="720"/>
        <w:jc w:val="center"/>
        <w:rPr>
          <w:rFonts w:ascii="Times New Roman" w:hAnsi="Times New Roman"/>
          <w:b/>
          <w:lang w:val="en-IE"/>
        </w:rPr>
      </w:pPr>
      <w:r w:rsidRPr="00882CCC">
        <w:rPr>
          <w:rFonts w:ascii="Times New Roman" w:hAnsi="Times New Roman"/>
          <w:b/>
          <w:lang w:val="en-IE"/>
        </w:rPr>
        <w:t>Follow-up to the European Parliament non-legislative resolution on</w:t>
      </w:r>
      <w:r w:rsidR="00F166B4" w:rsidRPr="00882CCC">
        <w:rPr>
          <w:rFonts w:ascii="Times New Roman" w:hAnsi="Times New Roman"/>
          <w:b/>
          <w:lang w:val="en-IE"/>
        </w:rPr>
        <w:t xml:space="preserve"> </w:t>
      </w:r>
      <w:r w:rsidR="009B3476">
        <w:rPr>
          <w:rFonts w:ascii="Times New Roman" w:hAnsi="Times New Roman"/>
          <w:b/>
          <w:lang w:val="en-IE"/>
        </w:rPr>
        <w:t>the s</w:t>
      </w:r>
      <w:r w:rsidR="005205DB" w:rsidRPr="00882CCC">
        <w:rPr>
          <w:rFonts w:ascii="Times New Roman" w:hAnsi="Times New Roman"/>
          <w:b/>
          <w:lang w:val="en-IE"/>
        </w:rPr>
        <w:t>tock-taking of the European elections 2024</w:t>
      </w:r>
      <w:r w:rsidRPr="00882CCC">
        <w:rPr>
          <w:rFonts w:ascii="Times New Roman" w:hAnsi="Times New Roman"/>
          <w:b/>
          <w:lang w:val="en-IE"/>
        </w:rPr>
        <w:t xml:space="preserve"> </w:t>
      </w:r>
    </w:p>
    <w:p w14:paraId="222E65B7" w14:textId="74C9C895" w:rsidR="00963420" w:rsidRPr="00721138" w:rsidRDefault="066AE303" w:rsidP="51B0B49D">
      <w:pPr>
        <w:numPr>
          <w:ilvl w:val="0"/>
          <w:numId w:val="34"/>
        </w:numPr>
        <w:ind w:left="567" w:hanging="567"/>
        <w:rPr>
          <w:rFonts w:ascii="Times New Roman" w:hAnsi="Times New Roman"/>
          <w:i/>
          <w:lang w:val="en-IE"/>
        </w:rPr>
      </w:pPr>
      <w:r w:rsidRPr="00721138">
        <w:rPr>
          <w:rFonts w:ascii="Times New Roman" w:hAnsi="Times New Roman"/>
          <w:b/>
          <w:lang w:val="en-IE"/>
        </w:rPr>
        <w:t>Rapporteur:</w:t>
      </w:r>
      <w:r w:rsidRPr="00721138">
        <w:rPr>
          <w:rFonts w:ascii="Times New Roman" w:hAnsi="Times New Roman"/>
          <w:lang w:val="en-IE"/>
        </w:rPr>
        <w:t xml:space="preserve"> </w:t>
      </w:r>
      <w:r w:rsidR="4C075172" w:rsidRPr="00721138">
        <w:rPr>
          <w:rFonts w:ascii="Times New Roman" w:hAnsi="Times New Roman"/>
          <w:lang w:val="en-IE"/>
        </w:rPr>
        <w:t xml:space="preserve">Ľubica </w:t>
      </w:r>
      <w:r w:rsidR="4C075172" w:rsidRPr="00337A65">
        <w:rPr>
          <w:rFonts w:ascii="Times New Roman" w:hAnsi="Times New Roman"/>
          <w:caps/>
          <w:lang w:val="en-IE"/>
        </w:rPr>
        <w:t>Karvašová</w:t>
      </w:r>
      <w:r w:rsidR="4C075172" w:rsidRPr="00721138">
        <w:rPr>
          <w:rFonts w:ascii="Times New Roman" w:hAnsi="Times New Roman"/>
          <w:lang w:val="en-IE"/>
        </w:rPr>
        <w:t xml:space="preserve"> (RENEW</w:t>
      </w:r>
      <w:r w:rsidR="00852B52">
        <w:rPr>
          <w:rFonts w:ascii="Times New Roman" w:hAnsi="Times New Roman"/>
          <w:lang w:val="en-IE"/>
        </w:rPr>
        <w:t xml:space="preserve"> </w:t>
      </w:r>
      <w:r w:rsidR="4C075172" w:rsidRPr="00721138">
        <w:rPr>
          <w:rFonts w:ascii="Times New Roman" w:hAnsi="Times New Roman"/>
          <w:lang w:val="en-IE"/>
        </w:rPr>
        <w:t>/</w:t>
      </w:r>
      <w:r w:rsidR="00852B52">
        <w:rPr>
          <w:rFonts w:ascii="Times New Roman" w:hAnsi="Times New Roman"/>
          <w:lang w:val="en-IE"/>
        </w:rPr>
        <w:t xml:space="preserve"> </w:t>
      </w:r>
      <w:r w:rsidR="4C075172" w:rsidRPr="00721138">
        <w:rPr>
          <w:rFonts w:ascii="Times New Roman" w:hAnsi="Times New Roman"/>
          <w:lang w:val="en-IE"/>
        </w:rPr>
        <w:t xml:space="preserve">SK) </w:t>
      </w:r>
    </w:p>
    <w:p w14:paraId="29C917F7" w14:textId="48B895D8" w:rsidR="00563F16" w:rsidRPr="00721138" w:rsidRDefault="00063DCE" w:rsidP="51B0B49D">
      <w:pPr>
        <w:pStyle w:val="Default"/>
        <w:numPr>
          <w:ilvl w:val="0"/>
          <w:numId w:val="34"/>
        </w:numPr>
        <w:spacing w:after="240"/>
        <w:ind w:left="567" w:hanging="567"/>
        <w:jc w:val="both"/>
        <w:rPr>
          <w:color w:val="auto"/>
          <w:lang w:val="fr-BE"/>
        </w:rPr>
      </w:pPr>
      <w:r w:rsidRPr="00721138">
        <w:rPr>
          <w:b/>
          <w:bCs/>
          <w:color w:val="auto"/>
          <w:lang w:val="fr-BE"/>
        </w:rPr>
        <w:t>R</w:t>
      </w:r>
      <w:r w:rsidR="00963420" w:rsidRPr="00721138">
        <w:rPr>
          <w:b/>
          <w:bCs/>
          <w:color w:val="auto"/>
          <w:lang w:val="fr-BE"/>
        </w:rPr>
        <w:t>eference</w:t>
      </w:r>
      <w:r w:rsidR="00CA777E" w:rsidRPr="00721138">
        <w:rPr>
          <w:b/>
          <w:bCs/>
          <w:color w:val="auto"/>
          <w:lang w:val="fr-BE"/>
        </w:rPr>
        <w:t>s</w:t>
      </w:r>
      <w:r w:rsidR="00963420" w:rsidRPr="00721138">
        <w:rPr>
          <w:b/>
          <w:bCs/>
          <w:color w:val="auto"/>
          <w:lang w:val="fr-BE"/>
        </w:rPr>
        <w:t xml:space="preserve">: </w:t>
      </w:r>
      <w:r w:rsidR="005205DB" w:rsidRPr="00721138">
        <w:rPr>
          <w:lang w:val="fr-BE"/>
        </w:rPr>
        <w:t> </w:t>
      </w:r>
      <w:r w:rsidR="00401932" w:rsidRPr="00337A65">
        <w:rPr>
          <w:color w:val="auto"/>
        </w:rPr>
        <w:t>2025/2012(INI)</w:t>
      </w:r>
      <w:r w:rsidR="005205DB" w:rsidRPr="00337A65">
        <w:rPr>
          <w:color w:val="auto"/>
          <w:lang w:val="fr-BE"/>
        </w:rPr>
        <w:t xml:space="preserve"> </w:t>
      </w:r>
      <w:r w:rsidR="00401932" w:rsidRPr="00337A65">
        <w:rPr>
          <w:color w:val="auto"/>
          <w:lang w:val="fr-BE"/>
        </w:rPr>
        <w:t>/</w:t>
      </w:r>
      <w:r w:rsidR="00401932">
        <w:rPr>
          <w:lang w:val="fr-BE"/>
        </w:rPr>
        <w:t xml:space="preserve"> </w:t>
      </w:r>
      <w:r w:rsidR="005205DB" w:rsidRPr="00721138">
        <w:rPr>
          <w:lang w:val="fr-BE"/>
        </w:rPr>
        <w:t>A10-0156/2025</w:t>
      </w:r>
      <w:r w:rsidR="00337A65">
        <w:rPr>
          <w:lang w:val="fr-BE"/>
        </w:rPr>
        <w:t xml:space="preserve"> </w:t>
      </w:r>
      <w:r w:rsidR="005205DB" w:rsidRPr="00721138">
        <w:rPr>
          <w:lang w:val="fr-BE"/>
        </w:rPr>
        <w:t>/</w:t>
      </w:r>
      <w:r w:rsidR="005205DB" w:rsidRPr="00721138">
        <w:rPr>
          <w:color w:val="auto"/>
          <w:lang w:val="fr-BE"/>
        </w:rPr>
        <w:t xml:space="preserve"> </w:t>
      </w:r>
      <w:r w:rsidR="005205DB" w:rsidRPr="00721138">
        <w:rPr>
          <w:lang w:val="fr-BE"/>
        </w:rPr>
        <w:t>P10_TA(2025)0198</w:t>
      </w:r>
      <w:r w:rsidR="007F37AE" w:rsidRPr="00721138">
        <w:rPr>
          <w:i/>
          <w:iCs/>
          <w:lang w:val="fr-BE"/>
        </w:rPr>
        <w:t xml:space="preserve"> </w:t>
      </w:r>
    </w:p>
    <w:p w14:paraId="61D85C18" w14:textId="09EE5161" w:rsidR="001F0B89" w:rsidRPr="00882CCC" w:rsidRDefault="00963420" w:rsidP="0084310E">
      <w:pPr>
        <w:numPr>
          <w:ilvl w:val="0"/>
          <w:numId w:val="34"/>
        </w:numPr>
        <w:ind w:left="567" w:hanging="567"/>
        <w:rPr>
          <w:rFonts w:ascii="Times New Roman" w:hAnsi="Times New Roman"/>
          <w:lang w:val="en-IE"/>
        </w:rPr>
      </w:pPr>
      <w:r w:rsidRPr="00882CCC">
        <w:rPr>
          <w:rFonts w:ascii="Times New Roman" w:hAnsi="Times New Roman"/>
          <w:b/>
          <w:lang w:val="en-IE"/>
        </w:rPr>
        <w:t>Date of adoption of the resolution:</w:t>
      </w:r>
      <w:r w:rsidRPr="00882CCC">
        <w:rPr>
          <w:rFonts w:ascii="Times New Roman" w:hAnsi="Times New Roman"/>
          <w:lang w:val="en-IE"/>
        </w:rPr>
        <w:t xml:space="preserve"> </w:t>
      </w:r>
      <w:r w:rsidR="005205DB" w:rsidRPr="00882CCC">
        <w:rPr>
          <w:rFonts w:ascii="Times New Roman" w:hAnsi="Times New Roman"/>
          <w:lang w:val="en-IE"/>
        </w:rPr>
        <w:t>11 September 2025</w:t>
      </w:r>
    </w:p>
    <w:p w14:paraId="4451E813" w14:textId="4120588A" w:rsidR="00963420" w:rsidRPr="00882CCC" w:rsidRDefault="00963420" w:rsidP="0084310E">
      <w:pPr>
        <w:numPr>
          <w:ilvl w:val="0"/>
          <w:numId w:val="34"/>
        </w:numPr>
        <w:ind w:left="567" w:hanging="567"/>
        <w:rPr>
          <w:rFonts w:ascii="Times New Roman" w:hAnsi="Times New Roman"/>
          <w:i/>
          <w:lang w:val="en-IE"/>
        </w:rPr>
      </w:pPr>
      <w:r w:rsidRPr="00882CCC">
        <w:rPr>
          <w:rFonts w:ascii="Times New Roman" w:hAnsi="Times New Roman"/>
          <w:b/>
          <w:lang w:val="en-IE"/>
        </w:rPr>
        <w:t xml:space="preserve">Competent Parliamentary Committee: </w:t>
      </w:r>
      <w:r w:rsidR="00EA2741" w:rsidRPr="00882CCC">
        <w:rPr>
          <w:rFonts w:ascii="Times New Roman" w:hAnsi="Times New Roman"/>
          <w:lang w:val="en-IE"/>
        </w:rPr>
        <w:t>Committee on</w:t>
      </w:r>
      <w:r w:rsidR="005205DB" w:rsidRPr="00882CCC">
        <w:rPr>
          <w:rFonts w:ascii="Times New Roman" w:hAnsi="Times New Roman"/>
          <w:color w:val="1E1E1F"/>
          <w:sz w:val="21"/>
          <w:shd w:val="clear" w:color="auto" w:fill="FFFFFF"/>
          <w:lang w:val="en-IE"/>
        </w:rPr>
        <w:t xml:space="preserve"> </w:t>
      </w:r>
      <w:r w:rsidR="005205DB" w:rsidRPr="00882CCC">
        <w:rPr>
          <w:rFonts w:ascii="Times New Roman" w:hAnsi="Times New Roman"/>
          <w:lang w:val="en-IE"/>
        </w:rPr>
        <w:t>Constitutional Affairs</w:t>
      </w:r>
      <w:r w:rsidR="00BC39D0">
        <w:rPr>
          <w:rFonts w:ascii="Times New Roman" w:hAnsi="Times New Roman"/>
          <w:lang w:val="en-IE"/>
        </w:rPr>
        <w:t xml:space="preserve"> (AFCO)</w:t>
      </w:r>
      <w:r w:rsidR="00EA2741" w:rsidRPr="00882CCC">
        <w:rPr>
          <w:rFonts w:ascii="Times New Roman" w:hAnsi="Times New Roman"/>
          <w:i/>
          <w:lang w:val="en-IE"/>
        </w:rPr>
        <w:t xml:space="preserve"> </w:t>
      </w:r>
    </w:p>
    <w:p w14:paraId="6C7E6DB3" w14:textId="77777777" w:rsidR="005205DB" w:rsidRPr="00882CCC" w:rsidRDefault="00963420" w:rsidP="00337A65">
      <w:pPr>
        <w:widowControl w:val="0"/>
        <w:numPr>
          <w:ilvl w:val="0"/>
          <w:numId w:val="34"/>
        </w:numPr>
        <w:ind w:left="567" w:hanging="567"/>
        <w:rPr>
          <w:rFonts w:ascii="Times New Roman" w:hAnsi="Times New Roman"/>
          <w:b/>
          <w:lang w:val="en-IE"/>
        </w:rPr>
      </w:pPr>
      <w:r w:rsidRPr="00882CCC">
        <w:rPr>
          <w:rFonts w:ascii="Times New Roman" w:hAnsi="Times New Roman"/>
          <w:b/>
          <w:lang w:val="en-IE"/>
        </w:rPr>
        <w:t>Brief analysis/</w:t>
      </w:r>
      <w:r w:rsidR="00AB3960" w:rsidRPr="00882CCC">
        <w:rPr>
          <w:rFonts w:ascii="Times New Roman" w:hAnsi="Times New Roman"/>
          <w:b/>
          <w:lang w:val="en-IE"/>
        </w:rPr>
        <w:t xml:space="preserve"> </w:t>
      </w:r>
      <w:r w:rsidRPr="00882CCC">
        <w:rPr>
          <w:rFonts w:ascii="Times New Roman" w:hAnsi="Times New Roman"/>
          <w:b/>
          <w:lang w:val="en-IE"/>
        </w:rPr>
        <w:t>assessment of the resolution and requests made in it:</w:t>
      </w:r>
      <w:r w:rsidR="00146971" w:rsidRPr="00882CCC">
        <w:rPr>
          <w:rFonts w:ascii="Times New Roman" w:hAnsi="Times New Roman"/>
          <w:b/>
          <w:lang w:val="en-IE"/>
        </w:rPr>
        <w:t xml:space="preserve"> </w:t>
      </w:r>
    </w:p>
    <w:p w14:paraId="25AD0629" w14:textId="6D92498B" w:rsidR="00DF3D24" w:rsidRPr="00882CCC" w:rsidRDefault="00DF3D24" w:rsidP="00DF3D24">
      <w:pPr>
        <w:widowControl w:val="0"/>
        <w:ind w:left="66"/>
        <w:rPr>
          <w:rFonts w:ascii="Times New Roman" w:hAnsi="Times New Roman"/>
          <w:lang w:val="en-IE"/>
        </w:rPr>
      </w:pPr>
      <w:r w:rsidRPr="00882CCC">
        <w:rPr>
          <w:rFonts w:ascii="Times New Roman" w:hAnsi="Times New Roman"/>
          <w:lang w:val="en-IE"/>
        </w:rPr>
        <w:t>The European Parliament’s resolution acknowledges increased voter turnout and efforts to raise awareness about elections and increase visibility of candidates but also highlights divergent participation rates among Member States, limited youth engagement, and under-representation of minorities. It emphasizes the necessity of transforming elections into a genuinely European democratic process by moving beyond nationally focused campaigns.</w:t>
      </w:r>
    </w:p>
    <w:p w14:paraId="611A150A" w14:textId="77777777" w:rsidR="00DF3D24" w:rsidRPr="00882CCC" w:rsidRDefault="00DF3D24" w:rsidP="00DF3D24">
      <w:pPr>
        <w:widowControl w:val="0"/>
        <w:ind w:left="66"/>
        <w:rPr>
          <w:rFonts w:ascii="Times New Roman" w:hAnsi="Times New Roman"/>
          <w:lang w:val="en-IE"/>
        </w:rPr>
      </w:pPr>
      <w:r w:rsidRPr="00882CCC">
        <w:rPr>
          <w:rFonts w:ascii="Times New Roman" w:hAnsi="Times New Roman"/>
          <w:lang w:val="en-IE"/>
        </w:rPr>
        <w:t>The resolution criticizes democratic backsliding, especially in Hungary, and warns of mounting threats from anti-EU parties, disinformation, foreign interference, and political violence. It calls for a coordinated EU strategy to address these challenges, including stricter regulation of online platforms, bans on foreign donations, enhanced protections for media freedom, and improved cybersecurity.</w:t>
      </w:r>
    </w:p>
    <w:p w14:paraId="69827259" w14:textId="4BE27BC8" w:rsidR="005205DB" w:rsidRPr="00882CCC" w:rsidRDefault="00DF3D24" w:rsidP="51B0B49D">
      <w:pPr>
        <w:widowControl w:val="0"/>
        <w:ind w:left="66"/>
        <w:rPr>
          <w:rFonts w:ascii="Times New Roman" w:hAnsi="Times New Roman"/>
          <w:b/>
          <w:lang w:val="en-IE"/>
        </w:rPr>
      </w:pPr>
      <w:r w:rsidRPr="00882CCC">
        <w:rPr>
          <w:rFonts w:ascii="Times New Roman" w:hAnsi="Times New Roman"/>
          <w:lang w:val="en-IE"/>
        </w:rPr>
        <w:t>Furthermore, Parliament reaffirms its calls for institutional and electoral reforms, such as harmonised voting procedures, easier access for mobile and under-represented voters, and the consolidation of the lead candidate process. It also advocates for deeper institutional changes, including granting Parliament legislative initiative powers</w:t>
      </w:r>
      <w:r w:rsidR="006B4357" w:rsidRPr="00882CCC">
        <w:rPr>
          <w:rFonts w:ascii="Times New Roman" w:hAnsi="Times New Roman"/>
          <w:lang w:val="en-IE"/>
        </w:rPr>
        <w:t xml:space="preserve"> and </w:t>
      </w:r>
      <w:r w:rsidRPr="00882CCC">
        <w:rPr>
          <w:rFonts w:ascii="Times New Roman" w:hAnsi="Times New Roman"/>
          <w:lang w:val="en-IE"/>
        </w:rPr>
        <w:t>expanding its inquiry capabilities.</w:t>
      </w:r>
    </w:p>
    <w:p w14:paraId="780B6643" w14:textId="4C260EA9" w:rsidR="00963420" w:rsidRPr="00882CCC" w:rsidRDefault="00963420" w:rsidP="0084310E">
      <w:pPr>
        <w:widowControl w:val="0"/>
        <w:numPr>
          <w:ilvl w:val="0"/>
          <w:numId w:val="34"/>
        </w:numPr>
        <w:ind w:left="567" w:hanging="567"/>
        <w:rPr>
          <w:rFonts w:ascii="Times New Roman" w:hAnsi="Times New Roman"/>
          <w:b/>
          <w:lang w:val="en-IE"/>
        </w:rPr>
      </w:pPr>
      <w:r w:rsidRPr="00882CCC">
        <w:rPr>
          <w:rFonts w:ascii="Times New Roman" w:hAnsi="Times New Roman"/>
          <w:b/>
          <w:lang w:val="en-IE"/>
        </w:rPr>
        <w:t>Response to requests and overview of action</w:t>
      </w:r>
      <w:r w:rsidR="001946EE" w:rsidRPr="00882CCC">
        <w:rPr>
          <w:rFonts w:ascii="Times New Roman" w:hAnsi="Times New Roman"/>
          <w:b/>
          <w:lang w:val="en-IE"/>
        </w:rPr>
        <w:t>s</w:t>
      </w:r>
      <w:r w:rsidRPr="00882CCC">
        <w:rPr>
          <w:rFonts w:ascii="Times New Roman" w:hAnsi="Times New Roman"/>
          <w:b/>
          <w:lang w:val="en-IE"/>
        </w:rPr>
        <w:t xml:space="preserve"> taken, or intended to be taken, by the Commission:</w:t>
      </w:r>
    </w:p>
    <w:p w14:paraId="205034A7" w14:textId="1E2A335A" w:rsidR="00DF3D24" w:rsidRPr="00882CCC" w:rsidRDefault="00DF3D24" w:rsidP="00DF3D24">
      <w:pPr>
        <w:widowControl w:val="0"/>
        <w:rPr>
          <w:rFonts w:ascii="Times New Roman" w:hAnsi="Times New Roman"/>
          <w:b/>
          <w:i/>
          <w:lang w:val="en-IE"/>
        </w:rPr>
      </w:pPr>
      <w:r w:rsidRPr="00882CCC">
        <w:rPr>
          <w:rFonts w:ascii="Times New Roman" w:hAnsi="Times New Roman"/>
          <w:b/>
          <w:i/>
          <w:lang w:val="en-IE"/>
        </w:rPr>
        <w:t>13. … Recalls that the upcoming report of the Commission</w:t>
      </w:r>
      <w:r w:rsidRPr="00882CCC">
        <w:rPr>
          <w:rFonts w:ascii="Times New Roman" w:hAnsi="Times New Roman"/>
          <w:i/>
          <w:lang w:val="en-IE"/>
        </w:rPr>
        <w:t xml:space="preserve"> on the application of Regulation (EU, Euratom) No 1141/2014 on the statute and funding of European political parties and European political foundations (pending recast) </w:t>
      </w:r>
      <w:r w:rsidRPr="00882CCC">
        <w:rPr>
          <w:rFonts w:ascii="Times New Roman" w:hAnsi="Times New Roman"/>
          <w:b/>
          <w:i/>
          <w:lang w:val="en-IE"/>
        </w:rPr>
        <w:t>should pay particular attention to the rules governing the financing of European political foundations and should propose amendments to the Regulation if necessary;</w:t>
      </w:r>
    </w:p>
    <w:p w14:paraId="143F26F1" w14:textId="67AA8E14" w:rsidR="00B8115D" w:rsidRPr="00882CCC" w:rsidRDefault="00B8115D" w:rsidP="00DF3D24">
      <w:pPr>
        <w:widowControl w:val="0"/>
        <w:rPr>
          <w:rFonts w:ascii="Times New Roman" w:hAnsi="Times New Roman"/>
          <w:lang w:val="en-IE"/>
        </w:rPr>
      </w:pPr>
      <w:bookmarkStart w:id="0" w:name="_Hlk211241325"/>
      <w:r w:rsidRPr="00882CCC">
        <w:rPr>
          <w:rFonts w:ascii="Times New Roman" w:hAnsi="Times New Roman"/>
          <w:lang w:val="en-IE"/>
        </w:rPr>
        <w:t>Political agreement was reached on t</w:t>
      </w:r>
      <w:r w:rsidR="00B226F1" w:rsidRPr="00882CCC">
        <w:rPr>
          <w:rFonts w:ascii="Times New Roman" w:hAnsi="Times New Roman"/>
          <w:lang w:val="en-IE"/>
        </w:rPr>
        <w:t xml:space="preserve">he </w:t>
      </w:r>
      <w:r w:rsidRPr="00882CCC">
        <w:rPr>
          <w:rFonts w:ascii="Times New Roman" w:hAnsi="Times New Roman"/>
          <w:lang w:val="en-IE"/>
        </w:rPr>
        <w:t xml:space="preserve">revised Regulation on the statute and funding of the European political parties and European political foundations in June 2025. The text of the revised Regulation </w:t>
      </w:r>
      <w:r w:rsidR="001633E4" w:rsidRPr="00882CCC">
        <w:rPr>
          <w:rFonts w:ascii="Times New Roman" w:hAnsi="Times New Roman"/>
          <w:lang w:val="en-IE"/>
        </w:rPr>
        <w:t xml:space="preserve">was </w:t>
      </w:r>
      <w:r w:rsidRPr="00882CCC">
        <w:rPr>
          <w:rFonts w:ascii="Times New Roman" w:hAnsi="Times New Roman"/>
          <w:lang w:val="en-IE"/>
        </w:rPr>
        <w:t xml:space="preserve">approved by Parliament </w:t>
      </w:r>
      <w:r w:rsidR="00503C38" w:rsidRPr="00882CCC">
        <w:rPr>
          <w:rFonts w:ascii="Times New Roman" w:hAnsi="Times New Roman"/>
          <w:lang w:val="en-IE"/>
        </w:rPr>
        <w:t>on 21 October 2025</w:t>
      </w:r>
      <w:r w:rsidRPr="00882CCC">
        <w:rPr>
          <w:rFonts w:ascii="Times New Roman" w:hAnsi="Times New Roman"/>
          <w:lang w:val="en-IE"/>
        </w:rPr>
        <w:t>.</w:t>
      </w:r>
    </w:p>
    <w:p w14:paraId="08425463" w14:textId="1519739A" w:rsidR="00B8115D" w:rsidRPr="00882CCC" w:rsidRDefault="00B8115D" w:rsidP="51B0B49D">
      <w:pPr>
        <w:widowControl w:val="0"/>
        <w:rPr>
          <w:rFonts w:ascii="Times New Roman" w:hAnsi="Times New Roman"/>
          <w:lang w:val="en-IE"/>
        </w:rPr>
      </w:pPr>
      <w:r w:rsidRPr="00882CCC">
        <w:rPr>
          <w:rFonts w:ascii="Times New Roman" w:hAnsi="Times New Roman"/>
          <w:lang w:val="en-IE"/>
        </w:rPr>
        <w:t xml:space="preserve">Under the terms of Article 45 of the new Regulation, the European Parliament must publish a report on the application of the Regulation six months after the entry into force of the regulation. Article 45 in turn requires the Commission to present its own report on the application of the Regulation no more than one year after the publication of the report by the European Parliament. Both co-legislators agreed that in this report the Commission should pay particular attention to the implications of the Regulation on “the position of small European political parties and European political foundations and for the rules governing the financing of European political foundations.” The Commission may propose </w:t>
      </w:r>
      <w:r w:rsidRPr="00882CCC">
        <w:rPr>
          <w:rFonts w:ascii="Times New Roman" w:hAnsi="Times New Roman"/>
          <w:lang w:val="en-IE"/>
        </w:rPr>
        <w:lastRenderedPageBreak/>
        <w:t>amendments to the Regulation based on this report, if deemed necessary.</w:t>
      </w:r>
    </w:p>
    <w:p w14:paraId="1B79C09B" w14:textId="3BEF745C" w:rsidR="00B8115D" w:rsidRPr="00882CCC" w:rsidRDefault="00B8115D" w:rsidP="51B0B49D">
      <w:pPr>
        <w:widowControl w:val="0"/>
        <w:rPr>
          <w:rFonts w:ascii="Times New Roman" w:hAnsi="Times New Roman"/>
          <w:lang w:val="en-IE"/>
        </w:rPr>
      </w:pPr>
      <w:r w:rsidRPr="00882CCC">
        <w:rPr>
          <w:rFonts w:ascii="Times New Roman" w:hAnsi="Times New Roman"/>
          <w:lang w:val="en-IE"/>
        </w:rPr>
        <w:t xml:space="preserve">The Commission looks forward to the </w:t>
      </w:r>
      <w:r w:rsidR="00F84144">
        <w:rPr>
          <w:rFonts w:ascii="Times New Roman" w:hAnsi="Times New Roman"/>
          <w:lang w:val="en-IE"/>
        </w:rPr>
        <w:t>entry into force</w:t>
      </w:r>
      <w:r w:rsidR="00F84144" w:rsidRPr="00882CCC">
        <w:rPr>
          <w:rFonts w:ascii="Times New Roman" w:hAnsi="Times New Roman"/>
          <w:lang w:val="en-IE"/>
        </w:rPr>
        <w:t xml:space="preserve"> </w:t>
      </w:r>
      <w:r w:rsidRPr="00882CCC">
        <w:rPr>
          <w:rFonts w:ascii="Times New Roman" w:hAnsi="Times New Roman"/>
          <w:lang w:val="en-IE"/>
        </w:rPr>
        <w:t xml:space="preserve">of the revised Regulation and </w:t>
      </w:r>
      <w:r w:rsidR="000535BB" w:rsidRPr="00882CCC">
        <w:rPr>
          <w:rFonts w:ascii="Times New Roman" w:hAnsi="Times New Roman"/>
          <w:lang w:val="en-IE"/>
        </w:rPr>
        <w:t>is committed to fulfilling all obligations set out under the new text. Upon receipt of the Parliament’s report the Commission is ready to assess the impact of the Regulation in accordance with the procedure and requirements set out in Article 45 of the new Regulation.</w:t>
      </w:r>
    </w:p>
    <w:bookmarkEnd w:id="0"/>
    <w:p w14:paraId="4F2D42ED" w14:textId="4CDD53E6" w:rsidR="00DF3D24" w:rsidRPr="00882CCC" w:rsidRDefault="00DF3D24" w:rsidP="00DF3D24">
      <w:pPr>
        <w:widowControl w:val="0"/>
        <w:rPr>
          <w:rFonts w:ascii="Times New Roman" w:hAnsi="Times New Roman"/>
          <w:i/>
          <w:lang w:val="en-IE"/>
        </w:rPr>
      </w:pPr>
      <w:r w:rsidRPr="00882CCC">
        <w:rPr>
          <w:rFonts w:ascii="Times New Roman" w:hAnsi="Times New Roman"/>
          <w:i/>
          <w:lang w:val="en-IE"/>
        </w:rPr>
        <w:t xml:space="preserve">19.  Reiterates its </w:t>
      </w:r>
      <w:r w:rsidRPr="00882CCC">
        <w:rPr>
          <w:rFonts w:ascii="Times New Roman" w:hAnsi="Times New Roman"/>
          <w:b/>
          <w:i/>
          <w:lang w:val="en-IE"/>
        </w:rPr>
        <w:t>call on the Commission</w:t>
      </w:r>
      <w:r w:rsidRPr="00882CCC">
        <w:rPr>
          <w:rFonts w:ascii="Times New Roman" w:hAnsi="Times New Roman"/>
          <w:i/>
          <w:lang w:val="en-IE"/>
        </w:rPr>
        <w:t xml:space="preserve"> and the Member States </w:t>
      </w:r>
      <w:r w:rsidRPr="00882CCC">
        <w:rPr>
          <w:rFonts w:ascii="Times New Roman" w:hAnsi="Times New Roman"/>
          <w:b/>
          <w:i/>
          <w:lang w:val="en-IE"/>
        </w:rPr>
        <w:t>to ramp up efforts to combat foreign interference and disinformation through a multilayer, coordinated and cross-sector strategy, supported by adequate financial resources, to equip the EU and its Member States with appropriate foresight and resilience policies and deterrence tools</w:t>
      </w:r>
      <w:r w:rsidRPr="00882CCC">
        <w:rPr>
          <w:rFonts w:ascii="Times New Roman" w:hAnsi="Times New Roman"/>
          <w:i/>
          <w:lang w:val="en-IE"/>
        </w:rPr>
        <w:t xml:space="preserve">; in this regard, </w:t>
      </w:r>
      <w:r w:rsidRPr="00882CCC">
        <w:rPr>
          <w:rFonts w:ascii="Times New Roman" w:hAnsi="Times New Roman"/>
          <w:b/>
          <w:i/>
          <w:lang w:val="en-IE"/>
        </w:rPr>
        <w:t>calls on the Commission</w:t>
      </w:r>
      <w:r w:rsidRPr="00882CCC">
        <w:rPr>
          <w:rFonts w:ascii="Times New Roman" w:hAnsi="Times New Roman"/>
          <w:i/>
          <w:lang w:val="en-IE"/>
        </w:rPr>
        <w:t xml:space="preserve">, the European External Action Service and the Member States </w:t>
      </w:r>
      <w:r w:rsidRPr="00882CCC">
        <w:rPr>
          <w:rFonts w:ascii="Times New Roman" w:hAnsi="Times New Roman"/>
          <w:b/>
          <w:i/>
          <w:lang w:val="en-IE"/>
        </w:rPr>
        <w:t>to further reinforce the Union’s strategic response to disinformation and foreign information manipulation and interference</w:t>
      </w:r>
      <w:r w:rsidRPr="00882CCC">
        <w:rPr>
          <w:rFonts w:ascii="Times New Roman" w:hAnsi="Times New Roman"/>
          <w:i/>
          <w:lang w:val="en-IE"/>
        </w:rPr>
        <w:t xml:space="preserve">, and points to numerous EU policy efforts undertaken in recent years, including the DSA, the strengthened Code of Practice on Disinformation and the initiatives under the Democracy Action Plan; </w:t>
      </w:r>
    </w:p>
    <w:p w14:paraId="4CF815FC" w14:textId="74209A57" w:rsidR="00950A10" w:rsidRPr="00882CCC" w:rsidRDefault="00493DE4" w:rsidP="00ED1180">
      <w:pPr>
        <w:widowControl w:val="0"/>
        <w:rPr>
          <w:rFonts w:ascii="Times New Roman" w:hAnsi="Times New Roman"/>
          <w:b/>
          <w:lang w:val="en-IE"/>
        </w:rPr>
      </w:pPr>
      <w:r w:rsidRPr="00882CCC">
        <w:rPr>
          <w:rFonts w:ascii="Times New Roman" w:hAnsi="Times New Roman"/>
          <w:b/>
          <w:lang w:val="en-IE"/>
        </w:rPr>
        <w:t xml:space="preserve">The </w:t>
      </w:r>
      <w:r w:rsidR="00A50DA3" w:rsidRPr="00882CCC">
        <w:rPr>
          <w:rFonts w:ascii="Times New Roman" w:hAnsi="Times New Roman"/>
          <w:b/>
          <w:lang w:val="en-IE"/>
        </w:rPr>
        <w:t>Commission regrets its</w:t>
      </w:r>
      <w:r w:rsidRPr="00882CCC">
        <w:rPr>
          <w:rFonts w:ascii="Times New Roman" w:hAnsi="Times New Roman"/>
          <w:b/>
          <w:lang w:val="en-IE"/>
        </w:rPr>
        <w:t xml:space="preserve"> report on the 2024 </w:t>
      </w:r>
      <w:r w:rsidR="00995135" w:rsidRPr="00882CCC">
        <w:rPr>
          <w:rFonts w:ascii="Times New Roman" w:hAnsi="Times New Roman"/>
          <w:b/>
          <w:lang w:val="en-IE"/>
        </w:rPr>
        <w:t>elections to the European Parliament</w:t>
      </w:r>
      <w:r w:rsidR="00A0150B" w:rsidRPr="00882CCC">
        <w:rPr>
          <w:rFonts w:ascii="Times New Roman" w:hAnsi="Times New Roman"/>
          <w:b/>
          <w:lang w:val="en-IE"/>
        </w:rPr>
        <w:t xml:space="preserve"> as adopted on 6 June 2025</w:t>
      </w:r>
      <w:r w:rsidR="00A0150B" w:rsidRPr="00882CCC">
        <w:rPr>
          <w:rStyle w:val="FootnoteReference"/>
          <w:rFonts w:ascii="Times New Roman" w:hAnsi="Times New Roman"/>
          <w:b/>
          <w:lang w:val="en-IE"/>
        </w:rPr>
        <w:footnoteReference w:id="2"/>
      </w:r>
      <w:r w:rsidR="000C2E96" w:rsidRPr="00882CCC">
        <w:rPr>
          <w:rFonts w:ascii="Times New Roman" w:hAnsi="Times New Roman"/>
          <w:b/>
          <w:lang w:val="en-IE"/>
        </w:rPr>
        <w:t xml:space="preserve"> could</w:t>
      </w:r>
      <w:r w:rsidR="00950A10" w:rsidRPr="00882CCC">
        <w:rPr>
          <w:rFonts w:ascii="Times New Roman" w:hAnsi="Times New Roman"/>
          <w:b/>
          <w:lang w:val="en-IE"/>
        </w:rPr>
        <w:t xml:space="preserve"> not </w:t>
      </w:r>
      <w:r w:rsidR="000C2E96" w:rsidRPr="00882CCC">
        <w:rPr>
          <w:rFonts w:ascii="Times New Roman" w:hAnsi="Times New Roman"/>
          <w:b/>
          <w:lang w:val="en-IE"/>
        </w:rPr>
        <w:t xml:space="preserve">be </w:t>
      </w:r>
      <w:r w:rsidR="00950A10" w:rsidRPr="00882CCC">
        <w:rPr>
          <w:rFonts w:ascii="Times New Roman" w:hAnsi="Times New Roman"/>
          <w:b/>
          <w:lang w:val="en-IE"/>
        </w:rPr>
        <w:t xml:space="preserve">reflected in </w:t>
      </w:r>
      <w:r w:rsidR="00FA792B" w:rsidRPr="00882CCC">
        <w:rPr>
          <w:rFonts w:ascii="Times New Roman" w:hAnsi="Times New Roman"/>
          <w:b/>
          <w:lang w:val="en-IE"/>
        </w:rPr>
        <w:t xml:space="preserve">the </w:t>
      </w:r>
      <w:r w:rsidR="000D2659" w:rsidRPr="00882CCC">
        <w:rPr>
          <w:rFonts w:ascii="Times New Roman" w:hAnsi="Times New Roman"/>
          <w:b/>
          <w:lang w:val="en-IE"/>
        </w:rPr>
        <w:t>European Parliament’s resolution</w:t>
      </w:r>
      <w:r w:rsidR="00950A10" w:rsidRPr="00882CCC">
        <w:rPr>
          <w:rFonts w:ascii="Times New Roman" w:hAnsi="Times New Roman"/>
          <w:b/>
          <w:lang w:val="en-IE"/>
        </w:rPr>
        <w:t>.</w:t>
      </w:r>
    </w:p>
    <w:p w14:paraId="5F125050" w14:textId="46ECE8F7" w:rsidR="004F3F48" w:rsidRPr="00FC116F" w:rsidRDefault="00950A10" w:rsidP="51B0B49D">
      <w:pPr>
        <w:widowControl w:val="0"/>
        <w:rPr>
          <w:rFonts w:ascii="Times New Roman" w:hAnsi="Times New Roman"/>
          <w:lang w:val="en-IE"/>
        </w:rPr>
      </w:pPr>
      <w:r w:rsidRPr="00882CCC">
        <w:rPr>
          <w:rFonts w:ascii="Times New Roman" w:hAnsi="Times New Roman"/>
          <w:b/>
          <w:lang w:val="en-IE"/>
        </w:rPr>
        <w:t xml:space="preserve">The </w:t>
      </w:r>
      <w:r w:rsidR="5C628E2C" w:rsidRPr="00882CCC">
        <w:rPr>
          <w:rFonts w:ascii="Times New Roman" w:hAnsi="Times New Roman"/>
          <w:b/>
          <w:lang w:val="en-IE"/>
        </w:rPr>
        <w:t xml:space="preserve">Commission’s </w:t>
      </w:r>
      <w:r w:rsidRPr="00882CCC">
        <w:rPr>
          <w:rFonts w:ascii="Times New Roman" w:hAnsi="Times New Roman"/>
          <w:b/>
          <w:lang w:val="en-IE"/>
        </w:rPr>
        <w:t>report on the 2024 elections to the European Parliament</w:t>
      </w:r>
      <w:r w:rsidR="00525889" w:rsidRPr="00FC116F">
        <w:rPr>
          <w:rFonts w:ascii="Times New Roman" w:hAnsi="Times New Roman"/>
          <w:b/>
          <w:bCs/>
          <w:lang w:val="en-IE"/>
        </w:rPr>
        <w:t xml:space="preserve">, </w:t>
      </w:r>
      <w:r w:rsidR="5C03ACBB" w:rsidRPr="00FC116F">
        <w:rPr>
          <w:rFonts w:ascii="Times New Roman" w:hAnsi="Times New Roman"/>
          <w:b/>
          <w:bCs/>
          <w:lang w:val="en-IE"/>
        </w:rPr>
        <w:t>which</w:t>
      </w:r>
      <w:r w:rsidR="00525889" w:rsidRPr="00FC116F">
        <w:rPr>
          <w:rFonts w:ascii="Times New Roman" w:hAnsi="Times New Roman"/>
          <w:b/>
          <w:bCs/>
          <w:lang w:val="en-IE"/>
        </w:rPr>
        <w:t xml:space="preserve"> is accompanied by a comprehensive Staff Working Document,</w:t>
      </w:r>
      <w:r w:rsidR="2598DD4D" w:rsidRPr="00882CCC">
        <w:rPr>
          <w:rFonts w:ascii="Times New Roman" w:hAnsi="Times New Roman"/>
          <w:b/>
          <w:lang w:val="en-IE"/>
        </w:rPr>
        <w:t xml:space="preserve"> </w:t>
      </w:r>
      <w:r w:rsidR="2598DD4D" w:rsidRPr="00882CCC">
        <w:rPr>
          <w:rFonts w:ascii="Times New Roman" w:hAnsi="Times New Roman"/>
          <w:lang w:val="en-IE"/>
        </w:rPr>
        <w:t>highlight</w:t>
      </w:r>
      <w:r w:rsidR="0032211B" w:rsidRPr="00882CCC">
        <w:rPr>
          <w:rFonts w:ascii="Times New Roman" w:hAnsi="Times New Roman"/>
          <w:lang w:val="en-IE"/>
        </w:rPr>
        <w:t>s</w:t>
      </w:r>
      <w:r w:rsidR="2598DD4D" w:rsidRPr="00882CCC">
        <w:rPr>
          <w:rFonts w:ascii="Times New Roman" w:hAnsi="Times New Roman"/>
          <w:lang w:val="en-IE"/>
        </w:rPr>
        <w:t xml:space="preserve"> that t</w:t>
      </w:r>
      <w:r w:rsidR="00ED1180" w:rsidRPr="00882CCC">
        <w:rPr>
          <w:rFonts w:ascii="Times New Roman" w:hAnsi="Times New Roman"/>
          <w:lang w:val="en-IE"/>
        </w:rPr>
        <w:t xml:space="preserve">he 2024 elections took place amidst significant and deep changes in the information ecosystem. </w:t>
      </w:r>
      <w:r w:rsidR="5EA7F48D" w:rsidRPr="00882CCC">
        <w:rPr>
          <w:rFonts w:ascii="Times New Roman" w:hAnsi="Times New Roman"/>
          <w:lang w:val="en-IE"/>
        </w:rPr>
        <w:t>It also note</w:t>
      </w:r>
      <w:r w:rsidR="0032211B" w:rsidRPr="00882CCC">
        <w:rPr>
          <w:rFonts w:ascii="Times New Roman" w:hAnsi="Times New Roman"/>
          <w:lang w:val="en-IE"/>
        </w:rPr>
        <w:t>s</w:t>
      </w:r>
      <w:r w:rsidR="5EA7F48D" w:rsidRPr="00882CCC">
        <w:rPr>
          <w:rFonts w:ascii="Times New Roman" w:hAnsi="Times New Roman"/>
          <w:lang w:val="en-IE"/>
        </w:rPr>
        <w:t xml:space="preserve"> that t</w:t>
      </w:r>
      <w:r w:rsidR="00ED1180" w:rsidRPr="00882CCC">
        <w:rPr>
          <w:rFonts w:ascii="Times New Roman" w:hAnsi="Times New Roman"/>
          <w:lang w:val="en-IE"/>
        </w:rPr>
        <w:t xml:space="preserve">he pressure on the electoral process has increased online and offline, hostile interference and disinformation attempts are </w:t>
      </w:r>
      <w:r w:rsidR="4BEB749C" w:rsidRPr="00882CCC">
        <w:rPr>
          <w:rFonts w:ascii="Times New Roman" w:hAnsi="Times New Roman"/>
          <w:lang w:val="en-IE"/>
        </w:rPr>
        <w:t>increasing</w:t>
      </w:r>
      <w:r w:rsidR="00ED1180" w:rsidRPr="00882CCC">
        <w:rPr>
          <w:rFonts w:ascii="Times New Roman" w:hAnsi="Times New Roman"/>
          <w:lang w:val="en-IE"/>
        </w:rPr>
        <w:t xml:space="preserve">, and manipulation methods </w:t>
      </w:r>
      <w:r w:rsidR="4BEB749C" w:rsidRPr="00882CCC">
        <w:rPr>
          <w:rFonts w:ascii="Times New Roman" w:hAnsi="Times New Roman"/>
          <w:lang w:val="en-IE"/>
        </w:rPr>
        <w:t xml:space="preserve">are </w:t>
      </w:r>
      <w:r w:rsidR="00ED1180" w:rsidRPr="00882CCC">
        <w:rPr>
          <w:rFonts w:ascii="Times New Roman" w:hAnsi="Times New Roman"/>
          <w:lang w:val="en-IE"/>
        </w:rPr>
        <w:t xml:space="preserve">more diverse and sophisticated. </w:t>
      </w:r>
      <w:r w:rsidR="00503C38" w:rsidRPr="00882CCC">
        <w:rPr>
          <w:rFonts w:ascii="Times New Roman" w:hAnsi="Times New Roman"/>
          <w:lang w:val="en-IE"/>
        </w:rPr>
        <w:t>T</w:t>
      </w:r>
      <w:r w:rsidR="00ED1180" w:rsidRPr="00882CCC">
        <w:rPr>
          <w:rFonts w:ascii="Times New Roman" w:hAnsi="Times New Roman"/>
          <w:lang w:val="en-IE"/>
        </w:rPr>
        <w:t>he information environment</w:t>
      </w:r>
      <w:r w:rsidR="00503C38" w:rsidRPr="00882CCC">
        <w:rPr>
          <w:rFonts w:ascii="Times New Roman" w:hAnsi="Times New Roman"/>
          <w:lang w:val="en-IE"/>
        </w:rPr>
        <w:t xml:space="preserve"> was difficult</w:t>
      </w:r>
      <w:r w:rsidR="00525889" w:rsidRPr="00FC116F">
        <w:rPr>
          <w:rFonts w:ascii="Times New Roman" w:hAnsi="Times New Roman"/>
          <w:lang w:val="en-IE"/>
        </w:rPr>
        <w:t xml:space="preserve">. </w:t>
      </w:r>
    </w:p>
    <w:p w14:paraId="15D10EC9" w14:textId="11FE2D08" w:rsidR="00ED1180" w:rsidRPr="00882CCC" w:rsidRDefault="00525889" w:rsidP="51B0B49D">
      <w:pPr>
        <w:widowControl w:val="0"/>
        <w:rPr>
          <w:rFonts w:ascii="Times New Roman" w:hAnsi="Times New Roman"/>
          <w:lang w:val="en-IE"/>
        </w:rPr>
      </w:pPr>
      <w:r w:rsidRPr="00FC116F">
        <w:rPr>
          <w:rFonts w:ascii="Times New Roman" w:hAnsi="Times New Roman"/>
          <w:lang w:val="en-IE"/>
        </w:rPr>
        <w:t>At</w:t>
      </w:r>
      <w:r w:rsidRPr="00882CCC">
        <w:rPr>
          <w:rFonts w:ascii="Times New Roman" w:hAnsi="Times New Roman"/>
          <w:lang w:val="en-IE"/>
        </w:rPr>
        <w:t xml:space="preserve"> the</w:t>
      </w:r>
      <w:r w:rsidRPr="00FC116F">
        <w:rPr>
          <w:rFonts w:ascii="Times New Roman" w:hAnsi="Times New Roman"/>
          <w:lang w:val="en-IE"/>
        </w:rPr>
        <w:t xml:space="preserve"> sam</w:t>
      </w:r>
      <w:r w:rsidR="004F3F48" w:rsidRPr="00FC116F">
        <w:rPr>
          <w:rFonts w:ascii="Times New Roman" w:hAnsi="Times New Roman"/>
          <w:lang w:val="en-IE"/>
        </w:rPr>
        <w:t>e time,</w:t>
      </w:r>
      <w:r w:rsidR="00ED1180" w:rsidRPr="00882CCC">
        <w:rPr>
          <w:rFonts w:ascii="Times New Roman" w:hAnsi="Times New Roman"/>
          <w:lang w:val="en-IE"/>
        </w:rPr>
        <w:t xml:space="preserve"> </w:t>
      </w:r>
      <w:r w:rsidR="00503C38" w:rsidRPr="00882CCC">
        <w:rPr>
          <w:rFonts w:ascii="Times New Roman" w:hAnsi="Times New Roman"/>
          <w:lang w:val="en-IE"/>
        </w:rPr>
        <w:t xml:space="preserve">no </w:t>
      </w:r>
      <w:r w:rsidR="00ED1180" w:rsidRPr="00882CCC">
        <w:rPr>
          <w:rFonts w:ascii="Times New Roman" w:hAnsi="Times New Roman"/>
          <w:lang w:val="en-IE"/>
        </w:rPr>
        <w:t>major incidents capable of disrupting the 2024 elections to the European Parliament</w:t>
      </w:r>
      <w:r w:rsidR="00503C38" w:rsidRPr="00882CCC">
        <w:rPr>
          <w:rFonts w:ascii="Times New Roman" w:hAnsi="Times New Roman"/>
          <w:lang w:val="en-IE"/>
        </w:rPr>
        <w:t xml:space="preserve"> were reported. The </w:t>
      </w:r>
      <w:r w:rsidR="00ED1180" w:rsidRPr="00882CCC">
        <w:rPr>
          <w:rFonts w:ascii="Times New Roman" w:hAnsi="Times New Roman"/>
          <w:lang w:val="en-IE"/>
        </w:rPr>
        <w:t>EU</w:t>
      </w:r>
      <w:r w:rsidR="005C410B" w:rsidRPr="00882CCC">
        <w:rPr>
          <w:rFonts w:ascii="Times New Roman" w:hAnsi="Times New Roman"/>
          <w:lang w:val="en-IE"/>
        </w:rPr>
        <w:t xml:space="preserve"> and the Member States</w:t>
      </w:r>
      <w:r w:rsidR="00ED1180" w:rsidRPr="00882CCC">
        <w:rPr>
          <w:rFonts w:ascii="Times New Roman" w:hAnsi="Times New Roman"/>
          <w:lang w:val="en-IE"/>
        </w:rPr>
        <w:t xml:space="preserve"> </w:t>
      </w:r>
      <w:r w:rsidR="00503C38" w:rsidRPr="00882CCC">
        <w:rPr>
          <w:rFonts w:ascii="Times New Roman" w:hAnsi="Times New Roman"/>
          <w:lang w:val="en-IE"/>
        </w:rPr>
        <w:t xml:space="preserve">took significant steps, some of which are summarised in the Commission’s report, to </w:t>
      </w:r>
      <w:r w:rsidR="00ED1180" w:rsidRPr="00882CCC">
        <w:rPr>
          <w:rFonts w:ascii="Times New Roman" w:hAnsi="Times New Roman"/>
          <w:lang w:val="en-IE"/>
        </w:rPr>
        <w:t>safeguard electoral processes and ensur</w:t>
      </w:r>
      <w:r w:rsidR="00503C38" w:rsidRPr="00882CCC">
        <w:rPr>
          <w:rFonts w:ascii="Times New Roman" w:hAnsi="Times New Roman"/>
          <w:lang w:val="en-IE"/>
        </w:rPr>
        <w:t>e</w:t>
      </w:r>
      <w:r w:rsidR="00ED1180" w:rsidRPr="00882CCC">
        <w:rPr>
          <w:rFonts w:ascii="Times New Roman" w:hAnsi="Times New Roman"/>
          <w:lang w:val="en-IE"/>
        </w:rPr>
        <w:t xml:space="preserve"> free, fair and resilient elections. </w:t>
      </w:r>
    </w:p>
    <w:p w14:paraId="2565B436" w14:textId="6888DEB3" w:rsidR="006C298F" w:rsidRPr="00FC116F" w:rsidRDefault="00343DE7" w:rsidP="51B0B49D">
      <w:pPr>
        <w:widowControl w:val="0"/>
        <w:rPr>
          <w:rFonts w:ascii="Times New Roman" w:hAnsi="Times New Roman"/>
          <w:lang w:val="en-IE"/>
        </w:rPr>
      </w:pPr>
      <w:r w:rsidRPr="00882CCC">
        <w:rPr>
          <w:rFonts w:ascii="Times New Roman" w:hAnsi="Times New Roman"/>
          <w:lang w:val="en-IE"/>
        </w:rPr>
        <w:t xml:space="preserve">The Commission put in place a </w:t>
      </w:r>
      <w:r w:rsidR="00ED1180" w:rsidRPr="00882CCC">
        <w:rPr>
          <w:rFonts w:ascii="Times New Roman" w:hAnsi="Times New Roman"/>
          <w:lang w:val="en-IE"/>
        </w:rPr>
        <w:t>wide range of preparedness measures</w:t>
      </w:r>
      <w:r w:rsidR="00A66E60" w:rsidRPr="00882CCC">
        <w:rPr>
          <w:rFonts w:ascii="Times New Roman" w:hAnsi="Times New Roman"/>
          <w:lang w:val="en-IE"/>
        </w:rPr>
        <w:t xml:space="preserve"> to support the competent authorities and other stakeholders</w:t>
      </w:r>
      <w:r w:rsidR="00ED1180" w:rsidRPr="00882CCC">
        <w:rPr>
          <w:rFonts w:ascii="Times New Roman" w:hAnsi="Times New Roman"/>
          <w:lang w:val="en-IE"/>
        </w:rPr>
        <w:t xml:space="preserve">, such as </w:t>
      </w:r>
      <w:r w:rsidR="004F3F48" w:rsidRPr="00FC116F">
        <w:rPr>
          <w:rFonts w:ascii="Times New Roman" w:hAnsi="Times New Roman"/>
          <w:lang w:val="en-IE"/>
        </w:rPr>
        <w:t xml:space="preserve">a comprehensive </w:t>
      </w:r>
      <w:r w:rsidR="00EE12C2" w:rsidRPr="00FC116F">
        <w:rPr>
          <w:rFonts w:ascii="Times New Roman" w:hAnsi="Times New Roman"/>
          <w:lang w:val="en-IE"/>
        </w:rPr>
        <w:t xml:space="preserve">Commission </w:t>
      </w:r>
      <w:r w:rsidR="004F3F48" w:rsidRPr="00FC116F">
        <w:rPr>
          <w:rFonts w:ascii="Times New Roman" w:hAnsi="Times New Roman"/>
          <w:lang w:val="en-IE"/>
        </w:rPr>
        <w:t>Recommendation addressed to Member States, political parties</w:t>
      </w:r>
      <w:r w:rsidR="00A609B9" w:rsidRPr="00FC116F">
        <w:rPr>
          <w:rFonts w:ascii="Times New Roman" w:hAnsi="Times New Roman"/>
          <w:lang w:val="en-IE"/>
        </w:rPr>
        <w:t xml:space="preserve">, political foundations and campaign </w:t>
      </w:r>
      <w:r w:rsidR="00EE12C2" w:rsidRPr="00FC116F">
        <w:rPr>
          <w:rFonts w:ascii="Times New Roman" w:hAnsi="Times New Roman"/>
          <w:lang w:val="en-IE"/>
        </w:rPr>
        <w:t>organisations</w:t>
      </w:r>
      <w:r w:rsidR="00AF4A08" w:rsidRPr="00FC116F">
        <w:rPr>
          <w:rStyle w:val="FootnoteReference"/>
          <w:rFonts w:ascii="Times New Roman" w:hAnsi="Times New Roman"/>
          <w:bCs/>
          <w:szCs w:val="24"/>
          <w:lang w:val="en-IE"/>
        </w:rPr>
        <w:footnoteReference w:id="3"/>
      </w:r>
      <w:r w:rsidR="00CE07CC" w:rsidRPr="00FC116F">
        <w:rPr>
          <w:rFonts w:ascii="Times New Roman" w:hAnsi="Times New Roman"/>
          <w:lang w:val="en-IE"/>
        </w:rPr>
        <w:t xml:space="preserve"> and</w:t>
      </w:r>
      <w:r w:rsidR="005D2F76" w:rsidRPr="00FC116F">
        <w:rPr>
          <w:rFonts w:ascii="Times New Roman" w:hAnsi="Times New Roman"/>
          <w:lang w:val="en-IE"/>
        </w:rPr>
        <w:t xml:space="preserve"> </w:t>
      </w:r>
      <w:r w:rsidR="00326737" w:rsidRPr="00882CCC">
        <w:rPr>
          <w:rFonts w:ascii="Times New Roman" w:hAnsi="Times New Roman"/>
          <w:lang w:val="en-IE"/>
        </w:rPr>
        <w:t xml:space="preserve">the </w:t>
      </w:r>
      <w:r w:rsidR="00326737" w:rsidRPr="00FC116F">
        <w:rPr>
          <w:rFonts w:ascii="Times New Roman" w:hAnsi="Times New Roman"/>
          <w:lang w:val="en-IE"/>
        </w:rPr>
        <w:t>updated</w:t>
      </w:r>
      <w:r w:rsidR="00257E5A" w:rsidRPr="00FC116F">
        <w:rPr>
          <w:rFonts w:ascii="Times New Roman" w:hAnsi="Times New Roman"/>
          <w:lang w:val="en-IE"/>
        </w:rPr>
        <w:t xml:space="preserve"> </w:t>
      </w:r>
      <w:r w:rsidR="00825319" w:rsidRPr="00FC116F">
        <w:rPr>
          <w:rFonts w:ascii="Times New Roman" w:hAnsi="Times New Roman"/>
          <w:lang w:val="en-IE"/>
        </w:rPr>
        <w:t>C</w:t>
      </w:r>
      <w:r w:rsidR="00257E5A" w:rsidRPr="00FC116F">
        <w:rPr>
          <w:rFonts w:ascii="Times New Roman" w:hAnsi="Times New Roman"/>
          <w:lang w:val="en-IE"/>
        </w:rPr>
        <w:t>ompendium</w:t>
      </w:r>
      <w:r w:rsidR="00825319" w:rsidRPr="00FC116F">
        <w:rPr>
          <w:rFonts w:ascii="Times New Roman" w:hAnsi="Times New Roman"/>
          <w:lang w:val="en-IE"/>
        </w:rPr>
        <w:t xml:space="preserve"> </w:t>
      </w:r>
      <w:r w:rsidR="00D42B84" w:rsidRPr="00FC116F">
        <w:rPr>
          <w:rFonts w:ascii="Times New Roman" w:hAnsi="Times New Roman"/>
          <w:lang w:val="en-IE"/>
        </w:rPr>
        <w:t>on Election Cybersecurity and Resilience</w:t>
      </w:r>
      <w:r w:rsidR="00C0618E" w:rsidRPr="00FC116F">
        <w:rPr>
          <w:rStyle w:val="FootnoteReference"/>
          <w:rFonts w:ascii="Times New Roman" w:hAnsi="Times New Roman"/>
          <w:bCs/>
          <w:szCs w:val="24"/>
          <w:lang w:val="en-IE"/>
        </w:rPr>
        <w:footnoteReference w:id="4"/>
      </w:r>
      <w:r w:rsidR="00CE07CC" w:rsidRPr="00FC116F">
        <w:rPr>
          <w:rFonts w:ascii="Times New Roman" w:hAnsi="Times New Roman"/>
          <w:lang w:val="en-IE"/>
        </w:rPr>
        <w:t>.</w:t>
      </w:r>
      <w:r w:rsidR="00257E5A" w:rsidRPr="00FC116F">
        <w:rPr>
          <w:rFonts w:ascii="Times New Roman" w:hAnsi="Times New Roman"/>
          <w:lang w:val="en-IE"/>
        </w:rPr>
        <w:t xml:space="preserve"> </w:t>
      </w:r>
      <w:r w:rsidR="00CE07CC" w:rsidRPr="00FC116F">
        <w:rPr>
          <w:rFonts w:ascii="Times New Roman" w:hAnsi="Times New Roman"/>
          <w:lang w:val="en-IE"/>
        </w:rPr>
        <w:t xml:space="preserve">It also </w:t>
      </w:r>
      <w:r w:rsidR="005D2B56" w:rsidRPr="00FC116F">
        <w:rPr>
          <w:rFonts w:ascii="Times New Roman" w:hAnsi="Times New Roman"/>
          <w:lang w:val="en-IE"/>
        </w:rPr>
        <w:t>promot</w:t>
      </w:r>
      <w:r w:rsidR="00CE07CC" w:rsidRPr="00FC116F">
        <w:rPr>
          <w:rFonts w:ascii="Times New Roman" w:hAnsi="Times New Roman"/>
          <w:lang w:val="en-IE"/>
        </w:rPr>
        <w:t xml:space="preserve">ed the use </w:t>
      </w:r>
      <w:r w:rsidR="005D2B56" w:rsidRPr="00FC116F">
        <w:rPr>
          <w:rFonts w:ascii="Times New Roman" w:hAnsi="Times New Roman"/>
          <w:lang w:val="en-IE"/>
        </w:rPr>
        <w:t xml:space="preserve">of </w:t>
      </w:r>
      <w:r w:rsidR="00435BC2" w:rsidRPr="00FC116F">
        <w:rPr>
          <w:rFonts w:ascii="Times New Roman" w:hAnsi="Times New Roman"/>
          <w:lang w:val="en-IE"/>
        </w:rPr>
        <w:t xml:space="preserve">campaign pledges and codes of conduct on </w:t>
      </w:r>
      <w:r w:rsidR="00EE12C2" w:rsidRPr="00FC116F">
        <w:rPr>
          <w:rFonts w:ascii="Times New Roman" w:hAnsi="Times New Roman"/>
          <w:lang w:val="en-IE"/>
        </w:rPr>
        <w:t>election</w:t>
      </w:r>
      <w:r w:rsidR="00435BC2" w:rsidRPr="00FC116F">
        <w:rPr>
          <w:rFonts w:ascii="Times New Roman" w:hAnsi="Times New Roman"/>
          <w:lang w:val="en-IE"/>
        </w:rPr>
        <w:t xml:space="preserve"> integrity and fair campaigning, </w:t>
      </w:r>
      <w:r w:rsidR="00CE07CC" w:rsidRPr="00FC116F">
        <w:rPr>
          <w:rFonts w:ascii="Times New Roman" w:hAnsi="Times New Roman"/>
          <w:lang w:val="en-IE"/>
        </w:rPr>
        <w:t xml:space="preserve">published </w:t>
      </w:r>
      <w:r w:rsidR="00ED1180" w:rsidRPr="00882CCC">
        <w:rPr>
          <w:rFonts w:ascii="Times New Roman" w:hAnsi="Times New Roman"/>
          <w:lang w:val="en-IE"/>
        </w:rPr>
        <w:t>guidelines</w:t>
      </w:r>
      <w:r w:rsidR="00AE2B88" w:rsidRPr="00882CCC">
        <w:rPr>
          <w:rFonts w:ascii="Times New Roman" w:hAnsi="Times New Roman"/>
          <w:lang w:val="en-IE"/>
        </w:rPr>
        <w:t xml:space="preserve"> on elections</w:t>
      </w:r>
      <w:r w:rsidR="00CD4FB9" w:rsidRPr="00882CCC">
        <w:rPr>
          <w:rStyle w:val="FootnoteReference"/>
          <w:rFonts w:ascii="Times New Roman" w:eastAsia="Arial" w:hAnsi="Times New Roman"/>
          <w:lang w:val="en-IE"/>
        </w:rPr>
        <w:footnoteReference w:id="5"/>
      </w:r>
      <w:r w:rsidR="003E6A01" w:rsidRPr="00882CCC">
        <w:rPr>
          <w:rFonts w:ascii="Times New Roman" w:hAnsi="Times New Roman"/>
          <w:lang w:val="en-IE"/>
        </w:rPr>
        <w:t>,</w:t>
      </w:r>
      <w:r w:rsidR="00E610FD" w:rsidRPr="00882CCC">
        <w:rPr>
          <w:rFonts w:ascii="Times New Roman" w:hAnsi="Times New Roman"/>
          <w:lang w:val="en-IE"/>
        </w:rPr>
        <w:t xml:space="preserve"> </w:t>
      </w:r>
      <w:r w:rsidR="00CE07CC" w:rsidRPr="00FC116F">
        <w:rPr>
          <w:rFonts w:ascii="Times New Roman" w:hAnsi="Times New Roman"/>
          <w:lang w:val="en-IE"/>
        </w:rPr>
        <w:t xml:space="preserve">facilitated </w:t>
      </w:r>
      <w:r w:rsidR="0002551E" w:rsidRPr="00FC116F">
        <w:rPr>
          <w:rFonts w:ascii="Times New Roman" w:hAnsi="Times New Roman"/>
          <w:lang w:val="en-IE"/>
        </w:rPr>
        <w:t>numerous</w:t>
      </w:r>
      <w:r w:rsidR="0002551E" w:rsidRPr="00882CCC">
        <w:rPr>
          <w:rFonts w:ascii="Times New Roman" w:hAnsi="Times New Roman"/>
          <w:lang w:val="en-IE"/>
        </w:rPr>
        <w:t xml:space="preserve"> </w:t>
      </w:r>
      <w:r w:rsidR="00ED1180" w:rsidRPr="00882CCC">
        <w:rPr>
          <w:rFonts w:ascii="Times New Roman" w:hAnsi="Times New Roman"/>
          <w:lang w:val="en-IE"/>
        </w:rPr>
        <w:t>discussions in the European Cooperation Network on Elections,</w:t>
      </w:r>
      <w:r w:rsidR="00CE07CC" w:rsidRPr="00882CCC">
        <w:rPr>
          <w:rFonts w:ascii="Times New Roman" w:hAnsi="Times New Roman"/>
          <w:lang w:val="en-IE"/>
        </w:rPr>
        <w:t xml:space="preserve"> </w:t>
      </w:r>
      <w:r w:rsidR="00CE07CC" w:rsidRPr="00FC116F">
        <w:rPr>
          <w:rFonts w:ascii="Times New Roman" w:hAnsi="Times New Roman"/>
          <w:lang w:val="en-IE"/>
        </w:rPr>
        <w:t>including in different thematic settings, supported the organi</w:t>
      </w:r>
      <w:r w:rsidR="005F6DB7" w:rsidRPr="00FC116F">
        <w:rPr>
          <w:rFonts w:ascii="Times New Roman" w:hAnsi="Times New Roman"/>
          <w:lang w:val="en-IE"/>
        </w:rPr>
        <w:t>s</w:t>
      </w:r>
      <w:r w:rsidR="00CE07CC" w:rsidRPr="00FC116F">
        <w:rPr>
          <w:rFonts w:ascii="Times New Roman" w:hAnsi="Times New Roman"/>
          <w:lang w:val="en-IE"/>
        </w:rPr>
        <w:t>ation of</w:t>
      </w:r>
      <w:r w:rsidR="00CE07CC" w:rsidRPr="00882CCC">
        <w:rPr>
          <w:rFonts w:ascii="Times New Roman" w:hAnsi="Times New Roman"/>
          <w:lang w:val="en-IE"/>
        </w:rPr>
        <w:t xml:space="preserve"> </w:t>
      </w:r>
      <w:r w:rsidR="00ED1180" w:rsidRPr="00882CCC">
        <w:rPr>
          <w:rFonts w:ascii="Times New Roman" w:hAnsi="Times New Roman"/>
          <w:lang w:val="en-IE"/>
        </w:rPr>
        <w:t>various tabletop exercises and the use of the Rapid Response System under the Code of Practice on Disinformation</w:t>
      </w:r>
      <w:r w:rsidR="00CD4FB9" w:rsidRPr="00882CCC">
        <w:rPr>
          <w:rStyle w:val="FootnoteReference"/>
          <w:rFonts w:ascii="Times New Roman" w:hAnsi="Times New Roman"/>
          <w:lang w:val="en-IE"/>
        </w:rPr>
        <w:footnoteReference w:id="6"/>
      </w:r>
      <w:r w:rsidR="007C5DE6" w:rsidRPr="00FC116F">
        <w:rPr>
          <w:rFonts w:ascii="Times New Roman" w:hAnsi="Times New Roman"/>
          <w:lang w:val="en-IE"/>
        </w:rPr>
        <w:t xml:space="preserve"> as well as </w:t>
      </w:r>
      <w:r w:rsidR="006C298F" w:rsidRPr="00FC116F">
        <w:rPr>
          <w:rFonts w:ascii="Times New Roman" w:hAnsi="Times New Roman"/>
          <w:lang w:val="en-IE"/>
        </w:rPr>
        <w:lastRenderedPageBreak/>
        <w:t>information campaigns</w:t>
      </w:r>
      <w:r w:rsidR="008C627C" w:rsidRPr="00FC116F">
        <w:rPr>
          <w:rFonts w:ascii="Times New Roman" w:hAnsi="Times New Roman"/>
          <w:lang w:val="en-IE"/>
        </w:rPr>
        <w:t xml:space="preserve">. </w:t>
      </w:r>
    </w:p>
    <w:p w14:paraId="42C979FA" w14:textId="670AD3A1" w:rsidR="00ED1180" w:rsidRPr="00882CCC" w:rsidRDefault="00C93849" w:rsidP="51B0B49D">
      <w:pPr>
        <w:widowControl w:val="0"/>
        <w:rPr>
          <w:rFonts w:ascii="Times New Roman" w:hAnsi="Times New Roman"/>
          <w:lang w:val="en-IE"/>
        </w:rPr>
      </w:pPr>
      <w:r w:rsidRPr="00882CCC">
        <w:rPr>
          <w:rFonts w:ascii="Times New Roman" w:hAnsi="Times New Roman"/>
          <w:lang w:val="en-IE"/>
        </w:rPr>
        <w:t>The European Digital Media Observatory</w:t>
      </w:r>
      <w:r w:rsidR="00295E46" w:rsidRPr="00882CCC">
        <w:rPr>
          <w:rFonts w:ascii="Times New Roman" w:hAnsi="Times New Roman"/>
          <w:lang w:val="en-IE"/>
        </w:rPr>
        <w:t>, in particular its Task Force dedicated to the</w:t>
      </w:r>
      <w:r w:rsidR="007C3D3F" w:rsidRPr="00882CCC">
        <w:rPr>
          <w:rFonts w:ascii="Times New Roman" w:hAnsi="Times New Roman"/>
          <w:lang w:val="en-IE"/>
        </w:rPr>
        <w:t xml:space="preserve"> European Parliament</w:t>
      </w:r>
      <w:r w:rsidR="00295E46" w:rsidRPr="00882CCC">
        <w:rPr>
          <w:rFonts w:ascii="Times New Roman" w:hAnsi="Times New Roman"/>
          <w:lang w:val="en-IE"/>
        </w:rPr>
        <w:t xml:space="preserve"> elections, also contributed to this effort</w:t>
      </w:r>
      <w:r w:rsidR="007C3D3F" w:rsidRPr="00882CCC">
        <w:rPr>
          <w:rFonts w:ascii="Times New Roman" w:hAnsi="Times New Roman"/>
          <w:lang w:val="en-IE"/>
        </w:rPr>
        <w:t>.</w:t>
      </w:r>
      <w:r w:rsidR="00B36262" w:rsidRPr="00882CCC">
        <w:rPr>
          <w:rFonts w:ascii="Times New Roman" w:hAnsi="Times New Roman"/>
          <w:lang w:val="en-IE"/>
        </w:rPr>
        <w:t xml:space="preserve"> </w:t>
      </w:r>
      <w:r w:rsidR="003E6A01" w:rsidRPr="00882CCC">
        <w:rPr>
          <w:rFonts w:ascii="Times New Roman" w:hAnsi="Times New Roman"/>
          <w:lang w:val="en-IE"/>
        </w:rPr>
        <w:t xml:space="preserve">These measures contributed to heightened preparedness, easier exchange of information and quick detection and follow-up of incidents during the 2024 elections to the European Parliament. </w:t>
      </w:r>
      <w:r w:rsidR="00ED1180" w:rsidRPr="00882CCC">
        <w:rPr>
          <w:rFonts w:ascii="Times New Roman" w:hAnsi="Times New Roman"/>
          <w:lang w:val="en-IE"/>
        </w:rPr>
        <w:t xml:space="preserve"> </w:t>
      </w:r>
    </w:p>
    <w:p w14:paraId="69427C88" w14:textId="05A8F0FC" w:rsidR="00ED1180" w:rsidRPr="00882CCC" w:rsidRDefault="00ED1180" w:rsidP="51B0B49D">
      <w:pPr>
        <w:widowControl w:val="0"/>
        <w:rPr>
          <w:rFonts w:ascii="Times New Roman" w:hAnsi="Times New Roman"/>
          <w:lang w:val="en-IE"/>
        </w:rPr>
      </w:pPr>
      <w:r w:rsidRPr="00882CCC">
        <w:rPr>
          <w:rFonts w:ascii="Times New Roman" w:hAnsi="Times New Roman"/>
          <w:lang w:val="en-IE"/>
        </w:rPr>
        <w:t xml:space="preserve">The </w:t>
      </w:r>
      <w:r w:rsidR="000D2659" w:rsidRPr="00882CCC">
        <w:rPr>
          <w:rFonts w:ascii="Times New Roman" w:hAnsi="Times New Roman"/>
          <w:lang w:val="en-IE"/>
        </w:rPr>
        <w:t>Commission's</w:t>
      </w:r>
      <w:r w:rsidR="00680CAC" w:rsidRPr="00882CCC">
        <w:rPr>
          <w:rFonts w:ascii="Times New Roman" w:hAnsi="Times New Roman"/>
          <w:lang w:val="en-IE"/>
        </w:rPr>
        <w:t xml:space="preserve"> report stresse</w:t>
      </w:r>
      <w:r w:rsidR="0032211B" w:rsidRPr="00882CCC">
        <w:rPr>
          <w:rFonts w:ascii="Times New Roman" w:hAnsi="Times New Roman"/>
          <w:lang w:val="en-IE"/>
        </w:rPr>
        <w:t>s that</w:t>
      </w:r>
      <w:r w:rsidR="00680CAC" w:rsidRPr="00882CCC">
        <w:rPr>
          <w:rFonts w:ascii="Times New Roman" w:hAnsi="Times New Roman"/>
          <w:lang w:val="en-IE"/>
        </w:rPr>
        <w:t xml:space="preserve"> </w:t>
      </w:r>
      <w:r w:rsidRPr="00882CCC">
        <w:rPr>
          <w:rFonts w:ascii="Times New Roman" w:hAnsi="Times New Roman"/>
          <w:lang w:val="en-IE"/>
        </w:rPr>
        <w:t xml:space="preserve">unprecedented preparedness and cooperation structures, supported by a wide range of communication measures to boost societal resilience, have proven essential to address the risks of foreign information manipulation, interference and disinformation during the elections. Proactive measures by data protection authorities helped to address data protection issues and ensure compliance with data protection rules in the electoral process. A high level of cybersecurity was ensured, and fair campaigning was supported. Nevertheless, continued vigilance is needed. Threats continue to evolve very quickly, highlighting the need to reinforce efforts and operational capability in terms of situational awareness and response, building on cross-sectoral stakeholder cooperation. </w:t>
      </w:r>
    </w:p>
    <w:p w14:paraId="18AC3D34" w14:textId="15E68CE9" w:rsidR="00B61D1A" w:rsidRPr="00FC116F" w:rsidRDefault="00B61D1A" w:rsidP="51B0B49D">
      <w:pPr>
        <w:widowControl w:val="0"/>
        <w:rPr>
          <w:rFonts w:ascii="Times New Roman" w:hAnsi="Times New Roman"/>
          <w:lang w:val="en-IE"/>
        </w:rPr>
      </w:pPr>
      <w:r w:rsidRPr="788AF541">
        <w:rPr>
          <w:rFonts w:ascii="Times New Roman" w:hAnsi="Times New Roman"/>
          <w:lang w:val="en-IE"/>
        </w:rPr>
        <w:t>On 12 November 2025, b</w:t>
      </w:r>
      <w:r w:rsidR="007A47DF" w:rsidRPr="788AF541">
        <w:rPr>
          <w:rFonts w:ascii="Times New Roman" w:hAnsi="Times New Roman"/>
          <w:lang w:val="en-IE"/>
        </w:rPr>
        <w:t xml:space="preserve">uilding on the European Democracy Action Plan and the Defence of Democracy Package, as well as the lessons learned from the 2024 European elections, the Commission </w:t>
      </w:r>
      <w:r w:rsidR="57926A12" w:rsidRPr="788AF541">
        <w:rPr>
          <w:rFonts w:ascii="Times New Roman" w:hAnsi="Times New Roman"/>
          <w:lang w:val="en-IE"/>
        </w:rPr>
        <w:t xml:space="preserve">adopted </w:t>
      </w:r>
      <w:r w:rsidR="007A47DF" w:rsidRPr="788AF541">
        <w:rPr>
          <w:rFonts w:ascii="Times New Roman" w:hAnsi="Times New Roman"/>
          <w:lang w:val="en-IE"/>
        </w:rPr>
        <w:t xml:space="preserve">the </w:t>
      </w:r>
      <w:r w:rsidR="007A47DF" w:rsidRPr="788AF541">
        <w:rPr>
          <w:rFonts w:ascii="Times New Roman" w:hAnsi="Times New Roman"/>
          <w:b/>
          <w:bCs/>
          <w:lang w:val="en-IE"/>
        </w:rPr>
        <w:t>European Democracy Shield</w:t>
      </w:r>
      <w:r w:rsidRPr="788AF541">
        <w:rPr>
          <w:rFonts w:ascii="Times New Roman" w:hAnsi="Times New Roman"/>
          <w:b/>
          <w:bCs/>
          <w:lang w:val="en-IE"/>
        </w:rPr>
        <w:t xml:space="preserve">, </w:t>
      </w:r>
      <w:r w:rsidRPr="788AF541">
        <w:rPr>
          <w:rFonts w:ascii="Times New Roman" w:hAnsi="Times New Roman"/>
          <w:lang w:val="en-IE"/>
        </w:rPr>
        <w:t>as announced in President von der Leyen’s Political Guidelines.</w:t>
      </w:r>
      <w:r w:rsidRPr="788AF541">
        <w:rPr>
          <w:rFonts w:ascii="Times New Roman" w:hAnsi="Times New Roman"/>
          <w:b/>
          <w:bCs/>
          <w:lang w:val="en-IE"/>
        </w:rPr>
        <w:t> </w:t>
      </w:r>
      <w:bookmarkStart w:id="1" w:name="_Hlk212195407"/>
    </w:p>
    <w:p w14:paraId="0722DA6D" w14:textId="478DE2EE" w:rsidR="00B61D1A" w:rsidRPr="00FC116F" w:rsidRDefault="00B61D1A" w:rsidP="00B61D1A">
      <w:pPr>
        <w:widowControl w:val="0"/>
        <w:rPr>
          <w:rFonts w:ascii="Times New Roman" w:hAnsi="Times New Roman"/>
          <w:bCs/>
          <w:szCs w:val="24"/>
          <w:lang w:val="en-IE"/>
        </w:rPr>
      </w:pPr>
      <w:r w:rsidRPr="00FC116F">
        <w:rPr>
          <w:rFonts w:ascii="Times New Roman" w:hAnsi="Times New Roman"/>
          <w:bCs/>
          <w:szCs w:val="24"/>
          <w:lang w:val="en-IE"/>
        </w:rPr>
        <w:t>The European Democracy Shield puts forward a set of new measures in three priority areas, aimed at empowering strong and resilient democracies by (1) reinforcing situational awareness and support response capacity to safeguard the integrity of the information space, (2) strengthening democratic institutions, free and fair elections and free and independent media, and (3) boosting societal resilience and citizens’ engagement.</w:t>
      </w:r>
    </w:p>
    <w:p w14:paraId="16380708" w14:textId="388FD327" w:rsidR="00B61D1A" w:rsidRPr="00FC116F" w:rsidRDefault="00B61D1A" w:rsidP="51B0B49D">
      <w:pPr>
        <w:widowControl w:val="0"/>
        <w:rPr>
          <w:rFonts w:ascii="Times New Roman" w:hAnsi="Times New Roman"/>
          <w:lang w:val="en-IE"/>
        </w:rPr>
      </w:pPr>
      <w:r w:rsidRPr="00FC116F">
        <w:rPr>
          <w:rFonts w:ascii="Times New Roman" w:hAnsi="Times New Roman"/>
          <w:lang w:val="en-IE"/>
        </w:rPr>
        <w:t xml:space="preserve">To support better cooperation and coordination in addressing several aspects under these priority areas, a </w:t>
      </w:r>
      <w:r w:rsidRPr="00FC116F">
        <w:rPr>
          <w:rFonts w:ascii="Times New Roman" w:hAnsi="Times New Roman"/>
          <w:b/>
          <w:bCs/>
          <w:lang w:val="en-IE"/>
        </w:rPr>
        <w:t>European Centre for Democratic Resilience</w:t>
      </w:r>
      <w:r w:rsidRPr="00FC116F">
        <w:rPr>
          <w:rFonts w:ascii="Times New Roman" w:hAnsi="Times New Roman"/>
          <w:lang w:val="en-IE"/>
        </w:rPr>
        <w:t xml:space="preserve"> will bring together expertise and capacities across </w:t>
      </w:r>
      <w:r w:rsidR="00AC6211" w:rsidRPr="00FC116F">
        <w:rPr>
          <w:rFonts w:ascii="Times New Roman" w:hAnsi="Times New Roman"/>
          <w:lang w:val="en-IE"/>
        </w:rPr>
        <w:t xml:space="preserve">participating </w:t>
      </w:r>
      <w:r w:rsidRPr="00FC116F">
        <w:rPr>
          <w:rFonts w:ascii="Times New Roman" w:hAnsi="Times New Roman"/>
          <w:lang w:val="en-IE"/>
        </w:rPr>
        <w:t xml:space="preserve">Member States, EU candidate countries and potential candidates, and EU institutions, bodies, offices and agencies, including the European External Action Service (EEAS), as relevant. The Centre will facilitate information sharing and support operational cooperation and capacity building to withstand evolving common threats, in particular foreign information manipulation and interference (FIMI) and disinformation. </w:t>
      </w:r>
    </w:p>
    <w:p w14:paraId="0BBD6F6F" w14:textId="0DE43876" w:rsidR="00B61D1A" w:rsidRPr="00882CCC" w:rsidRDefault="00B61D1A" w:rsidP="51B0B49D">
      <w:pPr>
        <w:widowControl w:val="0"/>
        <w:rPr>
          <w:rFonts w:ascii="Times New Roman" w:hAnsi="Times New Roman"/>
          <w:lang w:val="en-IE"/>
        </w:rPr>
      </w:pPr>
      <w:r w:rsidRPr="00FC116F">
        <w:rPr>
          <w:rFonts w:ascii="Times New Roman" w:hAnsi="Times New Roman"/>
          <w:lang w:val="en-IE"/>
        </w:rPr>
        <w:t>The</w:t>
      </w:r>
      <w:r w:rsidRPr="00882CCC">
        <w:rPr>
          <w:rFonts w:ascii="Times New Roman" w:hAnsi="Times New Roman"/>
          <w:lang w:val="en-IE"/>
        </w:rPr>
        <w:t xml:space="preserve"> Commission will support </w:t>
      </w:r>
      <w:r w:rsidRPr="00882CCC">
        <w:rPr>
          <w:rFonts w:ascii="Times New Roman" w:hAnsi="Times New Roman"/>
          <w:b/>
          <w:lang w:val="en-IE"/>
        </w:rPr>
        <w:t>implementation of EU legislation and the efforts of national authorities</w:t>
      </w:r>
      <w:r w:rsidRPr="00882CCC">
        <w:rPr>
          <w:rFonts w:ascii="Times New Roman" w:hAnsi="Times New Roman"/>
          <w:lang w:val="en-IE"/>
        </w:rPr>
        <w:t xml:space="preserve">, as well as strong oversight building on collaboration between the various authorities involved in the electoral process. Exchanges of experiences on elections, including the assessment of incidents and unexpected events affecting the smooth conduct of elections will continue to be important. </w:t>
      </w:r>
      <w:r w:rsidR="00CB31D2" w:rsidRPr="00FC116F">
        <w:rPr>
          <w:rFonts w:ascii="Times New Roman" w:hAnsi="Times New Roman"/>
          <w:lang w:val="en-IE"/>
        </w:rPr>
        <w:t>The Commission facilitates valuable exchanges and mutual support through</w:t>
      </w:r>
      <w:r w:rsidR="00CB31D2" w:rsidRPr="00882CCC">
        <w:rPr>
          <w:rFonts w:ascii="Times New Roman" w:hAnsi="Times New Roman"/>
          <w:lang w:val="en-IE"/>
        </w:rPr>
        <w:t xml:space="preserve"> the </w:t>
      </w:r>
      <w:r w:rsidR="00CB31D2" w:rsidRPr="00882CCC">
        <w:rPr>
          <w:rFonts w:ascii="Times New Roman" w:hAnsi="Times New Roman"/>
          <w:b/>
          <w:lang w:val="en-IE"/>
        </w:rPr>
        <w:t xml:space="preserve">European Cooperation Network on </w:t>
      </w:r>
      <w:r w:rsidR="00CB31D2" w:rsidRPr="00FC116F">
        <w:rPr>
          <w:rFonts w:ascii="Times New Roman" w:hAnsi="Times New Roman"/>
          <w:b/>
          <w:bCs/>
          <w:lang w:val="en-IE"/>
        </w:rPr>
        <w:t>Election</w:t>
      </w:r>
      <w:r w:rsidR="00CB31D2" w:rsidRPr="00FC116F">
        <w:rPr>
          <w:rFonts w:ascii="Times New Roman" w:hAnsi="Times New Roman"/>
          <w:lang w:val="en-IE"/>
        </w:rPr>
        <w:t xml:space="preserve"> (ECNE), which brings together national authorities with responsibilities in electoral matters. </w:t>
      </w:r>
      <w:r w:rsidRPr="00FC116F">
        <w:rPr>
          <w:rFonts w:ascii="Times New Roman" w:hAnsi="Times New Roman"/>
          <w:lang w:val="en-IE"/>
        </w:rPr>
        <w:t>In th</w:t>
      </w:r>
      <w:r w:rsidR="00CB31D2" w:rsidRPr="00FC116F">
        <w:rPr>
          <w:rFonts w:ascii="Times New Roman" w:hAnsi="Times New Roman"/>
          <w:lang w:val="en-IE"/>
        </w:rPr>
        <w:t xml:space="preserve">is </w:t>
      </w:r>
      <w:r w:rsidRPr="00FC116F">
        <w:rPr>
          <w:rFonts w:ascii="Times New Roman" w:hAnsi="Times New Roman"/>
          <w:lang w:val="en-IE"/>
        </w:rPr>
        <w:t xml:space="preserve">framework, the Commission </w:t>
      </w:r>
      <w:r w:rsidR="00CB31D2" w:rsidRPr="00FC116F">
        <w:rPr>
          <w:rFonts w:ascii="Times New Roman" w:hAnsi="Times New Roman"/>
          <w:lang w:val="en-IE"/>
        </w:rPr>
        <w:t>published a</w:t>
      </w:r>
      <w:r w:rsidRPr="00882CCC">
        <w:rPr>
          <w:rFonts w:ascii="Times New Roman" w:hAnsi="Times New Roman"/>
          <w:lang w:val="en-IE"/>
        </w:rPr>
        <w:t xml:space="preserve"> </w:t>
      </w:r>
      <w:r w:rsidRPr="00882CCC">
        <w:rPr>
          <w:rFonts w:ascii="Times New Roman" w:hAnsi="Times New Roman"/>
          <w:b/>
          <w:lang w:val="en-IE"/>
        </w:rPr>
        <w:t>checklist on election integrity</w:t>
      </w:r>
      <w:r w:rsidRPr="00882CCC">
        <w:rPr>
          <w:rFonts w:ascii="Times New Roman" w:hAnsi="Times New Roman"/>
          <w:lang w:val="en-IE"/>
        </w:rPr>
        <w:t xml:space="preserve"> and a </w:t>
      </w:r>
      <w:r w:rsidRPr="00882CCC">
        <w:rPr>
          <w:rFonts w:ascii="Times New Roman" w:hAnsi="Times New Roman"/>
          <w:b/>
          <w:lang w:val="en-IE"/>
        </w:rPr>
        <w:t>risk management matrix</w:t>
      </w:r>
      <w:r w:rsidRPr="00FC116F">
        <w:rPr>
          <w:rFonts w:ascii="Times New Roman" w:hAnsi="Times New Roman"/>
          <w:b/>
          <w:bCs/>
          <w:lang w:val="en-IE"/>
        </w:rPr>
        <w:t xml:space="preserve"> </w:t>
      </w:r>
      <w:r w:rsidR="00CB31D2" w:rsidRPr="00FC116F">
        <w:rPr>
          <w:rFonts w:ascii="Times New Roman" w:hAnsi="Times New Roman"/>
          <w:b/>
          <w:bCs/>
          <w:lang w:val="en-IE"/>
        </w:rPr>
        <w:t>for elections</w:t>
      </w:r>
      <w:r w:rsidR="00CB31D2" w:rsidRPr="00882CCC">
        <w:rPr>
          <w:rFonts w:ascii="Times New Roman" w:hAnsi="Times New Roman"/>
          <w:lang w:val="en-IE"/>
        </w:rPr>
        <w:t xml:space="preserve"> </w:t>
      </w:r>
      <w:r w:rsidRPr="00882CCC">
        <w:rPr>
          <w:rFonts w:ascii="Times New Roman" w:hAnsi="Times New Roman"/>
          <w:lang w:val="en-IE"/>
        </w:rPr>
        <w:t>to serve as accessible points of reference for national preparedness, including as regards information manipulation and disinformation.</w:t>
      </w:r>
    </w:p>
    <w:p w14:paraId="5F6D7C45" w14:textId="6B56C794" w:rsidR="00CB31D2" w:rsidRPr="00FC116F" w:rsidRDefault="00CB31D2" w:rsidP="51B0B49D">
      <w:pPr>
        <w:widowControl w:val="0"/>
        <w:rPr>
          <w:rFonts w:ascii="Times New Roman" w:hAnsi="Times New Roman"/>
          <w:lang w:val="en-IE"/>
        </w:rPr>
      </w:pPr>
      <w:r w:rsidRPr="00FC116F">
        <w:rPr>
          <w:rFonts w:ascii="Times New Roman" w:hAnsi="Times New Roman"/>
          <w:b/>
          <w:bCs/>
          <w:lang w:val="en-IE"/>
        </w:rPr>
        <w:t>New thematic settings</w:t>
      </w:r>
      <w:r w:rsidRPr="00FC116F">
        <w:rPr>
          <w:rFonts w:ascii="Times New Roman" w:hAnsi="Times New Roman"/>
          <w:lang w:val="en-IE"/>
        </w:rPr>
        <w:t xml:space="preserve"> will foster exchanges on topics such as election integrity and election-related risk management and preparedness, election observation in the EU, new ways of political campaigning including regarding financing, the safety of political candidates and elected representatives and the impact and role of Artificial Intelligence and other new technologies regarding electoral processes. Based on exchanges in ECNE, the </w:t>
      </w:r>
      <w:r w:rsidRPr="00FC116F">
        <w:rPr>
          <w:rFonts w:ascii="Times New Roman" w:hAnsi="Times New Roman"/>
          <w:lang w:val="en-IE"/>
        </w:rPr>
        <w:lastRenderedPageBreak/>
        <w:t xml:space="preserve">Commission will prepare a </w:t>
      </w:r>
      <w:r w:rsidRPr="00FC116F">
        <w:rPr>
          <w:rFonts w:ascii="Times New Roman" w:hAnsi="Times New Roman"/>
          <w:b/>
          <w:bCs/>
          <w:lang w:val="en-IE"/>
        </w:rPr>
        <w:t>repository of common references and standards for electoral processes</w:t>
      </w:r>
      <w:r w:rsidRPr="00FC116F">
        <w:rPr>
          <w:rFonts w:ascii="Times New Roman" w:hAnsi="Times New Roman"/>
          <w:lang w:val="en-IE"/>
        </w:rPr>
        <w:t xml:space="preserve">. The Commission will promote the use of the </w:t>
      </w:r>
      <w:r w:rsidRPr="00FC116F">
        <w:rPr>
          <w:rFonts w:ascii="Times New Roman" w:hAnsi="Times New Roman"/>
          <w:b/>
          <w:bCs/>
          <w:lang w:val="en-IE"/>
        </w:rPr>
        <w:t>joint mechanism for electoral resilience</w:t>
      </w:r>
      <w:r w:rsidRPr="00FC116F">
        <w:rPr>
          <w:rFonts w:ascii="Times New Roman" w:hAnsi="Times New Roman"/>
          <w:lang w:val="en-IE"/>
        </w:rPr>
        <w:t>, encourage peer-to-peer exchanges, mutual voluntary assistance, common training and tabletop exercises. It will also promote short-term exchanges of national experts among Member States.</w:t>
      </w:r>
    </w:p>
    <w:p w14:paraId="7B586FFC" w14:textId="6292F732" w:rsidR="000760D2" w:rsidRPr="00FC116F" w:rsidRDefault="000760D2" w:rsidP="00B61D1A">
      <w:pPr>
        <w:widowControl w:val="0"/>
        <w:rPr>
          <w:rFonts w:ascii="Times New Roman" w:hAnsi="Times New Roman"/>
          <w:bCs/>
          <w:szCs w:val="24"/>
          <w:lang w:val="en-IE"/>
        </w:rPr>
      </w:pPr>
      <w:r w:rsidRPr="00FC116F">
        <w:rPr>
          <w:rFonts w:ascii="Times New Roman" w:hAnsi="Times New Roman"/>
          <w:bCs/>
          <w:szCs w:val="24"/>
          <w:lang w:val="en-IE"/>
        </w:rPr>
        <w:t xml:space="preserve">The </w:t>
      </w:r>
      <w:r w:rsidRPr="00FC116F">
        <w:rPr>
          <w:rFonts w:ascii="Times New Roman" w:hAnsi="Times New Roman"/>
          <w:b/>
          <w:szCs w:val="24"/>
          <w:lang w:val="en-IE"/>
        </w:rPr>
        <w:t>Regulation on political advertising</w:t>
      </w:r>
      <w:r w:rsidR="00785393" w:rsidRPr="00FC116F">
        <w:rPr>
          <w:rStyle w:val="FootnoteReference"/>
          <w:rFonts w:ascii="Times New Roman" w:hAnsi="Times New Roman"/>
          <w:b/>
          <w:szCs w:val="24"/>
          <w:lang w:val="en-IE"/>
        </w:rPr>
        <w:footnoteReference w:id="7"/>
      </w:r>
      <w:r w:rsidRPr="00FC116F">
        <w:rPr>
          <w:rFonts w:ascii="Times New Roman" w:hAnsi="Times New Roman"/>
          <w:bCs/>
          <w:szCs w:val="24"/>
          <w:lang w:val="en-IE"/>
        </w:rPr>
        <w:t xml:space="preserve"> provides common EU standards that make it easier for citizens to recognise political ads, know if they are targeted by such ads, and distinguish them from other types of content. To prevent foreign interference, the Regulation bans the provision of ads to third country sponsors in the three months before an election or referendum in an EU country. The new rules help safeguard the integrity of electoral processes and support an open and transparent democratic debate. Information on online political ads will be available from an online repository, including about who paid for them. </w:t>
      </w:r>
    </w:p>
    <w:p w14:paraId="2218D1D0" w14:textId="4D80F924" w:rsidR="00785393" w:rsidRPr="00FC116F" w:rsidRDefault="001755F1" w:rsidP="51B0B49D">
      <w:pPr>
        <w:widowControl w:val="0"/>
        <w:rPr>
          <w:rFonts w:ascii="Times New Roman" w:hAnsi="Times New Roman"/>
          <w:lang w:val="en-IE"/>
        </w:rPr>
      </w:pPr>
      <w:r w:rsidRPr="00FC116F">
        <w:rPr>
          <w:rFonts w:ascii="Times New Roman" w:hAnsi="Times New Roman"/>
          <w:lang w:val="en-IE"/>
        </w:rPr>
        <w:t xml:space="preserve">Under the </w:t>
      </w:r>
      <w:r w:rsidR="00785393" w:rsidRPr="00FC116F">
        <w:rPr>
          <w:rFonts w:ascii="Times New Roman" w:hAnsi="Times New Roman"/>
          <w:b/>
          <w:bCs/>
          <w:lang w:val="en-IE"/>
        </w:rPr>
        <w:t>revised Council Directive</w:t>
      </w:r>
      <w:r w:rsidRPr="00FC116F">
        <w:rPr>
          <w:rFonts w:ascii="Times New Roman" w:hAnsi="Times New Roman"/>
          <w:b/>
          <w:bCs/>
          <w:lang w:val="en-IE"/>
        </w:rPr>
        <w:t xml:space="preserve"> on the voting rights </w:t>
      </w:r>
      <w:r w:rsidR="0013093C" w:rsidRPr="00FC116F">
        <w:rPr>
          <w:rFonts w:ascii="Times New Roman" w:hAnsi="Times New Roman"/>
          <w:b/>
          <w:bCs/>
          <w:lang w:val="en-IE"/>
        </w:rPr>
        <w:t xml:space="preserve">in elections to the European Parliament </w:t>
      </w:r>
      <w:r w:rsidRPr="00FC116F">
        <w:rPr>
          <w:rFonts w:ascii="Times New Roman" w:hAnsi="Times New Roman"/>
          <w:b/>
          <w:bCs/>
          <w:lang w:val="en-IE"/>
        </w:rPr>
        <w:t xml:space="preserve">of </w:t>
      </w:r>
      <w:r w:rsidR="005F7828" w:rsidRPr="00FC116F">
        <w:rPr>
          <w:rFonts w:ascii="Times New Roman" w:hAnsi="Times New Roman"/>
          <w:b/>
          <w:bCs/>
          <w:lang w:val="en-IE"/>
        </w:rPr>
        <w:t>EU citizens who reside in a different Member State than their state of nationality (“mobile EU citizens”)</w:t>
      </w:r>
      <w:r w:rsidR="00785393" w:rsidRPr="00FC116F">
        <w:rPr>
          <w:rStyle w:val="FootnoteReference"/>
          <w:rFonts w:ascii="Times New Roman" w:hAnsi="Times New Roman"/>
          <w:bCs/>
          <w:szCs w:val="24"/>
          <w:lang w:val="en-IE"/>
        </w:rPr>
        <w:footnoteReference w:id="8"/>
      </w:r>
      <w:r w:rsidR="00785393" w:rsidRPr="00FC116F">
        <w:rPr>
          <w:rFonts w:ascii="Times New Roman" w:hAnsi="Times New Roman"/>
          <w:lang w:val="en-IE"/>
        </w:rPr>
        <w:t>, adopted on 24 June 2025</w:t>
      </w:r>
      <w:r w:rsidR="0001229B" w:rsidRPr="00FC116F">
        <w:rPr>
          <w:rFonts w:ascii="Times New Roman" w:hAnsi="Times New Roman"/>
          <w:lang w:val="en-IE"/>
        </w:rPr>
        <w:t>,</w:t>
      </w:r>
      <w:r w:rsidR="00B51D4D" w:rsidRPr="00FC116F">
        <w:rPr>
          <w:rFonts w:ascii="Times New Roman" w:hAnsi="Times New Roman"/>
          <w:lang w:val="en-IE"/>
        </w:rPr>
        <w:t xml:space="preserve"> </w:t>
      </w:r>
      <w:r w:rsidR="003F0FF5" w:rsidRPr="00FC116F">
        <w:rPr>
          <w:rFonts w:ascii="Times New Roman" w:hAnsi="Times New Roman"/>
          <w:lang w:val="en-IE"/>
        </w:rPr>
        <w:t xml:space="preserve">Member States will have to provide more information to mobile EU citizens about the status of their registration, the date of the election and how and where to vote. General information on elections will also be available in a language that is broadly understood by the mobile EU citizens. The information exchanges to prevent multiple voting will be reinforced by additional data and a common timeframe and will be supported by a secure framework made available by the Commission. </w:t>
      </w:r>
    </w:p>
    <w:p w14:paraId="135A492E" w14:textId="7BEC629A" w:rsidR="00785393" w:rsidRPr="00FC116F" w:rsidRDefault="00CB31D2" w:rsidP="51B0B49D">
      <w:pPr>
        <w:widowControl w:val="0"/>
        <w:rPr>
          <w:rFonts w:ascii="Times New Roman" w:hAnsi="Times New Roman"/>
          <w:lang w:val="en-IE"/>
        </w:rPr>
      </w:pPr>
      <w:r w:rsidRPr="00FC116F">
        <w:rPr>
          <w:rFonts w:ascii="Times New Roman" w:hAnsi="Times New Roman"/>
          <w:lang w:val="en-IE"/>
        </w:rPr>
        <w:t xml:space="preserve">The </w:t>
      </w:r>
      <w:r w:rsidRPr="00FC116F">
        <w:rPr>
          <w:rFonts w:ascii="Times New Roman" w:hAnsi="Times New Roman"/>
          <w:b/>
          <w:bCs/>
          <w:lang w:val="en-IE"/>
        </w:rPr>
        <w:t>Code of Conduct on Disinformation</w:t>
      </w:r>
      <w:r w:rsidRPr="00FC116F">
        <w:rPr>
          <w:rFonts w:ascii="Times New Roman" w:hAnsi="Times New Roman"/>
          <w:lang w:val="en-IE"/>
        </w:rPr>
        <w:t xml:space="preserve"> will continue to play a key role in addressing election-related threats through its voluntary multistakeholder approach, in particular through the </w:t>
      </w:r>
      <w:r w:rsidRPr="00FC116F">
        <w:rPr>
          <w:rFonts w:ascii="Times New Roman" w:hAnsi="Times New Roman"/>
          <w:b/>
          <w:bCs/>
          <w:lang w:val="en-IE"/>
        </w:rPr>
        <w:t>Rapid Response System</w:t>
      </w:r>
      <w:r w:rsidRPr="00FC116F">
        <w:rPr>
          <w:rFonts w:ascii="Times New Roman" w:hAnsi="Times New Roman"/>
          <w:lang w:val="en-IE"/>
        </w:rPr>
        <w:t xml:space="preserve"> for elections which allows non-platform signatories such as civil society organisations to swiftly report time-sensitive content or accounts that they deem to present threats to the integrity of the electoral process to the online platforms, ensuring the latter can take appropriate actions in light of their respective policies. </w:t>
      </w:r>
      <w:r w:rsidRPr="00FC116F">
        <w:rPr>
          <w:rFonts w:ascii="Times New Roman" w:hAnsi="Times New Roman"/>
          <w:b/>
          <w:bCs/>
          <w:lang w:val="en-IE"/>
        </w:rPr>
        <w:t>New election-related work</w:t>
      </w:r>
      <w:r w:rsidRPr="00FC116F">
        <w:rPr>
          <w:rFonts w:ascii="Times New Roman" w:hAnsi="Times New Roman"/>
          <w:lang w:val="en-IE"/>
        </w:rPr>
        <w:t xml:space="preserve"> under the Code will focus on mapping and analysing novel and emerging threats linked to information manipulation campaigns, that are increasingly observed during the electoral periods.</w:t>
      </w:r>
    </w:p>
    <w:p w14:paraId="7693E8E3" w14:textId="1DD05CD0" w:rsidR="00CB31D2" w:rsidRPr="00FC116F" w:rsidRDefault="00CB31D2" w:rsidP="51B0B49D">
      <w:pPr>
        <w:widowControl w:val="0"/>
        <w:rPr>
          <w:rFonts w:ascii="Times New Roman" w:hAnsi="Times New Roman"/>
          <w:lang w:val="en-IE"/>
        </w:rPr>
      </w:pPr>
      <w:r w:rsidRPr="00FC116F">
        <w:rPr>
          <w:rFonts w:ascii="Times New Roman" w:hAnsi="Times New Roman"/>
          <w:b/>
          <w:bCs/>
          <w:lang w:val="en-IE"/>
        </w:rPr>
        <w:t>Influencers</w:t>
      </w:r>
      <w:r w:rsidRPr="00FC116F">
        <w:rPr>
          <w:rFonts w:ascii="Times New Roman" w:hAnsi="Times New Roman"/>
          <w:lang w:val="en-IE"/>
        </w:rPr>
        <w:t xml:space="preserve"> play an increasingly significant role in online political campaigns. Building on the EU Influencer Legal Hub, the Commission will support the setting up of a voluntary </w:t>
      </w:r>
      <w:r w:rsidRPr="00FC116F">
        <w:rPr>
          <w:rFonts w:ascii="Times New Roman" w:hAnsi="Times New Roman"/>
          <w:b/>
          <w:bCs/>
          <w:lang w:val="en-IE"/>
        </w:rPr>
        <w:t>network of influencers</w:t>
      </w:r>
      <w:r w:rsidRPr="00FC116F">
        <w:rPr>
          <w:rFonts w:ascii="Times New Roman" w:hAnsi="Times New Roman"/>
          <w:lang w:val="en-IE"/>
        </w:rPr>
        <w:t xml:space="preserve"> to raise awareness about relevant EU rules, including on their responsibilities when engaging in political campaigning and promote the exchange of best practice. The Commission will also encourage ethical standards and voluntary commitments, including regarding information integrity, and support work by influencers to promote digital literacy.</w:t>
      </w:r>
    </w:p>
    <w:bookmarkEnd w:id="1"/>
    <w:p w14:paraId="4ED048A8" w14:textId="55DBCE1B" w:rsidR="002D58F1" w:rsidRPr="00882CCC" w:rsidRDefault="00152F5F" w:rsidP="51B0B49D">
      <w:pPr>
        <w:widowControl w:val="0"/>
        <w:rPr>
          <w:rFonts w:ascii="Times New Roman" w:hAnsi="Times New Roman"/>
          <w:lang w:val="en-IE"/>
        </w:rPr>
      </w:pPr>
      <w:r w:rsidRPr="00882CCC">
        <w:rPr>
          <w:rFonts w:ascii="Times New Roman" w:hAnsi="Times New Roman"/>
          <w:lang w:val="en-IE"/>
        </w:rPr>
        <w:t>T</w:t>
      </w:r>
      <w:r w:rsidR="00CD03D1" w:rsidRPr="00882CCC">
        <w:rPr>
          <w:rFonts w:ascii="Times New Roman" w:hAnsi="Times New Roman"/>
          <w:lang w:val="en-IE"/>
        </w:rPr>
        <w:t xml:space="preserve">o protect our media and independent press in their crucial role in </w:t>
      </w:r>
      <w:r w:rsidR="00F107A4" w:rsidRPr="00882CCC">
        <w:rPr>
          <w:rFonts w:ascii="Times New Roman" w:hAnsi="Times New Roman"/>
          <w:lang w:val="en-IE"/>
        </w:rPr>
        <w:t>democracy, t</w:t>
      </w:r>
      <w:r w:rsidRPr="00882CCC">
        <w:rPr>
          <w:rFonts w:ascii="Times New Roman" w:hAnsi="Times New Roman"/>
          <w:lang w:val="en-IE"/>
        </w:rPr>
        <w:t xml:space="preserve">he Commission will also </w:t>
      </w:r>
      <w:r w:rsidR="00CD03D1" w:rsidRPr="00882CCC">
        <w:rPr>
          <w:rFonts w:ascii="Times New Roman" w:hAnsi="Times New Roman"/>
          <w:lang w:val="en-IE"/>
        </w:rPr>
        <w:t xml:space="preserve">launch a new Media Resilience Programme </w:t>
      </w:r>
      <w:r w:rsidR="00F107A4" w:rsidRPr="00882CCC">
        <w:rPr>
          <w:rFonts w:ascii="Times New Roman" w:hAnsi="Times New Roman"/>
          <w:lang w:val="en-IE"/>
        </w:rPr>
        <w:t xml:space="preserve">to </w:t>
      </w:r>
      <w:r w:rsidR="00CD03D1" w:rsidRPr="00882CCC">
        <w:rPr>
          <w:rFonts w:ascii="Times New Roman" w:hAnsi="Times New Roman"/>
          <w:lang w:val="en-IE"/>
        </w:rPr>
        <w:t>support independent journalism and media literacy.</w:t>
      </w:r>
    </w:p>
    <w:p w14:paraId="15907319" w14:textId="77777777" w:rsidR="00F166B4" w:rsidRPr="00882CCC" w:rsidRDefault="00DF3D24" w:rsidP="51B0B49D">
      <w:pPr>
        <w:widowControl w:val="0"/>
        <w:rPr>
          <w:rFonts w:ascii="Times New Roman" w:hAnsi="Times New Roman"/>
          <w:i/>
          <w:lang w:val="en-IE"/>
        </w:rPr>
      </w:pPr>
      <w:r w:rsidRPr="00882CCC">
        <w:rPr>
          <w:rFonts w:ascii="Times New Roman" w:hAnsi="Times New Roman"/>
          <w:i/>
          <w:lang w:val="en-IE"/>
        </w:rPr>
        <w:t xml:space="preserve">21.  Condemns all forms of political violence in the strongest terms; expresses deep concern over a series of incidents that occurred in the run-up to the 2024 elections; </w:t>
      </w:r>
      <w:r w:rsidRPr="00882CCC">
        <w:rPr>
          <w:rFonts w:ascii="Times New Roman" w:hAnsi="Times New Roman"/>
          <w:b/>
          <w:i/>
          <w:lang w:val="en-IE"/>
        </w:rPr>
        <w:t xml:space="preserve">encourages the Commission </w:t>
      </w:r>
      <w:r w:rsidRPr="00882CCC">
        <w:rPr>
          <w:rFonts w:ascii="Times New Roman" w:hAnsi="Times New Roman"/>
          <w:i/>
          <w:lang w:val="en-IE"/>
        </w:rPr>
        <w:t xml:space="preserve">and the Member States </w:t>
      </w:r>
      <w:r w:rsidRPr="00882CCC">
        <w:rPr>
          <w:rFonts w:ascii="Times New Roman" w:hAnsi="Times New Roman"/>
          <w:b/>
          <w:i/>
          <w:lang w:val="en-IE"/>
        </w:rPr>
        <w:t>to prioritise the prevention of political violence by strengthening laws, frameworks and policies that protect politicians, political candidates, activists, journalists and citizens from violence and harassment during the electoral period</w:t>
      </w:r>
      <w:r w:rsidRPr="00882CCC">
        <w:rPr>
          <w:rFonts w:ascii="Times New Roman" w:hAnsi="Times New Roman"/>
          <w:i/>
          <w:lang w:val="en-IE"/>
        </w:rPr>
        <w:t xml:space="preserve">; </w:t>
      </w:r>
    </w:p>
    <w:p w14:paraId="1A3F1CC0" w14:textId="2D7D6C30" w:rsidR="007845D8" w:rsidRPr="00FC116F" w:rsidRDefault="007845D8" w:rsidP="51B0B49D">
      <w:pPr>
        <w:widowControl w:val="0"/>
        <w:rPr>
          <w:rFonts w:ascii="Times New Roman" w:hAnsi="Times New Roman"/>
          <w:lang w:val="en-IE"/>
        </w:rPr>
      </w:pPr>
      <w:r w:rsidRPr="00882CCC">
        <w:rPr>
          <w:rFonts w:ascii="Times New Roman" w:hAnsi="Times New Roman"/>
          <w:lang w:val="en-IE"/>
        </w:rPr>
        <w:t>Politicians and political candidates can face undue pressures and threats to their security, which has negative spill-over effect on inclusive democratic representation</w:t>
      </w:r>
      <w:r w:rsidR="00503C38" w:rsidRPr="00882CCC">
        <w:rPr>
          <w:rFonts w:ascii="Times New Roman" w:hAnsi="Times New Roman"/>
          <w:color w:val="D13438"/>
          <w:shd w:val="clear" w:color="auto" w:fill="FFFFFF"/>
          <w:lang w:val="en-IE"/>
        </w:rPr>
        <w:t xml:space="preserve"> </w:t>
      </w:r>
      <w:r w:rsidR="00F5468A" w:rsidRPr="00882CCC">
        <w:rPr>
          <w:rFonts w:ascii="Times New Roman" w:hAnsi="Times New Roman"/>
          <w:lang w:val="en-IE"/>
        </w:rPr>
        <w:t>and may discourage broader political engagement.</w:t>
      </w:r>
      <w:r w:rsidRPr="00882CCC">
        <w:rPr>
          <w:rFonts w:ascii="Times New Roman" w:hAnsi="Times New Roman"/>
          <w:lang w:val="en-IE"/>
        </w:rPr>
        <w:t xml:space="preserve"> Ensuring their safety emerged as a </w:t>
      </w:r>
      <w:r w:rsidR="00F5468A" w:rsidRPr="00882CCC">
        <w:rPr>
          <w:rFonts w:ascii="Times New Roman" w:hAnsi="Times New Roman"/>
          <w:lang w:val="en-IE"/>
        </w:rPr>
        <w:t xml:space="preserve">recurring </w:t>
      </w:r>
      <w:r w:rsidRPr="00882CCC">
        <w:rPr>
          <w:rFonts w:ascii="Times New Roman" w:hAnsi="Times New Roman"/>
          <w:lang w:val="en-IE"/>
        </w:rPr>
        <w:t xml:space="preserve">topic of discussion </w:t>
      </w:r>
      <w:r w:rsidR="00F5468A" w:rsidRPr="00882CCC">
        <w:rPr>
          <w:rFonts w:ascii="Times New Roman" w:hAnsi="Times New Roman"/>
          <w:lang w:val="en-IE"/>
        </w:rPr>
        <w:t xml:space="preserve">in the context of </w:t>
      </w:r>
      <w:r w:rsidRPr="00882CCC">
        <w:rPr>
          <w:rFonts w:ascii="Times New Roman" w:hAnsi="Times New Roman"/>
          <w:lang w:val="en-IE"/>
        </w:rPr>
        <w:t>the 2024 elections</w:t>
      </w:r>
      <w:r w:rsidR="00F770D6" w:rsidRPr="00882CCC">
        <w:rPr>
          <w:rFonts w:ascii="Times New Roman" w:hAnsi="Times New Roman"/>
          <w:lang w:val="en-IE"/>
        </w:rPr>
        <w:t xml:space="preserve"> to the European Parliament</w:t>
      </w:r>
      <w:r w:rsidRPr="00882CCC">
        <w:rPr>
          <w:rFonts w:ascii="Times New Roman" w:hAnsi="Times New Roman"/>
          <w:lang w:val="en-IE"/>
        </w:rPr>
        <w:t xml:space="preserve">. </w:t>
      </w:r>
      <w:r w:rsidR="00CB31D2" w:rsidRPr="00882CCC">
        <w:rPr>
          <w:rFonts w:ascii="Times New Roman" w:hAnsi="Times New Roman"/>
          <w:lang w:val="en-IE"/>
        </w:rPr>
        <w:t>This is also a recurring topic in the meetings of the European Cooperation Network on elections, with Member States exchanging on practical and concrete arrangements and measures.</w:t>
      </w:r>
      <w:r w:rsidR="00D05028" w:rsidRPr="00882CCC">
        <w:rPr>
          <w:rFonts w:ascii="Times New Roman" w:hAnsi="Times New Roman"/>
          <w:lang w:val="en-IE"/>
        </w:rPr>
        <w:t xml:space="preserve"> </w:t>
      </w:r>
      <w:r w:rsidR="00D05028" w:rsidRPr="00FC116F">
        <w:rPr>
          <w:rFonts w:ascii="Times New Roman" w:hAnsi="Times New Roman"/>
          <w:lang w:val="en-IE"/>
        </w:rPr>
        <w:t>Discussions started ahead of the 2024 elections to the European Parliament.</w:t>
      </w:r>
    </w:p>
    <w:p w14:paraId="491B29C5" w14:textId="30883FAD" w:rsidR="00CB31D2" w:rsidRPr="00882CCC" w:rsidRDefault="002B1C5C" w:rsidP="51B0B49D">
      <w:pPr>
        <w:widowControl w:val="0"/>
        <w:rPr>
          <w:rFonts w:ascii="Times New Roman" w:hAnsi="Times New Roman"/>
          <w:lang w:val="en-IE"/>
        </w:rPr>
      </w:pPr>
      <w:r w:rsidRPr="00882CCC">
        <w:rPr>
          <w:rFonts w:ascii="Times New Roman" w:hAnsi="Times New Roman"/>
          <w:lang w:val="en-IE"/>
        </w:rPr>
        <w:t>The</w:t>
      </w:r>
      <w:r w:rsidR="00EF2056" w:rsidRPr="00882CCC">
        <w:rPr>
          <w:rFonts w:ascii="Times New Roman" w:hAnsi="Times New Roman"/>
          <w:lang w:val="en-IE"/>
        </w:rPr>
        <w:t xml:space="preserve"> Commission’s report on the 2024 elections to the European Parliament acknowledges that the</w:t>
      </w:r>
      <w:r w:rsidRPr="00882CCC">
        <w:rPr>
          <w:rFonts w:ascii="Times New Roman" w:hAnsi="Times New Roman"/>
          <w:lang w:val="en-IE"/>
        </w:rPr>
        <w:t xml:space="preserve">re is a need to foster a positive and secure environment, to enable political candidates and those elected to exercise their political responsibilities, </w:t>
      </w:r>
      <w:r w:rsidR="00F5468A" w:rsidRPr="00882CCC">
        <w:rPr>
          <w:rFonts w:ascii="Times New Roman" w:hAnsi="Times New Roman"/>
          <w:lang w:val="en-IE"/>
        </w:rPr>
        <w:t xml:space="preserve">with confidence and </w:t>
      </w:r>
      <w:r w:rsidRPr="00882CCC">
        <w:rPr>
          <w:rFonts w:ascii="Times New Roman" w:hAnsi="Times New Roman"/>
          <w:lang w:val="en-IE"/>
        </w:rPr>
        <w:t>without fear. Improved data gathering with a view to better understanding the increased threats to candidates and elected representatives</w:t>
      </w:r>
      <w:r w:rsidR="00F5468A" w:rsidRPr="00882CCC">
        <w:rPr>
          <w:rFonts w:ascii="Times New Roman" w:hAnsi="Times New Roman"/>
          <w:lang w:val="en-IE"/>
        </w:rPr>
        <w:t>, including at regional and local level,</w:t>
      </w:r>
      <w:r w:rsidRPr="00882CCC">
        <w:rPr>
          <w:rFonts w:ascii="Times New Roman" w:hAnsi="Times New Roman"/>
          <w:lang w:val="en-IE"/>
        </w:rPr>
        <w:t xml:space="preserve"> would be helpful. </w:t>
      </w:r>
    </w:p>
    <w:p w14:paraId="560B4DBA" w14:textId="575025B0" w:rsidR="00CB31D2" w:rsidRPr="00FC116F" w:rsidRDefault="00CB31D2" w:rsidP="51B0B49D">
      <w:pPr>
        <w:widowControl w:val="0"/>
        <w:rPr>
          <w:rFonts w:ascii="Times New Roman" w:hAnsi="Times New Roman"/>
          <w:lang w:val="en-IE"/>
        </w:rPr>
      </w:pPr>
      <w:r w:rsidRPr="00FC116F">
        <w:rPr>
          <w:rFonts w:ascii="Times New Roman" w:hAnsi="Times New Roman"/>
          <w:lang w:val="en-IE"/>
        </w:rPr>
        <w:t xml:space="preserve">The European Democracy Shield highlights that the rapid change of the information landscape, tensions and polarisation have resulted in political candidates and elected representatives, being increasingly exposed to threats, attacks and violence, online and offline. Women in politics are a particular target of such behaviours, which can discourage them from running for office and in some cases drive them to resign from elected positions, which has a clear negative effect on democratic representation, whereas they continue to be underrepresented in politics. To better ensure the safety of political candidates and elected representatives, the Commission will adopt a </w:t>
      </w:r>
      <w:r w:rsidRPr="00FC116F">
        <w:rPr>
          <w:rFonts w:ascii="Times New Roman" w:hAnsi="Times New Roman"/>
          <w:b/>
          <w:bCs/>
          <w:lang w:val="en-IE"/>
        </w:rPr>
        <w:t>Recommendation on safety in politics</w:t>
      </w:r>
      <w:r w:rsidR="00CC772A" w:rsidRPr="00FC116F">
        <w:rPr>
          <w:rFonts w:ascii="Times New Roman" w:hAnsi="Times New Roman"/>
          <w:b/>
          <w:bCs/>
          <w:lang w:val="en-IE"/>
        </w:rPr>
        <w:t>.</w:t>
      </w:r>
    </w:p>
    <w:p w14:paraId="3E00968C" w14:textId="4B461E97" w:rsidR="00CB31D2" w:rsidRPr="00FC116F" w:rsidRDefault="00CB31D2" w:rsidP="4CBBF2D8">
      <w:pPr>
        <w:widowControl w:val="0"/>
        <w:rPr>
          <w:rFonts w:ascii="Times New Roman" w:hAnsi="Times New Roman"/>
          <w:lang w:val="en-IE"/>
        </w:rPr>
      </w:pPr>
      <w:r w:rsidRPr="00FC116F">
        <w:rPr>
          <w:rFonts w:ascii="Times New Roman" w:hAnsi="Times New Roman"/>
          <w:lang w:val="en-IE"/>
        </w:rPr>
        <w:t>The Commission, under the leadership of Commissioner McGrath,</w:t>
      </w:r>
      <w:r w:rsidRPr="00FC116F">
        <w:rPr>
          <w:rFonts w:ascii="Times New Roman" w:hAnsi="Times New Roman"/>
          <w:b/>
          <w:bCs/>
          <w:lang w:val="en-IE"/>
        </w:rPr>
        <w:t xml:space="preserve"> </w:t>
      </w:r>
      <w:r w:rsidRPr="00FC116F">
        <w:rPr>
          <w:rFonts w:ascii="Times New Roman" w:hAnsi="Times New Roman"/>
          <w:lang w:val="en-IE"/>
        </w:rPr>
        <w:t xml:space="preserve">will also work, within the framework of the ECNE and in close consultation with relevant stakeholders, on the preparation of a </w:t>
      </w:r>
      <w:r w:rsidRPr="00FC116F">
        <w:rPr>
          <w:rFonts w:ascii="Times New Roman" w:hAnsi="Times New Roman"/>
          <w:b/>
          <w:bCs/>
          <w:lang w:val="en-IE"/>
        </w:rPr>
        <w:t>dedicated guide of best practices</w:t>
      </w:r>
      <w:r w:rsidRPr="00FC116F">
        <w:rPr>
          <w:rFonts w:ascii="Times New Roman" w:hAnsi="Times New Roman"/>
          <w:lang w:val="en-IE"/>
        </w:rPr>
        <w:t xml:space="preserve"> and support capacity-building, practical support, collection of data and voluntary commitments (e.g. pledges and codes of conduct) and ethical standards in this field. Particular attention will be paid across this workstream to women and other groups at heightened risk of discrimination, and to the situation of local politicians.</w:t>
      </w:r>
    </w:p>
    <w:p w14:paraId="71E83DE3" w14:textId="7D4C2A23" w:rsidR="00E610FD" w:rsidRPr="00FC116F" w:rsidRDefault="00E610FD" w:rsidP="51B0B49D">
      <w:pPr>
        <w:widowControl w:val="0"/>
        <w:rPr>
          <w:rFonts w:ascii="Times New Roman" w:hAnsi="Times New Roman"/>
          <w:lang w:val="en-IE"/>
        </w:rPr>
      </w:pPr>
      <w:r w:rsidRPr="00FC116F">
        <w:rPr>
          <w:rFonts w:ascii="Times New Roman" w:hAnsi="Times New Roman"/>
          <w:lang w:val="en-IE"/>
        </w:rPr>
        <w:t xml:space="preserve">The Commission is </w:t>
      </w:r>
      <w:r w:rsidR="00323719" w:rsidRPr="00FC116F">
        <w:rPr>
          <w:rFonts w:ascii="Times New Roman" w:hAnsi="Times New Roman"/>
          <w:lang w:val="en-IE"/>
        </w:rPr>
        <w:t xml:space="preserve">also </w:t>
      </w:r>
      <w:r w:rsidRPr="00FC116F">
        <w:rPr>
          <w:rFonts w:ascii="Times New Roman" w:hAnsi="Times New Roman"/>
          <w:lang w:val="en-IE"/>
        </w:rPr>
        <w:t xml:space="preserve">committed to </w:t>
      </w:r>
      <w:r w:rsidR="00323719" w:rsidRPr="00FC116F">
        <w:rPr>
          <w:rFonts w:ascii="Times New Roman" w:hAnsi="Times New Roman"/>
          <w:lang w:val="en-IE"/>
        </w:rPr>
        <w:t xml:space="preserve">strengthening the capacity of the independent fact-checking community across the EU. An independent </w:t>
      </w:r>
      <w:r w:rsidR="00323719" w:rsidRPr="00FC116F">
        <w:rPr>
          <w:rFonts w:ascii="Times New Roman" w:hAnsi="Times New Roman"/>
          <w:b/>
          <w:bCs/>
          <w:lang w:val="en-IE"/>
        </w:rPr>
        <w:t>European Network of Fact-Checkers</w:t>
      </w:r>
      <w:r w:rsidR="00323719" w:rsidRPr="00FC116F">
        <w:rPr>
          <w:rFonts w:ascii="Times New Roman" w:hAnsi="Times New Roman"/>
          <w:lang w:val="en-IE"/>
        </w:rPr>
        <w:t xml:space="preserve"> will be set up with the Commission’s support to boost fact-checking capacity in all EU official languages, especially during situations such as elections, health emergencies or natural disasters where access to reliable information is critical. It will also provide access to a </w:t>
      </w:r>
      <w:r w:rsidR="00323719" w:rsidRPr="00FC116F">
        <w:rPr>
          <w:rFonts w:ascii="Times New Roman" w:hAnsi="Times New Roman"/>
          <w:b/>
          <w:bCs/>
          <w:lang w:val="en-IE"/>
        </w:rPr>
        <w:t>protection scheme for fact-checkers</w:t>
      </w:r>
      <w:r w:rsidR="00323719" w:rsidRPr="00FC116F">
        <w:rPr>
          <w:rFonts w:ascii="Times New Roman" w:hAnsi="Times New Roman"/>
          <w:lang w:val="en-IE"/>
        </w:rPr>
        <w:t xml:space="preserve"> in the EU against threats and harassment, including legal and psychological protection. In supporting fact-checkers to reach a broader audience, the network will make a substantial contribution to societal resilience. </w:t>
      </w:r>
    </w:p>
    <w:p w14:paraId="20995D81" w14:textId="619C37C2" w:rsidR="00F166B4" w:rsidRPr="00882CCC" w:rsidRDefault="00F166B4" w:rsidP="00DF3D24">
      <w:pPr>
        <w:widowControl w:val="0"/>
        <w:rPr>
          <w:rFonts w:ascii="Times New Roman" w:hAnsi="Times New Roman"/>
          <w:b/>
          <w:i/>
          <w:lang w:val="en-IE"/>
        </w:rPr>
      </w:pPr>
      <w:r w:rsidRPr="00882CCC">
        <w:rPr>
          <w:rFonts w:ascii="Times New Roman" w:hAnsi="Times New Roman"/>
          <w:i/>
          <w:lang w:val="en-IE"/>
        </w:rPr>
        <w:t xml:space="preserve">23.  Commits to an evaluation of these frameworks through its Special Committee on the European Democracy Shield, whose mandate, received from the plenary, includes addressing interference in democratic processes and policies, and implementing measures to preserve the fairness and integrity of elections as well as policies contributing to EU democratic processes; highlights that the committee thus serves as a key tool to prevent malicious interference by identifying possible loopholes, gaps and overlaps that could be exploited; </w:t>
      </w:r>
      <w:r w:rsidRPr="00882CCC">
        <w:rPr>
          <w:rFonts w:ascii="Times New Roman" w:hAnsi="Times New Roman"/>
          <w:b/>
          <w:i/>
          <w:lang w:val="en-IE"/>
        </w:rPr>
        <w:t>calls in parallel on the Commission to enforce these regulatory frameworks in full and without undue delay, particularly in the case of those platforms that continue to openly defy EU regulatory authorities;</w:t>
      </w:r>
    </w:p>
    <w:p w14:paraId="5EB43B99" w14:textId="5B3FCB24" w:rsidR="00556C41" w:rsidRPr="00882CCC" w:rsidRDefault="00B541F4" w:rsidP="51B0B49D">
      <w:pPr>
        <w:widowControl w:val="0"/>
        <w:rPr>
          <w:rFonts w:ascii="Times New Roman" w:hAnsi="Times New Roman"/>
          <w:lang w:val="en-IE"/>
        </w:rPr>
      </w:pPr>
      <w:r w:rsidRPr="788AF541">
        <w:rPr>
          <w:rFonts w:ascii="Times New Roman" w:hAnsi="Times New Roman"/>
          <w:lang w:val="en-IE"/>
        </w:rPr>
        <w:t xml:space="preserve">The Commission is fully committed and actively engaged to support the application of </w:t>
      </w:r>
      <w:r w:rsidR="006D5434" w:rsidRPr="788AF541">
        <w:rPr>
          <w:rFonts w:ascii="Times New Roman" w:hAnsi="Times New Roman"/>
          <w:lang w:val="en-IE"/>
        </w:rPr>
        <w:t>existing EU digital and democracy rulebook</w:t>
      </w:r>
      <w:r w:rsidR="00342E28" w:rsidRPr="788AF541">
        <w:rPr>
          <w:rFonts w:ascii="Times New Roman" w:hAnsi="Times New Roman"/>
          <w:lang w:val="en-IE"/>
        </w:rPr>
        <w:t>, which</w:t>
      </w:r>
      <w:r w:rsidR="006D5434" w:rsidRPr="788AF541">
        <w:rPr>
          <w:rFonts w:ascii="Times New Roman" w:hAnsi="Times New Roman"/>
          <w:lang w:val="en-IE"/>
        </w:rPr>
        <w:t xml:space="preserve"> is </w:t>
      </w:r>
      <w:r w:rsidR="00D05028" w:rsidRPr="788AF541">
        <w:rPr>
          <w:rFonts w:ascii="Times New Roman" w:hAnsi="Times New Roman"/>
          <w:lang w:val="en-IE"/>
        </w:rPr>
        <w:t xml:space="preserve">relevant to the </w:t>
      </w:r>
      <w:r w:rsidR="006D5434" w:rsidRPr="788AF541">
        <w:rPr>
          <w:rFonts w:ascii="Times New Roman" w:hAnsi="Times New Roman"/>
          <w:lang w:val="en-IE"/>
        </w:rPr>
        <w:t>protect</w:t>
      </w:r>
      <w:r w:rsidR="00D05028" w:rsidRPr="788AF541">
        <w:rPr>
          <w:rFonts w:ascii="Times New Roman" w:hAnsi="Times New Roman"/>
          <w:lang w:val="en-IE"/>
        </w:rPr>
        <w:t>ion of</w:t>
      </w:r>
      <w:r w:rsidR="006D5434" w:rsidRPr="788AF541">
        <w:rPr>
          <w:rFonts w:ascii="Times New Roman" w:hAnsi="Times New Roman"/>
          <w:lang w:val="en-IE"/>
        </w:rPr>
        <w:t xml:space="preserve"> </w:t>
      </w:r>
      <w:r w:rsidR="00640C94" w:rsidRPr="788AF541">
        <w:rPr>
          <w:rFonts w:ascii="Times New Roman" w:hAnsi="Times New Roman"/>
          <w:lang w:val="en-IE"/>
        </w:rPr>
        <w:t>democratic values</w:t>
      </w:r>
      <w:r w:rsidR="006D5434" w:rsidRPr="788AF541">
        <w:rPr>
          <w:rFonts w:ascii="Times New Roman" w:hAnsi="Times New Roman"/>
          <w:lang w:val="en-IE"/>
        </w:rPr>
        <w:t xml:space="preserve">. </w:t>
      </w:r>
      <w:r w:rsidR="00861EDF" w:rsidRPr="788AF541">
        <w:rPr>
          <w:rFonts w:ascii="Times New Roman" w:hAnsi="Times New Roman"/>
          <w:lang w:val="en-IE"/>
        </w:rPr>
        <w:t>The Digital Services Act</w:t>
      </w:r>
      <w:r w:rsidR="3A5A5798" w:rsidRPr="788AF541">
        <w:rPr>
          <w:rFonts w:ascii="Times New Roman" w:hAnsi="Times New Roman"/>
          <w:lang w:val="en-IE"/>
        </w:rPr>
        <w:t xml:space="preserve"> (DSA)</w:t>
      </w:r>
      <w:r w:rsidR="00861EDF" w:rsidRPr="788AF541">
        <w:rPr>
          <w:rFonts w:ascii="Times New Roman" w:hAnsi="Times New Roman"/>
          <w:lang w:val="en-IE"/>
        </w:rPr>
        <w:t>, the Regulation on the transparency and targeting of political advertising, the General Data Protection Regulation and the A</w:t>
      </w:r>
      <w:r w:rsidR="00531644">
        <w:rPr>
          <w:rFonts w:ascii="Times New Roman" w:hAnsi="Times New Roman"/>
          <w:lang w:val="en-IE"/>
        </w:rPr>
        <w:t xml:space="preserve">rtificial </w:t>
      </w:r>
      <w:r w:rsidR="00861EDF" w:rsidRPr="788AF541">
        <w:rPr>
          <w:rFonts w:ascii="Times New Roman" w:hAnsi="Times New Roman"/>
          <w:lang w:val="en-IE"/>
        </w:rPr>
        <w:t>I</w:t>
      </w:r>
      <w:r w:rsidR="00531644">
        <w:rPr>
          <w:rFonts w:ascii="Times New Roman" w:hAnsi="Times New Roman"/>
          <w:lang w:val="en-IE"/>
        </w:rPr>
        <w:t>ntelligence (AI)</w:t>
      </w:r>
      <w:r w:rsidR="00861EDF" w:rsidRPr="788AF541">
        <w:rPr>
          <w:rFonts w:ascii="Times New Roman" w:hAnsi="Times New Roman"/>
          <w:lang w:val="en-IE"/>
        </w:rPr>
        <w:t xml:space="preserve"> Act </w:t>
      </w:r>
      <w:r w:rsidR="00D05028" w:rsidRPr="788AF541">
        <w:rPr>
          <w:rFonts w:ascii="Times New Roman" w:hAnsi="Times New Roman"/>
          <w:lang w:val="en-IE"/>
        </w:rPr>
        <w:t xml:space="preserve">among others </w:t>
      </w:r>
      <w:r w:rsidR="006D326A" w:rsidRPr="788AF541">
        <w:rPr>
          <w:rFonts w:ascii="Times New Roman" w:hAnsi="Times New Roman"/>
          <w:lang w:val="en-IE"/>
        </w:rPr>
        <w:t xml:space="preserve">are key </w:t>
      </w:r>
      <w:r w:rsidR="00FE76CC" w:rsidRPr="788AF541">
        <w:rPr>
          <w:rFonts w:ascii="Times New Roman" w:hAnsi="Times New Roman"/>
          <w:lang w:val="en-IE"/>
        </w:rPr>
        <w:t>to ensur</w:t>
      </w:r>
      <w:r w:rsidR="00E519CC" w:rsidRPr="788AF541">
        <w:rPr>
          <w:rFonts w:ascii="Times New Roman" w:hAnsi="Times New Roman"/>
          <w:lang w:val="en-IE"/>
        </w:rPr>
        <w:t>ing</w:t>
      </w:r>
      <w:r w:rsidR="00FE76CC" w:rsidRPr="788AF541">
        <w:rPr>
          <w:rFonts w:ascii="Times New Roman" w:hAnsi="Times New Roman"/>
          <w:lang w:val="en-IE"/>
        </w:rPr>
        <w:t xml:space="preserve"> </w:t>
      </w:r>
      <w:r w:rsidR="006D326A" w:rsidRPr="788AF541">
        <w:rPr>
          <w:rFonts w:ascii="Times New Roman" w:hAnsi="Times New Roman"/>
          <w:lang w:val="en-IE"/>
        </w:rPr>
        <w:t>transparency, accountability and integrity in the information spaces</w:t>
      </w:r>
      <w:r w:rsidR="007B28E6" w:rsidRPr="788AF541">
        <w:rPr>
          <w:rFonts w:ascii="Times New Roman" w:hAnsi="Times New Roman"/>
          <w:lang w:val="en-IE"/>
        </w:rPr>
        <w:t xml:space="preserve">, </w:t>
      </w:r>
      <w:r w:rsidR="0016199C" w:rsidRPr="788AF541">
        <w:rPr>
          <w:rFonts w:ascii="Times New Roman" w:hAnsi="Times New Roman"/>
          <w:lang w:val="en-IE"/>
        </w:rPr>
        <w:t>champion</w:t>
      </w:r>
      <w:r w:rsidR="007B28E6" w:rsidRPr="788AF541">
        <w:rPr>
          <w:rFonts w:ascii="Times New Roman" w:hAnsi="Times New Roman"/>
          <w:lang w:val="en-IE"/>
        </w:rPr>
        <w:t>ing</w:t>
      </w:r>
      <w:r w:rsidR="0016199C" w:rsidRPr="788AF541">
        <w:rPr>
          <w:rFonts w:ascii="Times New Roman" w:hAnsi="Times New Roman"/>
          <w:lang w:val="en-IE"/>
        </w:rPr>
        <w:t xml:space="preserve"> free speech and protecti</w:t>
      </w:r>
      <w:r w:rsidR="007B28E6" w:rsidRPr="788AF541">
        <w:rPr>
          <w:rFonts w:ascii="Times New Roman" w:hAnsi="Times New Roman"/>
          <w:lang w:val="en-IE"/>
        </w:rPr>
        <w:t xml:space="preserve">ng </w:t>
      </w:r>
      <w:r w:rsidR="0016199C" w:rsidRPr="788AF541">
        <w:rPr>
          <w:rFonts w:ascii="Times New Roman" w:hAnsi="Times New Roman"/>
          <w:lang w:val="en-IE"/>
        </w:rPr>
        <w:t>citizens online.</w:t>
      </w:r>
      <w:r w:rsidR="001A7676" w:rsidRPr="788AF541">
        <w:rPr>
          <w:rFonts w:ascii="Times New Roman" w:hAnsi="Times New Roman"/>
          <w:lang w:val="en-IE"/>
        </w:rPr>
        <w:t xml:space="preserve"> </w:t>
      </w:r>
      <w:r w:rsidR="006A10E0" w:rsidRPr="788AF541">
        <w:rPr>
          <w:rFonts w:ascii="Times New Roman" w:hAnsi="Times New Roman"/>
          <w:lang w:val="en-IE"/>
        </w:rPr>
        <w:t>T</w:t>
      </w:r>
      <w:r w:rsidR="00556C41" w:rsidRPr="788AF541">
        <w:rPr>
          <w:rFonts w:ascii="Times New Roman" w:hAnsi="Times New Roman"/>
          <w:lang w:val="en-IE"/>
        </w:rPr>
        <w:t xml:space="preserve">he European Democracy Shield will </w:t>
      </w:r>
      <w:r w:rsidR="00503C38" w:rsidRPr="788AF541">
        <w:rPr>
          <w:rFonts w:ascii="Times New Roman" w:hAnsi="Times New Roman"/>
          <w:lang w:val="en-IE"/>
        </w:rPr>
        <w:t xml:space="preserve">strengthen efforts to </w:t>
      </w:r>
      <w:r w:rsidR="00556C41" w:rsidRPr="788AF541">
        <w:rPr>
          <w:rFonts w:ascii="Times New Roman" w:hAnsi="Times New Roman"/>
          <w:lang w:val="en-IE"/>
        </w:rPr>
        <w:t xml:space="preserve">better protect our sovereignty and freedoms, as the basis for democracy at EU, national, regional and local level. </w:t>
      </w:r>
    </w:p>
    <w:p w14:paraId="621481E2" w14:textId="657C6A3A" w:rsidR="00F166B4" w:rsidRPr="00882CCC" w:rsidRDefault="00B752C0" w:rsidP="51B0B49D">
      <w:pPr>
        <w:widowControl w:val="0"/>
        <w:rPr>
          <w:rFonts w:ascii="Times New Roman" w:hAnsi="Times New Roman"/>
          <w:lang w:val="en-IE"/>
        </w:rPr>
      </w:pPr>
      <w:r w:rsidRPr="00882CCC">
        <w:rPr>
          <w:rFonts w:ascii="Times New Roman" w:hAnsi="Times New Roman"/>
          <w:lang w:val="en-IE"/>
        </w:rPr>
        <w:t xml:space="preserve">The Commission has committed to </w:t>
      </w:r>
      <w:r w:rsidR="003B1CD5" w:rsidRPr="00882CCC">
        <w:rPr>
          <w:rFonts w:ascii="Times New Roman" w:hAnsi="Times New Roman"/>
          <w:lang w:val="en-IE"/>
        </w:rPr>
        <w:t xml:space="preserve">take rapid and effective enforcement actions under the Digital Services Act and the Digital Markets Act whenever necessary. Long-term compliance dialogues </w:t>
      </w:r>
      <w:r w:rsidR="009169D9" w:rsidRPr="00882CCC">
        <w:rPr>
          <w:rFonts w:ascii="Times New Roman" w:hAnsi="Times New Roman"/>
          <w:lang w:val="en-IE"/>
        </w:rPr>
        <w:t xml:space="preserve">are being established </w:t>
      </w:r>
      <w:r w:rsidR="003B1CD5" w:rsidRPr="00882CCC">
        <w:rPr>
          <w:rFonts w:ascii="Times New Roman" w:hAnsi="Times New Roman"/>
          <w:lang w:val="en-IE"/>
        </w:rPr>
        <w:t>with the regulated entities</w:t>
      </w:r>
      <w:r w:rsidR="00E610FD" w:rsidRPr="00882CCC">
        <w:rPr>
          <w:rFonts w:ascii="Times New Roman" w:hAnsi="Times New Roman"/>
          <w:lang w:val="en-IE"/>
        </w:rPr>
        <w:t>,</w:t>
      </w:r>
      <w:r w:rsidR="003B1CD5" w:rsidRPr="00882CCC">
        <w:rPr>
          <w:rFonts w:ascii="Times New Roman" w:hAnsi="Times New Roman"/>
          <w:lang w:val="en-IE"/>
        </w:rPr>
        <w:t xml:space="preserve"> and </w:t>
      </w:r>
      <w:r w:rsidR="009169D9" w:rsidRPr="00882CCC">
        <w:rPr>
          <w:rFonts w:ascii="Times New Roman" w:hAnsi="Times New Roman"/>
          <w:lang w:val="en-IE"/>
        </w:rPr>
        <w:t xml:space="preserve">these will also </w:t>
      </w:r>
      <w:r w:rsidR="003B1CD5" w:rsidRPr="00882CCC">
        <w:rPr>
          <w:rFonts w:ascii="Times New Roman" w:hAnsi="Times New Roman"/>
          <w:lang w:val="en-IE"/>
        </w:rPr>
        <w:t>contribute to the work on disinformation, notably as part of the European Democracy Shield</w:t>
      </w:r>
      <w:r w:rsidRPr="00882CCC">
        <w:rPr>
          <w:rFonts w:ascii="Times New Roman" w:hAnsi="Times New Roman"/>
          <w:lang w:val="en-IE"/>
        </w:rPr>
        <w:t>.</w:t>
      </w:r>
    </w:p>
    <w:p w14:paraId="6B1562F1" w14:textId="2636A0E4" w:rsidR="00E610FD" w:rsidRPr="00882CCC" w:rsidRDefault="00E610FD" w:rsidP="51B0B49D">
      <w:pPr>
        <w:widowControl w:val="0"/>
        <w:rPr>
          <w:rFonts w:ascii="Times New Roman" w:hAnsi="Times New Roman"/>
          <w:lang w:val="en-IE"/>
        </w:rPr>
      </w:pPr>
      <w:r w:rsidRPr="00882CCC">
        <w:rPr>
          <w:rFonts w:ascii="Times New Roman" w:hAnsi="Times New Roman"/>
          <w:lang w:val="en-IE"/>
        </w:rPr>
        <w:t xml:space="preserve">The Commission continues to closely monitor very large online platforms’ compliance with the DSA and is diligently proceeding with the open investigations into platforms that are suspected to be in breach of their DSA obligations. Already three formal proceedings have been opened </w:t>
      </w:r>
      <w:r w:rsidRPr="00882CCC">
        <w:rPr>
          <w:rFonts w:ascii="Times New Roman" w:eastAsia="Calibri" w:hAnsi="Times New Roman"/>
          <w:lang w:val="en-IE"/>
        </w:rPr>
        <w:t xml:space="preserve">due to suspected infringements with regards to systemic risks to civic discourse and electoral processes. </w:t>
      </w:r>
      <w:r w:rsidRPr="00882CCC">
        <w:rPr>
          <w:rFonts w:ascii="Times New Roman" w:hAnsi="Times New Roman"/>
          <w:lang w:val="en-IE"/>
        </w:rPr>
        <w:t>The Code of Conduct on Disinformation is now integrated into the framework of the DSA, and it serves as a relevant benchmark regarding disinformation risks. Its Rapid Response System is also a good example of how the Code fosters collaboration between civil society and online platforms. </w:t>
      </w:r>
    </w:p>
    <w:p w14:paraId="77458201" w14:textId="45E0A7BB" w:rsidR="00BF1041" w:rsidRPr="00882CCC" w:rsidRDefault="14431D2B" w:rsidP="51B0B49D">
      <w:pPr>
        <w:widowControl w:val="0"/>
        <w:rPr>
          <w:rFonts w:ascii="Times New Roman" w:hAnsi="Times New Roman"/>
          <w:lang w:val="en-IE"/>
        </w:rPr>
      </w:pPr>
      <w:r w:rsidRPr="00882CCC">
        <w:rPr>
          <w:rFonts w:ascii="Times New Roman" w:hAnsi="Times New Roman"/>
          <w:lang w:val="en-IE"/>
        </w:rPr>
        <w:t xml:space="preserve">Additionally, the Commission is </w:t>
      </w:r>
      <w:r w:rsidR="66D34764" w:rsidRPr="00882CCC">
        <w:rPr>
          <w:rFonts w:ascii="Times New Roman" w:hAnsi="Times New Roman"/>
          <w:lang w:val="en-IE"/>
        </w:rPr>
        <w:t xml:space="preserve">engaging with </w:t>
      </w:r>
      <w:r w:rsidRPr="00882CCC">
        <w:rPr>
          <w:rFonts w:ascii="Times New Roman" w:hAnsi="Times New Roman"/>
          <w:lang w:val="en-IE"/>
        </w:rPr>
        <w:t xml:space="preserve">stakeholders </w:t>
      </w:r>
      <w:r w:rsidR="1333EE87" w:rsidRPr="00FC116F">
        <w:rPr>
          <w:rFonts w:ascii="Times New Roman" w:hAnsi="Times New Roman"/>
          <w:lang w:val="en-IE"/>
        </w:rPr>
        <w:t xml:space="preserve">and national authorities </w:t>
      </w:r>
      <w:r w:rsidRPr="00882CCC">
        <w:rPr>
          <w:rFonts w:ascii="Times New Roman" w:hAnsi="Times New Roman"/>
          <w:lang w:val="en-IE"/>
        </w:rPr>
        <w:t xml:space="preserve">to </w:t>
      </w:r>
      <w:r w:rsidR="66D34764" w:rsidRPr="00882CCC">
        <w:rPr>
          <w:rFonts w:ascii="Times New Roman" w:hAnsi="Times New Roman"/>
          <w:lang w:val="en-IE"/>
        </w:rPr>
        <w:t xml:space="preserve">support </w:t>
      </w:r>
      <w:r w:rsidRPr="00882CCC">
        <w:rPr>
          <w:rFonts w:ascii="Times New Roman" w:hAnsi="Times New Roman"/>
          <w:lang w:val="en-IE"/>
        </w:rPr>
        <w:t>compl</w:t>
      </w:r>
      <w:r w:rsidR="66D34764" w:rsidRPr="00882CCC">
        <w:rPr>
          <w:rFonts w:ascii="Times New Roman" w:hAnsi="Times New Roman"/>
          <w:lang w:val="en-IE"/>
        </w:rPr>
        <w:t>iance</w:t>
      </w:r>
      <w:r w:rsidRPr="00882CCC">
        <w:rPr>
          <w:rFonts w:ascii="Times New Roman" w:hAnsi="Times New Roman"/>
          <w:lang w:val="en-IE"/>
        </w:rPr>
        <w:t xml:space="preserve"> with the Regulation on the transparency and targeting of political advertising in a sustainable and effective manner. </w:t>
      </w:r>
      <w:r w:rsidR="66D34764" w:rsidRPr="00882CCC">
        <w:rPr>
          <w:rFonts w:ascii="Times New Roman" w:hAnsi="Times New Roman"/>
          <w:lang w:val="en-IE"/>
        </w:rPr>
        <w:t xml:space="preserve">For instance, </w:t>
      </w:r>
      <w:r w:rsidR="0C5443EB" w:rsidRPr="00882CCC">
        <w:rPr>
          <w:rFonts w:ascii="Times New Roman" w:hAnsi="Times New Roman"/>
          <w:lang w:val="en-IE"/>
        </w:rPr>
        <w:t xml:space="preserve">on </w:t>
      </w:r>
      <w:r w:rsidR="0C5443EB" w:rsidRPr="00FC116F">
        <w:rPr>
          <w:rFonts w:ascii="Times New Roman" w:hAnsi="Times New Roman"/>
          <w:lang w:val="en-IE"/>
        </w:rPr>
        <w:t>9 July</w:t>
      </w:r>
      <w:r w:rsidR="004138EC">
        <w:rPr>
          <w:rFonts w:ascii="Times New Roman" w:hAnsi="Times New Roman"/>
          <w:lang w:val="en-IE"/>
        </w:rPr>
        <w:t xml:space="preserve"> 2025</w:t>
      </w:r>
      <w:r w:rsidR="37069009" w:rsidRPr="00FC116F">
        <w:rPr>
          <w:rFonts w:ascii="Times New Roman" w:hAnsi="Times New Roman"/>
          <w:lang w:val="en-IE"/>
        </w:rPr>
        <w:t>,</w:t>
      </w:r>
      <w:r w:rsidR="0C5443EB" w:rsidRPr="00FC116F">
        <w:rPr>
          <w:rFonts w:ascii="Times New Roman" w:hAnsi="Times New Roman"/>
          <w:lang w:val="en-IE"/>
        </w:rPr>
        <w:t xml:space="preserve"> the Commission published an Implementing </w:t>
      </w:r>
      <w:r w:rsidR="7D0C974A" w:rsidRPr="00FC116F">
        <w:rPr>
          <w:rFonts w:ascii="Times New Roman" w:hAnsi="Times New Roman"/>
          <w:lang w:val="en-IE"/>
        </w:rPr>
        <w:t>Regulation (EU) 2025/1410 on the format, template and technical specifications of the labels and transparency notices of political advertisements. O</w:t>
      </w:r>
      <w:r w:rsidRPr="00FC116F">
        <w:rPr>
          <w:rFonts w:ascii="Times New Roman" w:hAnsi="Times New Roman"/>
          <w:lang w:val="en-IE"/>
        </w:rPr>
        <w:t xml:space="preserve">n </w:t>
      </w:r>
      <w:r w:rsidRPr="00882CCC">
        <w:rPr>
          <w:rFonts w:ascii="Times New Roman" w:hAnsi="Times New Roman"/>
          <w:lang w:val="en-IE"/>
        </w:rPr>
        <w:t>8 October</w:t>
      </w:r>
      <w:r w:rsidR="004138EC">
        <w:rPr>
          <w:rFonts w:ascii="Times New Roman" w:hAnsi="Times New Roman"/>
          <w:lang w:val="en-IE"/>
        </w:rPr>
        <w:t xml:space="preserve"> </w:t>
      </w:r>
      <w:r w:rsidR="00BA0C1E">
        <w:rPr>
          <w:rFonts w:ascii="Times New Roman" w:hAnsi="Times New Roman"/>
          <w:lang w:val="en-IE"/>
        </w:rPr>
        <w:t>2025</w:t>
      </w:r>
      <w:r w:rsidRPr="00882CCC">
        <w:rPr>
          <w:rFonts w:ascii="Times New Roman" w:hAnsi="Times New Roman"/>
          <w:lang w:val="en-IE"/>
        </w:rPr>
        <w:t>, the Commission published guidelines to support the effective implementation of the Regulation</w:t>
      </w:r>
      <w:r w:rsidRPr="00FC116F">
        <w:rPr>
          <w:rFonts w:ascii="Times New Roman" w:hAnsi="Times New Roman"/>
          <w:lang w:val="en-IE"/>
        </w:rPr>
        <w:t>.</w:t>
      </w:r>
      <w:r w:rsidRPr="00882CCC">
        <w:rPr>
          <w:rFonts w:ascii="Times New Roman" w:hAnsi="Times New Roman"/>
          <w:lang w:val="en-IE"/>
        </w:rPr>
        <w:t xml:space="preserve"> These guidelines include practical measures and detailed explanations to streamline and support the implementation of the new rules and offer simple steps on how to identify a political advertisement and clarify transparency and due diligence obligations.</w:t>
      </w:r>
      <w:r w:rsidR="66D34764" w:rsidRPr="00882CCC">
        <w:rPr>
          <w:rFonts w:ascii="Times New Roman" w:hAnsi="Times New Roman"/>
          <w:lang w:val="en-IE"/>
        </w:rPr>
        <w:t xml:space="preserve"> The Commission </w:t>
      </w:r>
      <w:r w:rsidR="6330D0F8" w:rsidRPr="00882CCC">
        <w:rPr>
          <w:rFonts w:ascii="Times New Roman" w:hAnsi="Times New Roman"/>
          <w:lang w:val="en-IE"/>
        </w:rPr>
        <w:t>also released a portal with election dates</w:t>
      </w:r>
      <w:r w:rsidR="77F40CCB" w:rsidRPr="00882CCC">
        <w:rPr>
          <w:rFonts w:ascii="Times New Roman" w:hAnsi="Times New Roman"/>
          <w:lang w:val="en-IE"/>
        </w:rPr>
        <w:t xml:space="preserve">, in line with Article 26 of </w:t>
      </w:r>
      <w:r w:rsidR="77F40CCB" w:rsidRPr="00FC116F">
        <w:rPr>
          <w:rFonts w:ascii="Times New Roman" w:hAnsi="Times New Roman"/>
          <w:lang w:val="en-IE"/>
        </w:rPr>
        <w:t>th</w:t>
      </w:r>
      <w:r w:rsidR="54305C86" w:rsidRPr="00FC116F">
        <w:rPr>
          <w:rFonts w:ascii="Times New Roman" w:hAnsi="Times New Roman"/>
          <w:lang w:val="en-IE"/>
        </w:rPr>
        <w:t>e</w:t>
      </w:r>
      <w:r w:rsidR="77F40CCB" w:rsidRPr="00882CCC">
        <w:rPr>
          <w:rFonts w:ascii="Times New Roman" w:hAnsi="Times New Roman"/>
          <w:lang w:val="en-IE"/>
        </w:rPr>
        <w:t xml:space="preserve"> Regulation</w:t>
      </w:r>
      <w:r w:rsidR="28FEE2CB" w:rsidRPr="00FC116F">
        <w:rPr>
          <w:rFonts w:ascii="Times New Roman" w:hAnsi="Times New Roman"/>
          <w:lang w:val="en-IE"/>
        </w:rPr>
        <w:t xml:space="preserve"> on which </w:t>
      </w:r>
      <w:r w:rsidR="329D6B14" w:rsidRPr="00FC116F">
        <w:rPr>
          <w:rFonts w:ascii="Times New Roman" w:hAnsi="Times New Roman"/>
          <w:lang w:val="en-IE"/>
        </w:rPr>
        <w:t>Me</w:t>
      </w:r>
      <w:r w:rsidR="10429061" w:rsidRPr="00FC116F">
        <w:rPr>
          <w:rFonts w:ascii="Times New Roman" w:hAnsi="Times New Roman"/>
          <w:lang w:val="en-IE"/>
        </w:rPr>
        <w:t>mber States are required</w:t>
      </w:r>
      <w:r w:rsidR="10429061" w:rsidRPr="00882CCC">
        <w:rPr>
          <w:rFonts w:ascii="Times New Roman" w:hAnsi="Times New Roman"/>
          <w:lang w:val="en-IE"/>
        </w:rPr>
        <w:t xml:space="preserve"> to </w:t>
      </w:r>
      <w:r w:rsidR="10429061" w:rsidRPr="00FC116F">
        <w:rPr>
          <w:rFonts w:ascii="Times New Roman" w:hAnsi="Times New Roman"/>
          <w:lang w:val="en-IE"/>
        </w:rPr>
        <w:t>introduce</w:t>
      </w:r>
      <w:r w:rsidR="10429061" w:rsidRPr="00882CCC">
        <w:rPr>
          <w:rFonts w:ascii="Times New Roman" w:hAnsi="Times New Roman"/>
          <w:lang w:val="en-IE"/>
        </w:rPr>
        <w:t xml:space="preserve"> </w:t>
      </w:r>
      <w:r w:rsidR="419882D7" w:rsidRPr="00882CCC">
        <w:rPr>
          <w:rFonts w:ascii="Times New Roman" w:hAnsi="Times New Roman"/>
          <w:lang w:val="en-IE"/>
        </w:rPr>
        <w:t>information about election</w:t>
      </w:r>
      <w:r w:rsidR="395AAC50" w:rsidRPr="00882CCC">
        <w:rPr>
          <w:rFonts w:ascii="Times New Roman" w:hAnsi="Times New Roman"/>
          <w:lang w:val="en-IE"/>
        </w:rPr>
        <w:t>s</w:t>
      </w:r>
      <w:r w:rsidR="419882D7" w:rsidRPr="00882CCC">
        <w:rPr>
          <w:rFonts w:ascii="Times New Roman" w:hAnsi="Times New Roman"/>
          <w:lang w:val="en-IE"/>
        </w:rPr>
        <w:t xml:space="preserve"> being organised </w:t>
      </w:r>
      <w:r w:rsidR="395AAC50" w:rsidRPr="00882CCC">
        <w:rPr>
          <w:rFonts w:ascii="Times New Roman" w:hAnsi="Times New Roman"/>
          <w:lang w:val="en-IE"/>
        </w:rPr>
        <w:t>at all level</w:t>
      </w:r>
      <w:r w:rsidR="08BC0950" w:rsidRPr="00882CCC">
        <w:rPr>
          <w:rFonts w:ascii="Times New Roman" w:hAnsi="Times New Roman"/>
          <w:lang w:val="en-IE"/>
        </w:rPr>
        <w:t>s</w:t>
      </w:r>
      <w:r w:rsidR="08BC0950" w:rsidRPr="00FC116F">
        <w:rPr>
          <w:rFonts w:ascii="Times New Roman" w:hAnsi="Times New Roman"/>
          <w:lang w:val="en-IE"/>
        </w:rPr>
        <w:t xml:space="preserve">. The Commission also released a portal linking </w:t>
      </w:r>
      <w:r w:rsidR="3C655289" w:rsidRPr="00FC116F">
        <w:rPr>
          <w:rFonts w:ascii="Times New Roman" w:hAnsi="Times New Roman"/>
          <w:lang w:val="en-IE"/>
        </w:rPr>
        <w:t xml:space="preserve">national websites on the registered legal representatives of providers of political advertising services established outside </w:t>
      </w:r>
      <w:r w:rsidR="3C655289" w:rsidRPr="00882CCC">
        <w:rPr>
          <w:rFonts w:ascii="Times New Roman" w:hAnsi="Times New Roman"/>
          <w:lang w:val="en-IE"/>
        </w:rPr>
        <w:t>the EU</w:t>
      </w:r>
      <w:r w:rsidR="54305C86" w:rsidRPr="00882CCC">
        <w:rPr>
          <w:rFonts w:ascii="Times New Roman" w:hAnsi="Times New Roman"/>
          <w:lang w:val="en-IE"/>
        </w:rPr>
        <w:t xml:space="preserve">, </w:t>
      </w:r>
      <w:r w:rsidR="54305C86" w:rsidRPr="00FC116F">
        <w:rPr>
          <w:rFonts w:ascii="Times New Roman" w:hAnsi="Times New Roman"/>
          <w:lang w:val="en-IE"/>
        </w:rPr>
        <w:t xml:space="preserve">in line with Article 21 of the Regulation. These portals </w:t>
      </w:r>
      <w:r w:rsidR="743F558B" w:rsidRPr="00FC116F">
        <w:rPr>
          <w:rFonts w:ascii="Times New Roman" w:hAnsi="Times New Roman"/>
          <w:lang w:val="en-IE"/>
        </w:rPr>
        <w:t>support</w:t>
      </w:r>
      <w:r w:rsidR="77F40CCB" w:rsidRPr="00882CCC">
        <w:rPr>
          <w:rFonts w:ascii="Times New Roman" w:hAnsi="Times New Roman"/>
          <w:lang w:val="en-IE"/>
        </w:rPr>
        <w:t xml:space="preserve"> </w:t>
      </w:r>
      <w:r w:rsidR="6330D0F8" w:rsidRPr="00882CCC">
        <w:rPr>
          <w:rFonts w:ascii="Times New Roman" w:hAnsi="Times New Roman"/>
          <w:lang w:val="en-IE"/>
        </w:rPr>
        <w:t>easy compliance by economic entitie</w:t>
      </w:r>
      <w:r w:rsidR="18B3F161" w:rsidRPr="00882CCC">
        <w:rPr>
          <w:rFonts w:ascii="Times New Roman" w:hAnsi="Times New Roman"/>
          <w:lang w:val="en-IE"/>
        </w:rPr>
        <w:t>s</w:t>
      </w:r>
      <w:r w:rsidR="6330D0F8" w:rsidRPr="00882CCC">
        <w:rPr>
          <w:rFonts w:ascii="Times New Roman" w:hAnsi="Times New Roman"/>
          <w:lang w:val="en-IE"/>
        </w:rPr>
        <w:t xml:space="preserve"> </w:t>
      </w:r>
      <w:r w:rsidR="66D34764" w:rsidRPr="00882CCC">
        <w:rPr>
          <w:rFonts w:ascii="Times New Roman" w:hAnsi="Times New Roman"/>
          <w:lang w:val="en-IE"/>
        </w:rPr>
        <w:t xml:space="preserve">with the relevant obligations </w:t>
      </w:r>
      <w:r w:rsidR="45A3702E" w:rsidRPr="00882CCC">
        <w:rPr>
          <w:rFonts w:ascii="Times New Roman" w:hAnsi="Times New Roman"/>
          <w:lang w:val="en-IE"/>
        </w:rPr>
        <w:t xml:space="preserve">and </w:t>
      </w:r>
      <w:r w:rsidR="66D34764" w:rsidRPr="00FC116F">
        <w:rPr>
          <w:rFonts w:ascii="Times New Roman" w:hAnsi="Times New Roman"/>
          <w:lang w:val="en-IE"/>
        </w:rPr>
        <w:t>contribute</w:t>
      </w:r>
      <w:r w:rsidR="66D34764" w:rsidRPr="00882CCC">
        <w:rPr>
          <w:rFonts w:ascii="Times New Roman" w:hAnsi="Times New Roman"/>
          <w:lang w:val="en-IE"/>
        </w:rPr>
        <w:t xml:space="preserve"> to </w:t>
      </w:r>
      <w:r w:rsidR="1AFF5A53" w:rsidRPr="00882CCC">
        <w:rPr>
          <w:rFonts w:ascii="Times New Roman" w:hAnsi="Times New Roman"/>
          <w:lang w:val="en-IE"/>
        </w:rPr>
        <w:t>the integrity of the information space around elections</w:t>
      </w:r>
      <w:r w:rsidR="6330D0F8" w:rsidRPr="00882CCC">
        <w:rPr>
          <w:rFonts w:ascii="Times New Roman" w:hAnsi="Times New Roman"/>
          <w:lang w:val="en-IE"/>
        </w:rPr>
        <w:t>.</w:t>
      </w:r>
      <w:r w:rsidR="08BC0950" w:rsidRPr="00FC116F">
        <w:rPr>
          <w:rFonts w:ascii="Times New Roman" w:hAnsi="Times New Roman"/>
          <w:lang w:val="en-IE"/>
        </w:rPr>
        <w:t xml:space="preserve"> </w:t>
      </w:r>
    </w:p>
    <w:p w14:paraId="247B2A72" w14:textId="693B38D3" w:rsidR="009650C8" w:rsidRPr="00882CCC" w:rsidRDefault="00E610FD" w:rsidP="00E610FD">
      <w:pPr>
        <w:widowControl w:val="0"/>
        <w:rPr>
          <w:rFonts w:ascii="Times New Roman" w:hAnsi="Times New Roman"/>
          <w:lang w:val="en-IE"/>
        </w:rPr>
      </w:pPr>
      <w:r w:rsidRPr="00882CCC">
        <w:rPr>
          <w:rFonts w:ascii="Times New Roman" w:hAnsi="Times New Roman"/>
          <w:lang w:val="en-IE"/>
        </w:rPr>
        <w:t>Overall, the</w:t>
      </w:r>
      <w:r w:rsidR="00BB2D52" w:rsidRPr="00882CCC">
        <w:rPr>
          <w:rFonts w:ascii="Times New Roman" w:hAnsi="Times New Roman"/>
          <w:lang w:val="en-IE"/>
        </w:rPr>
        <w:t xml:space="preserve"> EU’s </w:t>
      </w:r>
      <w:r w:rsidR="00F971C4" w:rsidRPr="00882CCC">
        <w:rPr>
          <w:rFonts w:ascii="Times New Roman" w:hAnsi="Times New Roman"/>
          <w:lang w:val="en-IE"/>
        </w:rPr>
        <w:t xml:space="preserve">strong toolbox, including </w:t>
      </w:r>
      <w:r w:rsidR="003D73A5" w:rsidRPr="00882CCC">
        <w:rPr>
          <w:rFonts w:ascii="Times New Roman" w:hAnsi="Times New Roman"/>
          <w:lang w:val="en-IE"/>
        </w:rPr>
        <w:t xml:space="preserve">the framework of the European Cooperation Network on elections, </w:t>
      </w:r>
      <w:r w:rsidRPr="00882CCC">
        <w:rPr>
          <w:rFonts w:ascii="Times New Roman" w:hAnsi="Times New Roman"/>
          <w:lang w:val="en-IE"/>
        </w:rPr>
        <w:t xml:space="preserve">has improved cooperation of </w:t>
      </w:r>
      <w:r w:rsidR="00503C38" w:rsidRPr="00882CCC">
        <w:rPr>
          <w:rFonts w:ascii="Times New Roman" w:hAnsi="Times New Roman"/>
          <w:lang w:val="en-IE"/>
        </w:rPr>
        <w:t xml:space="preserve">online </w:t>
      </w:r>
      <w:r w:rsidRPr="00882CCC">
        <w:rPr>
          <w:rFonts w:ascii="Times New Roman" w:hAnsi="Times New Roman"/>
          <w:lang w:val="en-IE"/>
        </w:rPr>
        <w:t>platforms, civil society organisations and national authorities in the run-up to elections. This has proven to be efficient in ensuring quick reaction in case of emergencies. </w:t>
      </w:r>
    </w:p>
    <w:p w14:paraId="6E50BFDF" w14:textId="2C04BA85" w:rsidR="2040F1BA" w:rsidRPr="00882CCC" w:rsidRDefault="2040F1BA" w:rsidP="2040F1BA">
      <w:pPr>
        <w:widowControl w:val="0"/>
        <w:rPr>
          <w:rFonts w:ascii="Times New Roman" w:hAnsi="Times New Roman"/>
          <w:lang w:val="en-IE"/>
        </w:rPr>
      </w:pPr>
    </w:p>
    <w:p w14:paraId="156BD509" w14:textId="77777777" w:rsidR="00E610FD" w:rsidRPr="00882CCC" w:rsidRDefault="00E610FD" w:rsidP="003B1CD5">
      <w:pPr>
        <w:widowControl w:val="0"/>
        <w:rPr>
          <w:rFonts w:ascii="Times New Roman" w:hAnsi="Times New Roman"/>
          <w:lang w:val="en-IE"/>
        </w:rPr>
      </w:pPr>
    </w:p>
    <w:sectPr w:rsidR="00E610FD" w:rsidRPr="00882CCC" w:rsidSect="00812321">
      <w:headerReference w:type="default" r:id="rId11"/>
      <w:footerReference w:type="even" r:id="rId12"/>
      <w:footerReference w:type="default" r:id="rId13"/>
      <w:footerReference w:type="first" r:id="rId14"/>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7DA9" w14:textId="77777777" w:rsidR="00171596" w:rsidRDefault="00171596">
      <w:r>
        <w:separator/>
      </w:r>
    </w:p>
  </w:endnote>
  <w:endnote w:type="continuationSeparator" w:id="0">
    <w:p w14:paraId="5888BF55" w14:textId="77777777" w:rsidR="00171596" w:rsidRDefault="00171596">
      <w:r>
        <w:continuationSeparator/>
      </w:r>
    </w:p>
  </w:endnote>
  <w:endnote w:type="continuationNotice" w:id="1">
    <w:p w14:paraId="3904BA6C" w14:textId="77777777" w:rsidR="00171596" w:rsidRDefault="001715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1320" w14:textId="77777777" w:rsidR="00171596" w:rsidRDefault="00171596">
      <w:r>
        <w:separator/>
      </w:r>
    </w:p>
  </w:footnote>
  <w:footnote w:type="continuationSeparator" w:id="0">
    <w:p w14:paraId="37E2AA46" w14:textId="77777777" w:rsidR="00171596" w:rsidRDefault="00171596">
      <w:r>
        <w:continuationSeparator/>
      </w:r>
    </w:p>
  </w:footnote>
  <w:footnote w:type="continuationNotice" w:id="1">
    <w:p w14:paraId="7899165D" w14:textId="77777777" w:rsidR="00171596" w:rsidRDefault="00171596">
      <w:pPr>
        <w:spacing w:after="0"/>
      </w:pPr>
    </w:p>
  </w:footnote>
  <w:footnote w:id="2">
    <w:p w14:paraId="3D407053" w14:textId="3C82D1C4" w:rsidR="00A0150B" w:rsidRPr="00785393" w:rsidRDefault="00A0150B" w:rsidP="00882CCC">
      <w:pPr>
        <w:pStyle w:val="FootnoteText"/>
        <w:spacing w:after="0"/>
        <w:ind w:left="0" w:firstLine="0"/>
        <w:rPr>
          <w:rFonts w:ascii="Times New Roman" w:hAnsi="Times New Roman"/>
        </w:rPr>
      </w:pPr>
      <w:r w:rsidRPr="00882CCC">
        <w:rPr>
          <w:rStyle w:val="FootnoteReference"/>
          <w:rFonts w:ascii="Times New Roman" w:hAnsi="Times New Roman"/>
        </w:rPr>
        <w:footnoteRef/>
      </w:r>
      <w:r w:rsidRPr="00882CCC">
        <w:rPr>
          <w:rFonts w:ascii="Times New Roman" w:hAnsi="Times New Roman"/>
        </w:rPr>
        <w:t xml:space="preserve"> </w:t>
      </w:r>
      <w:r w:rsidRPr="00785393">
        <w:rPr>
          <w:rFonts w:ascii="Times New Roman" w:hAnsi="Times New Roman"/>
        </w:rPr>
        <w:t>Communication from the Commission to the European Parliament, the Council, the European Economic and Social Committee and the Committee of the Regions: Report on the 2024 elections to the European Parliament, COM(2025) 287 final.</w:t>
      </w:r>
    </w:p>
  </w:footnote>
  <w:footnote w:id="3">
    <w:p w14:paraId="764735E0" w14:textId="1E24EDE6" w:rsidR="00AF4A08" w:rsidRPr="00FC116F" w:rsidRDefault="00AF4A08" w:rsidP="00FC116F">
      <w:pPr>
        <w:pStyle w:val="FootnoteText"/>
        <w:spacing w:after="0"/>
        <w:ind w:left="0" w:firstLine="0"/>
        <w:rPr>
          <w:rFonts w:ascii="Times New Roman" w:hAnsi="Times New Roman"/>
        </w:rPr>
      </w:pPr>
      <w:r w:rsidRPr="00FC116F">
        <w:rPr>
          <w:rStyle w:val="FootnoteReference"/>
          <w:rFonts w:ascii="Times New Roman" w:hAnsi="Times New Roman"/>
        </w:rPr>
        <w:footnoteRef/>
      </w:r>
      <w:r w:rsidRPr="00FC116F">
        <w:rPr>
          <w:rFonts w:ascii="Times New Roman" w:hAnsi="Times New Roman"/>
        </w:rPr>
        <w:t xml:space="preserve"> </w:t>
      </w:r>
      <w:r w:rsidR="003D75A1" w:rsidRPr="00785393">
        <w:rPr>
          <w:rFonts w:ascii="Times New Roman" w:hAnsi="Times New Roman"/>
        </w:rPr>
        <w:t xml:space="preserve">Commission Recommendation </w:t>
      </w:r>
      <w:r w:rsidR="003D75A1" w:rsidRPr="00FC116F">
        <w:rPr>
          <w:rFonts w:ascii="Times New Roman" w:hAnsi="Times New Roman"/>
        </w:rPr>
        <w:t>(EU) 2023/2829</w:t>
      </w:r>
      <w:r w:rsidR="003D75A1" w:rsidRPr="00785393">
        <w:rPr>
          <w:rFonts w:ascii="Times New Roman" w:hAnsi="Times New Roman"/>
        </w:rPr>
        <w:t xml:space="preserve"> </w:t>
      </w:r>
      <w:r w:rsidR="003D75A1" w:rsidRPr="00FC116F">
        <w:rPr>
          <w:rFonts w:ascii="Times New Roman" w:hAnsi="Times New Roman"/>
        </w:rPr>
        <w:t>of 12 December 2023</w:t>
      </w:r>
      <w:r w:rsidR="003D75A1" w:rsidRPr="00785393">
        <w:rPr>
          <w:rFonts w:ascii="Times New Roman" w:hAnsi="Times New Roman"/>
        </w:rPr>
        <w:t xml:space="preserve"> </w:t>
      </w:r>
      <w:r w:rsidR="003D75A1" w:rsidRPr="00FC116F">
        <w:rPr>
          <w:rFonts w:ascii="Times New Roman" w:hAnsi="Times New Roman"/>
        </w:rPr>
        <w:t>on inclusive and resilient electoral processes in the Union and enhancing the European nature and efficient conduct of the elections to the European Parliament</w:t>
      </w:r>
      <w:r w:rsidR="003D75A1" w:rsidRPr="00785393">
        <w:rPr>
          <w:rFonts w:ascii="Times New Roman" w:hAnsi="Times New Roman"/>
        </w:rPr>
        <w:t xml:space="preserve">, </w:t>
      </w:r>
      <w:r w:rsidR="00A26A77" w:rsidRPr="00785393">
        <w:rPr>
          <w:rFonts w:ascii="Times New Roman" w:hAnsi="Times New Roman"/>
        </w:rPr>
        <w:t>C/2023/8626.</w:t>
      </w:r>
    </w:p>
  </w:footnote>
  <w:footnote w:id="4">
    <w:p w14:paraId="4575D0B4" w14:textId="18ACBE0A" w:rsidR="00C0618E" w:rsidRPr="00FC116F" w:rsidRDefault="00C0618E" w:rsidP="00FC116F">
      <w:pPr>
        <w:pStyle w:val="FootnoteText"/>
        <w:spacing w:after="0"/>
        <w:ind w:left="0" w:firstLine="0"/>
        <w:rPr>
          <w:rFonts w:ascii="Times New Roman" w:hAnsi="Times New Roman"/>
          <w:lang w:val="en-IE"/>
        </w:rPr>
      </w:pPr>
      <w:r w:rsidRPr="00FC116F">
        <w:rPr>
          <w:rStyle w:val="FootnoteReference"/>
          <w:rFonts w:ascii="Times New Roman" w:hAnsi="Times New Roman"/>
        </w:rPr>
        <w:footnoteRef/>
      </w:r>
      <w:r w:rsidRPr="00FC116F">
        <w:rPr>
          <w:rFonts w:ascii="Times New Roman" w:hAnsi="Times New Roman"/>
        </w:rPr>
        <w:t xml:space="preserve"> </w:t>
      </w:r>
      <w:r w:rsidR="00313DC8" w:rsidRPr="00785393">
        <w:rPr>
          <w:rFonts w:ascii="Times New Roman" w:hAnsi="Times New Roman"/>
        </w:rPr>
        <w:t>B</w:t>
      </w:r>
      <w:r w:rsidR="00D87AD7" w:rsidRPr="00785393">
        <w:rPr>
          <w:rFonts w:ascii="Times New Roman" w:hAnsi="Times New Roman"/>
        </w:rPr>
        <w:t xml:space="preserve">y the </w:t>
      </w:r>
      <w:r w:rsidR="00FB259F" w:rsidRPr="00785393">
        <w:rPr>
          <w:rFonts w:ascii="Times New Roman" w:hAnsi="Times New Roman"/>
        </w:rPr>
        <w:t>Network and Information Systems</w:t>
      </w:r>
      <w:r w:rsidRPr="00FC116F">
        <w:rPr>
          <w:rFonts w:ascii="Times New Roman" w:hAnsi="Times New Roman"/>
        </w:rPr>
        <w:t xml:space="preserve"> Cooperation</w:t>
      </w:r>
      <w:r w:rsidR="00FB259F" w:rsidRPr="00785393">
        <w:rPr>
          <w:rFonts w:ascii="Times New Roman" w:hAnsi="Times New Roman"/>
        </w:rPr>
        <w:t xml:space="preserve">, supported by the Commission, </w:t>
      </w:r>
      <w:r w:rsidR="00313DC8" w:rsidRPr="00785393">
        <w:rPr>
          <w:rFonts w:ascii="Times New Roman" w:hAnsi="Times New Roman"/>
        </w:rPr>
        <w:t>the European Cooperation Network on Elections and the European Union Agency for Cybersecurity.</w:t>
      </w:r>
    </w:p>
  </w:footnote>
  <w:footnote w:id="5">
    <w:p w14:paraId="1EBB27CF" w14:textId="710431C5" w:rsidR="00CD4FB9" w:rsidRPr="00882CCC" w:rsidRDefault="00CD4FB9" w:rsidP="00882CCC">
      <w:pPr>
        <w:pStyle w:val="FootnoteText"/>
        <w:spacing w:after="0"/>
        <w:ind w:left="0" w:firstLine="0"/>
        <w:rPr>
          <w:rFonts w:ascii="Times New Roman" w:hAnsi="Times New Roman"/>
        </w:rPr>
      </w:pPr>
      <w:r w:rsidRPr="00785393">
        <w:rPr>
          <w:rStyle w:val="FootnoteReference"/>
          <w:rFonts w:ascii="Times New Roman" w:hAnsi="Times New Roman"/>
        </w:rPr>
        <w:footnoteRef/>
      </w:r>
      <w:r w:rsidRPr="00785393">
        <w:rPr>
          <w:rFonts w:ascii="Times New Roman" w:hAnsi="Times New Roman"/>
        </w:rPr>
        <w:t xml:space="preserve"> </w:t>
      </w:r>
      <w:r w:rsidR="00AE2B88" w:rsidRPr="00785393">
        <w:rPr>
          <w:rFonts w:ascii="Times New Roman" w:hAnsi="Times New Roman"/>
        </w:rPr>
        <w:t xml:space="preserve">Guidelines </w:t>
      </w:r>
      <w:r w:rsidR="00AE2B88" w:rsidRPr="00785393">
        <w:rPr>
          <w:rFonts w:ascii="Times New Roman" w:hAnsi="Times New Roman"/>
          <w:szCs w:val="24"/>
        </w:rPr>
        <w:t>for providers of VLOPs and VLOSEs</w:t>
      </w:r>
      <w:r w:rsidR="00AE2B88" w:rsidRPr="00785393" w:rsidDel="00E610FD">
        <w:rPr>
          <w:rFonts w:ascii="Times New Roman" w:hAnsi="Times New Roman"/>
          <w:szCs w:val="24"/>
        </w:rPr>
        <w:t xml:space="preserve"> </w:t>
      </w:r>
      <w:r w:rsidR="00AE2B88" w:rsidRPr="00785393">
        <w:rPr>
          <w:rFonts w:ascii="Times New Roman" w:eastAsia="Arial" w:hAnsi="Times New Roman"/>
        </w:rPr>
        <w:t>on the mitigation of systemic risks for electoral processes</w:t>
      </w:r>
      <w:r w:rsidR="00AE2B88" w:rsidRPr="00785393">
        <w:rPr>
          <w:rFonts w:ascii="Times New Roman" w:hAnsi="Times New Roman"/>
        </w:rPr>
        <w:t xml:space="preserve"> </w:t>
      </w:r>
      <w:r w:rsidRPr="00785393">
        <w:rPr>
          <w:rFonts w:ascii="Times New Roman" w:hAnsi="Times New Roman"/>
        </w:rPr>
        <w:t>published in April 2024.</w:t>
      </w:r>
    </w:p>
  </w:footnote>
  <w:footnote w:id="6">
    <w:p w14:paraId="4F3F7118" w14:textId="36CB741F" w:rsidR="00CD4FB9" w:rsidRPr="00882CCC" w:rsidRDefault="00CD4FB9" w:rsidP="00882CCC">
      <w:pPr>
        <w:pStyle w:val="FootnoteText"/>
        <w:spacing w:after="0"/>
        <w:ind w:left="0" w:firstLine="0"/>
        <w:rPr>
          <w:rFonts w:ascii="Times New Roman" w:hAnsi="Times New Roman"/>
        </w:rPr>
      </w:pPr>
      <w:r w:rsidRPr="00882CCC">
        <w:rPr>
          <w:rStyle w:val="FootnoteReference"/>
          <w:rFonts w:ascii="Times New Roman" w:hAnsi="Times New Roman"/>
        </w:rPr>
        <w:footnoteRef/>
      </w:r>
      <w:r w:rsidRPr="00882CCC">
        <w:rPr>
          <w:rFonts w:ascii="Times New Roman" w:hAnsi="Times New Roman"/>
        </w:rPr>
        <w:t xml:space="preserve"> </w:t>
      </w:r>
      <w:r w:rsidRPr="00785393">
        <w:rPr>
          <w:rFonts w:ascii="Times New Roman" w:hAnsi="Times New Roman"/>
        </w:rPr>
        <w:t>Now a Code of Conduct under the framework of the Digital Services Act.</w:t>
      </w:r>
    </w:p>
  </w:footnote>
  <w:footnote w:id="7">
    <w:p w14:paraId="6247054F" w14:textId="1C590610" w:rsidR="00785393" w:rsidRPr="00FC116F" w:rsidRDefault="00785393" w:rsidP="00FC116F">
      <w:pPr>
        <w:pStyle w:val="FootnoteText"/>
        <w:spacing w:after="0"/>
        <w:ind w:left="0" w:firstLine="0"/>
        <w:rPr>
          <w:rFonts w:ascii="Times New Roman" w:hAnsi="Times New Roman"/>
          <w:lang w:val="en-IE"/>
        </w:rPr>
      </w:pPr>
      <w:r w:rsidRPr="00FC116F">
        <w:rPr>
          <w:rStyle w:val="FootnoteReference"/>
          <w:rFonts w:ascii="Times New Roman" w:hAnsi="Times New Roman"/>
        </w:rPr>
        <w:footnoteRef/>
      </w:r>
      <w:r w:rsidRPr="00FC116F">
        <w:rPr>
          <w:rFonts w:ascii="Times New Roman" w:hAnsi="Times New Roman"/>
        </w:rPr>
        <w:t xml:space="preserve"> Regulation (EU) 2024/900 of the European Parliament and of the Council of 13 March 2024 on the transparency and targeting of political advertising</w:t>
      </w:r>
      <w:r>
        <w:rPr>
          <w:rFonts w:ascii="Times New Roman" w:hAnsi="Times New Roman"/>
        </w:rPr>
        <w:t>.</w:t>
      </w:r>
    </w:p>
  </w:footnote>
  <w:footnote w:id="8">
    <w:p w14:paraId="0F9ADDCD" w14:textId="5004A15F" w:rsidR="00785393" w:rsidRPr="00FC116F" w:rsidRDefault="00785393" w:rsidP="00FC116F">
      <w:pPr>
        <w:pStyle w:val="FootnoteText"/>
        <w:spacing w:after="0"/>
        <w:ind w:left="0" w:firstLine="0"/>
        <w:rPr>
          <w:rFonts w:ascii="Times New Roman" w:hAnsi="Times New Roman"/>
          <w:lang w:val="en-IE"/>
        </w:rPr>
      </w:pPr>
      <w:r w:rsidRPr="00FC116F">
        <w:rPr>
          <w:rStyle w:val="FootnoteReference"/>
          <w:rFonts w:ascii="Times New Roman" w:hAnsi="Times New Roman"/>
        </w:rPr>
        <w:footnoteRef/>
      </w:r>
      <w:r w:rsidRPr="00FC116F">
        <w:rPr>
          <w:rFonts w:ascii="Times New Roman" w:hAnsi="Times New Roman"/>
        </w:rPr>
        <w:t xml:space="preserve"> Council Directive (EU) 2025/1788 of 24 June 2025 laying down detailed arrangements for the exercise of the right to vote and to stand as a candidate in elections to the European Parliament for Union citizens residing in a Member State of which they are not nationals (recast)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996A" w14:textId="77777777" w:rsidR="00CF2A78" w:rsidRDefault="00CF2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1497C0F"/>
    <w:multiLevelType w:val="multilevel"/>
    <w:tmpl w:val="504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34"/>
  </w:num>
  <w:num w:numId="4" w16cid:durableId="580018736">
    <w:abstractNumId w:val="13"/>
  </w:num>
  <w:num w:numId="5" w16cid:durableId="221647625">
    <w:abstractNumId w:val="30"/>
  </w:num>
  <w:num w:numId="6" w16cid:durableId="298344620">
    <w:abstractNumId w:val="10"/>
  </w:num>
  <w:num w:numId="7" w16cid:durableId="58093387">
    <w:abstractNumId w:val="6"/>
  </w:num>
  <w:num w:numId="8" w16cid:durableId="1122530581">
    <w:abstractNumId w:val="16"/>
  </w:num>
  <w:num w:numId="9" w16cid:durableId="1479684095">
    <w:abstractNumId w:val="33"/>
  </w:num>
  <w:num w:numId="10" w16cid:durableId="340007303">
    <w:abstractNumId w:val="25"/>
  </w:num>
  <w:num w:numId="11" w16cid:durableId="346519941">
    <w:abstractNumId w:val="27"/>
  </w:num>
  <w:num w:numId="12" w16cid:durableId="691036718">
    <w:abstractNumId w:val="12"/>
  </w:num>
  <w:num w:numId="13" w16cid:durableId="1452093781">
    <w:abstractNumId w:val="17"/>
  </w:num>
  <w:num w:numId="14" w16cid:durableId="906961314">
    <w:abstractNumId w:val="31"/>
  </w:num>
  <w:num w:numId="15" w16cid:durableId="1388455259">
    <w:abstractNumId w:val="15"/>
  </w:num>
  <w:num w:numId="16" w16cid:durableId="1677533267">
    <w:abstractNumId w:val="37"/>
  </w:num>
  <w:num w:numId="17" w16cid:durableId="961619330">
    <w:abstractNumId w:val="32"/>
  </w:num>
  <w:num w:numId="18" w16cid:durableId="1095638383">
    <w:abstractNumId w:val="23"/>
  </w:num>
  <w:num w:numId="19" w16cid:durableId="357776219">
    <w:abstractNumId w:val="24"/>
  </w:num>
  <w:num w:numId="20" w16cid:durableId="1481578588">
    <w:abstractNumId w:val="29"/>
  </w:num>
  <w:num w:numId="21" w16cid:durableId="1812137613">
    <w:abstractNumId w:val="3"/>
  </w:num>
  <w:num w:numId="22" w16cid:durableId="370300677">
    <w:abstractNumId w:val="4"/>
  </w:num>
  <w:num w:numId="23" w16cid:durableId="1948660650">
    <w:abstractNumId w:val="5"/>
  </w:num>
  <w:num w:numId="24" w16cid:durableId="122113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5"/>
  </w:num>
  <w:num w:numId="26" w16cid:durableId="1203983393">
    <w:abstractNumId w:val="26"/>
  </w:num>
  <w:num w:numId="27" w16cid:durableId="1149204463">
    <w:abstractNumId w:val="18"/>
  </w:num>
  <w:num w:numId="28" w16cid:durableId="614867515">
    <w:abstractNumId w:val="36"/>
  </w:num>
  <w:num w:numId="29" w16cid:durableId="1513490821">
    <w:abstractNumId w:val="2"/>
  </w:num>
  <w:num w:numId="30" w16cid:durableId="1269506392">
    <w:abstractNumId w:val="22"/>
  </w:num>
  <w:num w:numId="31" w16cid:durableId="160509948">
    <w:abstractNumId w:val="21"/>
  </w:num>
  <w:num w:numId="32" w16cid:durableId="146094414">
    <w:abstractNumId w:val="9"/>
  </w:num>
  <w:num w:numId="33" w16cid:durableId="2145806991">
    <w:abstractNumId w:val="11"/>
  </w:num>
  <w:num w:numId="34" w16cid:durableId="1322079617">
    <w:abstractNumId w:val="20"/>
  </w:num>
  <w:num w:numId="35" w16cid:durableId="1661734410">
    <w:abstractNumId w:val="19"/>
  </w:num>
  <w:num w:numId="36" w16cid:durableId="458842821">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3D"/>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9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3C2"/>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5B2"/>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38"/>
    <w:rsid w:val="00025341"/>
    <w:rsid w:val="00025501"/>
    <w:rsid w:val="0002551E"/>
    <w:rsid w:val="0002561D"/>
    <w:rsid w:val="00025A02"/>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EA"/>
    <w:rsid w:val="000332FE"/>
    <w:rsid w:val="000337C2"/>
    <w:rsid w:val="00033EA1"/>
    <w:rsid w:val="00033F57"/>
    <w:rsid w:val="000340CA"/>
    <w:rsid w:val="00034589"/>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3F69"/>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0FEE"/>
    <w:rsid w:val="00051333"/>
    <w:rsid w:val="00051874"/>
    <w:rsid w:val="00051BA8"/>
    <w:rsid w:val="00051E3C"/>
    <w:rsid w:val="000520B1"/>
    <w:rsid w:val="00052241"/>
    <w:rsid w:val="00052672"/>
    <w:rsid w:val="00052814"/>
    <w:rsid w:val="000529E9"/>
    <w:rsid w:val="000535BB"/>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2EB"/>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3F0"/>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4E"/>
    <w:rsid w:val="00075C60"/>
    <w:rsid w:val="000760D2"/>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7E2"/>
    <w:rsid w:val="00082B1C"/>
    <w:rsid w:val="00083121"/>
    <w:rsid w:val="00083469"/>
    <w:rsid w:val="000834CD"/>
    <w:rsid w:val="000835B0"/>
    <w:rsid w:val="000835F5"/>
    <w:rsid w:val="0008378A"/>
    <w:rsid w:val="00083B96"/>
    <w:rsid w:val="00084044"/>
    <w:rsid w:val="000840C3"/>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746"/>
    <w:rsid w:val="00086911"/>
    <w:rsid w:val="00086C30"/>
    <w:rsid w:val="00086D5D"/>
    <w:rsid w:val="00086DA6"/>
    <w:rsid w:val="00087318"/>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375"/>
    <w:rsid w:val="00092442"/>
    <w:rsid w:val="0009257A"/>
    <w:rsid w:val="00092B44"/>
    <w:rsid w:val="00092C2D"/>
    <w:rsid w:val="00092EB9"/>
    <w:rsid w:val="0009343D"/>
    <w:rsid w:val="00093617"/>
    <w:rsid w:val="00093E98"/>
    <w:rsid w:val="00093FDF"/>
    <w:rsid w:val="0009404A"/>
    <w:rsid w:val="00094051"/>
    <w:rsid w:val="000942B9"/>
    <w:rsid w:val="00094353"/>
    <w:rsid w:val="000945D6"/>
    <w:rsid w:val="00094600"/>
    <w:rsid w:val="000946F6"/>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2E96"/>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59E4"/>
    <w:rsid w:val="000C61AB"/>
    <w:rsid w:val="000C6577"/>
    <w:rsid w:val="000C6610"/>
    <w:rsid w:val="000C6902"/>
    <w:rsid w:val="000C69CA"/>
    <w:rsid w:val="000C6E3E"/>
    <w:rsid w:val="000C71A3"/>
    <w:rsid w:val="000C728E"/>
    <w:rsid w:val="000C741E"/>
    <w:rsid w:val="000C755B"/>
    <w:rsid w:val="000C7646"/>
    <w:rsid w:val="000C7708"/>
    <w:rsid w:val="000C7914"/>
    <w:rsid w:val="000C7A14"/>
    <w:rsid w:val="000C7A75"/>
    <w:rsid w:val="000C7BE4"/>
    <w:rsid w:val="000C7E7C"/>
    <w:rsid w:val="000D02D7"/>
    <w:rsid w:val="000D0536"/>
    <w:rsid w:val="000D057B"/>
    <w:rsid w:val="000D0723"/>
    <w:rsid w:val="000D082B"/>
    <w:rsid w:val="000D0AEE"/>
    <w:rsid w:val="000D0C61"/>
    <w:rsid w:val="000D1461"/>
    <w:rsid w:val="000D1C63"/>
    <w:rsid w:val="000D2024"/>
    <w:rsid w:val="000D20A1"/>
    <w:rsid w:val="000D23CE"/>
    <w:rsid w:val="000D25EF"/>
    <w:rsid w:val="000D2659"/>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783"/>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6E"/>
    <w:rsid w:val="000F4D76"/>
    <w:rsid w:val="000F4E7E"/>
    <w:rsid w:val="000F514F"/>
    <w:rsid w:val="000F52C9"/>
    <w:rsid w:val="000F536B"/>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932"/>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B6A"/>
    <w:rsid w:val="00115E40"/>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8E4"/>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93C"/>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880"/>
    <w:rsid w:val="00136D26"/>
    <w:rsid w:val="001370BE"/>
    <w:rsid w:val="00137319"/>
    <w:rsid w:val="00137470"/>
    <w:rsid w:val="0014010D"/>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61"/>
    <w:rsid w:val="00147197"/>
    <w:rsid w:val="0014776E"/>
    <w:rsid w:val="00147784"/>
    <w:rsid w:val="00147791"/>
    <w:rsid w:val="001477F4"/>
    <w:rsid w:val="00147A1A"/>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2F5F"/>
    <w:rsid w:val="00153005"/>
    <w:rsid w:val="001533A4"/>
    <w:rsid w:val="00153546"/>
    <w:rsid w:val="001538A6"/>
    <w:rsid w:val="00153952"/>
    <w:rsid w:val="00153AD9"/>
    <w:rsid w:val="00153C3E"/>
    <w:rsid w:val="00153F3C"/>
    <w:rsid w:val="001540D4"/>
    <w:rsid w:val="00154153"/>
    <w:rsid w:val="00154223"/>
    <w:rsid w:val="00154492"/>
    <w:rsid w:val="001545E0"/>
    <w:rsid w:val="00154908"/>
    <w:rsid w:val="00154934"/>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99C"/>
    <w:rsid w:val="00161B04"/>
    <w:rsid w:val="00161DD3"/>
    <w:rsid w:val="00162094"/>
    <w:rsid w:val="001623A4"/>
    <w:rsid w:val="001625B7"/>
    <w:rsid w:val="0016261F"/>
    <w:rsid w:val="00162ABF"/>
    <w:rsid w:val="001630F8"/>
    <w:rsid w:val="0016323F"/>
    <w:rsid w:val="001633E4"/>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938"/>
    <w:rsid w:val="00165A0B"/>
    <w:rsid w:val="00165C19"/>
    <w:rsid w:val="00165D60"/>
    <w:rsid w:val="001661B4"/>
    <w:rsid w:val="001661D6"/>
    <w:rsid w:val="00166332"/>
    <w:rsid w:val="001663A4"/>
    <w:rsid w:val="001663DB"/>
    <w:rsid w:val="001664C3"/>
    <w:rsid w:val="001666E5"/>
    <w:rsid w:val="0016679D"/>
    <w:rsid w:val="00166919"/>
    <w:rsid w:val="00166AD7"/>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596"/>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1"/>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2B8"/>
    <w:rsid w:val="001843EF"/>
    <w:rsid w:val="00184455"/>
    <w:rsid w:val="001844BB"/>
    <w:rsid w:val="001844C3"/>
    <w:rsid w:val="00184870"/>
    <w:rsid w:val="00184950"/>
    <w:rsid w:val="00184FD0"/>
    <w:rsid w:val="00185069"/>
    <w:rsid w:val="001852B6"/>
    <w:rsid w:val="00185546"/>
    <w:rsid w:val="00185816"/>
    <w:rsid w:val="00185CCB"/>
    <w:rsid w:val="00185D07"/>
    <w:rsid w:val="001864D1"/>
    <w:rsid w:val="001864DD"/>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6B"/>
    <w:rsid w:val="001A14A4"/>
    <w:rsid w:val="001A1572"/>
    <w:rsid w:val="001A183D"/>
    <w:rsid w:val="001A1CA7"/>
    <w:rsid w:val="001A1CFE"/>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BBA"/>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676"/>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2E"/>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05"/>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04"/>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109"/>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5CE5"/>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735"/>
    <w:rsid w:val="00215821"/>
    <w:rsid w:val="00215A04"/>
    <w:rsid w:val="00215C09"/>
    <w:rsid w:val="00215CD9"/>
    <w:rsid w:val="00215D24"/>
    <w:rsid w:val="00215DA9"/>
    <w:rsid w:val="0021653C"/>
    <w:rsid w:val="00216B1E"/>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0E"/>
    <w:rsid w:val="00225C2F"/>
    <w:rsid w:val="00225FC7"/>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4E"/>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9E8"/>
    <w:rsid w:val="00252CC6"/>
    <w:rsid w:val="00252DC2"/>
    <w:rsid w:val="00252F33"/>
    <w:rsid w:val="00252FE9"/>
    <w:rsid w:val="00253A58"/>
    <w:rsid w:val="00253B9B"/>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E5A"/>
    <w:rsid w:val="00257F05"/>
    <w:rsid w:val="00260320"/>
    <w:rsid w:val="00260441"/>
    <w:rsid w:val="0026086F"/>
    <w:rsid w:val="00260B9E"/>
    <w:rsid w:val="00260BDC"/>
    <w:rsid w:val="00260BE4"/>
    <w:rsid w:val="00260DDA"/>
    <w:rsid w:val="00261102"/>
    <w:rsid w:val="0026146F"/>
    <w:rsid w:val="00261486"/>
    <w:rsid w:val="00261624"/>
    <w:rsid w:val="0026196C"/>
    <w:rsid w:val="00261B14"/>
    <w:rsid w:val="00261C78"/>
    <w:rsid w:val="00261D2F"/>
    <w:rsid w:val="00261DD1"/>
    <w:rsid w:val="00261FEE"/>
    <w:rsid w:val="002625B1"/>
    <w:rsid w:val="002625CD"/>
    <w:rsid w:val="0026269C"/>
    <w:rsid w:val="002628F0"/>
    <w:rsid w:val="00262AC3"/>
    <w:rsid w:val="00262ACD"/>
    <w:rsid w:val="00262DD9"/>
    <w:rsid w:val="002630EB"/>
    <w:rsid w:val="002631AE"/>
    <w:rsid w:val="002633CA"/>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43"/>
    <w:rsid w:val="002656F4"/>
    <w:rsid w:val="002657B1"/>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18"/>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E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6A5"/>
    <w:rsid w:val="00284886"/>
    <w:rsid w:val="00284928"/>
    <w:rsid w:val="00284D1A"/>
    <w:rsid w:val="00284D97"/>
    <w:rsid w:val="00284DD3"/>
    <w:rsid w:val="00284EBE"/>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55C"/>
    <w:rsid w:val="0029582E"/>
    <w:rsid w:val="00295995"/>
    <w:rsid w:val="00295A12"/>
    <w:rsid w:val="00295A33"/>
    <w:rsid w:val="00295B63"/>
    <w:rsid w:val="00295D26"/>
    <w:rsid w:val="00295E46"/>
    <w:rsid w:val="00296014"/>
    <w:rsid w:val="0029611C"/>
    <w:rsid w:val="002962E6"/>
    <w:rsid w:val="00296D2B"/>
    <w:rsid w:val="002972E1"/>
    <w:rsid w:val="00297666"/>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03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1C5C"/>
    <w:rsid w:val="002B2485"/>
    <w:rsid w:val="002B2627"/>
    <w:rsid w:val="002B26A2"/>
    <w:rsid w:val="002B2751"/>
    <w:rsid w:val="002B3151"/>
    <w:rsid w:val="002B3529"/>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355"/>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77"/>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776"/>
    <w:rsid w:val="002D385E"/>
    <w:rsid w:val="002D387A"/>
    <w:rsid w:val="002D3A30"/>
    <w:rsid w:val="002D3A51"/>
    <w:rsid w:val="002D3BB6"/>
    <w:rsid w:val="002D3BEB"/>
    <w:rsid w:val="002D3F07"/>
    <w:rsid w:val="002D409F"/>
    <w:rsid w:val="002D40F0"/>
    <w:rsid w:val="002D4273"/>
    <w:rsid w:val="002D4719"/>
    <w:rsid w:val="002D5075"/>
    <w:rsid w:val="002D5184"/>
    <w:rsid w:val="002D55EB"/>
    <w:rsid w:val="002D563C"/>
    <w:rsid w:val="002D58F1"/>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AAE"/>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8B0"/>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3DC8"/>
    <w:rsid w:val="00314017"/>
    <w:rsid w:val="00314034"/>
    <w:rsid w:val="00314129"/>
    <w:rsid w:val="00314397"/>
    <w:rsid w:val="003144BA"/>
    <w:rsid w:val="00314523"/>
    <w:rsid w:val="00314645"/>
    <w:rsid w:val="003149A3"/>
    <w:rsid w:val="00314E97"/>
    <w:rsid w:val="00315000"/>
    <w:rsid w:val="0031550B"/>
    <w:rsid w:val="00315540"/>
    <w:rsid w:val="00315A9D"/>
    <w:rsid w:val="00315E08"/>
    <w:rsid w:val="00316755"/>
    <w:rsid w:val="003169B6"/>
    <w:rsid w:val="00316BBA"/>
    <w:rsid w:val="00316C4B"/>
    <w:rsid w:val="00316C69"/>
    <w:rsid w:val="003171CB"/>
    <w:rsid w:val="00317261"/>
    <w:rsid w:val="0031736F"/>
    <w:rsid w:val="003175B6"/>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11B"/>
    <w:rsid w:val="0032220B"/>
    <w:rsid w:val="0032238A"/>
    <w:rsid w:val="00322A19"/>
    <w:rsid w:val="00322B6A"/>
    <w:rsid w:val="00322C92"/>
    <w:rsid w:val="00322CD0"/>
    <w:rsid w:val="00322CE8"/>
    <w:rsid w:val="00322ED9"/>
    <w:rsid w:val="00322FA3"/>
    <w:rsid w:val="00323450"/>
    <w:rsid w:val="00323719"/>
    <w:rsid w:val="00323BC5"/>
    <w:rsid w:val="00323BEB"/>
    <w:rsid w:val="00324673"/>
    <w:rsid w:val="00324B9B"/>
    <w:rsid w:val="00324D46"/>
    <w:rsid w:val="00324DE1"/>
    <w:rsid w:val="003250DD"/>
    <w:rsid w:val="003257CD"/>
    <w:rsid w:val="00325B0D"/>
    <w:rsid w:val="00325B56"/>
    <w:rsid w:val="00325DF1"/>
    <w:rsid w:val="003264E9"/>
    <w:rsid w:val="0032655A"/>
    <w:rsid w:val="00326737"/>
    <w:rsid w:val="003268E8"/>
    <w:rsid w:val="00326C01"/>
    <w:rsid w:val="00326D93"/>
    <w:rsid w:val="003273F4"/>
    <w:rsid w:val="0032744B"/>
    <w:rsid w:val="00327607"/>
    <w:rsid w:val="00327618"/>
    <w:rsid w:val="00327764"/>
    <w:rsid w:val="003279D2"/>
    <w:rsid w:val="00327A31"/>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A65"/>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E28"/>
    <w:rsid w:val="00342FDE"/>
    <w:rsid w:val="0034313B"/>
    <w:rsid w:val="003431AA"/>
    <w:rsid w:val="003431F1"/>
    <w:rsid w:val="00343DE7"/>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316"/>
    <w:rsid w:val="00355439"/>
    <w:rsid w:val="003555F5"/>
    <w:rsid w:val="00355B3F"/>
    <w:rsid w:val="0035616C"/>
    <w:rsid w:val="00356450"/>
    <w:rsid w:val="00356A2D"/>
    <w:rsid w:val="00356ADE"/>
    <w:rsid w:val="00356DB8"/>
    <w:rsid w:val="00356EF5"/>
    <w:rsid w:val="00357466"/>
    <w:rsid w:val="00357665"/>
    <w:rsid w:val="003576D3"/>
    <w:rsid w:val="0035798B"/>
    <w:rsid w:val="00357999"/>
    <w:rsid w:val="00357A18"/>
    <w:rsid w:val="00357EF9"/>
    <w:rsid w:val="00357F27"/>
    <w:rsid w:val="00357FCD"/>
    <w:rsid w:val="00360101"/>
    <w:rsid w:val="00360125"/>
    <w:rsid w:val="00360258"/>
    <w:rsid w:val="0036088E"/>
    <w:rsid w:val="003608DB"/>
    <w:rsid w:val="00360D85"/>
    <w:rsid w:val="00360F07"/>
    <w:rsid w:val="00361109"/>
    <w:rsid w:val="00361A6B"/>
    <w:rsid w:val="00361BF1"/>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5A6"/>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62"/>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A7A"/>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43"/>
    <w:rsid w:val="003A52C4"/>
    <w:rsid w:val="003A5735"/>
    <w:rsid w:val="003A58C7"/>
    <w:rsid w:val="003A5ACF"/>
    <w:rsid w:val="003A618E"/>
    <w:rsid w:val="003A66D7"/>
    <w:rsid w:val="003A6CDC"/>
    <w:rsid w:val="003A7265"/>
    <w:rsid w:val="003A7367"/>
    <w:rsid w:val="003A797C"/>
    <w:rsid w:val="003A7A6F"/>
    <w:rsid w:val="003A7BE9"/>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D5"/>
    <w:rsid w:val="003B202F"/>
    <w:rsid w:val="003B206D"/>
    <w:rsid w:val="003B209A"/>
    <w:rsid w:val="003B20B8"/>
    <w:rsid w:val="003B2198"/>
    <w:rsid w:val="003B2498"/>
    <w:rsid w:val="003B28BC"/>
    <w:rsid w:val="003B29FE"/>
    <w:rsid w:val="003B327A"/>
    <w:rsid w:val="003B32F5"/>
    <w:rsid w:val="003B38CD"/>
    <w:rsid w:val="003B3A56"/>
    <w:rsid w:val="003B3D10"/>
    <w:rsid w:val="003B3F0A"/>
    <w:rsid w:val="003B44FE"/>
    <w:rsid w:val="003B456D"/>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557"/>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5D90"/>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0E30"/>
    <w:rsid w:val="003D1331"/>
    <w:rsid w:val="003D1730"/>
    <w:rsid w:val="003D184B"/>
    <w:rsid w:val="003D1C0A"/>
    <w:rsid w:val="003D1C91"/>
    <w:rsid w:val="003D21F7"/>
    <w:rsid w:val="003D2278"/>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973"/>
    <w:rsid w:val="003D5CD5"/>
    <w:rsid w:val="003D6151"/>
    <w:rsid w:val="003D61CE"/>
    <w:rsid w:val="003D6235"/>
    <w:rsid w:val="003D6672"/>
    <w:rsid w:val="003D670E"/>
    <w:rsid w:val="003D684E"/>
    <w:rsid w:val="003D690B"/>
    <w:rsid w:val="003D69FF"/>
    <w:rsid w:val="003D6CA1"/>
    <w:rsid w:val="003D6EE8"/>
    <w:rsid w:val="003D6F6F"/>
    <w:rsid w:val="003D728F"/>
    <w:rsid w:val="003D73A5"/>
    <w:rsid w:val="003D746B"/>
    <w:rsid w:val="003D75A1"/>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88"/>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A01"/>
    <w:rsid w:val="003E6BF2"/>
    <w:rsid w:val="003E6D22"/>
    <w:rsid w:val="003E6D70"/>
    <w:rsid w:val="003E6F42"/>
    <w:rsid w:val="003E6FA0"/>
    <w:rsid w:val="003E7016"/>
    <w:rsid w:val="003E71CD"/>
    <w:rsid w:val="003F01F6"/>
    <w:rsid w:val="003F020C"/>
    <w:rsid w:val="003F033C"/>
    <w:rsid w:val="003F03C4"/>
    <w:rsid w:val="003F04C5"/>
    <w:rsid w:val="003F066F"/>
    <w:rsid w:val="003F07C3"/>
    <w:rsid w:val="003F0C9B"/>
    <w:rsid w:val="003F0FF5"/>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32"/>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239"/>
    <w:rsid w:val="004134C0"/>
    <w:rsid w:val="004138EC"/>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B13"/>
    <w:rsid w:val="00427D09"/>
    <w:rsid w:val="00427D9C"/>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03A"/>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BC2"/>
    <w:rsid w:val="00435D10"/>
    <w:rsid w:val="004362BB"/>
    <w:rsid w:val="004368AE"/>
    <w:rsid w:val="004369C6"/>
    <w:rsid w:val="00436CDF"/>
    <w:rsid w:val="00437330"/>
    <w:rsid w:val="004378EC"/>
    <w:rsid w:val="004379D0"/>
    <w:rsid w:val="00437BE7"/>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58A"/>
    <w:rsid w:val="0044680C"/>
    <w:rsid w:val="00446A40"/>
    <w:rsid w:val="00446CE8"/>
    <w:rsid w:val="004477EF"/>
    <w:rsid w:val="00447895"/>
    <w:rsid w:val="00447A38"/>
    <w:rsid w:val="00447BCF"/>
    <w:rsid w:val="00447E84"/>
    <w:rsid w:val="00447E96"/>
    <w:rsid w:val="00450446"/>
    <w:rsid w:val="004504D6"/>
    <w:rsid w:val="004507E5"/>
    <w:rsid w:val="00450AC0"/>
    <w:rsid w:val="00450D71"/>
    <w:rsid w:val="004512E4"/>
    <w:rsid w:val="004516D6"/>
    <w:rsid w:val="004516F2"/>
    <w:rsid w:val="004519F1"/>
    <w:rsid w:val="00451ED2"/>
    <w:rsid w:val="004520DC"/>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DFA"/>
    <w:rsid w:val="00454F63"/>
    <w:rsid w:val="00454F87"/>
    <w:rsid w:val="0045588B"/>
    <w:rsid w:val="00455F9E"/>
    <w:rsid w:val="004563D6"/>
    <w:rsid w:val="00456654"/>
    <w:rsid w:val="00456C43"/>
    <w:rsid w:val="00456DEA"/>
    <w:rsid w:val="00456EC9"/>
    <w:rsid w:val="00456EF5"/>
    <w:rsid w:val="004577BF"/>
    <w:rsid w:val="0045781E"/>
    <w:rsid w:val="00457A26"/>
    <w:rsid w:val="00457AFC"/>
    <w:rsid w:val="00457CFF"/>
    <w:rsid w:val="00457F45"/>
    <w:rsid w:val="004600CC"/>
    <w:rsid w:val="00460494"/>
    <w:rsid w:val="004605BC"/>
    <w:rsid w:val="00460AD1"/>
    <w:rsid w:val="00461003"/>
    <w:rsid w:val="0046101E"/>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315"/>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51"/>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A20"/>
    <w:rsid w:val="00490E8E"/>
    <w:rsid w:val="00491088"/>
    <w:rsid w:val="00491432"/>
    <w:rsid w:val="0049143C"/>
    <w:rsid w:val="00491A0A"/>
    <w:rsid w:val="00491E7D"/>
    <w:rsid w:val="00491FDA"/>
    <w:rsid w:val="0049203F"/>
    <w:rsid w:val="00492284"/>
    <w:rsid w:val="004924A9"/>
    <w:rsid w:val="00492788"/>
    <w:rsid w:val="004929C9"/>
    <w:rsid w:val="00492A71"/>
    <w:rsid w:val="00492AA1"/>
    <w:rsid w:val="00492D47"/>
    <w:rsid w:val="00492DA2"/>
    <w:rsid w:val="00492E70"/>
    <w:rsid w:val="00492E75"/>
    <w:rsid w:val="004934CD"/>
    <w:rsid w:val="00493B0F"/>
    <w:rsid w:val="00493B38"/>
    <w:rsid w:val="00493B68"/>
    <w:rsid w:val="00493BA4"/>
    <w:rsid w:val="00493CCF"/>
    <w:rsid w:val="00493DE4"/>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0C93"/>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FF7"/>
    <w:rsid w:val="004A713E"/>
    <w:rsid w:val="004A72C3"/>
    <w:rsid w:val="004A73E9"/>
    <w:rsid w:val="004A763B"/>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5A"/>
    <w:rsid w:val="004B22BC"/>
    <w:rsid w:val="004B277F"/>
    <w:rsid w:val="004B28A2"/>
    <w:rsid w:val="004B2BFD"/>
    <w:rsid w:val="004B33B9"/>
    <w:rsid w:val="004B340E"/>
    <w:rsid w:val="004B3420"/>
    <w:rsid w:val="004B37E4"/>
    <w:rsid w:val="004B399F"/>
    <w:rsid w:val="004B39D5"/>
    <w:rsid w:val="004B39F4"/>
    <w:rsid w:val="004B4049"/>
    <w:rsid w:val="004B438E"/>
    <w:rsid w:val="004B440A"/>
    <w:rsid w:val="004B496B"/>
    <w:rsid w:val="004B4A44"/>
    <w:rsid w:val="004B4BEA"/>
    <w:rsid w:val="004B50E8"/>
    <w:rsid w:val="004B5595"/>
    <w:rsid w:val="004B55C8"/>
    <w:rsid w:val="004B5888"/>
    <w:rsid w:val="004B5CC1"/>
    <w:rsid w:val="004B5DB8"/>
    <w:rsid w:val="004B5F0D"/>
    <w:rsid w:val="004B6060"/>
    <w:rsid w:val="004B60AC"/>
    <w:rsid w:val="004B612F"/>
    <w:rsid w:val="004B6485"/>
    <w:rsid w:val="004B6618"/>
    <w:rsid w:val="004B6819"/>
    <w:rsid w:val="004B6840"/>
    <w:rsid w:val="004B6B02"/>
    <w:rsid w:val="004B6C88"/>
    <w:rsid w:val="004B6D63"/>
    <w:rsid w:val="004B71A4"/>
    <w:rsid w:val="004B7336"/>
    <w:rsid w:val="004C0571"/>
    <w:rsid w:val="004C093C"/>
    <w:rsid w:val="004C0BC9"/>
    <w:rsid w:val="004C0DF1"/>
    <w:rsid w:val="004C0DF8"/>
    <w:rsid w:val="004C0E96"/>
    <w:rsid w:val="004C0EF6"/>
    <w:rsid w:val="004C1479"/>
    <w:rsid w:val="004C14A0"/>
    <w:rsid w:val="004C1697"/>
    <w:rsid w:val="004C1747"/>
    <w:rsid w:val="004C17DD"/>
    <w:rsid w:val="004C1A61"/>
    <w:rsid w:val="004C1BDA"/>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4B9"/>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2891"/>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3F48"/>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3C38"/>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3EF"/>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5DB"/>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86D"/>
    <w:rsid w:val="00524C6A"/>
    <w:rsid w:val="00524F60"/>
    <w:rsid w:val="0052544F"/>
    <w:rsid w:val="005256E5"/>
    <w:rsid w:val="00525889"/>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27DDA"/>
    <w:rsid w:val="005300DA"/>
    <w:rsid w:val="00530157"/>
    <w:rsid w:val="00530208"/>
    <w:rsid w:val="00530472"/>
    <w:rsid w:val="005304E0"/>
    <w:rsid w:val="005307AD"/>
    <w:rsid w:val="005308E1"/>
    <w:rsid w:val="00530CAC"/>
    <w:rsid w:val="00531062"/>
    <w:rsid w:val="00531595"/>
    <w:rsid w:val="00531644"/>
    <w:rsid w:val="005317A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2E5"/>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4E"/>
    <w:rsid w:val="005569FC"/>
    <w:rsid w:val="00556A21"/>
    <w:rsid w:val="00556C4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4CDB"/>
    <w:rsid w:val="00565272"/>
    <w:rsid w:val="00565921"/>
    <w:rsid w:val="00565C40"/>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01E"/>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0F2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EF9"/>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00F"/>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823"/>
    <w:rsid w:val="005A6E15"/>
    <w:rsid w:val="005A6EFE"/>
    <w:rsid w:val="005A7074"/>
    <w:rsid w:val="005A7121"/>
    <w:rsid w:val="005A71D1"/>
    <w:rsid w:val="005A7276"/>
    <w:rsid w:val="005A74F7"/>
    <w:rsid w:val="005A756C"/>
    <w:rsid w:val="005A7869"/>
    <w:rsid w:val="005A7895"/>
    <w:rsid w:val="005A7B3C"/>
    <w:rsid w:val="005B0135"/>
    <w:rsid w:val="005B0157"/>
    <w:rsid w:val="005B0326"/>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5BD"/>
    <w:rsid w:val="005C1634"/>
    <w:rsid w:val="005C1A0B"/>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10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072"/>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673"/>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B56"/>
    <w:rsid w:val="005D2F3A"/>
    <w:rsid w:val="005D2F76"/>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AEE"/>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6DB7"/>
    <w:rsid w:val="005F73C6"/>
    <w:rsid w:val="005F7421"/>
    <w:rsid w:val="005F7828"/>
    <w:rsid w:val="005F7DB6"/>
    <w:rsid w:val="005F7E7B"/>
    <w:rsid w:val="0060026E"/>
    <w:rsid w:val="00600389"/>
    <w:rsid w:val="0060043C"/>
    <w:rsid w:val="00600815"/>
    <w:rsid w:val="006009AC"/>
    <w:rsid w:val="006009F3"/>
    <w:rsid w:val="00600E99"/>
    <w:rsid w:val="006011BA"/>
    <w:rsid w:val="0060144C"/>
    <w:rsid w:val="00601911"/>
    <w:rsid w:val="00601957"/>
    <w:rsid w:val="00602081"/>
    <w:rsid w:val="00602180"/>
    <w:rsid w:val="00602383"/>
    <w:rsid w:val="006023DB"/>
    <w:rsid w:val="006026AC"/>
    <w:rsid w:val="006026E6"/>
    <w:rsid w:val="00602987"/>
    <w:rsid w:val="00602BEF"/>
    <w:rsid w:val="00602E57"/>
    <w:rsid w:val="00603012"/>
    <w:rsid w:val="006030BB"/>
    <w:rsid w:val="006030BD"/>
    <w:rsid w:val="0060314A"/>
    <w:rsid w:val="00603498"/>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D6B"/>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5FA2"/>
    <w:rsid w:val="00626004"/>
    <w:rsid w:val="006262F3"/>
    <w:rsid w:val="006264E6"/>
    <w:rsid w:val="0062670D"/>
    <w:rsid w:val="006269A8"/>
    <w:rsid w:val="00626A30"/>
    <w:rsid w:val="00626CEC"/>
    <w:rsid w:val="0062703F"/>
    <w:rsid w:val="006270A1"/>
    <w:rsid w:val="006270A7"/>
    <w:rsid w:val="006272A4"/>
    <w:rsid w:val="0062752E"/>
    <w:rsid w:val="00627705"/>
    <w:rsid w:val="0062773E"/>
    <w:rsid w:val="0062796F"/>
    <w:rsid w:val="006279C8"/>
    <w:rsid w:val="00627D4A"/>
    <w:rsid w:val="00627E96"/>
    <w:rsid w:val="00630066"/>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2AB"/>
    <w:rsid w:val="00636542"/>
    <w:rsid w:val="006366DB"/>
    <w:rsid w:val="00636717"/>
    <w:rsid w:val="00636C84"/>
    <w:rsid w:val="00636CAE"/>
    <w:rsid w:val="00636DF1"/>
    <w:rsid w:val="0063717F"/>
    <w:rsid w:val="00637224"/>
    <w:rsid w:val="0063734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C94"/>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992"/>
    <w:rsid w:val="00647EB2"/>
    <w:rsid w:val="00647FD7"/>
    <w:rsid w:val="0065008E"/>
    <w:rsid w:val="00650092"/>
    <w:rsid w:val="0065045A"/>
    <w:rsid w:val="006506EC"/>
    <w:rsid w:val="0065098C"/>
    <w:rsid w:val="00650D8F"/>
    <w:rsid w:val="00651340"/>
    <w:rsid w:val="0065134E"/>
    <w:rsid w:val="006513A5"/>
    <w:rsid w:val="006513C3"/>
    <w:rsid w:val="00651686"/>
    <w:rsid w:val="0065172C"/>
    <w:rsid w:val="00651740"/>
    <w:rsid w:val="0065180D"/>
    <w:rsid w:val="00651A4F"/>
    <w:rsid w:val="00651C93"/>
    <w:rsid w:val="00651CD7"/>
    <w:rsid w:val="00651E0A"/>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57D"/>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A49"/>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470"/>
    <w:rsid w:val="00674684"/>
    <w:rsid w:val="00674AAE"/>
    <w:rsid w:val="00674B42"/>
    <w:rsid w:val="00674BAF"/>
    <w:rsid w:val="006752F2"/>
    <w:rsid w:val="00675509"/>
    <w:rsid w:val="006757AA"/>
    <w:rsid w:val="006758FD"/>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CAC"/>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108"/>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0E0"/>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0FA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357"/>
    <w:rsid w:val="006B44CB"/>
    <w:rsid w:val="006B46BC"/>
    <w:rsid w:val="006B49B3"/>
    <w:rsid w:val="006B49D2"/>
    <w:rsid w:val="006B4A4F"/>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8F"/>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0BC"/>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1F0D"/>
    <w:rsid w:val="006D2145"/>
    <w:rsid w:val="006D2ED4"/>
    <w:rsid w:val="006D2FF8"/>
    <w:rsid w:val="006D302A"/>
    <w:rsid w:val="006D30B2"/>
    <w:rsid w:val="006D326A"/>
    <w:rsid w:val="006D35FD"/>
    <w:rsid w:val="006D3811"/>
    <w:rsid w:val="006D3872"/>
    <w:rsid w:val="006D3D76"/>
    <w:rsid w:val="006D3F34"/>
    <w:rsid w:val="006D40E7"/>
    <w:rsid w:val="006D421B"/>
    <w:rsid w:val="006D447B"/>
    <w:rsid w:val="006D4954"/>
    <w:rsid w:val="006D496A"/>
    <w:rsid w:val="006D49C4"/>
    <w:rsid w:val="006D4ACE"/>
    <w:rsid w:val="006D4BE1"/>
    <w:rsid w:val="006D4D3F"/>
    <w:rsid w:val="006D4F23"/>
    <w:rsid w:val="006D5154"/>
    <w:rsid w:val="006D517D"/>
    <w:rsid w:val="006D518F"/>
    <w:rsid w:val="006D5268"/>
    <w:rsid w:val="006D5434"/>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BB6"/>
    <w:rsid w:val="006E00D5"/>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57"/>
    <w:rsid w:val="006F7262"/>
    <w:rsid w:val="006F73B3"/>
    <w:rsid w:val="006F73B4"/>
    <w:rsid w:val="006F73FC"/>
    <w:rsid w:val="006F7524"/>
    <w:rsid w:val="006F7546"/>
    <w:rsid w:val="006F76C5"/>
    <w:rsid w:val="006F78B1"/>
    <w:rsid w:val="006F794B"/>
    <w:rsid w:val="006F7A24"/>
    <w:rsid w:val="006F7CA3"/>
    <w:rsid w:val="006F7E88"/>
    <w:rsid w:val="007003D9"/>
    <w:rsid w:val="0070057A"/>
    <w:rsid w:val="0070089D"/>
    <w:rsid w:val="0070116F"/>
    <w:rsid w:val="00701369"/>
    <w:rsid w:val="007013B5"/>
    <w:rsid w:val="00701496"/>
    <w:rsid w:val="00701705"/>
    <w:rsid w:val="0070170E"/>
    <w:rsid w:val="00701A4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38"/>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51"/>
    <w:rsid w:val="00730C79"/>
    <w:rsid w:val="007312CA"/>
    <w:rsid w:val="007317E5"/>
    <w:rsid w:val="0073183B"/>
    <w:rsid w:val="00731859"/>
    <w:rsid w:val="007318DD"/>
    <w:rsid w:val="00731A4C"/>
    <w:rsid w:val="00731D48"/>
    <w:rsid w:val="00731DB2"/>
    <w:rsid w:val="00732583"/>
    <w:rsid w:val="00732779"/>
    <w:rsid w:val="00732854"/>
    <w:rsid w:val="00732C89"/>
    <w:rsid w:val="00732C99"/>
    <w:rsid w:val="00732DFE"/>
    <w:rsid w:val="00732EC6"/>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B8B"/>
    <w:rsid w:val="00743EFB"/>
    <w:rsid w:val="00743F07"/>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28B"/>
    <w:rsid w:val="007505A5"/>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82E"/>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167"/>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5D8"/>
    <w:rsid w:val="0078476D"/>
    <w:rsid w:val="007847CD"/>
    <w:rsid w:val="00784840"/>
    <w:rsid w:val="00784C02"/>
    <w:rsid w:val="00784C1B"/>
    <w:rsid w:val="00784D76"/>
    <w:rsid w:val="00784E22"/>
    <w:rsid w:val="00784FC2"/>
    <w:rsid w:val="00785393"/>
    <w:rsid w:val="00785562"/>
    <w:rsid w:val="00785A27"/>
    <w:rsid w:val="00785F6D"/>
    <w:rsid w:val="0078660B"/>
    <w:rsid w:val="00786A73"/>
    <w:rsid w:val="00786ACC"/>
    <w:rsid w:val="00786CE9"/>
    <w:rsid w:val="00786D0E"/>
    <w:rsid w:val="00786D77"/>
    <w:rsid w:val="00786F44"/>
    <w:rsid w:val="00787634"/>
    <w:rsid w:val="0078784E"/>
    <w:rsid w:val="00787999"/>
    <w:rsid w:val="0079035A"/>
    <w:rsid w:val="007906A1"/>
    <w:rsid w:val="007906F9"/>
    <w:rsid w:val="007907BA"/>
    <w:rsid w:val="00790A2B"/>
    <w:rsid w:val="00790A2F"/>
    <w:rsid w:val="00790E92"/>
    <w:rsid w:val="007911B6"/>
    <w:rsid w:val="0079139D"/>
    <w:rsid w:val="00791455"/>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AF6"/>
    <w:rsid w:val="00792D38"/>
    <w:rsid w:val="00792D55"/>
    <w:rsid w:val="0079348E"/>
    <w:rsid w:val="007935C4"/>
    <w:rsid w:val="007936A6"/>
    <w:rsid w:val="007936F3"/>
    <w:rsid w:val="00793884"/>
    <w:rsid w:val="00794503"/>
    <w:rsid w:val="007946CE"/>
    <w:rsid w:val="00794740"/>
    <w:rsid w:val="007948B5"/>
    <w:rsid w:val="007949A6"/>
    <w:rsid w:val="007949EC"/>
    <w:rsid w:val="00794BA7"/>
    <w:rsid w:val="00794F8E"/>
    <w:rsid w:val="0079525B"/>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78F"/>
    <w:rsid w:val="007A2A37"/>
    <w:rsid w:val="007A2E2A"/>
    <w:rsid w:val="007A3364"/>
    <w:rsid w:val="007A3CC4"/>
    <w:rsid w:val="007A3D28"/>
    <w:rsid w:val="007A3FE3"/>
    <w:rsid w:val="007A4074"/>
    <w:rsid w:val="007A41F4"/>
    <w:rsid w:val="007A44F7"/>
    <w:rsid w:val="007A476B"/>
    <w:rsid w:val="007A47DF"/>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8E6"/>
    <w:rsid w:val="007B2E7A"/>
    <w:rsid w:val="007B2FDF"/>
    <w:rsid w:val="007B30EA"/>
    <w:rsid w:val="007B33D2"/>
    <w:rsid w:val="007B354B"/>
    <w:rsid w:val="007B3A11"/>
    <w:rsid w:val="007B3A86"/>
    <w:rsid w:val="007B3DE7"/>
    <w:rsid w:val="007B4246"/>
    <w:rsid w:val="007B43A1"/>
    <w:rsid w:val="007B4499"/>
    <w:rsid w:val="007B473D"/>
    <w:rsid w:val="007B4BFD"/>
    <w:rsid w:val="007B5366"/>
    <w:rsid w:val="007B5419"/>
    <w:rsid w:val="007B544B"/>
    <w:rsid w:val="007B55D0"/>
    <w:rsid w:val="007B57AA"/>
    <w:rsid w:val="007B58B3"/>
    <w:rsid w:val="007B5B06"/>
    <w:rsid w:val="007B5C71"/>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B4B"/>
    <w:rsid w:val="007C0F4F"/>
    <w:rsid w:val="007C1743"/>
    <w:rsid w:val="007C1AA2"/>
    <w:rsid w:val="007C1F3A"/>
    <w:rsid w:val="007C2114"/>
    <w:rsid w:val="007C231D"/>
    <w:rsid w:val="007C23AE"/>
    <w:rsid w:val="007C261E"/>
    <w:rsid w:val="007C2806"/>
    <w:rsid w:val="007C2AEF"/>
    <w:rsid w:val="007C2BFA"/>
    <w:rsid w:val="007C2DEB"/>
    <w:rsid w:val="007C34BA"/>
    <w:rsid w:val="007C3946"/>
    <w:rsid w:val="007C3A53"/>
    <w:rsid w:val="007C3A83"/>
    <w:rsid w:val="007C3C2C"/>
    <w:rsid w:val="007C3D3F"/>
    <w:rsid w:val="007C4201"/>
    <w:rsid w:val="007C463C"/>
    <w:rsid w:val="007C46BA"/>
    <w:rsid w:val="007C4ABD"/>
    <w:rsid w:val="007C4B44"/>
    <w:rsid w:val="007C5273"/>
    <w:rsid w:val="007C59EB"/>
    <w:rsid w:val="007C5A14"/>
    <w:rsid w:val="007C5C83"/>
    <w:rsid w:val="007C5D8A"/>
    <w:rsid w:val="007C5DE6"/>
    <w:rsid w:val="007C6321"/>
    <w:rsid w:val="007C662A"/>
    <w:rsid w:val="007C66AF"/>
    <w:rsid w:val="007C6958"/>
    <w:rsid w:val="007C6A21"/>
    <w:rsid w:val="007C6AAA"/>
    <w:rsid w:val="007C6B19"/>
    <w:rsid w:val="007C708A"/>
    <w:rsid w:val="007C70D1"/>
    <w:rsid w:val="007C7680"/>
    <w:rsid w:val="007C7B0E"/>
    <w:rsid w:val="007C7D92"/>
    <w:rsid w:val="007D00FA"/>
    <w:rsid w:val="007D014E"/>
    <w:rsid w:val="007D022D"/>
    <w:rsid w:val="007D0527"/>
    <w:rsid w:val="007D0846"/>
    <w:rsid w:val="007D0953"/>
    <w:rsid w:val="007D0C47"/>
    <w:rsid w:val="007D0D50"/>
    <w:rsid w:val="007D0DD4"/>
    <w:rsid w:val="007D0EF7"/>
    <w:rsid w:val="007D16FF"/>
    <w:rsid w:val="007D1A42"/>
    <w:rsid w:val="007D1A5A"/>
    <w:rsid w:val="007D1AFC"/>
    <w:rsid w:val="007D1D64"/>
    <w:rsid w:val="007D1DCE"/>
    <w:rsid w:val="007D1DE9"/>
    <w:rsid w:val="007D221D"/>
    <w:rsid w:val="007D269C"/>
    <w:rsid w:val="007D26D0"/>
    <w:rsid w:val="007D2B58"/>
    <w:rsid w:val="007D2B94"/>
    <w:rsid w:val="007D2CAF"/>
    <w:rsid w:val="007D31A0"/>
    <w:rsid w:val="007D34B9"/>
    <w:rsid w:val="007D35B2"/>
    <w:rsid w:val="007D3AEC"/>
    <w:rsid w:val="007D3FD8"/>
    <w:rsid w:val="007D4BCE"/>
    <w:rsid w:val="007D4DC3"/>
    <w:rsid w:val="007D50FE"/>
    <w:rsid w:val="007D5181"/>
    <w:rsid w:val="007D5317"/>
    <w:rsid w:val="007D5450"/>
    <w:rsid w:val="007D573B"/>
    <w:rsid w:val="007D57F6"/>
    <w:rsid w:val="007D5967"/>
    <w:rsid w:val="007D5E26"/>
    <w:rsid w:val="007D5F56"/>
    <w:rsid w:val="007D602B"/>
    <w:rsid w:val="007D60F7"/>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4E7"/>
    <w:rsid w:val="007E2590"/>
    <w:rsid w:val="007E2756"/>
    <w:rsid w:val="007E2770"/>
    <w:rsid w:val="007E288F"/>
    <w:rsid w:val="007E2A73"/>
    <w:rsid w:val="007E2E46"/>
    <w:rsid w:val="007E2F5A"/>
    <w:rsid w:val="007E320E"/>
    <w:rsid w:val="007E340D"/>
    <w:rsid w:val="007E3484"/>
    <w:rsid w:val="007E3982"/>
    <w:rsid w:val="007E3C57"/>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0B4"/>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24"/>
    <w:rsid w:val="00814855"/>
    <w:rsid w:val="00814AC5"/>
    <w:rsid w:val="00814AF0"/>
    <w:rsid w:val="00814D42"/>
    <w:rsid w:val="00814F0E"/>
    <w:rsid w:val="00815556"/>
    <w:rsid w:val="00815A27"/>
    <w:rsid w:val="00815A5A"/>
    <w:rsid w:val="00816359"/>
    <w:rsid w:val="00816442"/>
    <w:rsid w:val="008164CF"/>
    <w:rsid w:val="0081656D"/>
    <w:rsid w:val="0081659C"/>
    <w:rsid w:val="00816884"/>
    <w:rsid w:val="00816F05"/>
    <w:rsid w:val="00817166"/>
    <w:rsid w:val="00817469"/>
    <w:rsid w:val="008174E0"/>
    <w:rsid w:val="008177C2"/>
    <w:rsid w:val="00817813"/>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EFA"/>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19"/>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B46"/>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0C"/>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79"/>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A3"/>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BE0"/>
    <w:rsid w:val="00851C82"/>
    <w:rsid w:val="00851ED1"/>
    <w:rsid w:val="00851F36"/>
    <w:rsid w:val="00852052"/>
    <w:rsid w:val="00852113"/>
    <w:rsid w:val="00852141"/>
    <w:rsid w:val="0085294E"/>
    <w:rsid w:val="00852A01"/>
    <w:rsid w:val="00852B52"/>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0FC2"/>
    <w:rsid w:val="00861272"/>
    <w:rsid w:val="00861477"/>
    <w:rsid w:val="008614CA"/>
    <w:rsid w:val="0086179E"/>
    <w:rsid w:val="00861EDF"/>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977"/>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CCC"/>
    <w:rsid w:val="00882E4B"/>
    <w:rsid w:val="00883483"/>
    <w:rsid w:val="008839E4"/>
    <w:rsid w:val="00883CA2"/>
    <w:rsid w:val="00883D38"/>
    <w:rsid w:val="00883E17"/>
    <w:rsid w:val="00884163"/>
    <w:rsid w:val="00884269"/>
    <w:rsid w:val="008842DF"/>
    <w:rsid w:val="00884346"/>
    <w:rsid w:val="00884465"/>
    <w:rsid w:val="0088477C"/>
    <w:rsid w:val="0088484D"/>
    <w:rsid w:val="00884CE8"/>
    <w:rsid w:val="00884EF2"/>
    <w:rsid w:val="008852AB"/>
    <w:rsid w:val="0088545A"/>
    <w:rsid w:val="00885671"/>
    <w:rsid w:val="008856B9"/>
    <w:rsid w:val="00885BF6"/>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0D07"/>
    <w:rsid w:val="008A1609"/>
    <w:rsid w:val="008A17CA"/>
    <w:rsid w:val="008A1BAA"/>
    <w:rsid w:val="008A1BC1"/>
    <w:rsid w:val="008A1E72"/>
    <w:rsid w:val="008A2413"/>
    <w:rsid w:val="008A25A6"/>
    <w:rsid w:val="008A26D9"/>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A7A0E"/>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3F93"/>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27C"/>
    <w:rsid w:val="008C65CC"/>
    <w:rsid w:val="008C6796"/>
    <w:rsid w:val="008C6D97"/>
    <w:rsid w:val="008C6FA4"/>
    <w:rsid w:val="008C7015"/>
    <w:rsid w:val="008C7160"/>
    <w:rsid w:val="008C73AC"/>
    <w:rsid w:val="008C7674"/>
    <w:rsid w:val="008C770D"/>
    <w:rsid w:val="008C781A"/>
    <w:rsid w:val="008C7953"/>
    <w:rsid w:val="008C79B9"/>
    <w:rsid w:val="008C7AA1"/>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CB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B74"/>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D75"/>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69"/>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5FEB"/>
    <w:rsid w:val="008F68DC"/>
    <w:rsid w:val="008F6AFF"/>
    <w:rsid w:val="008F7036"/>
    <w:rsid w:val="008F71E8"/>
    <w:rsid w:val="008F725B"/>
    <w:rsid w:val="008F726F"/>
    <w:rsid w:val="008F7C31"/>
    <w:rsid w:val="008F7CB3"/>
    <w:rsid w:val="008F7EA1"/>
    <w:rsid w:val="00900429"/>
    <w:rsid w:val="0090044B"/>
    <w:rsid w:val="009005A2"/>
    <w:rsid w:val="00900C94"/>
    <w:rsid w:val="0090109C"/>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2BB"/>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83"/>
    <w:rsid w:val="00914DC0"/>
    <w:rsid w:val="00914F65"/>
    <w:rsid w:val="0091541B"/>
    <w:rsid w:val="009154B0"/>
    <w:rsid w:val="009157B2"/>
    <w:rsid w:val="00915A63"/>
    <w:rsid w:val="00915EF3"/>
    <w:rsid w:val="00915FC6"/>
    <w:rsid w:val="009168D4"/>
    <w:rsid w:val="009169D9"/>
    <w:rsid w:val="00916CF7"/>
    <w:rsid w:val="00916EB2"/>
    <w:rsid w:val="00917175"/>
    <w:rsid w:val="0091762D"/>
    <w:rsid w:val="009177D8"/>
    <w:rsid w:val="00917A4F"/>
    <w:rsid w:val="00917B90"/>
    <w:rsid w:val="00917F14"/>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62"/>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D0B"/>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DE7"/>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26"/>
    <w:rsid w:val="009419EE"/>
    <w:rsid w:val="00941D68"/>
    <w:rsid w:val="00941FAC"/>
    <w:rsid w:val="00942270"/>
    <w:rsid w:val="009427AB"/>
    <w:rsid w:val="009429B6"/>
    <w:rsid w:val="00942CF3"/>
    <w:rsid w:val="0094321B"/>
    <w:rsid w:val="009432C8"/>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10"/>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B45"/>
    <w:rsid w:val="00953CF4"/>
    <w:rsid w:val="00953F73"/>
    <w:rsid w:val="00953FA1"/>
    <w:rsid w:val="009541AC"/>
    <w:rsid w:val="00954263"/>
    <w:rsid w:val="00954286"/>
    <w:rsid w:val="009542A8"/>
    <w:rsid w:val="00954501"/>
    <w:rsid w:val="00954892"/>
    <w:rsid w:val="009549F9"/>
    <w:rsid w:val="00954ADB"/>
    <w:rsid w:val="00954BF0"/>
    <w:rsid w:val="00954E68"/>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0C8"/>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105"/>
    <w:rsid w:val="00972316"/>
    <w:rsid w:val="0097242F"/>
    <w:rsid w:val="00972E0C"/>
    <w:rsid w:val="00972F5B"/>
    <w:rsid w:val="009733B4"/>
    <w:rsid w:val="009733D4"/>
    <w:rsid w:val="009734B2"/>
    <w:rsid w:val="00973604"/>
    <w:rsid w:val="00973607"/>
    <w:rsid w:val="009739F4"/>
    <w:rsid w:val="00973BDF"/>
    <w:rsid w:val="00973E65"/>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68"/>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D5"/>
    <w:rsid w:val="00993DF8"/>
    <w:rsid w:val="0099414F"/>
    <w:rsid w:val="00994284"/>
    <w:rsid w:val="009945D8"/>
    <w:rsid w:val="0099470F"/>
    <w:rsid w:val="00994959"/>
    <w:rsid w:val="00994B76"/>
    <w:rsid w:val="00994CA4"/>
    <w:rsid w:val="00995104"/>
    <w:rsid w:val="00995135"/>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52"/>
    <w:rsid w:val="009B018C"/>
    <w:rsid w:val="009B094D"/>
    <w:rsid w:val="009B09D9"/>
    <w:rsid w:val="009B0A3C"/>
    <w:rsid w:val="009B0CA1"/>
    <w:rsid w:val="009B0EB6"/>
    <w:rsid w:val="009B0F4B"/>
    <w:rsid w:val="009B106D"/>
    <w:rsid w:val="009B1547"/>
    <w:rsid w:val="009B1561"/>
    <w:rsid w:val="009B15F1"/>
    <w:rsid w:val="009B172E"/>
    <w:rsid w:val="009B1742"/>
    <w:rsid w:val="009B1BCA"/>
    <w:rsid w:val="009B1CD1"/>
    <w:rsid w:val="009B1E2D"/>
    <w:rsid w:val="009B296B"/>
    <w:rsid w:val="009B2B38"/>
    <w:rsid w:val="009B2CAE"/>
    <w:rsid w:val="009B33C7"/>
    <w:rsid w:val="009B3476"/>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2F92"/>
    <w:rsid w:val="009C3222"/>
    <w:rsid w:val="009C33D9"/>
    <w:rsid w:val="009C34D0"/>
    <w:rsid w:val="009C3526"/>
    <w:rsid w:val="009C3623"/>
    <w:rsid w:val="009C3A20"/>
    <w:rsid w:val="009C3CD6"/>
    <w:rsid w:val="009C3E2F"/>
    <w:rsid w:val="009C3E87"/>
    <w:rsid w:val="009C40AA"/>
    <w:rsid w:val="009C40EF"/>
    <w:rsid w:val="009C4677"/>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16A"/>
    <w:rsid w:val="009F2269"/>
    <w:rsid w:val="009F27B5"/>
    <w:rsid w:val="009F28B5"/>
    <w:rsid w:val="009F2CA0"/>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79E"/>
    <w:rsid w:val="009F5828"/>
    <w:rsid w:val="009F5927"/>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50B"/>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255"/>
    <w:rsid w:val="00A243EF"/>
    <w:rsid w:val="00A24401"/>
    <w:rsid w:val="00A244A8"/>
    <w:rsid w:val="00A24CB3"/>
    <w:rsid w:val="00A253A6"/>
    <w:rsid w:val="00A25A78"/>
    <w:rsid w:val="00A25ACB"/>
    <w:rsid w:val="00A25B9E"/>
    <w:rsid w:val="00A2642F"/>
    <w:rsid w:val="00A26A77"/>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3EA7"/>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5D5E"/>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41"/>
    <w:rsid w:val="00A42B71"/>
    <w:rsid w:val="00A42B99"/>
    <w:rsid w:val="00A43042"/>
    <w:rsid w:val="00A4317B"/>
    <w:rsid w:val="00A432B1"/>
    <w:rsid w:val="00A4353D"/>
    <w:rsid w:val="00A437B3"/>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0DA3"/>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11"/>
    <w:rsid w:val="00A55722"/>
    <w:rsid w:val="00A55779"/>
    <w:rsid w:val="00A55A7B"/>
    <w:rsid w:val="00A55ECB"/>
    <w:rsid w:val="00A55FD9"/>
    <w:rsid w:val="00A5668D"/>
    <w:rsid w:val="00A56978"/>
    <w:rsid w:val="00A56B05"/>
    <w:rsid w:val="00A56B33"/>
    <w:rsid w:val="00A57103"/>
    <w:rsid w:val="00A5715D"/>
    <w:rsid w:val="00A57162"/>
    <w:rsid w:val="00A571C1"/>
    <w:rsid w:val="00A57935"/>
    <w:rsid w:val="00A57B78"/>
    <w:rsid w:val="00A57CF9"/>
    <w:rsid w:val="00A602AD"/>
    <w:rsid w:val="00A6055F"/>
    <w:rsid w:val="00A60708"/>
    <w:rsid w:val="00A609B9"/>
    <w:rsid w:val="00A60BFE"/>
    <w:rsid w:val="00A60DF7"/>
    <w:rsid w:val="00A60EEA"/>
    <w:rsid w:val="00A612B7"/>
    <w:rsid w:val="00A61D48"/>
    <w:rsid w:val="00A61F23"/>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6E60"/>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8DB"/>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11"/>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A7E4B"/>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C4C"/>
    <w:rsid w:val="00AB1D8F"/>
    <w:rsid w:val="00AB1DC2"/>
    <w:rsid w:val="00AB1EF6"/>
    <w:rsid w:val="00AB221A"/>
    <w:rsid w:val="00AB2456"/>
    <w:rsid w:val="00AB2569"/>
    <w:rsid w:val="00AB261F"/>
    <w:rsid w:val="00AB289F"/>
    <w:rsid w:val="00AB2DC1"/>
    <w:rsid w:val="00AB2DEB"/>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458"/>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742"/>
    <w:rsid w:val="00AC49CF"/>
    <w:rsid w:val="00AC4A47"/>
    <w:rsid w:val="00AC4B2B"/>
    <w:rsid w:val="00AC527B"/>
    <w:rsid w:val="00AC53F6"/>
    <w:rsid w:val="00AC542C"/>
    <w:rsid w:val="00AC59A7"/>
    <w:rsid w:val="00AC5B6C"/>
    <w:rsid w:val="00AC5BE8"/>
    <w:rsid w:val="00AC5C06"/>
    <w:rsid w:val="00AC5EFE"/>
    <w:rsid w:val="00AC6211"/>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72D"/>
    <w:rsid w:val="00AD1A5D"/>
    <w:rsid w:val="00AD1AC1"/>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4F17"/>
    <w:rsid w:val="00AD500B"/>
    <w:rsid w:val="00AD51AB"/>
    <w:rsid w:val="00AD5205"/>
    <w:rsid w:val="00AD5708"/>
    <w:rsid w:val="00AD5852"/>
    <w:rsid w:val="00AD598B"/>
    <w:rsid w:val="00AD5E0C"/>
    <w:rsid w:val="00AD6123"/>
    <w:rsid w:val="00AD6845"/>
    <w:rsid w:val="00AD68C1"/>
    <w:rsid w:val="00AD68D4"/>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B88"/>
    <w:rsid w:val="00AE2EA0"/>
    <w:rsid w:val="00AE368F"/>
    <w:rsid w:val="00AE386E"/>
    <w:rsid w:val="00AE41B1"/>
    <w:rsid w:val="00AE4240"/>
    <w:rsid w:val="00AE43E9"/>
    <w:rsid w:val="00AE45D5"/>
    <w:rsid w:val="00AE46C8"/>
    <w:rsid w:val="00AE4955"/>
    <w:rsid w:val="00AE4C04"/>
    <w:rsid w:val="00AE4D76"/>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A08"/>
    <w:rsid w:val="00AF4F9C"/>
    <w:rsid w:val="00AF52BC"/>
    <w:rsid w:val="00AF5337"/>
    <w:rsid w:val="00AF540E"/>
    <w:rsid w:val="00AF57F7"/>
    <w:rsid w:val="00AF5C5D"/>
    <w:rsid w:val="00AF618C"/>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A9E"/>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6F1"/>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A50"/>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420"/>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02C"/>
    <w:rsid w:val="00B352C0"/>
    <w:rsid w:val="00B3533D"/>
    <w:rsid w:val="00B35523"/>
    <w:rsid w:val="00B35BF4"/>
    <w:rsid w:val="00B35E70"/>
    <w:rsid w:val="00B35FA5"/>
    <w:rsid w:val="00B3614B"/>
    <w:rsid w:val="00B36262"/>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A05"/>
    <w:rsid w:val="00B40CD0"/>
    <w:rsid w:val="00B40E39"/>
    <w:rsid w:val="00B4135A"/>
    <w:rsid w:val="00B4141A"/>
    <w:rsid w:val="00B41471"/>
    <w:rsid w:val="00B414BD"/>
    <w:rsid w:val="00B4159C"/>
    <w:rsid w:val="00B41749"/>
    <w:rsid w:val="00B417DF"/>
    <w:rsid w:val="00B417F0"/>
    <w:rsid w:val="00B4197F"/>
    <w:rsid w:val="00B419BA"/>
    <w:rsid w:val="00B41AD3"/>
    <w:rsid w:val="00B42146"/>
    <w:rsid w:val="00B42270"/>
    <w:rsid w:val="00B426F8"/>
    <w:rsid w:val="00B42D23"/>
    <w:rsid w:val="00B42FC1"/>
    <w:rsid w:val="00B432AA"/>
    <w:rsid w:val="00B4361C"/>
    <w:rsid w:val="00B4387A"/>
    <w:rsid w:val="00B43A66"/>
    <w:rsid w:val="00B43B10"/>
    <w:rsid w:val="00B43B2A"/>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89B"/>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D4D"/>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1F4"/>
    <w:rsid w:val="00B546E2"/>
    <w:rsid w:val="00B5548E"/>
    <w:rsid w:val="00B55AC6"/>
    <w:rsid w:val="00B55D56"/>
    <w:rsid w:val="00B55F9E"/>
    <w:rsid w:val="00B55FBA"/>
    <w:rsid w:val="00B560F0"/>
    <w:rsid w:val="00B56134"/>
    <w:rsid w:val="00B566BA"/>
    <w:rsid w:val="00B569A4"/>
    <w:rsid w:val="00B569B8"/>
    <w:rsid w:val="00B570F1"/>
    <w:rsid w:val="00B57266"/>
    <w:rsid w:val="00B57DC9"/>
    <w:rsid w:val="00B57E2F"/>
    <w:rsid w:val="00B60670"/>
    <w:rsid w:val="00B60950"/>
    <w:rsid w:val="00B609BB"/>
    <w:rsid w:val="00B60D86"/>
    <w:rsid w:val="00B60DEB"/>
    <w:rsid w:val="00B6114D"/>
    <w:rsid w:val="00B612DE"/>
    <w:rsid w:val="00B6132E"/>
    <w:rsid w:val="00B613EC"/>
    <w:rsid w:val="00B615D3"/>
    <w:rsid w:val="00B61650"/>
    <w:rsid w:val="00B61D1A"/>
    <w:rsid w:val="00B61D8C"/>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129"/>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2C1"/>
    <w:rsid w:val="00B7439A"/>
    <w:rsid w:val="00B74454"/>
    <w:rsid w:val="00B7465C"/>
    <w:rsid w:val="00B748CC"/>
    <w:rsid w:val="00B74A97"/>
    <w:rsid w:val="00B74B49"/>
    <w:rsid w:val="00B74B4A"/>
    <w:rsid w:val="00B74B7D"/>
    <w:rsid w:val="00B74FAA"/>
    <w:rsid w:val="00B75285"/>
    <w:rsid w:val="00B752C0"/>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6F8F"/>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15D"/>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05D"/>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C1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1AE"/>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52"/>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9D0"/>
    <w:rsid w:val="00BC3EE5"/>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51F"/>
    <w:rsid w:val="00BC76EA"/>
    <w:rsid w:val="00BC79A6"/>
    <w:rsid w:val="00BC79B3"/>
    <w:rsid w:val="00BC7C7C"/>
    <w:rsid w:val="00BD0322"/>
    <w:rsid w:val="00BD05D8"/>
    <w:rsid w:val="00BD06E7"/>
    <w:rsid w:val="00BD085D"/>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588A"/>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041"/>
    <w:rsid w:val="00BF132A"/>
    <w:rsid w:val="00BF16CF"/>
    <w:rsid w:val="00BF180D"/>
    <w:rsid w:val="00BF198A"/>
    <w:rsid w:val="00BF19BB"/>
    <w:rsid w:val="00BF1AF8"/>
    <w:rsid w:val="00BF24D5"/>
    <w:rsid w:val="00BF2509"/>
    <w:rsid w:val="00BF2632"/>
    <w:rsid w:val="00BF27F2"/>
    <w:rsid w:val="00BF2B0D"/>
    <w:rsid w:val="00BF2C55"/>
    <w:rsid w:val="00BF2CD2"/>
    <w:rsid w:val="00BF2FB9"/>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18E"/>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318"/>
    <w:rsid w:val="00C1249E"/>
    <w:rsid w:val="00C124C9"/>
    <w:rsid w:val="00C12554"/>
    <w:rsid w:val="00C1256A"/>
    <w:rsid w:val="00C127B6"/>
    <w:rsid w:val="00C12A64"/>
    <w:rsid w:val="00C12DD6"/>
    <w:rsid w:val="00C138AF"/>
    <w:rsid w:val="00C13C42"/>
    <w:rsid w:val="00C14596"/>
    <w:rsid w:val="00C14C63"/>
    <w:rsid w:val="00C14F48"/>
    <w:rsid w:val="00C151E3"/>
    <w:rsid w:val="00C15221"/>
    <w:rsid w:val="00C152E3"/>
    <w:rsid w:val="00C154CD"/>
    <w:rsid w:val="00C15507"/>
    <w:rsid w:val="00C15671"/>
    <w:rsid w:val="00C158D3"/>
    <w:rsid w:val="00C158DA"/>
    <w:rsid w:val="00C160CD"/>
    <w:rsid w:val="00C163DE"/>
    <w:rsid w:val="00C165B2"/>
    <w:rsid w:val="00C16703"/>
    <w:rsid w:val="00C1687F"/>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5F6A"/>
    <w:rsid w:val="00C26040"/>
    <w:rsid w:val="00C267C6"/>
    <w:rsid w:val="00C26CC7"/>
    <w:rsid w:val="00C27030"/>
    <w:rsid w:val="00C271E2"/>
    <w:rsid w:val="00C2739D"/>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5FE"/>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9D9"/>
    <w:rsid w:val="00C36B06"/>
    <w:rsid w:val="00C36C89"/>
    <w:rsid w:val="00C36FA9"/>
    <w:rsid w:val="00C3708F"/>
    <w:rsid w:val="00C3728B"/>
    <w:rsid w:val="00C373CB"/>
    <w:rsid w:val="00C3755E"/>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739"/>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F8C"/>
    <w:rsid w:val="00C472B8"/>
    <w:rsid w:val="00C472DF"/>
    <w:rsid w:val="00C4730A"/>
    <w:rsid w:val="00C4751E"/>
    <w:rsid w:val="00C4751F"/>
    <w:rsid w:val="00C47594"/>
    <w:rsid w:val="00C47831"/>
    <w:rsid w:val="00C47A2C"/>
    <w:rsid w:val="00C47AA1"/>
    <w:rsid w:val="00C47C2D"/>
    <w:rsid w:val="00C47FEF"/>
    <w:rsid w:val="00C50242"/>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4E03"/>
    <w:rsid w:val="00C55124"/>
    <w:rsid w:val="00C552C8"/>
    <w:rsid w:val="00C5537A"/>
    <w:rsid w:val="00C55395"/>
    <w:rsid w:val="00C55402"/>
    <w:rsid w:val="00C5552B"/>
    <w:rsid w:val="00C5579F"/>
    <w:rsid w:val="00C5599F"/>
    <w:rsid w:val="00C55A42"/>
    <w:rsid w:val="00C55BED"/>
    <w:rsid w:val="00C55BF7"/>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D92"/>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DD3"/>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189"/>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5EA"/>
    <w:rsid w:val="00C83613"/>
    <w:rsid w:val="00C83958"/>
    <w:rsid w:val="00C83F9A"/>
    <w:rsid w:val="00C84324"/>
    <w:rsid w:val="00C8434D"/>
    <w:rsid w:val="00C84898"/>
    <w:rsid w:val="00C848A0"/>
    <w:rsid w:val="00C84A98"/>
    <w:rsid w:val="00C84AE5"/>
    <w:rsid w:val="00C84D61"/>
    <w:rsid w:val="00C850F8"/>
    <w:rsid w:val="00C85145"/>
    <w:rsid w:val="00C85343"/>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001"/>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4E"/>
    <w:rsid w:val="00C93579"/>
    <w:rsid w:val="00C937E9"/>
    <w:rsid w:val="00C93849"/>
    <w:rsid w:val="00C93A91"/>
    <w:rsid w:val="00C93C21"/>
    <w:rsid w:val="00C93CB0"/>
    <w:rsid w:val="00C941E2"/>
    <w:rsid w:val="00C942CD"/>
    <w:rsid w:val="00C945E1"/>
    <w:rsid w:val="00C95083"/>
    <w:rsid w:val="00C953CB"/>
    <w:rsid w:val="00C95639"/>
    <w:rsid w:val="00C9566D"/>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483"/>
    <w:rsid w:val="00CA14FC"/>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E78"/>
    <w:rsid w:val="00CB0F1F"/>
    <w:rsid w:val="00CB0F7E"/>
    <w:rsid w:val="00CB102A"/>
    <w:rsid w:val="00CB1792"/>
    <w:rsid w:val="00CB184E"/>
    <w:rsid w:val="00CB202F"/>
    <w:rsid w:val="00CB2114"/>
    <w:rsid w:val="00CB224B"/>
    <w:rsid w:val="00CB23F7"/>
    <w:rsid w:val="00CB257A"/>
    <w:rsid w:val="00CB2643"/>
    <w:rsid w:val="00CB2775"/>
    <w:rsid w:val="00CB2D33"/>
    <w:rsid w:val="00CB2EB3"/>
    <w:rsid w:val="00CB31D2"/>
    <w:rsid w:val="00CB346D"/>
    <w:rsid w:val="00CB34E4"/>
    <w:rsid w:val="00CB3621"/>
    <w:rsid w:val="00CB373A"/>
    <w:rsid w:val="00CB38DE"/>
    <w:rsid w:val="00CB3AF7"/>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72A"/>
    <w:rsid w:val="00CC7832"/>
    <w:rsid w:val="00CC783C"/>
    <w:rsid w:val="00CC7E1E"/>
    <w:rsid w:val="00CC7E5C"/>
    <w:rsid w:val="00CC7FD7"/>
    <w:rsid w:val="00CD0113"/>
    <w:rsid w:val="00CD0127"/>
    <w:rsid w:val="00CD028A"/>
    <w:rsid w:val="00CD03D1"/>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5B8"/>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4FB9"/>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7CC"/>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4D2"/>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A78"/>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28"/>
    <w:rsid w:val="00D05038"/>
    <w:rsid w:val="00D050ED"/>
    <w:rsid w:val="00D05236"/>
    <w:rsid w:val="00D05591"/>
    <w:rsid w:val="00D055A2"/>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3E"/>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1EC"/>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B84"/>
    <w:rsid w:val="00D42D74"/>
    <w:rsid w:val="00D42FF7"/>
    <w:rsid w:val="00D43376"/>
    <w:rsid w:val="00D43385"/>
    <w:rsid w:val="00D4340D"/>
    <w:rsid w:val="00D435F9"/>
    <w:rsid w:val="00D43693"/>
    <w:rsid w:val="00D43856"/>
    <w:rsid w:val="00D438FB"/>
    <w:rsid w:val="00D43EFA"/>
    <w:rsid w:val="00D44230"/>
    <w:rsid w:val="00D442C7"/>
    <w:rsid w:val="00D446BC"/>
    <w:rsid w:val="00D44AAE"/>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405"/>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48"/>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92"/>
    <w:rsid w:val="00D818DD"/>
    <w:rsid w:val="00D81DF1"/>
    <w:rsid w:val="00D820EF"/>
    <w:rsid w:val="00D8231D"/>
    <w:rsid w:val="00D82569"/>
    <w:rsid w:val="00D825DD"/>
    <w:rsid w:val="00D82658"/>
    <w:rsid w:val="00D8297C"/>
    <w:rsid w:val="00D82A80"/>
    <w:rsid w:val="00D82C9C"/>
    <w:rsid w:val="00D831DD"/>
    <w:rsid w:val="00D832A1"/>
    <w:rsid w:val="00D832D6"/>
    <w:rsid w:val="00D83420"/>
    <w:rsid w:val="00D83753"/>
    <w:rsid w:val="00D83BC6"/>
    <w:rsid w:val="00D84463"/>
    <w:rsid w:val="00D8455B"/>
    <w:rsid w:val="00D845B3"/>
    <w:rsid w:val="00D84616"/>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AD7"/>
    <w:rsid w:val="00D87EAA"/>
    <w:rsid w:val="00D900EF"/>
    <w:rsid w:val="00D90555"/>
    <w:rsid w:val="00D907B3"/>
    <w:rsid w:val="00D9089A"/>
    <w:rsid w:val="00D90932"/>
    <w:rsid w:val="00D90C91"/>
    <w:rsid w:val="00D90CD2"/>
    <w:rsid w:val="00D912E6"/>
    <w:rsid w:val="00D913F5"/>
    <w:rsid w:val="00D919C8"/>
    <w:rsid w:val="00D91D74"/>
    <w:rsid w:val="00D91E52"/>
    <w:rsid w:val="00D91E68"/>
    <w:rsid w:val="00D91F15"/>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356"/>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AD"/>
    <w:rsid w:val="00DA49CA"/>
    <w:rsid w:val="00DA49CF"/>
    <w:rsid w:val="00DA5281"/>
    <w:rsid w:val="00DA5446"/>
    <w:rsid w:val="00DA5BEF"/>
    <w:rsid w:val="00DA5E4B"/>
    <w:rsid w:val="00DA6189"/>
    <w:rsid w:val="00DA671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686"/>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17"/>
    <w:rsid w:val="00DD70F4"/>
    <w:rsid w:val="00DD786C"/>
    <w:rsid w:val="00DE0556"/>
    <w:rsid w:val="00DE074F"/>
    <w:rsid w:val="00DE0B91"/>
    <w:rsid w:val="00DE0C3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4EE"/>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24"/>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016"/>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0A9"/>
    <w:rsid w:val="00E0712A"/>
    <w:rsid w:val="00E07179"/>
    <w:rsid w:val="00E071ED"/>
    <w:rsid w:val="00E07511"/>
    <w:rsid w:val="00E07955"/>
    <w:rsid w:val="00E07B62"/>
    <w:rsid w:val="00E07CF1"/>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AC5"/>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171"/>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29E"/>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6A4"/>
    <w:rsid w:val="00E36D4D"/>
    <w:rsid w:val="00E36EE5"/>
    <w:rsid w:val="00E36FD9"/>
    <w:rsid w:val="00E3769A"/>
    <w:rsid w:val="00E378C4"/>
    <w:rsid w:val="00E378EC"/>
    <w:rsid w:val="00E379F2"/>
    <w:rsid w:val="00E37B9B"/>
    <w:rsid w:val="00E37BA8"/>
    <w:rsid w:val="00E37F75"/>
    <w:rsid w:val="00E37FD7"/>
    <w:rsid w:val="00E4019B"/>
    <w:rsid w:val="00E403A8"/>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BA"/>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70F"/>
    <w:rsid w:val="00E519CC"/>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BD4"/>
    <w:rsid w:val="00E57C9F"/>
    <w:rsid w:val="00E57CA4"/>
    <w:rsid w:val="00E57CB5"/>
    <w:rsid w:val="00E57EEF"/>
    <w:rsid w:val="00E60523"/>
    <w:rsid w:val="00E60648"/>
    <w:rsid w:val="00E608B4"/>
    <w:rsid w:val="00E608D3"/>
    <w:rsid w:val="00E60C56"/>
    <w:rsid w:val="00E60FA3"/>
    <w:rsid w:val="00E610FD"/>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AC6"/>
    <w:rsid w:val="00E66F28"/>
    <w:rsid w:val="00E671A6"/>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28"/>
    <w:rsid w:val="00E7124E"/>
    <w:rsid w:val="00E713B3"/>
    <w:rsid w:val="00E71504"/>
    <w:rsid w:val="00E71567"/>
    <w:rsid w:val="00E716F6"/>
    <w:rsid w:val="00E71914"/>
    <w:rsid w:val="00E71A2A"/>
    <w:rsid w:val="00E71A57"/>
    <w:rsid w:val="00E71ACB"/>
    <w:rsid w:val="00E71AFB"/>
    <w:rsid w:val="00E71CB7"/>
    <w:rsid w:val="00E71DA5"/>
    <w:rsid w:val="00E71F4E"/>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29F"/>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91E"/>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6E7"/>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A48"/>
    <w:rsid w:val="00EA1B8C"/>
    <w:rsid w:val="00EA2194"/>
    <w:rsid w:val="00EA2267"/>
    <w:rsid w:val="00EA2441"/>
    <w:rsid w:val="00EA2741"/>
    <w:rsid w:val="00EA2903"/>
    <w:rsid w:val="00EA298F"/>
    <w:rsid w:val="00EA2B7A"/>
    <w:rsid w:val="00EA2F75"/>
    <w:rsid w:val="00EA3018"/>
    <w:rsid w:val="00EA3324"/>
    <w:rsid w:val="00EA33A6"/>
    <w:rsid w:val="00EA353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5B76"/>
    <w:rsid w:val="00EC5C76"/>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180"/>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2C2"/>
    <w:rsid w:val="00EE161B"/>
    <w:rsid w:val="00EE1622"/>
    <w:rsid w:val="00EE1951"/>
    <w:rsid w:val="00EE19EE"/>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05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0DFD"/>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7A4"/>
    <w:rsid w:val="00F109AA"/>
    <w:rsid w:val="00F110EE"/>
    <w:rsid w:val="00F11159"/>
    <w:rsid w:val="00F11195"/>
    <w:rsid w:val="00F11230"/>
    <w:rsid w:val="00F117BF"/>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6B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EFC"/>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CEE"/>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981"/>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03"/>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68A"/>
    <w:rsid w:val="00F54A3F"/>
    <w:rsid w:val="00F54B3B"/>
    <w:rsid w:val="00F54DDD"/>
    <w:rsid w:val="00F54E47"/>
    <w:rsid w:val="00F5510A"/>
    <w:rsid w:val="00F551C8"/>
    <w:rsid w:val="00F551F5"/>
    <w:rsid w:val="00F5538A"/>
    <w:rsid w:val="00F55630"/>
    <w:rsid w:val="00F556A9"/>
    <w:rsid w:val="00F556DF"/>
    <w:rsid w:val="00F55773"/>
    <w:rsid w:val="00F55D4F"/>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271"/>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0D6"/>
    <w:rsid w:val="00F773E1"/>
    <w:rsid w:val="00F776DF"/>
    <w:rsid w:val="00F77EAA"/>
    <w:rsid w:val="00F805B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44"/>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2F5"/>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CAD"/>
    <w:rsid w:val="00F95D78"/>
    <w:rsid w:val="00F96289"/>
    <w:rsid w:val="00F9651A"/>
    <w:rsid w:val="00F96752"/>
    <w:rsid w:val="00F968F9"/>
    <w:rsid w:val="00F96A7E"/>
    <w:rsid w:val="00F96AD5"/>
    <w:rsid w:val="00F96C3F"/>
    <w:rsid w:val="00F96E2C"/>
    <w:rsid w:val="00F97088"/>
    <w:rsid w:val="00F971C4"/>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896"/>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92B"/>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59F"/>
    <w:rsid w:val="00FB27B9"/>
    <w:rsid w:val="00FB27C1"/>
    <w:rsid w:val="00FB2BAD"/>
    <w:rsid w:val="00FB3151"/>
    <w:rsid w:val="00FB36F3"/>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16F"/>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084"/>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6CC"/>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0F"/>
    <w:rsid w:val="00FF24A7"/>
    <w:rsid w:val="00FF26E3"/>
    <w:rsid w:val="00FF28C7"/>
    <w:rsid w:val="00FF2953"/>
    <w:rsid w:val="00FF2AFA"/>
    <w:rsid w:val="00FF30F1"/>
    <w:rsid w:val="00FF3130"/>
    <w:rsid w:val="00FF313B"/>
    <w:rsid w:val="00FF3150"/>
    <w:rsid w:val="00FF31F7"/>
    <w:rsid w:val="00FF359D"/>
    <w:rsid w:val="00FF36E7"/>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22BC1DD"/>
    <w:rsid w:val="04C02CD6"/>
    <w:rsid w:val="066AE303"/>
    <w:rsid w:val="06CDF89B"/>
    <w:rsid w:val="08BC0950"/>
    <w:rsid w:val="0C5443EB"/>
    <w:rsid w:val="10429061"/>
    <w:rsid w:val="1333EE87"/>
    <w:rsid w:val="14431D2B"/>
    <w:rsid w:val="18B3F161"/>
    <w:rsid w:val="1AFF5A53"/>
    <w:rsid w:val="2040F1BA"/>
    <w:rsid w:val="2598DD4D"/>
    <w:rsid w:val="28523BF7"/>
    <w:rsid w:val="28FEE2CB"/>
    <w:rsid w:val="2D5E5232"/>
    <w:rsid w:val="329D6B14"/>
    <w:rsid w:val="37069009"/>
    <w:rsid w:val="395AAC50"/>
    <w:rsid w:val="3A5A5798"/>
    <w:rsid w:val="3B0BF77E"/>
    <w:rsid w:val="3C655289"/>
    <w:rsid w:val="419882D7"/>
    <w:rsid w:val="45A3702E"/>
    <w:rsid w:val="4A000D06"/>
    <w:rsid w:val="4BEB749C"/>
    <w:rsid w:val="4C075172"/>
    <w:rsid w:val="4CBBF2D8"/>
    <w:rsid w:val="51B0B49D"/>
    <w:rsid w:val="54305C86"/>
    <w:rsid w:val="552278C0"/>
    <w:rsid w:val="57926A12"/>
    <w:rsid w:val="5C03ACBB"/>
    <w:rsid w:val="5C628E2C"/>
    <w:rsid w:val="5EA7F48D"/>
    <w:rsid w:val="6330D0F8"/>
    <w:rsid w:val="66B1F2A2"/>
    <w:rsid w:val="66D34764"/>
    <w:rsid w:val="743F558B"/>
    <w:rsid w:val="77F40CCB"/>
    <w:rsid w:val="788AF541"/>
    <w:rsid w:val="7D0C97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47B8B4AF-4012-4E54-A76E-4E165AB0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US" w:eastAsia="en-US"/>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US" w:eastAsia="en-US"/>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rPr>
  </w:style>
  <w:style w:type="paragraph" w:customStyle="1" w:styleId="normal12hanging0">
    <w:name w:val="normal12hanging"/>
    <w:basedOn w:val="Normal"/>
    <w:rsid w:val="00E709A0"/>
    <w:pPr>
      <w:ind w:left="357" w:hanging="357"/>
      <w:jc w:val="left"/>
    </w:pPr>
    <w:rPr>
      <w:rFonts w:ascii="Times New Roman" w:hAnsi="Times New Roman"/>
      <w:szCs w:val="24"/>
    </w:rPr>
  </w:style>
  <w:style w:type="paragraph" w:customStyle="1" w:styleId="CharCharChar">
    <w:name w:val="Char Char Char"/>
    <w:basedOn w:val="Normal"/>
    <w:uiPriority w:val="99"/>
    <w:rsid w:val="0092510C"/>
    <w:pPr>
      <w:spacing w:after="160" w:line="240" w:lineRule="exact"/>
      <w:jc w:val="left"/>
    </w:pPr>
    <w:rPr>
      <w:rFonts w:ascii="Tahoma" w:hAnsi="Tahoma"/>
      <w:sz w:val="20"/>
    </w:rPr>
  </w:style>
  <w:style w:type="paragraph" w:customStyle="1" w:styleId="CharCharChar0">
    <w:name w:val="Char Char Char0"/>
    <w:basedOn w:val="Normal"/>
    <w:uiPriority w:val="99"/>
    <w:rsid w:val="0092510C"/>
    <w:pPr>
      <w:spacing w:after="160" w:line="240" w:lineRule="exact"/>
      <w:jc w:val="left"/>
    </w:pPr>
    <w:rPr>
      <w:rFonts w:ascii="Tahoma" w:hAnsi="Tahoma"/>
      <w:sz w:val="20"/>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rPr>
  </w:style>
  <w:style w:type="paragraph" w:customStyle="1" w:styleId="Char1">
    <w:name w:val="Char1"/>
    <w:basedOn w:val="Normal"/>
    <w:rsid w:val="00F47B73"/>
    <w:pPr>
      <w:spacing w:after="160" w:line="240" w:lineRule="exact"/>
      <w:jc w:val="left"/>
    </w:pPr>
    <w:rPr>
      <w:rFonts w:ascii="Tahoma" w:hAnsi="Tahoma"/>
      <w:sz w:val="20"/>
    </w:rPr>
  </w:style>
  <w:style w:type="paragraph" w:customStyle="1" w:styleId="Char">
    <w:name w:val="Char"/>
    <w:basedOn w:val="Normal"/>
    <w:rsid w:val="00124A7A"/>
    <w:pPr>
      <w:spacing w:after="160" w:line="240" w:lineRule="exact"/>
      <w:jc w:val="left"/>
    </w:pPr>
    <w:rPr>
      <w:rFonts w:ascii="Tahoma" w:hAnsi="Tahoma"/>
      <w:sz w:val="20"/>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rPr>
  </w:style>
  <w:style w:type="paragraph" w:customStyle="1" w:styleId="Car">
    <w:name w:val="Car"/>
    <w:basedOn w:val="Normal"/>
    <w:rsid w:val="00F02465"/>
    <w:pPr>
      <w:spacing w:after="160" w:line="240" w:lineRule="exact"/>
      <w:jc w:val="left"/>
    </w:pPr>
    <w:rPr>
      <w:rFonts w:ascii="Arial" w:hAnsi="Arial" w:cs="Arial"/>
      <w:sz w:val="28"/>
      <w:szCs w:val="28"/>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rPr>
  </w:style>
  <w:style w:type="paragraph" w:customStyle="1" w:styleId="Znak">
    <w:name w:val="Znak"/>
    <w:basedOn w:val="Normal"/>
    <w:rsid w:val="00A76EE9"/>
    <w:pPr>
      <w:spacing w:after="160" w:line="240" w:lineRule="exact"/>
      <w:jc w:val="left"/>
    </w:pPr>
    <w:rPr>
      <w:rFonts w:ascii="Tahoma" w:hAnsi="Tahoma"/>
      <w:sz w:val="20"/>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US"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rPr>
  </w:style>
  <w:style w:type="paragraph" w:customStyle="1" w:styleId="MediumGrid21">
    <w:name w:val="Medium Grid 21"/>
    <w:link w:val="MediumGrid2Char"/>
    <w:uiPriority w:val="1"/>
    <w:qFormat/>
    <w:rsid w:val="007C5D8A"/>
    <w:rPr>
      <w:rFonts w:ascii="Arial" w:hAnsi="Arial"/>
      <w:sz w:val="22"/>
      <w:szCs w:val="22"/>
      <w:lang w:val="en-US"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US" w:eastAsia="en-US"/>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val="en-US" w:eastAsia="en-US"/>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eastAsia="en-US"/>
    </w:rPr>
  </w:style>
  <w:style w:type="character" w:styleId="UnresolvedMention">
    <w:name w:val="Unresolved Mention"/>
    <w:uiPriority w:val="99"/>
    <w:semiHidden/>
    <w:unhideWhenUsed/>
    <w:rsid w:val="0052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7678">
      <w:bodyDiv w:val="1"/>
      <w:marLeft w:val="0"/>
      <w:marRight w:val="0"/>
      <w:marTop w:val="0"/>
      <w:marBottom w:val="0"/>
      <w:divBdr>
        <w:top w:val="none" w:sz="0" w:space="0" w:color="auto"/>
        <w:left w:val="none" w:sz="0" w:space="0" w:color="auto"/>
        <w:bottom w:val="none" w:sz="0" w:space="0" w:color="auto"/>
        <w:right w:val="none" w:sz="0" w:space="0" w:color="auto"/>
      </w:divBdr>
    </w:div>
    <w:div w:id="798186047">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33903214">
      <w:bodyDiv w:val="1"/>
      <w:marLeft w:val="0"/>
      <w:marRight w:val="0"/>
      <w:marTop w:val="0"/>
      <w:marBottom w:val="0"/>
      <w:divBdr>
        <w:top w:val="none" w:sz="0" w:space="0" w:color="auto"/>
        <w:left w:val="none" w:sz="0" w:space="0" w:color="auto"/>
        <w:bottom w:val="none" w:sz="0" w:space="0" w:color="auto"/>
        <w:right w:val="none" w:sz="0" w:space="0" w:color="auto"/>
      </w:divBdr>
    </w:div>
    <w:div w:id="1151364011">
      <w:bodyDiv w:val="1"/>
      <w:marLeft w:val="0"/>
      <w:marRight w:val="0"/>
      <w:marTop w:val="0"/>
      <w:marBottom w:val="0"/>
      <w:divBdr>
        <w:top w:val="none" w:sz="0" w:space="0" w:color="auto"/>
        <w:left w:val="none" w:sz="0" w:space="0" w:color="auto"/>
        <w:bottom w:val="none" w:sz="0" w:space="0" w:color="auto"/>
        <w:right w:val="none" w:sz="0" w:space="0" w:color="auto"/>
      </w:divBdr>
    </w:div>
    <w:div w:id="1229002665">
      <w:bodyDiv w:val="1"/>
      <w:marLeft w:val="0"/>
      <w:marRight w:val="0"/>
      <w:marTop w:val="0"/>
      <w:marBottom w:val="0"/>
      <w:divBdr>
        <w:top w:val="none" w:sz="0" w:space="0" w:color="auto"/>
        <w:left w:val="none" w:sz="0" w:space="0" w:color="auto"/>
        <w:bottom w:val="none" w:sz="0" w:space="0" w:color="auto"/>
        <w:right w:val="none" w:sz="0" w:space="0" w:color="auto"/>
      </w:divBdr>
    </w:div>
    <w:div w:id="1390038612">
      <w:bodyDiv w:val="1"/>
      <w:marLeft w:val="0"/>
      <w:marRight w:val="0"/>
      <w:marTop w:val="0"/>
      <w:marBottom w:val="0"/>
      <w:divBdr>
        <w:top w:val="none" w:sz="0" w:space="0" w:color="auto"/>
        <w:left w:val="none" w:sz="0" w:space="0" w:color="auto"/>
        <w:bottom w:val="none" w:sz="0" w:space="0" w:color="auto"/>
        <w:right w:val="none" w:sz="0" w:space="0" w:color="auto"/>
      </w:divBdr>
    </w:div>
    <w:div w:id="1468158200">
      <w:bodyDiv w:val="1"/>
      <w:marLeft w:val="0"/>
      <w:marRight w:val="0"/>
      <w:marTop w:val="0"/>
      <w:marBottom w:val="0"/>
      <w:divBdr>
        <w:top w:val="none" w:sz="0" w:space="0" w:color="auto"/>
        <w:left w:val="none" w:sz="0" w:space="0" w:color="auto"/>
        <w:bottom w:val="none" w:sz="0" w:space="0" w:color="auto"/>
        <w:right w:val="none" w:sz="0" w:space="0" w:color="auto"/>
      </w:divBdr>
    </w:div>
    <w:div w:id="1472286096">
      <w:bodyDiv w:val="1"/>
      <w:marLeft w:val="0"/>
      <w:marRight w:val="0"/>
      <w:marTop w:val="0"/>
      <w:marBottom w:val="0"/>
      <w:divBdr>
        <w:top w:val="none" w:sz="0" w:space="0" w:color="auto"/>
        <w:left w:val="none" w:sz="0" w:space="0" w:color="auto"/>
        <w:bottom w:val="none" w:sz="0" w:space="0" w:color="auto"/>
        <w:right w:val="none" w:sz="0" w:space="0" w:color="auto"/>
      </w:divBdr>
    </w:div>
    <w:div w:id="1567760836">
      <w:bodyDiv w:val="1"/>
      <w:marLeft w:val="0"/>
      <w:marRight w:val="0"/>
      <w:marTop w:val="0"/>
      <w:marBottom w:val="0"/>
      <w:divBdr>
        <w:top w:val="none" w:sz="0" w:space="0" w:color="auto"/>
        <w:left w:val="none" w:sz="0" w:space="0" w:color="auto"/>
        <w:bottom w:val="none" w:sz="0" w:space="0" w:color="auto"/>
        <w:right w:val="none" w:sz="0" w:space="0" w:color="auto"/>
      </w:divBdr>
    </w:div>
    <w:div w:id="1698459786">
      <w:bodyDiv w:val="1"/>
      <w:marLeft w:val="0"/>
      <w:marRight w:val="0"/>
      <w:marTop w:val="0"/>
      <w:marBottom w:val="0"/>
      <w:divBdr>
        <w:top w:val="none" w:sz="0" w:space="0" w:color="auto"/>
        <w:left w:val="none" w:sz="0" w:space="0" w:color="auto"/>
        <w:bottom w:val="none" w:sz="0" w:space="0" w:color="auto"/>
        <w:right w:val="none" w:sz="0" w:space="0" w:color="auto"/>
      </w:divBdr>
    </w:div>
    <w:div w:id="1845247405">
      <w:bodyDiv w:val="1"/>
      <w:marLeft w:val="0"/>
      <w:marRight w:val="0"/>
      <w:marTop w:val="0"/>
      <w:marBottom w:val="0"/>
      <w:divBdr>
        <w:top w:val="none" w:sz="0" w:space="0" w:color="auto"/>
        <w:left w:val="none" w:sz="0" w:space="0" w:color="auto"/>
        <w:bottom w:val="none" w:sz="0" w:space="0" w:color="auto"/>
        <w:right w:val="none" w:sz="0" w:space="0" w:color="auto"/>
      </w:divBdr>
    </w:div>
    <w:div w:id="21226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FDDAAFD7-5CCE-400A-A59A-5B837073F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5154A498-43A8-4475-86B8-2F7CF5F8A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4</Pages>
  <Words>2983</Words>
  <Characters>17811</Characters>
  <Application>Microsoft Office Word</Application>
  <DocSecurity>0</DocSecurity>
  <PresentationFormat>Microsoft Word 8.0b</PresentationFormat>
  <Lines>258</Lines>
  <Paragraphs>50</Paragraphs>
  <ScaleCrop>false</ScaleCrop>
  <Company>European Commission</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2017-11-23T17:27:00Z</cp:lastPrinted>
  <dcterms:created xsi:type="dcterms:W3CDTF">2026-02-10T09:21:00Z</dcterms:created>
  <dcterms:modified xsi:type="dcterms:W3CDTF">2026-02-10T09:21:00Z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