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948C3" w14:textId="77777777" w:rsidR="00630F9E" w:rsidRPr="006051A9" w:rsidRDefault="00630F9E" w:rsidP="00630F9E">
      <w:pPr>
        <w:spacing w:after="0"/>
        <w:ind w:left="720"/>
        <w:rPr>
          <w:rFonts w:ascii="Times New Roman" w:hAnsi="Times New Roman"/>
          <w:bCs/>
          <w:i/>
          <w:lang w:val="en-US"/>
        </w:rPr>
      </w:pPr>
    </w:p>
    <w:p w14:paraId="5E3836DB" w14:textId="52730043" w:rsidR="007E67FC" w:rsidRDefault="00963420" w:rsidP="007E67FC">
      <w:pPr>
        <w:spacing w:after="720"/>
        <w:jc w:val="center"/>
        <w:rPr>
          <w:rFonts w:ascii="Times New Roman" w:hAnsi="Times New Roman"/>
          <w:b/>
        </w:rPr>
      </w:pPr>
      <w:r w:rsidRPr="00C33439">
        <w:rPr>
          <w:rFonts w:ascii="Times New Roman" w:hAnsi="Times New Roman"/>
          <w:b/>
          <w:szCs w:val="24"/>
        </w:rPr>
        <w:t xml:space="preserve">Follow-up to the European Parliament non-legislative resolution </w:t>
      </w:r>
      <w:r w:rsidR="007E67FC" w:rsidRPr="007E67FC">
        <w:rPr>
          <w:rFonts w:ascii="Times New Roman" w:hAnsi="Times New Roman"/>
          <w:b/>
        </w:rPr>
        <w:t xml:space="preserve">on </w:t>
      </w:r>
      <w:r w:rsidR="00150AEE">
        <w:rPr>
          <w:rFonts w:ascii="Times New Roman" w:hAnsi="Times New Roman"/>
          <w:b/>
        </w:rPr>
        <w:t>a n</w:t>
      </w:r>
      <w:r w:rsidR="007E67FC" w:rsidRPr="007E67FC">
        <w:rPr>
          <w:rFonts w:ascii="Times New Roman" w:hAnsi="Times New Roman"/>
          <w:b/>
        </w:rPr>
        <w:t xml:space="preserve">ew </w:t>
      </w:r>
      <w:r w:rsidR="00695792">
        <w:rPr>
          <w:rFonts w:ascii="Times New Roman" w:hAnsi="Times New Roman"/>
          <w:b/>
        </w:rPr>
        <w:t>l</w:t>
      </w:r>
      <w:r w:rsidR="007E67FC" w:rsidRPr="007E67FC">
        <w:rPr>
          <w:rFonts w:ascii="Times New Roman" w:hAnsi="Times New Roman"/>
          <w:b/>
        </w:rPr>
        <w:t xml:space="preserve">egislative </w:t>
      </w:r>
      <w:r w:rsidR="00695792">
        <w:rPr>
          <w:rFonts w:ascii="Times New Roman" w:hAnsi="Times New Roman"/>
          <w:b/>
        </w:rPr>
        <w:t>f</w:t>
      </w:r>
      <w:r w:rsidR="007E67FC" w:rsidRPr="007E67FC">
        <w:rPr>
          <w:rFonts w:ascii="Times New Roman" w:hAnsi="Times New Roman"/>
          <w:b/>
        </w:rPr>
        <w:t>ramework for products that is fit for the digital and sustainable transition</w:t>
      </w:r>
    </w:p>
    <w:p w14:paraId="6D435BEC" w14:textId="24373963" w:rsidR="007E67FC" w:rsidRPr="007E67FC" w:rsidRDefault="007E67FC" w:rsidP="007E67FC">
      <w:pPr>
        <w:widowControl w:val="0"/>
        <w:numPr>
          <w:ilvl w:val="0"/>
          <w:numId w:val="37"/>
        </w:numPr>
        <w:rPr>
          <w:rFonts w:ascii="Times New Roman" w:hAnsi="Times New Roman"/>
          <w:szCs w:val="24"/>
        </w:rPr>
      </w:pPr>
      <w:r w:rsidRPr="007E67FC">
        <w:rPr>
          <w:rFonts w:ascii="Times New Roman" w:hAnsi="Times New Roman"/>
          <w:b/>
          <w:bCs/>
          <w:szCs w:val="24"/>
        </w:rPr>
        <w:t xml:space="preserve">Rapporteur: </w:t>
      </w:r>
      <w:r w:rsidRPr="007E67FC">
        <w:rPr>
          <w:rFonts w:ascii="Times New Roman" w:hAnsi="Times New Roman"/>
          <w:szCs w:val="24"/>
        </w:rPr>
        <w:t xml:space="preserve">David </w:t>
      </w:r>
      <w:r w:rsidRPr="00C86AE8">
        <w:rPr>
          <w:rFonts w:ascii="Times New Roman" w:hAnsi="Times New Roman"/>
          <w:caps/>
          <w:szCs w:val="24"/>
        </w:rPr>
        <w:t>Cormand</w:t>
      </w:r>
      <w:r w:rsidRPr="007E67FC">
        <w:rPr>
          <w:rFonts w:ascii="Times New Roman" w:hAnsi="Times New Roman"/>
          <w:szCs w:val="24"/>
        </w:rPr>
        <w:t xml:space="preserve"> (The</w:t>
      </w:r>
      <w:r w:rsidR="00DC645F">
        <w:rPr>
          <w:rFonts w:ascii="Times New Roman" w:hAnsi="Times New Roman"/>
          <w:szCs w:val="24"/>
        </w:rPr>
        <w:t xml:space="preserve"> Greens/EFA</w:t>
      </w:r>
      <w:r w:rsidRPr="007E67FC">
        <w:rPr>
          <w:rFonts w:ascii="Times New Roman" w:hAnsi="Times New Roman"/>
          <w:szCs w:val="24"/>
        </w:rPr>
        <w:t xml:space="preserve"> / F</w:t>
      </w:r>
      <w:r w:rsidR="00D27DBD">
        <w:rPr>
          <w:rFonts w:ascii="Times New Roman" w:hAnsi="Times New Roman"/>
          <w:szCs w:val="24"/>
        </w:rPr>
        <w:t>R</w:t>
      </w:r>
      <w:r w:rsidRPr="007E67FC">
        <w:rPr>
          <w:rFonts w:ascii="Times New Roman" w:hAnsi="Times New Roman"/>
          <w:szCs w:val="24"/>
        </w:rPr>
        <w:t xml:space="preserve">) </w:t>
      </w:r>
    </w:p>
    <w:p w14:paraId="4C2A703C" w14:textId="065B5320" w:rsidR="007E67FC" w:rsidRPr="00F607FF" w:rsidRDefault="007E67FC" w:rsidP="007E67FC">
      <w:pPr>
        <w:widowControl w:val="0"/>
        <w:numPr>
          <w:ilvl w:val="0"/>
          <w:numId w:val="37"/>
        </w:numPr>
        <w:rPr>
          <w:rFonts w:ascii="Times New Roman" w:hAnsi="Times New Roman"/>
          <w:b/>
          <w:szCs w:val="24"/>
          <w:lang w:val="fr-BE"/>
        </w:rPr>
      </w:pPr>
      <w:r w:rsidRPr="00F607FF">
        <w:rPr>
          <w:rFonts w:ascii="Times New Roman" w:hAnsi="Times New Roman"/>
          <w:b/>
          <w:bCs/>
          <w:szCs w:val="24"/>
          <w:lang w:val="fr-BE"/>
        </w:rPr>
        <w:t>References:</w:t>
      </w:r>
      <w:r w:rsidR="00B92464" w:rsidRPr="00F607FF">
        <w:rPr>
          <w:rFonts w:ascii="Times New Roman" w:hAnsi="Times New Roman"/>
          <w:b/>
          <w:bCs/>
          <w:szCs w:val="24"/>
          <w:lang w:val="fr-BE"/>
        </w:rPr>
        <w:t xml:space="preserve"> </w:t>
      </w:r>
      <w:r w:rsidRPr="00F607FF">
        <w:rPr>
          <w:rFonts w:ascii="Times New Roman" w:hAnsi="Times New Roman"/>
          <w:bCs/>
          <w:szCs w:val="24"/>
          <w:lang w:val="fr-BE"/>
        </w:rPr>
        <w:t>2024/2119(INI)</w:t>
      </w:r>
      <w:r w:rsidR="00F607FF" w:rsidRPr="00F607FF">
        <w:rPr>
          <w:rFonts w:ascii="Times New Roman" w:hAnsi="Times New Roman"/>
          <w:bCs/>
          <w:szCs w:val="24"/>
          <w:lang w:val="fr-BE"/>
        </w:rPr>
        <w:t xml:space="preserve"> </w:t>
      </w:r>
      <w:r w:rsidR="007E76CD" w:rsidRPr="00F607FF">
        <w:rPr>
          <w:rFonts w:ascii="Times New Roman" w:hAnsi="Times New Roman"/>
          <w:bCs/>
          <w:szCs w:val="24"/>
          <w:lang w:val="fr-BE"/>
        </w:rPr>
        <w:t>/</w:t>
      </w:r>
      <w:r w:rsidRPr="00F607FF">
        <w:rPr>
          <w:rFonts w:ascii="Times New Roman" w:hAnsi="Times New Roman"/>
          <w:bCs/>
          <w:szCs w:val="24"/>
          <w:lang w:val="fr-BE"/>
        </w:rPr>
        <w:t xml:space="preserve"> A10-0189/2025 / P10_TA(2025)0242</w:t>
      </w:r>
      <w:r w:rsidRPr="00F607FF">
        <w:rPr>
          <w:rFonts w:ascii="Times New Roman" w:hAnsi="Times New Roman"/>
          <w:b/>
          <w:szCs w:val="24"/>
          <w:lang w:val="fr-BE"/>
        </w:rPr>
        <w:t xml:space="preserve"> </w:t>
      </w:r>
    </w:p>
    <w:p w14:paraId="13207F3F" w14:textId="4D3896B8" w:rsidR="007E67FC" w:rsidRPr="007E67FC" w:rsidRDefault="007E67FC" w:rsidP="007E67FC">
      <w:pPr>
        <w:widowControl w:val="0"/>
        <w:numPr>
          <w:ilvl w:val="0"/>
          <w:numId w:val="37"/>
        </w:numPr>
        <w:rPr>
          <w:rFonts w:ascii="Times New Roman" w:hAnsi="Times New Roman"/>
          <w:b/>
          <w:szCs w:val="24"/>
        </w:rPr>
      </w:pPr>
      <w:r w:rsidRPr="007E67FC">
        <w:rPr>
          <w:rFonts w:ascii="Times New Roman" w:hAnsi="Times New Roman"/>
          <w:b/>
          <w:bCs/>
          <w:szCs w:val="24"/>
        </w:rPr>
        <w:t>Date of adoption of the resolution:</w:t>
      </w:r>
      <w:r w:rsidRPr="007E67FC">
        <w:rPr>
          <w:rFonts w:ascii="Times New Roman" w:hAnsi="Times New Roman"/>
          <w:b/>
          <w:szCs w:val="24"/>
        </w:rPr>
        <w:t xml:space="preserve"> </w:t>
      </w:r>
      <w:r w:rsidRPr="007E67FC">
        <w:rPr>
          <w:rFonts w:ascii="Times New Roman" w:hAnsi="Times New Roman"/>
          <w:bCs/>
          <w:szCs w:val="24"/>
        </w:rPr>
        <w:t>21 October 2025</w:t>
      </w:r>
      <w:r w:rsidRPr="007E67FC">
        <w:rPr>
          <w:rFonts w:ascii="Times New Roman" w:hAnsi="Times New Roman"/>
          <w:b/>
          <w:szCs w:val="24"/>
        </w:rPr>
        <w:t xml:space="preserve"> </w:t>
      </w:r>
    </w:p>
    <w:p w14:paraId="60BE585F" w14:textId="6CBD915C" w:rsidR="007E67FC" w:rsidRPr="007E67FC" w:rsidRDefault="007E67FC" w:rsidP="007E67FC">
      <w:pPr>
        <w:widowControl w:val="0"/>
        <w:numPr>
          <w:ilvl w:val="0"/>
          <w:numId w:val="37"/>
        </w:numPr>
        <w:rPr>
          <w:rFonts w:ascii="Times New Roman" w:hAnsi="Times New Roman"/>
          <w:b/>
          <w:szCs w:val="24"/>
        </w:rPr>
      </w:pPr>
      <w:r w:rsidRPr="007E67FC">
        <w:rPr>
          <w:rFonts w:ascii="Times New Roman" w:hAnsi="Times New Roman"/>
          <w:b/>
          <w:bCs/>
          <w:szCs w:val="24"/>
        </w:rPr>
        <w:t>Competent Parliamentary Committee:</w:t>
      </w:r>
      <w:r w:rsidRPr="007E67FC">
        <w:rPr>
          <w:rFonts w:ascii="Times New Roman" w:hAnsi="Times New Roman"/>
          <w:b/>
          <w:szCs w:val="24"/>
        </w:rPr>
        <w:t xml:space="preserve"> </w:t>
      </w:r>
      <w:r w:rsidRPr="007E67FC">
        <w:rPr>
          <w:rFonts w:ascii="Times New Roman" w:hAnsi="Times New Roman"/>
          <w:bCs/>
          <w:szCs w:val="24"/>
        </w:rPr>
        <w:t>Committee on the Internal Market and Consumer Protection (IMCO)</w:t>
      </w:r>
      <w:r w:rsidRPr="007E67FC">
        <w:rPr>
          <w:rFonts w:ascii="Times New Roman" w:hAnsi="Times New Roman"/>
          <w:b/>
          <w:szCs w:val="24"/>
        </w:rPr>
        <w:t xml:space="preserve"> </w:t>
      </w:r>
    </w:p>
    <w:p w14:paraId="764AD461" w14:textId="78A7FE13" w:rsidR="007E67FC" w:rsidRPr="007E67FC" w:rsidRDefault="007E67FC" w:rsidP="007E67FC">
      <w:pPr>
        <w:widowControl w:val="0"/>
        <w:numPr>
          <w:ilvl w:val="0"/>
          <w:numId w:val="37"/>
        </w:numPr>
        <w:rPr>
          <w:rFonts w:ascii="Times New Roman" w:hAnsi="Times New Roman"/>
          <w:bCs/>
          <w:szCs w:val="24"/>
        </w:rPr>
      </w:pPr>
      <w:r w:rsidRPr="007E67FC">
        <w:rPr>
          <w:rFonts w:ascii="Times New Roman" w:hAnsi="Times New Roman"/>
          <w:b/>
          <w:bCs/>
          <w:szCs w:val="24"/>
        </w:rPr>
        <w:t>Brief analysis / assessment of the resolution and requests made in it:</w:t>
      </w:r>
      <w:r>
        <w:rPr>
          <w:rFonts w:ascii="Times New Roman" w:hAnsi="Times New Roman"/>
          <w:bCs/>
          <w:szCs w:val="24"/>
        </w:rPr>
        <w:t xml:space="preserve"> </w:t>
      </w:r>
    </w:p>
    <w:p w14:paraId="376C3159" w14:textId="4349CA35" w:rsidR="003F7FAC" w:rsidRPr="007E67FC" w:rsidRDefault="007E67FC" w:rsidP="005610C2">
      <w:pPr>
        <w:widowControl w:val="0"/>
        <w:ind w:left="567"/>
        <w:rPr>
          <w:rFonts w:ascii="Times New Roman" w:hAnsi="Times New Roman"/>
          <w:bCs/>
          <w:szCs w:val="24"/>
        </w:rPr>
      </w:pPr>
      <w:r w:rsidRPr="007E67FC">
        <w:rPr>
          <w:rFonts w:ascii="Times New Roman" w:hAnsi="Times New Roman"/>
          <w:bCs/>
          <w:szCs w:val="24"/>
        </w:rPr>
        <w:t xml:space="preserve">The </w:t>
      </w:r>
      <w:r w:rsidR="005610C2">
        <w:rPr>
          <w:rFonts w:ascii="Times New Roman" w:hAnsi="Times New Roman"/>
          <w:bCs/>
          <w:szCs w:val="24"/>
        </w:rPr>
        <w:t>R</w:t>
      </w:r>
      <w:r w:rsidRPr="007E67FC">
        <w:rPr>
          <w:rFonts w:ascii="Times New Roman" w:hAnsi="Times New Roman"/>
          <w:bCs/>
          <w:szCs w:val="24"/>
        </w:rPr>
        <w:t>esolution addresses the need to update the New Legislative Framework (NLF) for products to keep pace with digitalisation, sustainability objectives and the circular economy. It acknowledges that while the NLF has served the Single Market well (harmonised definitions, CE-marking, market-surveillance structures) it now needs reinforcement to cover emerging issues such as digital products, complex value chains, refurbishing, remanufacturing and sustainability-linked business models.</w:t>
      </w:r>
      <w:r w:rsidR="003F7FAC">
        <w:rPr>
          <w:rFonts w:ascii="Times New Roman" w:hAnsi="Times New Roman"/>
          <w:bCs/>
          <w:szCs w:val="24"/>
        </w:rPr>
        <w:t xml:space="preserve"> It</w:t>
      </w:r>
      <w:r w:rsidR="003F7FAC" w:rsidRPr="007E67FC">
        <w:rPr>
          <w:rFonts w:ascii="Times New Roman" w:hAnsi="Times New Roman"/>
          <w:bCs/>
          <w:szCs w:val="24"/>
        </w:rPr>
        <w:t xml:space="preserve"> emphasises </w:t>
      </w:r>
      <w:r w:rsidR="003F7FAC">
        <w:rPr>
          <w:rFonts w:ascii="Times New Roman" w:hAnsi="Times New Roman"/>
          <w:bCs/>
          <w:szCs w:val="24"/>
        </w:rPr>
        <w:t xml:space="preserve">the need for </w:t>
      </w:r>
      <w:r w:rsidR="003F7FAC" w:rsidRPr="007E67FC">
        <w:rPr>
          <w:rFonts w:ascii="Times New Roman" w:hAnsi="Times New Roman"/>
          <w:bCs/>
          <w:szCs w:val="24"/>
        </w:rPr>
        <w:t>regulatory coherence, the integration of sustainability goals, digital readiness and circular-economy imperatives into product-legislation structures.</w:t>
      </w:r>
    </w:p>
    <w:p w14:paraId="01510F1B" w14:textId="4CADE57E" w:rsidR="007E67FC" w:rsidRPr="007E67FC" w:rsidRDefault="007E67FC" w:rsidP="00CC138F">
      <w:pPr>
        <w:widowControl w:val="0"/>
        <w:ind w:left="567"/>
        <w:rPr>
          <w:rFonts w:ascii="Times New Roman" w:hAnsi="Times New Roman"/>
          <w:bCs/>
          <w:szCs w:val="24"/>
        </w:rPr>
      </w:pPr>
      <w:r w:rsidRPr="007E67FC">
        <w:rPr>
          <w:rFonts w:ascii="Times New Roman" w:hAnsi="Times New Roman"/>
          <w:bCs/>
          <w:szCs w:val="24"/>
        </w:rPr>
        <w:t xml:space="preserve"> The Parliament requests that the Commission propose:</w:t>
      </w:r>
    </w:p>
    <w:p w14:paraId="1DBD2314" w14:textId="3C3915F1" w:rsidR="007E67FC" w:rsidRPr="007E67FC" w:rsidRDefault="00CC138F" w:rsidP="007E67FC">
      <w:pPr>
        <w:widowControl w:val="0"/>
        <w:numPr>
          <w:ilvl w:val="0"/>
          <w:numId w:val="36"/>
        </w:numPr>
        <w:rPr>
          <w:rFonts w:ascii="Times New Roman" w:hAnsi="Times New Roman"/>
          <w:bCs/>
          <w:szCs w:val="24"/>
        </w:rPr>
      </w:pPr>
      <w:r>
        <w:rPr>
          <w:rFonts w:ascii="Times New Roman" w:hAnsi="Times New Roman"/>
          <w:bCs/>
          <w:szCs w:val="24"/>
        </w:rPr>
        <w:t>C</w:t>
      </w:r>
      <w:r w:rsidR="007E67FC" w:rsidRPr="007E67FC">
        <w:rPr>
          <w:rFonts w:ascii="Times New Roman" w:hAnsi="Times New Roman"/>
          <w:bCs/>
          <w:szCs w:val="24"/>
        </w:rPr>
        <w:t>learer and harmonised definitions (e.g., ‘refurbishment’, ‘remanufacturing’, ‘digital product passport’);</w:t>
      </w:r>
    </w:p>
    <w:p w14:paraId="7BF76671" w14:textId="161B0614" w:rsidR="007E67FC" w:rsidRPr="007E67FC" w:rsidRDefault="00CC138F" w:rsidP="007E67FC">
      <w:pPr>
        <w:widowControl w:val="0"/>
        <w:numPr>
          <w:ilvl w:val="0"/>
          <w:numId w:val="36"/>
        </w:numPr>
        <w:rPr>
          <w:rFonts w:ascii="Times New Roman" w:hAnsi="Times New Roman"/>
          <w:bCs/>
          <w:szCs w:val="24"/>
        </w:rPr>
      </w:pPr>
      <w:r>
        <w:rPr>
          <w:rFonts w:ascii="Times New Roman" w:hAnsi="Times New Roman"/>
          <w:bCs/>
          <w:szCs w:val="24"/>
        </w:rPr>
        <w:t>A</w:t>
      </w:r>
      <w:r w:rsidR="007E67FC" w:rsidRPr="007E67FC">
        <w:rPr>
          <w:rFonts w:ascii="Times New Roman" w:hAnsi="Times New Roman"/>
          <w:bCs/>
          <w:szCs w:val="24"/>
        </w:rPr>
        <w:t xml:space="preserve">lignment of product-legislation with digital and circular-economy models (e.g., improved digital documentation, introduction of a digital product passport, enhanced </w:t>
      </w:r>
      <w:r w:rsidR="00420556">
        <w:rPr>
          <w:rFonts w:ascii="Times New Roman" w:hAnsi="Times New Roman"/>
          <w:bCs/>
          <w:szCs w:val="24"/>
        </w:rPr>
        <w:t xml:space="preserve">product </w:t>
      </w:r>
      <w:r w:rsidR="007E67FC" w:rsidRPr="007E67FC">
        <w:rPr>
          <w:rFonts w:ascii="Times New Roman" w:hAnsi="Times New Roman"/>
          <w:bCs/>
          <w:szCs w:val="24"/>
        </w:rPr>
        <w:t>traceability);</w:t>
      </w:r>
    </w:p>
    <w:p w14:paraId="5D2200E3" w14:textId="0A2A5724" w:rsidR="007E67FC" w:rsidRPr="007E67FC" w:rsidRDefault="00CC138F" w:rsidP="007E67FC">
      <w:pPr>
        <w:widowControl w:val="0"/>
        <w:numPr>
          <w:ilvl w:val="0"/>
          <w:numId w:val="36"/>
        </w:numPr>
        <w:rPr>
          <w:rFonts w:ascii="Times New Roman" w:hAnsi="Times New Roman"/>
          <w:bCs/>
          <w:szCs w:val="24"/>
        </w:rPr>
      </w:pPr>
      <w:r>
        <w:rPr>
          <w:rFonts w:ascii="Times New Roman" w:hAnsi="Times New Roman"/>
          <w:bCs/>
          <w:szCs w:val="24"/>
        </w:rPr>
        <w:t>S</w:t>
      </w:r>
      <w:r w:rsidR="007E67FC" w:rsidRPr="007E67FC">
        <w:rPr>
          <w:rFonts w:ascii="Times New Roman" w:hAnsi="Times New Roman"/>
          <w:bCs/>
          <w:szCs w:val="24"/>
        </w:rPr>
        <w:t>trengthened market</w:t>
      </w:r>
      <w:r>
        <w:rPr>
          <w:rFonts w:ascii="Times New Roman" w:hAnsi="Times New Roman"/>
          <w:bCs/>
          <w:szCs w:val="24"/>
        </w:rPr>
        <w:t xml:space="preserve"> </w:t>
      </w:r>
      <w:r w:rsidR="007E67FC" w:rsidRPr="007E67FC">
        <w:rPr>
          <w:rFonts w:ascii="Times New Roman" w:hAnsi="Times New Roman"/>
          <w:bCs/>
          <w:szCs w:val="24"/>
        </w:rPr>
        <w:t>surveillance and enforcement mechanisms across Member States to ensure non-compliant or unsafe products cannot enter or remain in the market;</w:t>
      </w:r>
    </w:p>
    <w:p w14:paraId="7C88E20C" w14:textId="490E459E" w:rsidR="007E67FC" w:rsidRPr="007E67FC" w:rsidRDefault="00CC138F" w:rsidP="007E67FC">
      <w:pPr>
        <w:widowControl w:val="0"/>
        <w:numPr>
          <w:ilvl w:val="0"/>
          <w:numId w:val="36"/>
        </w:numPr>
        <w:rPr>
          <w:rFonts w:ascii="Times New Roman" w:hAnsi="Times New Roman"/>
          <w:bCs/>
          <w:szCs w:val="24"/>
        </w:rPr>
      </w:pPr>
      <w:r>
        <w:rPr>
          <w:rFonts w:ascii="Times New Roman" w:hAnsi="Times New Roman"/>
          <w:bCs/>
          <w:szCs w:val="24"/>
        </w:rPr>
        <w:t>M</w:t>
      </w:r>
      <w:r w:rsidR="007E67FC" w:rsidRPr="007E67FC">
        <w:rPr>
          <w:rFonts w:ascii="Times New Roman" w:hAnsi="Times New Roman"/>
          <w:bCs/>
          <w:szCs w:val="24"/>
        </w:rPr>
        <w:t>odernised standardisation and conformity-assessment frameworks to be more agile, representative and future-proof, supporting innovation while ensuring product safety and sustainability;</w:t>
      </w:r>
    </w:p>
    <w:p w14:paraId="19C6A6EE" w14:textId="42BB3725" w:rsidR="00CC138F" w:rsidRDefault="00CC138F" w:rsidP="007E67FC">
      <w:pPr>
        <w:widowControl w:val="0"/>
        <w:numPr>
          <w:ilvl w:val="0"/>
          <w:numId w:val="36"/>
        </w:numPr>
        <w:rPr>
          <w:rFonts w:ascii="Times New Roman" w:hAnsi="Times New Roman"/>
          <w:bCs/>
          <w:szCs w:val="24"/>
        </w:rPr>
      </w:pPr>
      <w:r>
        <w:rPr>
          <w:rFonts w:ascii="Times New Roman" w:hAnsi="Times New Roman"/>
          <w:bCs/>
          <w:szCs w:val="24"/>
        </w:rPr>
        <w:t>I</w:t>
      </w:r>
      <w:r w:rsidR="007E67FC" w:rsidRPr="007E67FC">
        <w:rPr>
          <w:rFonts w:ascii="Times New Roman" w:hAnsi="Times New Roman"/>
          <w:bCs/>
          <w:szCs w:val="24"/>
        </w:rPr>
        <w:t>mproved coherence between product legislation and sustainability/eco-design legislation, ensuring the internal market is safeguarded while supporting the green transition and maintaining competitiveness</w:t>
      </w:r>
      <w:r>
        <w:rPr>
          <w:rFonts w:ascii="Times New Roman" w:hAnsi="Times New Roman"/>
          <w:bCs/>
          <w:szCs w:val="24"/>
        </w:rPr>
        <w:t>.</w:t>
      </w:r>
    </w:p>
    <w:p w14:paraId="10A954F2" w14:textId="77777777" w:rsidR="009923D6" w:rsidRDefault="007E67FC" w:rsidP="009923D6">
      <w:pPr>
        <w:widowControl w:val="0"/>
        <w:numPr>
          <w:ilvl w:val="0"/>
          <w:numId w:val="37"/>
        </w:numPr>
        <w:rPr>
          <w:rFonts w:ascii="Times New Roman" w:hAnsi="Times New Roman"/>
          <w:b/>
          <w:szCs w:val="24"/>
        </w:rPr>
      </w:pPr>
      <w:bookmarkStart w:id="0" w:name="_Hlk214354202"/>
      <w:r w:rsidRPr="009923D6">
        <w:rPr>
          <w:rFonts w:ascii="Times New Roman" w:hAnsi="Times New Roman"/>
          <w:b/>
          <w:bCs/>
          <w:szCs w:val="24"/>
        </w:rPr>
        <w:t>Response to requests and overview of actions taken, or intended to be taken, by</w:t>
      </w:r>
      <w:r w:rsidRPr="00C33439">
        <w:rPr>
          <w:rFonts w:ascii="Times New Roman" w:hAnsi="Times New Roman"/>
          <w:b/>
          <w:szCs w:val="24"/>
        </w:rPr>
        <w:t xml:space="preserve"> the Commission:</w:t>
      </w:r>
      <w:r>
        <w:rPr>
          <w:rFonts w:ascii="Times New Roman" w:hAnsi="Times New Roman"/>
          <w:b/>
          <w:szCs w:val="24"/>
        </w:rPr>
        <w:t xml:space="preserve"> </w:t>
      </w:r>
    </w:p>
    <w:bookmarkEnd w:id="0"/>
    <w:p w14:paraId="2EB7A852" w14:textId="209EE1B7" w:rsidR="00B02C28" w:rsidRDefault="00B02C28" w:rsidP="005610C2">
      <w:pPr>
        <w:pStyle w:val="NormalWeb"/>
        <w:ind w:left="40"/>
        <w:jc w:val="both"/>
      </w:pPr>
      <w:r>
        <w:t xml:space="preserve">The Commission welcomes the European Parliament’s resolution on </w:t>
      </w:r>
      <w:r w:rsidR="009923D6">
        <w:t>the</w:t>
      </w:r>
      <w:r>
        <w:t xml:space="preserve"> </w:t>
      </w:r>
      <w:r w:rsidR="00420556">
        <w:t>NLF</w:t>
      </w:r>
      <w:r>
        <w:t xml:space="preserve"> for products that is fit for the digital and sustainable transition. The resolution supports the Commission’s intention to modernise EU product rules</w:t>
      </w:r>
      <w:r w:rsidR="007A2848">
        <w:t>,</w:t>
      </w:r>
      <w:r>
        <w:t xml:space="preserve"> so</w:t>
      </w:r>
      <w:r w:rsidR="005610C2">
        <w:t xml:space="preserve"> </w:t>
      </w:r>
      <w:r>
        <w:t>they remain effective in light of digitalisation, sustainability objectives and new business models.</w:t>
      </w:r>
      <w:r w:rsidR="005610C2">
        <w:t xml:space="preserve"> </w:t>
      </w:r>
    </w:p>
    <w:p w14:paraId="777A58BE" w14:textId="554ADB1E" w:rsidR="00FB40C0" w:rsidRPr="00E50017" w:rsidRDefault="00FB40C0" w:rsidP="005610C2">
      <w:pPr>
        <w:pStyle w:val="NormalWeb"/>
        <w:ind w:left="40"/>
        <w:jc w:val="both"/>
        <w:rPr>
          <w:b/>
          <w:bCs/>
          <w:i/>
          <w:iCs/>
        </w:rPr>
      </w:pPr>
      <w:r w:rsidRPr="00E50017">
        <w:rPr>
          <w:b/>
          <w:bCs/>
          <w:i/>
          <w:iCs/>
        </w:rPr>
        <w:lastRenderedPageBreak/>
        <w:t>Roles and responsibilities of the economic operators</w:t>
      </w:r>
      <w:r w:rsidR="00E50017" w:rsidRPr="00E50017">
        <w:rPr>
          <w:b/>
          <w:bCs/>
          <w:i/>
          <w:iCs/>
        </w:rPr>
        <w:t xml:space="preserve"> (paragraphs 1-8)</w:t>
      </w:r>
    </w:p>
    <w:p w14:paraId="7A34B864" w14:textId="5392CED6" w:rsidR="00FB40C0" w:rsidRDefault="00FB40C0" w:rsidP="00FB40C0">
      <w:pPr>
        <w:pStyle w:val="NormalWeb"/>
        <w:ind w:left="40"/>
        <w:jc w:val="both"/>
      </w:pPr>
      <w:r>
        <w:t>This chapter</w:t>
      </w:r>
      <w:r w:rsidRPr="00FB40C0">
        <w:t xml:space="preserve"> calls for a modernised, future-proof NLF that strengthens legal certainty, consumer protection, and competitiveness by clarifying and updating the roles and responsibilities of all economic operators, including non-EU actors, while ensuring consistency with related EU legislation. It also stresses the need for stronger, better-coordinated market surveillance </w:t>
      </w:r>
      <w:r>
        <w:t>-</w:t>
      </w:r>
      <w:r w:rsidRPr="00FB40C0">
        <w:t xml:space="preserve"> supported by digital tools, risk-based supervision, and potentially an EU-level authority </w:t>
      </w:r>
      <w:r>
        <w:t>-</w:t>
      </w:r>
      <w:r w:rsidRPr="00FB40C0">
        <w:t xml:space="preserve"> to ensure safe, compliant products and fair competition across the internal market.</w:t>
      </w:r>
      <w:r>
        <w:t xml:space="preserve"> </w:t>
      </w:r>
    </w:p>
    <w:p w14:paraId="78644B28" w14:textId="676CC29D" w:rsidR="005610C2" w:rsidRDefault="004E3F8C" w:rsidP="005610C2">
      <w:pPr>
        <w:pStyle w:val="NormalWeb"/>
        <w:spacing w:before="0" w:beforeAutospacing="0" w:after="240" w:afterAutospacing="0"/>
        <w:ind w:left="40"/>
        <w:jc w:val="both"/>
      </w:pPr>
      <w:r w:rsidRPr="004E3F8C">
        <w:t>The Commission has launched the revision of the NLF to examine how its definitions and modules can be adapted to support digital product information, circular-economy practices and updated conformity-assessment processes. At the same time, the NLF must ensure coherence across sectoral legislation, regain its role as a true horizontal framework, and maintain its future-proof relevance.</w:t>
      </w:r>
      <w:r>
        <w:t xml:space="preserve"> </w:t>
      </w:r>
      <w:r w:rsidR="005610C2">
        <w:t xml:space="preserve">The </w:t>
      </w:r>
      <w:hyperlink r:id="rId11" w:history="1">
        <w:r w:rsidR="005610C2" w:rsidRPr="005610C2">
          <w:rPr>
            <w:rStyle w:val="Hyperlink"/>
          </w:rPr>
          <w:t>public consultations</w:t>
        </w:r>
      </w:hyperlink>
      <w:r w:rsidR="005610C2">
        <w:t xml:space="preserve"> on the revision of the NLF started on 12 November 2025 and end</w:t>
      </w:r>
      <w:r w:rsidR="00B103D9">
        <w:t>ed</w:t>
      </w:r>
      <w:r w:rsidR="005610C2">
        <w:t xml:space="preserve"> on 4 February 2026. </w:t>
      </w:r>
      <w:r w:rsidR="001D76FD">
        <w:t xml:space="preserve">The adoption of the legislative proposal is expected </w:t>
      </w:r>
      <w:r w:rsidR="00FB40C0">
        <w:t>in quarter 3 of</w:t>
      </w:r>
      <w:r w:rsidR="001D76FD">
        <w:t xml:space="preserve"> 2026.</w:t>
      </w:r>
      <w:r w:rsidR="00FB40C0">
        <w:t xml:space="preserve"> At the same time, the </w:t>
      </w:r>
      <w:hyperlink r:id="rId12" w:history="1">
        <w:r w:rsidR="00020CAC" w:rsidRPr="00020CAC">
          <w:rPr>
            <w:rStyle w:val="Hyperlink"/>
          </w:rPr>
          <w:t>c</w:t>
        </w:r>
        <w:r w:rsidR="00FB40C0" w:rsidRPr="00020CAC">
          <w:rPr>
            <w:rStyle w:val="Hyperlink"/>
          </w:rPr>
          <w:t xml:space="preserve">all for </w:t>
        </w:r>
        <w:r w:rsidR="00020CAC" w:rsidRPr="00020CAC">
          <w:rPr>
            <w:rStyle w:val="Hyperlink"/>
          </w:rPr>
          <w:t>e</w:t>
        </w:r>
        <w:r w:rsidR="00FB40C0" w:rsidRPr="00020CAC">
          <w:rPr>
            <w:rStyle w:val="Hyperlink"/>
          </w:rPr>
          <w:t>vidence and the questionnaire for public consultation</w:t>
        </w:r>
        <w:r w:rsidR="00020CAC" w:rsidRPr="00020CAC">
          <w:rPr>
            <w:rStyle w:val="Hyperlink"/>
          </w:rPr>
          <w:t>s</w:t>
        </w:r>
      </w:hyperlink>
      <w:r w:rsidR="00FB40C0">
        <w:t xml:space="preserve"> for the evaluation and the revision of the Market Surveillance Regulation have been launched </w:t>
      </w:r>
      <w:r w:rsidR="00020CAC">
        <w:t>and the expected timeline for the adoption of the new legislative proposal for the market surveillance framework is also quarter 3 of 2026.</w:t>
      </w:r>
      <w:r w:rsidR="006A668E">
        <w:t xml:space="preserve"> </w:t>
      </w:r>
      <w:r w:rsidR="0019275C">
        <w:t xml:space="preserve">Finally, the </w:t>
      </w:r>
      <w:hyperlink r:id="rId13" w:history="1">
        <w:r w:rsidR="0019275C" w:rsidRPr="0019275C">
          <w:rPr>
            <w:rStyle w:val="Hyperlink"/>
          </w:rPr>
          <w:t>public consultation</w:t>
        </w:r>
      </w:hyperlink>
      <w:r w:rsidR="0019275C">
        <w:t xml:space="preserve"> on the revision of the Standardisation Regulation </w:t>
      </w:r>
      <w:r w:rsidR="00B14E27">
        <w:t xml:space="preserve">took place between </w:t>
      </w:r>
      <w:r w:rsidR="0019275C">
        <w:t xml:space="preserve">24 September 2025 and 17 December 2025. </w:t>
      </w:r>
    </w:p>
    <w:p w14:paraId="406DB259" w14:textId="4EA7F334" w:rsidR="00420556" w:rsidRDefault="00420556" w:rsidP="005610C2">
      <w:pPr>
        <w:pStyle w:val="NormalWeb"/>
        <w:spacing w:before="0" w:beforeAutospacing="0" w:after="240" w:afterAutospacing="0"/>
        <w:ind w:left="40"/>
        <w:jc w:val="both"/>
      </w:pPr>
      <w:r>
        <w:t xml:space="preserve">The package of three initiatives – revision of the NLF, evaluation and revision of the Market Surveillance Regulation and the revision of the </w:t>
      </w:r>
      <w:r w:rsidR="00F577BD">
        <w:t>Standardisation</w:t>
      </w:r>
      <w:r>
        <w:t xml:space="preserve"> Regulation - </w:t>
      </w:r>
      <w:r w:rsidRPr="00420556">
        <w:t xml:space="preserve">aim to bring greater coherence to the EU </w:t>
      </w:r>
      <w:r w:rsidR="00F64E6E">
        <w:t xml:space="preserve">horizontal </w:t>
      </w:r>
      <w:r w:rsidRPr="00420556">
        <w:t>product</w:t>
      </w:r>
      <w:r w:rsidR="00F577BD">
        <w:t xml:space="preserve"> framework</w:t>
      </w:r>
      <w:r w:rsidR="009C5AD1">
        <w:t>, by bringing them together</w:t>
      </w:r>
      <w:r w:rsidR="00544E54">
        <w:t xml:space="preserve"> </w:t>
      </w:r>
      <w:r w:rsidR="0096121F">
        <w:t>under a single European Product Act, thereby</w:t>
      </w:r>
      <w:r w:rsidR="00F577BD">
        <w:t xml:space="preserve"> forming </w:t>
      </w:r>
      <w:r w:rsidRPr="00420556">
        <w:t>the backbone of a consistent internal-market architecture</w:t>
      </w:r>
      <w:r w:rsidR="00F577BD">
        <w:t>, while supporting</w:t>
      </w:r>
      <w:r w:rsidRPr="00420556">
        <w:t xml:space="preserve"> innovation, competitiveness and</w:t>
      </w:r>
      <w:r w:rsidR="00F577BD">
        <w:t xml:space="preserve"> sustainability.</w:t>
      </w:r>
    </w:p>
    <w:p w14:paraId="04A1E911" w14:textId="67B76DEF" w:rsidR="00B02C28" w:rsidRPr="00E50017" w:rsidRDefault="00937D45" w:rsidP="005610C2">
      <w:pPr>
        <w:pStyle w:val="NormalWeb"/>
        <w:spacing w:before="0" w:beforeAutospacing="0" w:after="240" w:afterAutospacing="0"/>
        <w:ind w:left="40"/>
        <w:jc w:val="both"/>
        <w:rPr>
          <w:b/>
          <w:bCs/>
          <w:i/>
          <w:iCs/>
        </w:rPr>
      </w:pPr>
      <w:r w:rsidRPr="00E50017">
        <w:rPr>
          <w:b/>
          <w:bCs/>
          <w:i/>
          <w:iCs/>
        </w:rPr>
        <w:t>Digital Product Passport</w:t>
      </w:r>
      <w:r w:rsidR="000566F1" w:rsidRPr="00E50017">
        <w:rPr>
          <w:b/>
          <w:bCs/>
          <w:i/>
          <w:iCs/>
        </w:rPr>
        <w:t xml:space="preserve"> (paragraphs 9-20)</w:t>
      </w:r>
    </w:p>
    <w:p w14:paraId="1165DA9B" w14:textId="752B0870" w:rsidR="00F855FB" w:rsidRDefault="000566F1" w:rsidP="009923D6">
      <w:pPr>
        <w:pStyle w:val="NormalWeb"/>
        <w:spacing w:before="120" w:beforeAutospacing="0" w:after="120" w:afterAutospacing="0"/>
        <w:jc w:val="both"/>
      </w:pPr>
      <w:r>
        <w:t>The paragraph</w:t>
      </w:r>
      <w:r w:rsidR="004E3F8C">
        <w:t>s</w:t>
      </w:r>
      <w:r>
        <w:t xml:space="preserve"> of the </w:t>
      </w:r>
      <w:r w:rsidR="009E5B67">
        <w:t>r</w:t>
      </w:r>
      <w:r>
        <w:t xml:space="preserve">eport on the Digital Product Passport </w:t>
      </w:r>
      <w:r w:rsidR="00F64E6E">
        <w:t xml:space="preserve">(DPP) </w:t>
      </w:r>
      <w:r w:rsidR="00F855FB" w:rsidRPr="00F855FB">
        <w:t xml:space="preserve">highlight </w:t>
      </w:r>
      <w:r w:rsidR="004E3F8C">
        <w:t xml:space="preserve">that </w:t>
      </w:r>
      <w:r w:rsidR="00F855FB" w:rsidRPr="00F855FB">
        <w:t xml:space="preserve">the DPP </w:t>
      </w:r>
      <w:r w:rsidR="004E3F8C">
        <w:t>is</w:t>
      </w:r>
      <w:r w:rsidR="00F855FB" w:rsidRPr="00F855FB">
        <w:t xml:space="preserve"> a horizontal, interoperable tool that centralises reliable, harmonised information on product compliance, sustainability, circularity, and performance, empowering consumers, supporting businesses, and strengthening market surveillance through better data access, interoperability with existing systems, and streamlined conformity requirements. It calls on the Commission to gradually integrate the DPP into the NLF, ensure secure and accessible data carriers, consider its use for second-hand goods, align it with CE-marking information and sustainability metrics, and implement it in a way that reduces administrative burdens while maintaining consumer protection and promoting the circular economy.</w:t>
      </w:r>
    </w:p>
    <w:p w14:paraId="5925D9A4" w14:textId="4C5FD4EE" w:rsidR="004C365F" w:rsidRDefault="004E3F8C" w:rsidP="009923D6">
      <w:pPr>
        <w:pStyle w:val="NormalWeb"/>
        <w:spacing w:before="120" w:beforeAutospacing="0" w:after="120" w:afterAutospacing="0"/>
        <w:jc w:val="both"/>
      </w:pPr>
      <w:r>
        <w:t xml:space="preserve">In the </w:t>
      </w:r>
      <w:hyperlink r:id="rId14" w:history="1">
        <w:r w:rsidRPr="000566F1">
          <w:rPr>
            <w:rStyle w:val="Hyperlink"/>
          </w:rPr>
          <w:t>2022 evaluation of the NLF</w:t>
        </w:r>
      </w:hyperlink>
      <w:r>
        <w:t>, t</w:t>
      </w:r>
      <w:r w:rsidR="000566F1">
        <w:t>he Commission already identified</w:t>
      </w:r>
      <w:r>
        <w:t xml:space="preserve"> </w:t>
      </w:r>
      <w:r w:rsidR="000566F1">
        <w:t>the</w:t>
      </w:r>
      <w:r w:rsidR="000566F1" w:rsidRPr="00F855FB">
        <w:t xml:space="preserve"> </w:t>
      </w:r>
      <w:r w:rsidR="000566F1">
        <w:t>D</w:t>
      </w:r>
      <w:r w:rsidR="000566F1" w:rsidRPr="00F855FB">
        <w:t xml:space="preserve">igital </w:t>
      </w:r>
      <w:r w:rsidR="000566F1">
        <w:t>P</w:t>
      </w:r>
      <w:r w:rsidR="000566F1" w:rsidRPr="00F855FB">
        <w:t xml:space="preserve">roduct </w:t>
      </w:r>
      <w:r w:rsidR="000566F1">
        <w:t>P</w:t>
      </w:r>
      <w:r w:rsidR="000566F1" w:rsidRPr="00F855FB">
        <w:t xml:space="preserve">assport as </w:t>
      </w:r>
      <w:r w:rsidR="000566F1">
        <w:t xml:space="preserve">a </w:t>
      </w:r>
      <w:r w:rsidR="000566F1" w:rsidRPr="00F855FB">
        <w:t>possible simplification</w:t>
      </w:r>
      <w:r w:rsidR="000566F1">
        <w:t xml:space="preserve"> tool</w:t>
      </w:r>
      <w:r w:rsidR="000566F1" w:rsidRPr="00F855FB">
        <w:t xml:space="preserve"> and means of lifting administrative burden of the economic</w:t>
      </w:r>
      <w:r w:rsidR="000566F1">
        <w:t xml:space="preserve"> operators</w:t>
      </w:r>
      <w:r w:rsidR="00F855FB">
        <w:t xml:space="preserve">. The evaluation highlighted that </w:t>
      </w:r>
      <w:r w:rsidR="00F855FB" w:rsidRPr="00F855FB">
        <w:t>a possible future revision may want to consider introducing the possibility of the digital CE marking and the digital product passport</w:t>
      </w:r>
      <w:r w:rsidR="00F855FB">
        <w:t xml:space="preserve">, which </w:t>
      </w:r>
      <w:r w:rsidR="00F855FB" w:rsidRPr="00F855FB">
        <w:t>could include an electronic declaration of conformity and the description of the conformity assessment procedure. The digitalisation of product information and CE marking could make the work of market surveillance authorities and customs</w:t>
      </w:r>
      <w:r w:rsidR="00E541E8">
        <w:t xml:space="preserve"> </w:t>
      </w:r>
      <w:r w:rsidR="00E541E8" w:rsidRPr="00F855FB">
        <w:t>more effective</w:t>
      </w:r>
      <w:r w:rsidR="004C365F">
        <w:t>.</w:t>
      </w:r>
    </w:p>
    <w:p w14:paraId="42292E19" w14:textId="137886BB" w:rsidR="0096121F" w:rsidRPr="004C365F" w:rsidRDefault="004C365F" w:rsidP="009923D6">
      <w:pPr>
        <w:pStyle w:val="NormalWeb"/>
        <w:spacing w:before="120" w:beforeAutospacing="0" w:after="120" w:afterAutospacing="0"/>
        <w:jc w:val="both"/>
      </w:pPr>
      <w:r w:rsidRPr="004C365F">
        <w:lastRenderedPageBreak/>
        <w:t>The </w:t>
      </w:r>
      <w:hyperlink r:id="rId15" w:tgtFrame="_blank" w:history="1">
        <w:r w:rsidRPr="004C365F">
          <w:rPr>
            <w:rStyle w:val="Hyperlink"/>
            <w:u w:val="none"/>
          </w:rPr>
          <w:t>2023 Impact Assessment for the Toys Safety Regulation</w:t>
        </w:r>
      </w:hyperlink>
      <w:r w:rsidRPr="004C365F">
        <w:t> estimate</w:t>
      </w:r>
      <w:r w:rsidR="000566F1">
        <w:t>d</w:t>
      </w:r>
      <w:r w:rsidRPr="004C365F">
        <w:t xml:space="preserve"> that moving to digital provision of compliance information could save EUR 2.62-3.93 million per year in that sector </w:t>
      </w:r>
      <w:r w:rsidR="00A16723">
        <w:t>alone</w:t>
      </w:r>
      <w:r w:rsidRPr="004C365F">
        <w:t>. In addition, it would lower the costs of inspections for companies, as relevant documentation would be available online facilitating document retrieval.  </w:t>
      </w:r>
    </w:p>
    <w:p w14:paraId="23A3AA52" w14:textId="78B8EA04" w:rsidR="004D0CDF" w:rsidRDefault="009C5AD1" w:rsidP="009923D6">
      <w:pPr>
        <w:pStyle w:val="NormalWeb"/>
        <w:spacing w:before="120" w:beforeAutospacing="0" w:after="120" w:afterAutospacing="0"/>
        <w:jc w:val="both"/>
      </w:pPr>
      <w:r>
        <w:t>The</w:t>
      </w:r>
      <w:r w:rsidR="00EC4663" w:rsidRPr="00EC4663">
        <w:t xml:space="preserve"> DPP will first be implemented under the </w:t>
      </w:r>
      <w:hyperlink r:id="rId16" w:history="1">
        <w:r w:rsidR="00EC4663" w:rsidRPr="00EC4663">
          <w:rPr>
            <w:rStyle w:val="Hyperlink"/>
          </w:rPr>
          <w:t>Batteries Regulation</w:t>
        </w:r>
      </w:hyperlink>
      <w:r w:rsidR="00EC4663" w:rsidRPr="00EC4663">
        <w:t xml:space="preserve"> as of February 2027.</w:t>
      </w:r>
      <w:r w:rsidR="00EC4663">
        <w:t xml:space="preserve"> </w:t>
      </w:r>
    </w:p>
    <w:p w14:paraId="5F346F48" w14:textId="5D50478E" w:rsidR="00E50017" w:rsidRDefault="0096121F" w:rsidP="009923D6">
      <w:pPr>
        <w:pStyle w:val="NormalWeb"/>
        <w:spacing w:before="120" w:beforeAutospacing="0" w:after="120" w:afterAutospacing="0"/>
        <w:jc w:val="both"/>
      </w:pPr>
      <w:r w:rsidRPr="0096121F">
        <w:t xml:space="preserve">The </w:t>
      </w:r>
      <w:r w:rsidR="009C5AD1">
        <w:t>European Product Act, through the revision of the New Legislative Framework,</w:t>
      </w:r>
      <w:r w:rsidRPr="0096121F">
        <w:t xml:space="preserve"> </w:t>
      </w:r>
      <w:r w:rsidR="00F91389">
        <w:t xml:space="preserve">is planned to </w:t>
      </w:r>
      <w:r w:rsidRPr="0096121F">
        <w:t xml:space="preserve">introduce the DPP as a horizontal digital tool, serving as a digital container for all relevant product </w:t>
      </w:r>
      <w:r w:rsidR="004D0CDF" w:rsidRPr="0096121F">
        <w:t>information.</w:t>
      </w:r>
      <w:r w:rsidR="004D0CDF">
        <w:t xml:space="preserve"> </w:t>
      </w:r>
      <w:r>
        <w:t xml:space="preserve"> </w:t>
      </w:r>
      <w:r w:rsidR="00E50017" w:rsidRPr="00E50017">
        <w:t>The impact assessment study for the revision of the NLF will examine the costs and benefits of introducing the DPP into the horizontal product framework</w:t>
      </w:r>
      <w:r w:rsidR="00F91389">
        <w:t>, including how to make use of the DPP infrastructure under development based on the ESPR and avoiding any negative impacts on the implementation of the existing legislation</w:t>
      </w:r>
      <w:r w:rsidR="00E50017" w:rsidRPr="00E50017">
        <w:t>. The purpose of collecting information through public and targeted consultations, as well as interviews, is to identify the most effective way to digitalise product compliance information while enhancing the efficiency of product checks.</w:t>
      </w:r>
    </w:p>
    <w:p w14:paraId="15DCDB90" w14:textId="716B05A6" w:rsidR="00E50017" w:rsidRDefault="00E50017" w:rsidP="009923D6">
      <w:pPr>
        <w:pStyle w:val="NormalWeb"/>
        <w:spacing w:before="120" w:beforeAutospacing="0" w:after="120" w:afterAutospacing="0"/>
        <w:jc w:val="both"/>
      </w:pPr>
      <w:r w:rsidRPr="00E50017">
        <w:rPr>
          <w:b/>
          <w:bCs/>
          <w:i/>
          <w:iCs/>
        </w:rPr>
        <w:t>Sustainable business models and consumption patterns</w:t>
      </w:r>
      <w:r>
        <w:rPr>
          <w:b/>
          <w:bCs/>
          <w:i/>
          <w:iCs/>
        </w:rPr>
        <w:t xml:space="preserve"> (paragraphs 21-25)</w:t>
      </w:r>
    </w:p>
    <w:p w14:paraId="3CF3DC7B" w14:textId="059656FB" w:rsidR="00E50017" w:rsidRDefault="00E50017" w:rsidP="009923D6">
      <w:pPr>
        <w:pStyle w:val="NormalWeb"/>
        <w:spacing w:before="120" w:beforeAutospacing="0" w:after="120" w:afterAutospacing="0"/>
        <w:jc w:val="both"/>
      </w:pPr>
      <w:r>
        <w:t xml:space="preserve">These paragraphs of the </w:t>
      </w:r>
      <w:r w:rsidR="009E5B67">
        <w:t>r</w:t>
      </w:r>
      <w:r>
        <w:t xml:space="preserve">eport </w:t>
      </w:r>
      <w:r w:rsidRPr="00E50017">
        <w:t>call for aligning the NLF with wider EU sustainability initiatives to support durable, repairable, long-lasting products and to streamline compliance through digitalisation and simplified procedures. It encourages assessing extended producer responsibility within the NLF, strengthening requirements for spare parts and end-of-life management, and addressing the challenges posed by fast and ultra-fast fashion through harmonised definitions, stronger conformity assessment, and enhanced enforcement to ensure fair competition and high consumer protection.</w:t>
      </w:r>
    </w:p>
    <w:p w14:paraId="66FED3D4" w14:textId="1A06CCAC" w:rsidR="00E50017" w:rsidRDefault="00E50017" w:rsidP="009923D6">
      <w:pPr>
        <w:pStyle w:val="NormalWeb"/>
        <w:spacing w:before="120" w:beforeAutospacing="0" w:after="120" w:afterAutospacing="0"/>
        <w:jc w:val="both"/>
      </w:pPr>
      <w:r>
        <w:t xml:space="preserve">The </w:t>
      </w:r>
      <w:r w:rsidR="000D1266">
        <w:t>2022 evaluation of the NLF highlighted that s</w:t>
      </w:r>
      <w:r w:rsidR="000D1266" w:rsidRPr="000D1266">
        <w:t xml:space="preserve">ince the adoption of the NLF, industry and products have transformed radically, in particular due to the digital and the circular economy aspects. </w:t>
      </w:r>
    </w:p>
    <w:p w14:paraId="43A853CE" w14:textId="38054EF0" w:rsidR="00F64E6E" w:rsidRDefault="00F64E6E" w:rsidP="00BD0A56">
      <w:pPr>
        <w:pStyle w:val="NormalWeb"/>
        <w:spacing w:before="120" w:beforeAutospacing="0" w:after="120" w:afterAutospacing="0"/>
        <w:jc w:val="both"/>
      </w:pPr>
      <w:r>
        <w:t>In the meantime, the</w:t>
      </w:r>
      <w:r w:rsidRPr="00F64E6E">
        <w:t xml:space="preserve"> Ecodesign for Sustainable Products Regulation (ESPR) </w:t>
      </w:r>
      <w:r w:rsidR="006A668E">
        <w:t xml:space="preserve">which entered into force on 18 July 2024, constitutes </w:t>
      </w:r>
      <w:r>
        <w:t>an</w:t>
      </w:r>
      <w:r w:rsidRPr="00F64E6E">
        <w:t xml:space="preserve"> important </w:t>
      </w:r>
      <w:r>
        <w:t>and</w:t>
      </w:r>
      <w:r w:rsidRPr="00F64E6E">
        <w:t xml:space="preserve"> comprehensive framework</w:t>
      </w:r>
      <w:r>
        <w:t>,</w:t>
      </w:r>
      <w:r w:rsidRPr="00F64E6E">
        <w:t xml:space="preserve"> with delegated acts to be adopted for specific product categories to set detailed sustainability and circularity requirements</w:t>
      </w:r>
      <w:r>
        <w:t xml:space="preserve">. </w:t>
      </w:r>
    </w:p>
    <w:p w14:paraId="79C0A39C" w14:textId="11995D98" w:rsidR="00BD0A56" w:rsidRPr="00BD0A56" w:rsidRDefault="00740951" w:rsidP="00BD0A56">
      <w:pPr>
        <w:pStyle w:val="NormalWeb"/>
        <w:spacing w:before="120" w:beforeAutospacing="0" w:after="120" w:afterAutospacing="0"/>
        <w:jc w:val="both"/>
      </w:pPr>
      <w:r>
        <w:t>Recent</w:t>
      </w:r>
      <w:r w:rsidR="00BD0A56" w:rsidRPr="00BD0A56">
        <w:t xml:space="preserve"> pieces of EU</w:t>
      </w:r>
      <w:r>
        <w:t xml:space="preserve"> sectoral</w:t>
      </w:r>
      <w:r w:rsidR="00BD0A56" w:rsidRPr="00BD0A56">
        <w:t xml:space="preserve"> legislation increasingly address the compatibility of processes with environmental and sustainability criteria, while the horizontal set of conformity assessment procedures was originally designed to examine product compliance with essential requirements.</w:t>
      </w:r>
    </w:p>
    <w:p w14:paraId="3C043DCB" w14:textId="703C1EDE" w:rsidR="00F64E6E" w:rsidRDefault="00F64E6E" w:rsidP="009923D6">
      <w:pPr>
        <w:pStyle w:val="NormalWeb"/>
        <w:spacing w:before="120" w:beforeAutospacing="0" w:after="120" w:afterAutospacing="0"/>
        <w:jc w:val="both"/>
      </w:pPr>
      <w:r w:rsidRPr="00F64E6E">
        <w:t>The impact assessment study of the NLF will explore how to best support product sustainability</w:t>
      </w:r>
      <w:r w:rsidR="00F91389">
        <w:t xml:space="preserve"> in line with the ESPR</w:t>
      </w:r>
      <w:r w:rsidR="00802296">
        <w:t xml:space="preserve"> </w:t>
      </w:r>
      <w:r w:rsidRPr="00F64E6E">
        <w:t>while creating a flexible framework that fosters innovation and strengthens competitiveness.</w:t>
      </w:r>
    </w:p>
    <w:p w14:paraId="553F199C" w14:textId="4055F0D0" w:rsidR="000D1266" w:rsidRDefault="00740951" w:rsidP="009923D6">
      <w:pPr>
        <w:pStyle w:val="NormalWeb"/>
        <w:spacing w:before="120" w:beforeAutospacing="0" w:after="120" w:afterAutospacing="0"/>
        <w:jc w:val="both"/>
        <w:rPr>
          <w:b/>
          <w:bCs/>
          <w:i/>
          <w:iCs/>
        </w:rPr>
      </w:pPr>
      <w:r w:rsidRPr="00740951">
        <w:rPr>
          <w:b/>
          <w:bCs/>
          <w:i/>
          <w:iCs/>
        </w:rPr>
        <w:t>Second-hand sellers, refurbishers, repairers and associated operators in the circular economy business model</w:t>
      </w:r>
      <w:r>
        <w:rPr>
          <w:b/>
          <w:bCs/>
          <w:i/>
          <w:iCs/>
        </w:rPr>
        <w:t xml:space="preserve"> (paragraphs 26-31)</w:t>
      </w:r>
    </w:p>
    <w:p w14:paraId="1BBC0BE0" w14:textId="792896AD" w:rsidR="00740951" w:rsidRPr="00740951" w:rsidRDefault="00740951" w:rsidP="009923D6">
      <w:pPr>
        <w:pStyle w:val="NormalWeb"/>
        <w:spacing w:before="120" w:beforeAutospacing="0" w:after="120" w:afterAutospacing="0"/>
        <w:jc w:val="both"/>
      </w:pPr>
      <w:r>
        <w:t>This part of the report calls</w:t>
      </w:r>
      <w:r w:rsidRPr="00740951">
        <w:t xml:space="preserve"> for harmonised EU definitions of remanufacturers, refurbishers, repairers and related circular-</w:t>
      </w:r>
      <w:r w:rsidRPr="00405F2A">
        <w:t>economy actors to ensure legal clarity, proportional obligations, and consistency with the ESPR, thereby supporting sustainable</w:t>
      </w:r>
      <w:r w:rsidR="00405F2A" w:rsidRPr="00405F2A">
        <w:t xml:space="preserve"> and competitive</w:t>
      </w:r>
      <w:r w:rsidRPr="00405F2A">
        <w:t xml:space="preserve"> business models and the second-hand market</w:t>
      </w:r>
      <w:r w:rsidR="00405F2A" w:rsidRPr="00405F2A">
        <w:t xml:space="preserve">, also </w:t>
      </w:r>
      <w:r w:rsidR="00405F2A" w:rsidRPr="00802296">
        <w:t>boosting the creation of good-quality jobs in the EU</w:t>
      </w:r>
      <w:r w:rsidRPr="00405F2A">
        <w:t>. It highlights the need for an EU-wide certification scheme to build consumer trust, improved access to technical documentation</w:t>
      </w:r>
      <w:r w:rsidRPr="00740951">
        <w:t xml:space="preserve"> (potentially via the DPP), a clear definition and assessment procedure for “substantial modification,” and guidance on common repair practices, while also emphasising the economic potential of recommerce</w:t>
      </w:r>
      <w:r>
        <w:t xml:space="preserve"> </w:t>
      </w:r>
      <w:r>
        <w:lastRenderedPageBreak/>
        <w:t>(</w:t>
      </w:r>
      <w:r w:rsidRPr="00740951">
        <w:t>which involves refurbishers, repairers and other emerging actors</w:t>
      </w:r>
      <w:r>
        <w:t>)</w:t>
      </w:r>
      <w:r w:rsidRPr="00740951">
        <w:t xml:space="preserve"> and the importance of awareness-raising on reuse.</w:t>
      </w:r>
    </w:p>
    <w:p w14:paraId="26E256D6" w14:textId="0DABA82D" w:rsidR="00C27F43" w:rsidRPr="00C27F43" w:rsidRDefault="00C27F43" w:rsidP="00C27F43">
      <w:pPr>
        <w:pStyle w:val="NormalWeb"/>
        <w:spacing w:before="120" w:beforeAutospacing="0" w:after="120" w:afterAutospacing="0"/>
        <w:jc w:val="both"/>
      </w:pPr>
      <w:r w:rsidRPr="00C27F43">
        <w:t xml:space="preserve">The 2022 evaluation of the NLF found that the main source of uncertainty lies in the obligations and responsibilities of economic operators in the context of product circularity, particularly the distinction between refurbishment and substantial modification. This distinction is often unclear: if a product undergoes modifications that change its original performance, purpose, or type </w:t>
      </w:r>
      <w:r>
        <w:t>-</w:t>
      </w:r>
      <w:r w:rsidRPr="00C27F43">
        <w:t xml:space="preserve"> and these changes were not foreseen in the initial risk assessment </w:t>
      </w:r>
      <w:r>
        <w:t>-</w:t>
      </w:r>
      <w:r w:rsidRPr="00C27F43">
        <w:t xml:space="preserve"> it should be considered a new product, whereas refurbishment typically does not involve such alterations. Clear differentiation between circularity-related interventions is essential to ensure product safety and protect consumers</w:t>
      </w:r>
      <w:r>
        <w:t xml:space="preserve"> and will be addressed in the revision of the NLF.</w:t>
      </w:r>
    </w:p>
    <w:p w14:paraId="542A1BA5" w14:textId="2E554E52" w:rsidR="00C27F43" w:rsidRDefault="00C27F43" w:rsidP="00C27F43">
      <w:pPr>
        <w:pStyle w:val="NormalWeb"/>
        <w:spacing w:before="120" w:beforeAutospacing="0" w:after="120" w:afterAutospacing="0"/>
        <w:jc w:val="both"/>
      </w:pPr>
      <w:r w:rsidRPr="00C27F43">
        <w:t xml:space="preserve">The </w:t>
      </w:r>
      <w:r>
        <w:t xml:space="preserve">NLF revision </w:t>
      </w:r>
      <w:r w:rsidR="005D084C">
        <w:t>will take</w:t>
      </w:r>
      <w:r>
        <w:t xml:space="preserve"> into account that the </w:t>
      </w:r>
      <w:r w:rsidRPr="00C27F43">
        <w:t xml:space="preserve">responsibilities of economic operators involved in circularity should therefore be clearly defined, ensuring appropriate liability for the safety of products </w:t>
      </w:r>
      <w:r>
        <w:t>issued from circularity</w:t>
      </w:r>
      <w:r w:rsidRPr="00C27F43">
        <w:t xml:space="preserve"> and guaranteeing consumer protection.</w:t>
      </w:r>
      <w:r w:rsidR="00405F2A">
        <w:t xml:space="preserve"> In doing so, the Commission also recognises the need to support</w:t>
      </w:r>
      <w:r w:rsidR="00405F2A" w:rsidRPr="00405F2A">
        <w:t xml:space="preserve"> the development of sustainable and competitive business models</w:t>
      </w:r>
      <w:r w:rsidR="00405F2A">
        <w:t xml:space="preserve">, which in turn </w:t>
      </w:r>
      <w:r w:rsidR="00405F2A" w:rsidRPr="00405F2A">
        <w:t>also boost the creation of good-quality jobs in the EU</w:t>
      </w:r>
      <w:r w:rsidR="00405F2A">
        <w:t>.</w:t>
      </w:r>
    </w:p>
    <w:p w14:paraId="4659266F" w14:textId="291C861F" w:rsidR="00C27F43" w:rsidRDefault="00C27F43" w:rsidP="00C27F43">
      <w:pPr>
        <w:pStyle w:val="NormalWeb"/>
        <w:spacing w:before="120" w:beforeAutospacing="0" w:after="120" w:afterAutospacing="0"/>
        <w:jc w:val="both"/>
      </w:pPr>
      <w:r w:rsidRPr="00C27F43">
        <w:rPr>
          <w:b/>
          <w:bCs/>
          <w:i/>
          <w:iCs/>
        </w:rPr>
        <w:t>Standardisation and conformity assessments</w:t>
      </w:r>
      <w:r>
        <w:rPr>
          <w:b/>
          <w:bCs/>
          <w:i/>
          <w:iCs/>
        </w:rPr>
        <w:t xml:space="preserve"> (paragraphs 32-39)</w:t>
      </w:r>
    </w:p>
    <w:p w14:paraId="6440A4D5" w14:textId="77777777" w:rsidR="00C27F43" w:rsidRDefault="00B02C28" w:rsidP="00DA43C0">
      <w:pPr>
        <w:pStyle w:val="NormalWeb"/>
        <w:jc w:val="both"/>
      </w:pPr>
      <w:r>
        <w:t>Th</w:t>
      </w:r>
      <w:r w:rsidR="00C27F43">
        <w:t xml:space="preserve">is part of the Report </w:t>
      </w:r>
      <w:r w:rsidR="00C27F43" w:rsidRPr="00C27F43">
        <w:t>emphasises the crucial role of harmonised standards in supporting EU public-interest objectives and ensuring a well-functioning single market, while highlighting persistent challenges such as delays in standard development and publication, which create legal uncertainty, hinder innovation, and weaken enforcement. It calls for faster and more coordinated standardisation processes, stronger EU and international cooperation, improved inclusiveness and funding for SMEs and civil-society actors, a review of conformity assessment modules to reflect technological developments and product risk, and more consistent oversight of notified bodies</w:t>
      </w:r>
      <w:r w:rsidR="00C27F43">
        <w:t xml:space="preserve"> - </w:t>
      </w:r>
      <w:r w:rsidR="00C27F43" w:rsidRPr="00C27F43">
        <w:t>potentially including mandatory accreditation</w:t>
      </w:r>
      <w:r w:rsidR="00C27F43">
        <w:t xml:space="preserve"> - </w:t>
      </w:r>
      <w:r w:rsidR="00C27F43" w:rsidRPr="00C27F43">
        <w:t>to ensure competence, impartiality, and credibility across the EU.</w:t>
      </w:r>
    </w:p>
    <w:p w14:paraId="61C36C52" w14:textId="086BD3C8" w:rsidR="007E67FC" w:rsidRDefault="00C27F43" w:rsidP="00C27F43">
      <w:pPr>
        <w:pStyle w:val="NormalWeb"/>
        <w:jc w:val="both"/>
      </w:pPr>
      <w:r>
        <w:t xml:space="preserve">The </w:t>
      </w:r>
      <w:r w:rsidR="00B02C28">
        <w:t>Commission intends to present the revision of the NLF</w:t>
      </w:r>
      <w:r>
        <w:t xml:space="preserve">, </w:t>
      </w:r>
      <w:r w:rsidR="00B02C28">
        <w:t xml:space="preserve">the </w:t>
      </w:r>
      <w:r>
        <w:t>evaluation and r</w:t>
      </w:r>
      <w:r w:rsidR="00B02C28">
        <w:t xml:space="preserve">evision of the Market Surveillance Regulation </w:t>
      </w:r>
      <w:r>
        <w:t xml:space="preserve">and the revision of the Standardisation Regulation </w:t>
      </w:r>
      <w:r w:rsidR="00B02C28">
        <w:t xml:space="preserve">as a </w:t>
      </w:r>
      <w:r w:rsidR="00B02C28" w:rsidRPr="00DA43C0">
        <w:rPr>
          <w:rStyle w:val="Strong"/>
          <w:b w:val="0"/>
          <w:bCs/>
        </w:rPr>
        <w:t>coherent legislative package</w:t>
      </w:r>
      <w:r w:rsidR="00B02C28">
        <w:t xml:space="preserve"> aimed at ensuring that EU product rules remain fit for the digital and </w:t>
      </w:r>
      <w:r w:rsidR="00E12460">
        <w:t xml:space="preserve">green </w:t>
      </w:r>
      <w:r w:rsidR="00B02C28">
        <w:t>transition, while supporting competitiveness</w:t>
      </w:r>
      <w:r w:rsidR="00DA43C0">
        <w:t xml:space="preserve"> and innovation</w:t>
      </w:r>
      <w:r w:rsidR="00B02C28">
        <w:t xml:space="preserve"> and ensuring </w:t>
      </w:r>
      <w:r>
        <w:t>more efficient product checks and improved product compliance in the EU.</w:t>
      </w:r>
      <w:r w:rsidR="00EC4663">
        <w:t xml:space="preserve"> </w:t>
      </w:r>
      <w:r w:rsidR="009C5AD1">
        <w:t xml:space="preserve">Once revised, the </w:t>
      </w:r>
      <w:r w:rsidR="00EC4663">
        <w:t>NLF, Market Surveillance Regulation and Standardisation Regulation</w:t>
      </w:r>
      <w:r w:rsidR="009C5AD1">
        <w:t xml:space="preserve"> </w:t>
      </w:r>
      <w:r w:rsidR="00EC4663" w:rsidRPr="00EC4663">
        <w:t xml:space="preserve">will </w:t>
      </w:r>
      <w:r w:rsidR="009C5AD1">
        <w:t>be brought together into a</w:t>
      </w:r>
      <w:r w:rsidR="00EC4663" w:rsidRPr="00EC4663">
        <w:t xml:space="preserve"> </w:t>
      </w:r>
      <w:r w:rsidR="00BC0F43">
        <w:t>s</w:t>
      </w:r>
      <w:r w:rsidR="00EC4663" w:rsidRPr="00EC4663">
        <w:t>ingle</w:t>
      </w:r>
      <w:r w:rsidR="009C5AD1">
        <w:t>, coherent</w:t>
      </w:r>
      <w:r w:rsidR="00EC4663" w:rsidRPr="00EC4663">
        <w:t xml:space="preserve"> European Product Act.</w:t>
      </w:r>
    </w:p>
    <w:p w14:paraId="5A7605BE" w14:textId="3DFB4F4A" w:rsidR="00B45D27" w:rsidRDefault="003855AD" w:rsidP="00C27F43">
      <w:pPr>
        <w:pStyle w:val="NormalWeb"/>
        <w:jc w:val="both"/>
      </w:pPr>
      <w:r w:rsidRPr="003855AD">
        <w:t>A well-functioning standardisation system is essential for the NLF, as the presumption of conformity</w:t>
      </w:r>
      <w:r>
        <w:t xml:space="preserve"> as one of the main principles of the NLF</w:t>
      </w:r>
      <w:r w:rsidRPr="003855AD">
        <w:t xml:space="preserve"> relies on the availability of harmonised standards. </w:t>
      </w:r>
      <w:r>
        <w:t xml:space="preserve">The recent pieces of product harmonisation legislation introduce </w:t>
      </w:r>
      <w:r w:rsidRPr="003855AD">
        <w:t>common specifications as a fallback option, carrying the same legal effect as harmonised standards and likewise granting a presumption of conformity</w:t>
      </w:r>
      <w:r>
        <w:t xml:space="preserve"> i</w:t>
      </w:r>
      <w:r w:rsidRPr="003855AD">
        <w:t>n the absence</w:t>
      </w:r>
      <w:r>
        <w:t xml:space="preserve"> of harmonised standards. This solution will also be reflected in the future NLF.</w:t>
      </w:r>
    </w:p>
    <w:p w14:paraId="7E9E9021" w14:textId="735C1317" w:rsidR="002A252B" w:rsidRPr="00C33439" w:rsidRDefault="00146EB6" w:rsidP="006F62FE">
      <w:pPr>
        <w:pStyle w:val="NormalWeb"/>
        <w:jc w:val="both"/>
        <w:rPr>
          <w:b/>
        </w:rPr>
      </w:pPr>
      <w:r w:rsidRPr="00146EB6">
        <w:t xml:space="preserve">The impact assessment for the revision of the NLF will examine how to strengthen the conformity assessment system and ensure its robustness, including </w:t>
      </w:r>
      <w:r>
        <w:t xml:space="preserve">improved oversight over the notified bodies and their </w:t>
      </w:r>
      <w:r w:rsidRPr="00146EB6">
        <w:t>more coherent competences and practices across the Union. The mandatory accreditation of notified bodies is also among the options to be assessed in the study.</w:t>
      </w:r>
      <w:r>
        <w:t xml:space="preserve"> </w:t>
      </w:r>
    </w:p>
    <w:sectPr w:rsidR="002A252B" w:rsidRPr="00C33439" w:rsidSect="00812321">
      <w:headerReference w:type="even" r:id="rId17"/>
      <w:headerReference w:type="default" r:id="rId18"/>
      <w:footerReference w:type="even" r:id="rId19"/>
      <w:footerReference w:type="default" r:id="rId20"/>
      <w:headerReference w:type="first" r:id="rId21"/>
      <w:footerReference w:type="first" r:id="rId22"/>
      <w:footnotePr>
        <w:pos w:val="beneathText"/>
        <w:numRestart w:val="eachSect"/>
      </w:footnotePr>
      <w:type w:val="continuous"/>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8DB70" w14:textId="77777777" w:rsidR="00E57E05" w:rsidRDefault="00E57E05">
      <w:r>
        <w:separator/>
      </w:r>
    </w:p>
  </w:endnote>
  <w:endnote w:type="continuationSeparator" w:id="0">
    <w:p w14:paraId="3AA3EA45" w14:textId="77777777" w:rsidR="00E57E05" w:rsidRDefault="00E57E05">
      <w:r>
        <w:continuationSeparator/>
      </w:r>
    </w:p>
  </w:endnote>
  <w:endnote w:type="continuationNotice" w:id="1">
    <w:p w14:paraId="06AF9149" w14:textId="77777777" w:rsidR="00E57E05" w:rsidRDefault="00E57E0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2F22"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1CE8F934" w14:textId="77777777" w:rsidR="00471068" w:rsidRDefault="00471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A62F" w14:textId="77777777" w:rsidR="00420556" w:rsidRDefault="00420556">
    <w:pPr>
      <w:pStyle w:val="Footer"/>
      <w:jc w:val="center"/>
      <w:rPr>
        <w:rFonts w:ascii="Times New Roman" w:hAnsi="Times New Roman"/>
      </w:rPr>
    </w:pPr>
  </w:p>
  <w:p w14:paraId="4ACC237F" w14:textId="77777777" w:rsidR="00420556" w:rsidRDefault="00420556">
    <w:pPr>
      <w:pStyle w:val="Footer"/>
      <w:jc w:val="center"/>
      <w:rPr>
        <w:rFonts w:ascii="Times New Roman" w:hAnsi="Times New Roman"/>
        <w:sz w:val="24"/>
        <w:szCs w:val="24"/>
      </w:rPr>
    </w:pPr>
  </w:p>
  <w:p w14:paraId="70E46A20" w14:textId="6329847A" w:rsidR="00420556" w:rsidRPr="00420556" w:rsidRDefault="00420556">
    <w:pPr>
      <w:pStyle w:val="Footer"/>
      <w:jc w:val="center"/>
      <w:rPr>
        <w:rFonts w:ascii="Times New Roman" w:hAnsi="Times New Roman"/>
        <w:sz w:val="24"/>
        <w:szCs w:val="24"/>
      </w:rPr>
    </w:pPr>
    <w:r w:rsidRPr="00420556">
      <w:rPr>
        <w:rFonts w:ascii="Times New Roman" w:hAnsi="Times New Roman"/>
        <w:sz w:val="24"/>
        <w:szCs w:val="24"/>
      </w:rPr>
      <w:fldChar w:fldCharType="begin"/>
    </w:r>
    <w:r w:rsidRPr="00420556">
      <w:rPr>
        <w:rFonts w:ascii="Times New Roman" w:hAnsi="Times New Roman"/>
        <w:sz w:val="24"/>
        <w:szCs w:val="24"/>
      </w:rPr>
      <w:instrText xml:space="preserve"> PAGE   \* MERGEFORMAT </w:instrText>
    </w:r>
    <w:r w:rsidRPr="00420556">
      <w:rPr>
        <w:rFonts w:ascii="Times New Roman" w:hAnsi="Times New Roman"/>
        <w:sz w:val="24"/>
        <w:szCs w:val="24"/>
      </w:rPr>
      <w:fldChar w:fldCharType="separate"/>
    </w:r>
    <w:r w:rsidRPr="00420556">
      <w:rPr>
        <w:rFonts w:ascii="Times New Roman" w:hAnsi="Times New Roman"/>
        <w:noProof/>
        <w:sz w:val="24"/>
        <w:szCs w:val="24"/>
      </w:rPr>
      <w:t>2</w:t>
    </w:r>
    <w:r w:rsidRPr="00420556">
      <w:rPr>
        <w:rFonts w:ascii="Times New Roman" w:hAnsi="Times New Roman"/>
        <w:noProof/>
        <w:sz w:val="24"/>
        <w:szCs w:val="24"/>
      </w:rPr>
      <w:fldChar w:fldCharType="end"/>
    </w:r>
  </w:p>
  <w:p w14:paraId="76797D1D" w14:textId="77777777" w:rsidR="00471068" w:rsidRPr="008A6623" w:rsidRDefault="00471068"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EE69" w14:textId="77777777" w:rsidR="006B0483" w:rsidRDefault="006B0483" w:rsidP="006B04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33CD">
      <w:rPr>
        <w:rStyle w:val="PageNumber"/>
        <w:noProof/>
      </w:rPr>
      <w:t>1</w:t>
    </w:r>
    <w:r>
      <w:rPr>
        <w:rStyle w:val="PageNumber"/>
      </w:rPr>
      <w:fldChar w:fldCharType="end"/>
    </w:r>
  </w:p>
  <w:p w14:paraId="244C2131" w14:textId="77777777" w:rsidR="00471068" w:rsidRDefault="00471068" w:rsidP="00442B2E">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2ED3E" w14:textId="77777777" w:rsidR="00E57E05" w:rsidRDefault="00E57E05">
      <w:r>
        <w:separator/>
      </w:r>
    </w:p>
  </w:footnote>
  <w:footnote w:type="continuationSeparator" w:id="0">
    <w:p w14:paraId="356A9BB7" w14:textId="77777777" w:rsidR="00E57E05" w:rsidRDefault="00E57E05">
      <w:r>
        <w:continuationSeparator/>
      </w:r>
    </w:p>
  </w:footnote>
  <w:footnote w:type="continuationNotice" w:id="1">
    <w:p w14:paraId="3BC5CD88" w14:textId="77777777" w:rsidR="00E57E05" w:rsidRDefault="00E57E0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9917" w14:textId="77777777" w:rsidR="00420556" w:rsidRDefault="004205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948A" w14:textId="77777777" w:rsidR="00420556" w:rsidRDefault="004205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26333" w14:textId="77777777" w:rsidR="00420556" w:rsidRDefault="00420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AA7686E"/>
    <w:multiLevelType w:val="hybridMultilevel"/>
    <w:tmpl w:val="D1D45CA8"/>
    <w:lvl w:ilvl="0" w:tplc="26A4D58A">
      <w:start w:val="1"/>
      <w:numFmt w:val="decimal"/>
      <w:lvlText w:val="%1."/>
      <w:lvlJc w:val="left"/>
      <w:pPr>
        <w:ind w:left="1065" w:hanging="705"/>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31A51"/>
    <w:multiLevelType w:val="hybridMultilevel"/>
    <w:tmpl w:val="BCAED5BC"/>
    <w:lvl w:ilvl="0" w:tplc="7C765058">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7"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DA0D4D"/>
    <w:multiLevelType w:val="hybridMultilevel"/>
    <w:tmpl w:val="A71A327C"/>
    <w:lvl w:ilvl="0" w:tplc="47BEBF6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15:restartNumberingAfterBreak="0">
    <w:nsid w:val="1D8653DD"/>
    <w:multiLevelType w:val="hybridMultilevel"/>
    <w:tmpl w:val="3056C994"/>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D20909"/>
    <w:multiLevelType w:val="multilevel"/>
    <w:tmpl w:val="903E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411796"/>
    <w:multiLevelType w:val="multilevel"/>
    <w:tmpl w:val="A4C0CD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6"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8"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2D52663"/>
    <w:multiLevelType w:val="hybridMultilevel"/>
    <w:tmpl w:val="49FA7B1C"/>
    <w:lvl w:ilvl="0" w:tplc="585C461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2" w15:restartNumberingAfterBreak="0">
    <w:nsid w:val="4B5F428A"/>
    <w:multiLevelType w:val="hybridMultilevel"/>
    <w:tmpl w:val="136C885A"/>
    <w:lvl w:ilvl="0" w:tplc="66B6DB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FA6298"/>
    <w:multiLevelType w:val="hybridMultilevel"/>
    <w:tmpl w:val="68B8F702"/>
    <w:lvl w:ilvl="0" w:tplc="B8E4B348">
      <w:start w:val="1"/>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7" w15:restartNumberingAfterBreak="0">
    <w:nsid w:val="5EFF257D"/>
    <w:multiLevelType w:val="hybridMultilevel"/>
    <w:tmpl w:val="DD2A3844"/>
    <w:lvl w:ilvl="0" w:tplc="812854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B5A37B8"/>
    <w:multiLevelType w:val="hybridMultilevel"/>
    <w:tmpl w:val="AD1EC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F115F1"/>
    <w:multiLevelType w:val="multilevel"/>
    <w:tmpl w:val="C2C2273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3"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0F3EDF"/>
    <w:multiLevelType w:val="hybridMultilevel"/>
    <w:tmpl w:val="1CF2C980"/>
    <w:lvl w:ilvl="0" w:tplc="B70CB8E8">
      <w:start w:val="1"/>
      <w:numFmt w:val="decimal"/>
      <w:lvlText w:val="%1."/>
      <w:lvlJc w:val="left"/>
      <w:pPr>
        <w:ind w:left="927" w:hanging="360"/>
      </w:pPr>
      <w:rPr>
        <w:rFonts w:hint="default"/>
        <w:b/>
        <w:bCs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6"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7"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8" w15:restartNumberingAfterBreak="0">
    <w:nsid w:val="795D3BA0"/>
    <w:multiLevelType w:val="hybridMultilevel"/>
    <w:tmpl w:val="4F76D5A2"/>
    <w:lvl w:ilvl="0" w:tplc="DE7488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AAA2612"/>
    <w:multiLevelType w:val="hybridMultilevel"/>
    <w:tmpl w:val="8F2E6E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09342734">
    <w:abstractNumId w:val="7"/>
  </w:num>
  <w:num w:numId="2" w16cid:durableId="148182179">
    <w:abstractNumId w:val="1"/>
  </w:num>
  <w:num w:numId="3" w16cid:durableId="505511010">
    <w:abstractNumId w:val="37"/>
  </w:num>
  <w:num w:numId="4" w16cid:durableId="580018736">
    <w:abstractNumId w:val="15"/>
  </w:num>
  <w:num w:numId="5" w16cid:durableId="221647625">
    <w:abstractNumId w:val="32"/>
  </w:num>
  <w:num w:numId="6" w16cid:durableId="298344620">
    <w:abstractNumId w:val="10"/>
  </w:num>
  <w:num w:numId="7" w16cid:durableId="58093387">
    <w:abstractNumId w:val="6"/>
  </w:num>
  <w:num w:numId="8" w16cid:durableId="1122530581">
    <w:abstractNumId w:val="17"/>
  </w:num>
  <w:num w:numId="9" w16cid:durableId="1479684095">
    <w:abstractNumId w:val="36"/>
  </w:num>
  <w:num w:numId="10" w16cid:durableId="340007303">
    <w:abstractNumId w:val="26"/>
  </w:num>
  <w:num w:numId="11" w16cid:durableId="346519941">
    <w:abstractNumId w:val="28"/>
  </w:num>
  <w:num w:numId="12" w16cid:durableId="691036718">
    <w:abstractNumId w:val="14"/>
  </w:num>
  <w:num w:numId="13" w16cid:durableId="1452093781">
    <w:abstractNumId w:val="18"/>
  </w:num>
  <w:num w:numId="14" w16cid:durableId="906961314">
    <w:abstractNumId w:val="33"/>
  </w:num>
  <w:num w:numId="15" w16cid:durableId="1388455259">
    <w:abstractNumId w:val="16"/>
  </w:num>
  <w:num w:numId="16" w16cid:durableId="1677533267">
    <w:abstractNumId w:val="40"/>
  </w:num>
  <w:num w:numId="17" w16cid:durableId="961619330">
    <w:abstractNumId w:val="34"/>
  </w:num>
  <w:num w:numId="18" w16cid:durableId="1095638383">
    <w:abstractNumId w:val="24"/>
  </w:num>
  <w:num w:numId="19" w16cid:durableId="357776219">
    <w:abstractNumId w:val="25"/>
  </w:num>
  <w:num w:numId="20" w16cid:durableId="1481578588">
    <w:abstractNumId w:val="30"/>
  </w:num>
  <w:num w:numId="21" w16cid:durableId="1812137613">
    <w:abstractNumId w:val="3"/>
  </w:num>
  <w:num w:numId="22" w16cid:durableId="370300677">
    <w:abstractNumId w:val="4"/>
  </w:num>
  <w:num w:numId="23" w16cid:durableId="1948660650">
    <w:abstractNumId w:val="5"/>
  </w:num>
  <w:num w:numId="24" w16cid:durableId="1221136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6547536">
    <w:abstractNumId w:val="38"/>
  </w:num>
  <w:num w:numId="26" w16cid:durableId="1203983393">
    <w:abstractNumId w:val="27"/>
  </w:num>
  <w:num w:numId="27" w16cid:durableId="1149204463">
    <w:abstractNumId w:val="19"/>
  </w:num>
  <w:num w:numId="28" w16cid:durableId="614867515">
    <w:abstractNumId w:val="39"/>
  </w:num>
  <w:num w:numId="29" w16cid:durableId="1513490821">
    <w:abstractNumId w:val="2"/>
  </w:num>
  <w:num w:numId="30" w16cid:durableId="1269506392">
    <w:abstractNumId w:val="23"/>
  </w:num>
  <w:num w:numId="31" w16cid:durableId="160509948">
    <w:abstractNumId w:val="22"/>
  </w:num>
  <w:num w:numId="32" w16cid:durableId="146094414">
    <w:abstractNumId w:val="9"/>
  </w:num>
  <w:num w:numId="33" w16cid:durableId="2145806991">
    <w:abstractNumId w:val="11"/>
  </w:num>
  <w:num w:numId="34" w16cid:durableId="1322079617">
    <w:abstractNumId w:val="21"/>
  </w:num>
  <w:num w:numId="35" w16cid:durableId="1661734410">
    <w:abstractNumId w:val="20"/>
  </w:num>
  <w:num w:numId="36" w16cid:durableId="2125072345">
    <w:abstractNumId w:val="12"/>
  </w:num>
  <w:num w:numId="37" w16cid:durableId="1507095429">
    <w:abstractNumId w:val="35"/>
  </w:num>
  <w:num w:numId="38" w16cid:durableId="263078444">
    <w:abstractNumId w:val="13"/>
  </w:num>
  <w:num w:numId="39" w16cid:durableId="1891765147">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Restart w:val="eachSec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TEL"/>
  </w:docVars>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A01"/>
    <w:rsid w:val="00004A58"/>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ECC"/>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CAC"/>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D04"/>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792"/>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D1E"/>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A13"/>
    <w:rsid w:val="00040C7A"/>
    <w:rsid w:val="00040E6E"/>
    <w:rsid w:val="0004105D"/>
    <w:rsid w:val="0004146E"/>
    <w:rsid w:val="000414BC"/>
    <w:rsid w:val="0004189C"/>
    <w:rsid w:val="0004193F"/>
    <w:rsid w:val="0004195A"/>
    <w:rsid w:val="00041A87"/>
    <w:rsid w:val="00041C4F"/>
    <w:rsid w:val="00041F1F"/>
    <w:rsid w:val="0004209B"/>
    <w:rsid w:val="000420DB"/>
    <w:rsid w:val="000421A1"/>
    <w:rsid w:val="000423C1"/>
    <w:rsid w:val="00042508"/>
    <w:rsid w:val="00042A8B"/>
    <w:rsid w:val="00042F4E"/>
    <w:rsid w:val="000434BD"/>
    <w:rsid w:val="000436A8"/>
    <w:rsid w:val="00043B7B"/>
    <w:rsid w:val="00043E36"/>
    <w:rsid w:val="000443C3"/>
    <w:rsid w:val="0004455F"/>
    <w:rsid w:val="00044806"/>
    <w:rsid w:val="00044A42"/>
    <w:rsid w:val="00044AB8"/>
    <w:rsid w:val="000454B2"/>
    <w:rsid w:val="00045976"/>
    <w:rsid w:val="00045E41"/>
    <w:rsid w:val="0004610E"/>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0D5F"/>
    <w:rsid w:val="00051333"/>
    <w:rsid w:val="00051BA8"/>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6F1"/>
    <w:rsid w:val="000568D7"/>
    <w:rsid w:val="000568F4"/>
    <w:rsid w:val="00056C02"/>
    <w:rsid w:val="00057006"/>
    <w:rsid w:val="00057285"/>
    <w:rsid w:val="0005742E"/>
    <w:rsid w:val="00057439"/>
    <w:rsid w:val="000574AC"/>
    <w:rsid w:val="0005753C"/>
    <w:rsid w:val="00057745"/>
    <w:rsid w:val="00057902"/>
    <w:rsid w:val="00057C0A"/>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3DCE"/>
    <w:rsid w:val="00063F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492"/>
    <w:rsid w:val="00071695"/>
    <w:rsid w:val="000717D6"/>
    <w:rsid w:val="00071956"/>
    <w:rsid w:val="00071BD3"/>
    <w:rsid w:val="00071DDA"/>
    <w:rsid w:val="00071E87"/>
    <w:rsid w:val="00071FC6"/>
    <w:rsid w:val="00072134"/>
    <w:rsid w:val="000724E5"/>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B96"/>
    <w:rsid w:val="00084044"/>
    <w:rsid w:val="00084211"/>
    <w:rsid w:val="00084419"/>
    <w:rsid w:val="0008449C"/>
    <w:rsid w:val="000845D7"/>
    <w:rsid w:val="000846F8"/>
    <w:rsid w:val="00084B71"/>
    <w:rsid w:val="00084D1E"/>
    <w:rsid w:val="00084DFB"/>
    <w:rsid w:val="0008526A"/>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C9B"/>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6D6D"/>
    <w:rsid w:val="000B70BC"/>
    <w:rsid w:val="000B739A"/>
    <w:rsid w:val="000B73B7"/>
    <w:rsid w:val="000B7631"/>
    <w:rsid w:val="000B776B"/>
    <w:rsid w:val="000B7910"/>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E3B"/>
    <w:rsid w:val="000C4015"/>
    <w:rsid w:val="000C405D"/>
    <w:rsid w:val="000C4440"/>
    <w:rsid w:val="000C45D5"/>
    <w:rsid w:val="000C4733"/>
    <w:rsid w:val="000C4791"/>
    <w:rsid w:val="000C4804"/>
    <w:rsid w:val="000C486E"/>
    <w:rsid w:val="000C4BEC"/>
    <w:rsid w:val="000C4CD3"/>
    <w:rsid w:val="000C52B2"/>
    <w:rsid w:val="000C53D4"/>
    <w:rsid w:val="000C5518"/>
    <w:rsid w:val="000C5720"/>
    <w:rsid w:val="000C5898"/>
    <w:rsid w:val="000C61AB"/>
    <w:rsid w:val="000C6577"/>
    <w:rsid w:val="000C6610"/>
    <w:rsid w:val="000C6902"/>
    <w:rsid w:val="000C69CA"/>
    <w:rsid w:val="000C71A3"/>
    <w:rsid w:val="000C728E"/>
    <w:rsid w:val="000C741E"/>
    <w:rsid w:val="000C755B"/>
    <w:rsid w:val="000C7646"/>
    <w:rsid w:val="000C7708"/>
    <w:rsid w:val="000C7914"/>
    <w:rsid w:val="000C7A75"/>
    <w:rsid w:val="000C7BE4"/>
    <w:rsid w:val="000C7E7C"/>
    <w:rsid w:val="000D02D7"/>
    <w:rsid w:val="000D0536"/>
    <w:rsid w:val="000D057B"/>
    <w:rsid w:val="000D0723"/>
    <w:rsid w:val="000D082B"/>
    <w:rsid w:val="000D0AEE"/>
    <w:rsid w:val="000D1266"/>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414D"/>
    <w:rsid w:val="000D4395"/>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0"/>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C38"/>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D76"/>
    <w:rsid w:val="000F4E7E"/>
    <w:rsid w:val="000F514F"/>
    <w:rsid w:val="000F52C9"/>
    <w:rsid w:val="000F54AD"/>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B50"/>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E85"/>
    <w:rsid w:val="00116169"/>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ADC"/>
    <w:rsid w:val="00120BD1"/>
    <w:rsid w:val="00120E34"/>
    <w:rsid w:val="00120E8D"/>
    <w:rsid w:val="0012121E"/>
    <w:rsid w:val="00121335"/>
    <w:rsid w:val="00121382"/>
    <w:rsid w:val="00121541"/>
    <w:rsid w:val="00121B5E"/>
    <w:rsid w:val="00121E93"/>
    <w:rsid w:val="00121EDE"/>
    <w:rsid w:val="00121F5D"/>
    <w:rsid w:val="00122706"/>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7F7"/>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3F1"/>
    <w:rsid w:val="001364BC"/>
    <w:rsid w:val="001366A2"/>
    <w:rsid w:val="00136D26"/>
    <w:rsid w:val="001370BE"/>
    <w:rsid w:val="00137319"/>
    <w:rsid w:val="00137470"/>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4F2"/>
    <w:rsid w:val="0014296A"/>
    <w:rsid w:val="00143061"/>
    <w:rsid w:val="00143335"/>
    <w:rsid w:val="00143391"/>
    <w:rsid w:val="0014367F"/>
    <w:rsid w:val="001438FC"/>
    <w:rsid w:val="00143DDE"/>
    <w:rsid w:val="00143F3D"/>
    <w:rsid w:val="0014413D"/>
    <w:rsid w:val="00144F48"/>
    <w:rsid w:val="00145AB8"/>
    <w:rsid w:val="00145BBD"/>
    <w:rsid w:val="00145D7D"/>
    <w:rsid w:val="00145F7E"/>
    <w:rsid w:val="001463CA"/>
    <w:rsid w:val="00146572"/>
    <w:rsid w:val="00146971"/>
    <w:rsid w:val="00146EB6"/>
    <w:rsid w:val="0014708A"/>
    <w:rsid w:val="00147197"/>
    <w:rsid w:val="0014776E"/>
    <w:rsid w:val="00147784"/>
    <w:rsid w:val="00147791"/>
    <w:rsid w:val="001477F4"/>
    <w:rsid w:val="00147B3E"/>
    <w:rsid w:val="00147E99"/>
    <w:rsid w:val="00150056"/>
    <w:rsid w:val="0015007A"/>
    <w:rsid w:val="001501AF"/>
    <w:rsid w:val="0015095B"/>
    <w:rsid w:val="00150A4F"/>
    <w:rsid w:val="00150AEE"/>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A74"/>
    <w:rsid w:val="00160B1A"/>
    <w:rsid w:val="00160EB3"/>
    <w:rsid w:val="00161126"/>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3A"/>
    <w:rsid w:val="001754EE"/>
    <w:rsid w:val="00175520"/>
    <w:rsid w:val="001755D6"/>
    <w:rsid w:val="001755FC"/>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7A9"/>
    <w:rsid w:val="00180812"/>
    <w:rsid w:val="0018082C"/>
    <w:rsid w:val="00180C02"/>
    <w:rsid w:val="00180C73"/>
    <w:rsid w:val="00180CA5"/>
    <w:rsid w:val="00180DB8"/>
    <w:rsid w:val="00180DD5"/>
    <w:rsid w:val="001810AC"/>
    <w:rsid w:val="0018161C"/>
    <w:rsid w:val="0018176E"/>
    <w:rsid w:val="001818CE"/>
    <w:rsid w:val="00181B11"/>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C6F"/>
    <w:rsid w:val="00191DD2"/>
    <w:rsid w:val="00191E0F"/>
    <w:rsid w:val="00191EC5"/>
    <w:rsid w:val="001920C5"/>
    <w:rsid w:val="001922AC"/>
    <w:rsid w:val="001922FE"/>
    <w:rsid w:val="0019262E"/>
    <w:rsid w:val="0019275C"/>
    <w:rsid w:val="00192DC8"/>
    <w:rsid w:val="00192E36"/>
    <w:rsid w:val="00192ED2"/>
    <w:rsid w:val="001930FC"/>
    <w:rsid w:val="001932A6"/>
    <w:rsid w:val="0019344A"/>
    <w:rsid w:val="00193567"/>
    <w:rsid w:val="001939BF"/>
    <w:rsid w:val="00193D1E"/>
    <w:rsid w:val="00193FA0"/>
    <w:rsid w:val="00194512"/>
    <w:rsid w:val="001946EE"/>
    <w:rsid w:val="0019484D"/>
    <w:rsid w:val="00194A0F"/>
    <w:rsid w:val="00195512"/>
    <w:rsid w:val="00196088"/>
    <w:rsid w:val="001962D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3205"/>
    <w:rsid w:val="001A3266"/>
    <w:rsid w:val="001A332F"/>
    <w:rsid w:val="001A3653"/>
    <w:rsid w:val="001A3A1C"/>
    <w:rsid w:val="001A3A62"/>
    <w:rsid w:val="001A3C4B"/>
    <w:rsid w:val="001A4016"/>
    <w:rsid w:val="001A4259"/>
    <w:rsid w:val="001A446E"/>
    <w:rsid w:val="001A45AB"/>
    <w:rsid w:val="001A4C2D"/>
    <w:rsid w:val="001A4D24"/>
    <w:rsid w:val="001A4FE4"/>
    <w:rsid w:val="001A5720"/>
    <w:rsid w:val="001A58FB"/>
    <w:rsid w:val="001A59BE"/>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5D9"/>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6A0"/>
    <w:rsid w:val="001B3705"/>
    <w:rsid w:val="001B3734"/>
    <w:rsid w:val="001B3A7C"/>
    <w:rsid w:val="001B3EB5"/>
    <w:rsid w:val="001B400F"/>
    <w:rsid w:val="001B4075"/>
    <w:rsid w:val="001B42A3"/>
    <w:rsid w:val="001B43E8"/>
    <w:rsid w:val="001B4508"/>
    <w:rsid w:val="001B459A"/>
    <w:rsid w:val="001B4792"/>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580F"/>
    <w:rsid w:val="001C58C0"/>
    <w:rsid w:val="001C5C8A"/>
    <w:rsid w:val="001C6197"/>
    <w:rsid w:val="001C680C"/>
    <w:rsid w:val="001C68EB"/>
    <w:rsid w:val="001C6B35"/>
    <w:rsid w:val="001C6E36"/>
    <w:rsid w:val="001C6ECF"/>
    <w:rsid w:val="001C7433"/>
    <w:rsid w:val="001C77DB"/>
    <w:rsid w:val="001C79E6"/>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35D5"/>
    <w:rsid w:val="001D35E7"/>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6FD"/>
    <w:rsid w:val="001D7715"/>
    <w:rsid w:val="001E0259"/>
    <w:rsid w:val="001E035B"/>
    <w:rsid w:val="001E03CE"/>
    <w:rsid w:val="001E05B7"/>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B89"/>
    <w:rsid w:val="001F0C8D"/>
    <w:rsid w:val="001F1458"/>
    <w:rsid w:val="001F1882"/>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7CD"/>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B3A"/>
    <w:rsid w:val="0020610A"/>
    <w:rsid w:val="002064C9"/>
    <w:rsid w:val="00206676"/>
    <w:rsid w:val="0020687E"/>
    <w:rsid w:val="00206A85"/>
    <w:rsid w:val="00206CA4"/>
    <w:rsid w:val="002070EA"/>
    <w:rsid w:val="00207700"/>
    <w:rsid w:val="00207853"/>
    <w:rsid w:val="002079D9"/>
    <w:rsid w:val="00210269"/>
    <w:rsid w:val="002105BF"/>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53C"/>
    <w:rsid w:val="00216670"/>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86A"/>
    <w:rsid w:val="00221B95"/>
    <w:rsid w:val="00221CDB"/>
    <w:rsid w:val="00221CDE"/>
    <w:rsid w:val="00221D83"/>
    <w:rsid w:val="00221FFB"/>
    <w:rsid w:val="0022203A"/>
    <w:rsid w:val="00222570"/>
    <w:rsid w:val="00222764"/>
    <w:rsid w:val="00222A67"/>
    <w:rsid w:val="00222E0F"/>
    <w:rsid w:val="0022357E"/>
    <w:rsid w:val="00223715"/>
    <w:rsid w:val="002238D6"/>
    <w:rsid w:val="00223C56"/>
    <w:rsid w:val="00223E4D"/>
    <w:rsid w:val="00224042"/>
    <w:rsid w:val="00224460"/>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424B"/>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673"/>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D1B"/>
    <w:rsid w:val="00253F47"/>
    <w:rsid w:val="00253F7D"/>
    <w:rsid w:val="00253FB8"/>
    <w:rsid w:val="00254470"/>
    <w:rsid w:val="0025459C"/>
    <w:rsid w:val="002546A9"/>
    <w:rsid w:val="00255137"/>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AC3"/>
    <w:rsid w:val="00262ACD"/>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6140"/>
    <w:rsid w:val="0026615E"/>
    <w:rsid w:val="002664D5"/>
    <w:rsid w:val="00266567"/>
    <w:rsid w:val="00266588"/>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89B"/>
    <w:rsid w:val="00277C97"/>
    <w:rsid w:val="00277DBC"/>
    <w:rsid w:val="00277F8B"/>
    <w:rsid w:val="00280616"/>
    <w:rsid w:val="002806D9"/>
    <w:rsid w:val="0028080A"/>
    <w:rsid w:val="00280966"/>
    <w:rsid w:val="00280C3A"/>
    <w:rsid w:val="00280D64"/>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82E"/>
    <w:rsid w:val="00295995"/>
    <w:rsid w:val="00295A12"/>
    <w:rsid w:val="00295A33"/>
    <w:rsid w:val="00295B63"/>
    <w:rsid w:val="00295D26"/>
    <w:rsid w:val="00296014"/>
    <w:rsid w:val="002962E6"/>
    <w:rsid w:val="00296D2B"/>
    <w:rsid w:val="00296E89"/>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52B"/>
    <w:rsid w:val="002A2787"/>
    <w:rsid w:val="002A2B61"/>
    <w:rsid w:val="002A313A"/>
    <w:rsid w:val="002A3179"/>
    <w:rsid w:val="002A3257"/>
    <w:rsid w:val="002A3292"/>
    <w:rsid w:val="002A3A49"/>
    <w:rsid w:val="002A3CFD"/>
    <w:rsid w:val="002A4132"/>
    <w:rsid w:val="002A4221"/>
    <w:rsid w:val="002A466C"/>
    <w:rsid w:val="002A46B9"/>
    <w:rsid w:val="002A4EA4"/>
    <w:rsid w:val="002A5068"/>
    <w:rsid w:val="002A512D"/>
    <w:rsid w:val="002A52D1"/>
    <w:rsid w:val="002A5B34"/>
    <w:rsid w:val="002A5BCC"/>
    <w:rsid w:val="002A648C"/>
    <w:rsid w:val="002A6A37"/>
    <w:rsid w:val="002A70E4"/>
    <w:rsid w:val="002A728E"/>
    <w:rsid w:val="002A7347"/>
    <w:rsid w:val="002A75AE"/>
    <w:rsid w:val="002A7744"/>
    <w:rsid w:val="002A7A3E"/>
    <w:rsid w:val="002A7B9D"/>
    <w:rsid w:val="002A7DD5"/>
    <w:rsid w:val="002A7F12"/>
    <w:rsid w:val="002B038F"/>
    <w:rsid w:val="002B0486"/>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77"/>
    <w:rsid w:val="002B4078"/>
    <w:rsid w:val="002B44D3"/>
    <w:rsid w:val="002B45F9"/>
    <w:rsid w:val="002B4722"/>
    <w:rsid w:val="002B47A1"/>
    <w:rsid w:val="002B5080"/>
    <w:rsid w:val="002B534A"/>
    <w:rsid w:val="002B558F"/>
    <w:rsid w:val="002B5875"/>
    <w:rsid w:val="002B606D"/>
    <w:rsid w:val="002B60CB"/>
    <w:rsid w:val="002B627D"/>
    <w:rsid w:val="002B649E"/>
    <w:rsid w:val="002B64A3"/>
    <w:rsid w:val="002B65C7"/>
    <w:rsid w:val="002B6882"/>
    <w:rsid w:val="002B6B4F"/>
    <w:rsid w:val="002B6C64"/>
    <w:rsid w:val="002B6CFB"/>
    <w:rsid w:val="002B6D3A"/>
    <w:rsid w:val="002B6E97"/>
    <w:rsid w:val="002B72C1"/>
    <w:rsid w:val="002B7AD5"/>
    <w:rsid w:val="002B7BAF"/>
    <w:rsid w:val="002B7BEB"/>
    <w:rsid w:val="002B7CCD"/>
    <w:rsid w:val="002C0046"/>
    <w:rsid w:val="002C00E0"/>
    <w:rsid w:val="002C05F0"/>
    <w:rsid w:val="002C0661"/>
    <w:rsid w:val="002C089B"/>
    <w:rsid w:val="002C093A"/>
    <w:rsid w:val="002C0C05"/>
    <w:rsid w:val="002C0FF0"/>
    <w:rsid w:val="002C1656"/>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D53"/>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778"/>
    <w:rsid w:val="002D58F7"/>
    <w:rsid w:val="002D5C45"/>
    <w:rsid w:val="002D5CF9"/>
    <w:rsid w:val="002D5E62"/>
    <w:rsid w:val="002D5FFF"/>
    <w:rsid w:val="002D62A4"/>
    <w:rsid w:val="002D62A9"/>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1FE8"/>
    <w:rsid w:val="002E2748"/>
    <w:rsid w:val="002E2A70"/>
    <w:rsid w:val="002E2B77"/>
    <w:rsid w:val="002E37B5"/>
    <w:rsid w:val="002E380E"/>
    <w:rsid w:val="002E3B41"/>
    <w:rsid w:val="002E3DF0"/>
    <w:rsid w:val="002E4608"/>
    <w:rsid w:val="002E4671"/>
    <w:rsid w:val="002E4907"/>
    <w:rsid w:val="002E4E82"/>
    <w:rsid w:val="002E4EE2"/>
    <w:rsid w:val="002E5335"/>
    <w:rsid w:val="002E5734"/>
    <w:rsid w:val="002E5811"/>
    <w:rsid w:val="002E5AF7"/>
    <w:rsid w:val="002E5CF2"/>
    <w:rsid w:val="002E660A"/>
    <w:rsid w:val="002E6799"/>
    <w:rsid w:val="002E6C40"/>
    <w:rsid w:val="002E6CCF"/>
    <w:rsid w:val="002E6E72"/>
    <w:rsid w:val="002E706B"/>
    <w:rsid w:val="002E7523"/>
    <w:rsid w:val="002E7AA9"/>
    <w:rsid w:val="002E7ABC"/>
    <w:rsid w:val="002E7BCD"/>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79B"/>
    <w:rsid w:val="003067B0"/>
    <w:rsid w:val="00306914"/>
    <w:rsid w:val="00306DA0"/>
    <w:rsid w:val="00306FED"/>
    <w:rsid w:val="003076A7"/>
    <w:rsid w:val="003078FC"/>
    <w:rsid w:val="00307C81"/>
    <w:rsid w:val="0031002E"/>
    <w:rsid w:val="003100B4"/>
    <w:rsid w:val="00310475"/>
    <w:rsid w:val="0031051A"/>
    <w:rsid w:val="003107E7"/>
    <w:rsid w:val="00310AF2"/>
    <w:rsid w:val="00310CE4"/>
    <w:rsid w:val="0031100E"/>
    <w:rsid w:val="00311194"/>
    <w:rsid w:val="0031125F"/>
    <w:rsid w:val="0031136C"/>
    <w:rsid w:val="0031177F"/>
    <w:rsid w:val="00311B7B"/>
    <w:rsid w:val="00311F51"/>
    <w:rsid w:val="003122E8"/>
    <w:rsid w:val="00312635"/>
    <w:rsid w:val="00312B28"/>
    <w:rsid w:val="00312B96"/>
    <w:rsid w:val="00313B7C"/>
    <w:rsid w:val="00313C32"/>
    <w:rsid w:val="00314017"/>
    <w:rsid w:val="00314034"/>
    <w:rsid w:val="00314129"/>
    <w:rsid w:val="00314397"/>
    <w:rsid w:val="003144BA"/>
    <w:rsid w:val="00314523"/>
    <w:rsid w:val="00314645"/>
    <w:rsid w:val="003149A3"/>
    <w:rsid w:val="00315000"/>
    <w:rsid w:val="0031550B"/>
    <w:rsid w:val="00315540"/>
    <w:rsid w:val="00315A9D"/>
    <w:rsid w:val="00315E08"/>
    <w:rsid w:val="00316755"/>
    <w:rsid w:val="003169B6"/>
    <w:rsid w:val="00316C4B"/>
    <w:rsid w:val="00316C69"/>
    <w:rsid w:val="003171CB"/>
    <w:rsid w:val="00317261"/>
    <w:rsid w:val="0031736F"/>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92"/>
    <w:rsid w:val="00322CD0"/>
    <w:rsid w:val="00322ED9"/>
    <w:rsid w:val="00322FA3"/>
    <w:rsid w:val="00323450"/>
    <w:rsid w:val="00323BC5"/>
    <w:rsid w:val="00323BEB"/>
    <w:rsid w:val="00324673"/>
    <w:rsid w:val="00324B9B"/>
    <w:rsid w:val="00324D46"/>
    <w:rsid w:val="00324DE1"/>
    <w:rsid w:val="003250DD"/>
    <w:rsid w:val="003257CD"/>
    <w:rsid w:val="00325B0D"/>
    <w:rsid w:val="00325B56"/>
    <w:rsid w:val="00325DF1"/>
    <w:rsid w:val="003264E9"/>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4C0"/>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6C8"/>
    <w:rsid w:val="003537F3"/>
    <w:rsid w:val="00353907"/>
    <w:rsid w:val="00353C8B"/>
    <w:rsid w:val="00353E7D"/>
    <w:rsid w:val="003542D4"/>
    <w:rsid w:val="003543DA"/>
    <w:rsid w:val="00354514"/>
    <w:rsid w:val="0035483F"/>
    <w:rsid w:val="00354B65"/>
    <w:rsid w:val="00354B6B"/>
    <w:rsid w:val="00354B7A"/>
    <w:rsid w:val="00355439"/>
    <w:rsid w:val="003555F5"/>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3254"/>
    <w:rsid w:val="003733D9"/>
    <w:rsid w:val="003734B6"/>
    <w:rsid w:val="00373684"/>
    <w:rsid w:val="003738DA"/>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BE"/>
    <w:rsid w:val="00375EE8"/>
    <w:rsid w:val="00375FDA"/>
    <w:rsid w:val="00376585"/>
    <w:rsid w:val="00376651"/>
    <w:rsid w:val="00376816"/>
    <w:rsid w:val="00376844"/>
    <w:rsid w:val="00376D11"/>
    <w:rsid w:val="00376DE8"/>
    <w:rsid w:val="00376DEF"/>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E30"/>
    <w:rsid w:val="003823DC"/>
    <w:rsid w:val="0038251C"/>
    <w:rsid w:val="0038264C"/>
    <w:rsid w:val="00382880"/>
    <w:rsid w:val="00382A18"/>
    <w:rsid w:val="00382AA2"/>
    <w:rsid w:val="00382ACB"/>
    <w:rsid w:val="00382B3E"/>
    <w:rsid w:val="00382DAE"/>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5AD"/>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E4E"/>
    <w:rsid w:val="003930EB"/>
    <w:rsid w:val="003931D8"/>
    <w:rsid w:val="00393229"/>
    <w:rsid w:val="00393509"/>
    <w:rsid w:val="00393569"/>
    <w:rsid w:val="00393C42"/>
    <w:rsid w:val="00393E53"/>
    <w:rsid w:val="00393EFB"/>
    <w:rsid w:val="00394172"/>
    <w:rsid w:val="003942F1"/>
    <w:rsid w:val="00394705"/>
    <w:rsid w:val="0039480F"/>
    <w:rsid w:val="00394B28"/>
    <w:rsid w:val="00395151"/>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0A"/>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D90"/>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498"/>
    <w:rsid w:val="003B28BC"/>
    <w:rsid w:val="003B29FE"/>
    <w:rsid w:val="003B32F5"/>
    <w:rsid w:val="003B38CD"/>
    <w:rsid w:val="003B3A56"/>
    <w:rsid w:val="003B3D10"/>
    <w:rsid w:val="003B3F0A"/>
    <w:rsid w:val="003B44FE"/>
    <w:rsid w:val="003B46B5"/>
    <w:rsid w:val="003B4849"/>
    <w:rsid w:val="003B4A40"/>
    <w:rsid w:val="003B4A70"/>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CCE"/>
    <w:rsid w:val="003B7ECE"/>
    <w:rsid w:val="003C00AB"/>
    <w:rsid w:val="003C0309"/>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DB9"/>
    <w:rsid w:val="003C3F26"/>
    <w:rsid w:val="003C40A4"/>
    <w:rsid w:val="003C44E3"/>
    <w:rsid w:val="003C45A6"/>
    <w:rsid w:val="003C4DC1"/>
    <w:rsid w:val="003C4ED1"/>
    <w:rsid w:val="003C4EEA"/>
    <w:rsid w:val="003C511B"/>
    <w:rsid w:val="003C53A9"/>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B9D"/>
    <w:rsid w:val="003D4E2B"/>
    <w:rsid w:val="003D4F92"/>
    <w:rsid w:val="003D50C5"/>
    <w:rsid w:val="003D576D"/>
    <w:rsid w:val="003D5CD5"/>
    <w:rsid w:val="003D6151"/>
    <w:rsid w:val="003D61CE"/>
    <w:rsid w:val="003D6235"/>
    <w:rsid w:val="003D6672"/>
    <w:rsid w:val="003D670E"/>
    <w:rsid w:val="003D684E"/>
    <w:rsid w:val="003D690B"/>
    <w:rsid w:val="003D69FF"/>
    <w:rsid w:val="003D6CA1"/>
    <w:rsid w:val="003D6EE8"/>
    <w:rsid w:val="003D6F6F"/>
    <w:rsid w:val="003D728F"/>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7EE"/>
    <w:rsid w:val="003E3860"/>
    <w:rsid w:val="003E3A1D"/>
    <w:rsid w:val="003E3A8B"/>
    <w:rsid w:val="003E3B82"/>
    <w:rsid w:val="003E3CC2"/>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F01F6"/>
    <w:rsid w:val="003F020C"/>
    <w:rsid w:val="003F033C"/>
    <w:rsid w:val="003F03C4"/>
    <w:rsid w:val="003F04C5"/>
    <w:rsid w:val="003F066F"/>
    <w:rsid w:val="003F07C3"/>
    <w:rsid w:val="003F0C9B"/>
    <w:rsid w:val="003F110B"/>
    <w:rsid w:val="003F1299"/>
    <w:rsid w:val="003F1C0F"/>
    <w:rsid w:val="003F1F1D"/>
    <w:rsid w:val="003F232B"/>
    <w:rsid w:val="003F2A8C"/>
    <w:rsid w:val="003F2CEF"/>
    <w:rsid w:val="003F2DEE"/>
    <w:rsid w:val="003F307C"/>
    <w:rsid w:val="003F31AE"/>
    <w:rsid w:val="003F325F"/>
    <w:rsid w:val="003F3282"/>
    <w:rsid w:val="003F34C8"/>
    <w:rsid w:val="003F3650"/>
    <w:rsid w:val="003F3733"/>
    <w:rsid w:val="003F3919"/>
    <w:rsid w:val="003F39F1"/>
    <w:rsid w:val="003F3B8F"/>
    <w:rsid w:val="003F3CE3"/>
    <w:rsid w:val="003F416F"/>
    <w:rsid w:val="003F41F2"/>
    <w:rsid w:val="003F441C"/>
    <w:rsid w:val="003F443F"/>
    <w:rsid w:val="003F44C8"/>
    <w:rsid w:val="003F45EB"/>
    <w:rsid w:val="003F46B8"/>
    <w:rsid w:val="003F4D21"/>
    <w:rsid w:val="003F4DA7"/>
    <w:rsid w:val="003F576C"/>
    <w:rsid w:val="003F57F4"/>
    <w:rsid w:val="003F5BB3"/>
    <w:rsid w:val="003F5C8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7D2"/>
    <w:rsid w:val="003F77F7"/>
    <w:rsid w:val="003F78D8"/>
    <w:rsid w:val="003F7FAC"/>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D05"/>
    <w:rsid w:val="00401FCB"/>
    <w:rsid w:val="0040203A"/>
    <w:rsid w:val="00402B30"/>
    <w:rsid w:val="00402C69"/>
    <w:rsid w:val="0040305F"/>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5F2A"/>
    <w:rsid w:val="00406009"/>
    <w:rsid w:val="004065C4"/>
    <w:rsid w:val="004066EE"/>
    <w:rsid w:val="00406765"/>
    <w:rsid w:val="00406B9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12AE"/>
    <w:rsid w:val="00411903"/>
    <w:rsid w:val="00411CCB"/>
    <w:rsid w:val="00411E7E"/>
    <w:rsid w:val="00411F4F"/>
    <w:rsid w:val="00412042"/>
    <w:rsid w:val="004124B3"/>
    <w:rsid w:val="00412535"/>
    <w:rsid w:val="004126DB"/>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73EB"/>
    <w:rsid w:val="00417B31"/>
    <w:rsid w:val="0042018B"/>
    <w:rsid w:val="004203E3"/>
    <w:rsid w:val="00420556"/>
    <w:rsid w:val="0042055A"/>
    <w:rsid w:val="00420BD0"/>
    <w:rsid w:val="00420CB0"/>
    <w:rsid w:val="00420F40"/>
    <w:rsid w:val="0042114F"/>
    <w:rsid w:val="00421840"/>
    <w:rsid w:val="00421975"/>
    <w:rsid w:val="00421983"/>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865"/>
    <w:rsid w:val="00427876"/>
    <w:rsid w:val="004278E6"/>
    <w:rsid w:val="00427D09"/>
    <w:rsid w:val="00430012"/>
    <w:rsid w:val="004302B7"/>
    <w:rsid w:val="0043054F"/>
    <w:rsid w:val="00430567"/>
    <w:rsid w:val="0043063B"/>
    <w:rsid w:val="004308E5"/>
    <w:rsid w:val="004309E8"/>
    <w:rsid w:val="00430DFD"/>
    <w:rsid w:val="00431096"/>
    <w:rsid w:val="004322D4"/>
    <w:rsid w:val="00432570"/>
    <w:rsid w:val="0043269D"/>
    <w:rsid w:val="00432A76"/>
    <w:rsid w:val="00432F05"/>
    <w:rsid w:val="004330BC"/>
    <w:rsid w:val="00433783"/>
    <w:rsid w:val="0043396B"/>
    <w:rsid w:val="00433AD1"/>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D10"/>
    <w:rsid w:val="004362BB"/>
    <w:rsid w:val="004368AE"/>
    <w:rsid w:val="004369C6"/>
    <w:rsid w:val="00436CDF"/>
    <w:rsid w:val="00437330"/>
    <w:rsid w:val="004378EC"/>
    <w:rsid w:val="004379D0"/>
    <w:rsid w:val="00440018"/>
    <w:rsid w:val="0044040B"/>
    <w:rsid w:val="00440604"/>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80C"/>
    <w:rsid w:val="00446A40"/>
    <w:rsid w:val="00446CE8"/>
    <w:rsid w:val="004477EF"/>
    <w:rsid w:val="00447895"/>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7BF"/>
    <w:rsid w:val="0045781E"/>
    <w:rsid w:val="00457863"/>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1D0"/>
    <w:rsid w:val="0046566C"/>
    <w:rsid w:val="0046581F"/>
    <w:rsid w:val="00465877"/>
    <w:rsid w:val="00465A90"/>
    <w:rsid w:val="00465AEB"/>
    <w:rsid w:val="00465CC2"/>
    <w:rsid w:val="00466357"/>
    <w:rsid w:val="004665D2"/>
    <w:rsid w:val="0046689D"/>
    <w:rsid w:val="00466AB7"/>
    <w:rsid w:val="00466B35"/>
    <w:rsid w:val="00466C93"/>
    <w:rsid w:val="00466D14"/>
    <w:rsid w:val="00466DE0"/>
    <w:rsid w:val="00467357"/>
    <w:rsid w:val="00467610"/>
    <w:rsid w:val="004677AB"/>
    <w:rsid w:val="00467906"/>
    <w:rsid w:val="00467B7D"/>
    <w:rsid w:val="00467CFF"/>
    <w:rsid w:val="00467E58"/>
    <w:rsid w:val="00467FAA"/>
    <w:rsid w:val="00467FFC"/>
    <w:rsid w:val="00470031"/>
    <w:rsid w:val="004700AF"/>
    <w:rsid w:val="00470228"/>
    <w:rsid w:val="0047030E"/>
    <w:rsid w:val="0047041D"/>
    <w:rsid w:val="004707D6"/>
    <w:rsid w:val="00470B1D"/>
    <w:rsid w:val="00470D18"/>
    <w:rsid w:val="00470F57"/>
    <w:rsid w:val="0047102C"/>
    <w:rsid w:val="00471068"/>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75A"/>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402"/>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2BC"/>
    <w:rsid w:val="004B277F"/>
    <w:rsid w:val="004B28A2"/>
    <w:rsid w:val="004B2BFD"/>
    <w:rsid w:val="004B33B9"/>
    <w:rsid w:val="004B340E"/>
    <w:rsid w:val="004B3420"/>
    <w:rsid w:val="004B37E4"/>
    <w:rsid w:val="004B399F"/>
    <w:rsid w:val="004B39D5"/>
    <w:rsid w:val="004B39F4"/>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C0571"/>
    <w:rsid w:val="004C093C"/>
    <w:rsid w:val="004C0BC9"/>
    <w:rsid w:val="004C0DF1"/>
    <w:rsid w:val="004C0DF8"/>
    <w:rsid w:val="004C0E96"/>
    <w:rsid w:val="004C0EF6"/>
    <w:rsid w:val="004C1479"/>
    <w:rsid w:val="004C14A0"/>
    <w:rsid w:val="004C1697"/>
    <w:rsid w:val="004C1747"/>
    <w:rsid w:val="004C17DD"/>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65F"/>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F3E"/>
    <w:rsid w:val="004D05F3"/>
    <w:rsid w:val="004D08BF"/>
    <w:rsid w:val="004D0B9F"/>
    <w:rsid w:val="004D0C77"/>
    <w:rsid w:val="004D0CDF"/>
    <w:rsid w:val="004D0DD6"/>
    <w:rsid w:val="004D0FF1"/>
    <w:rsid w:val="004D1027"/>
    <w:rsid w:val="004D12D2"/>
    <w:rsid w:val="004D13B6"/>
    <w:rsid w:val="004D156A"/>
    <w:rsid w:val="004D1B28"/>
    <w:rsid w:val="004D1D5E"/>
    <w:rsid w:val="004D1E00"/>
    <w:rsid w:val="004D1FEF"/>
    <w:rsid w:val="004D238F"/>
    <w:rsid w:val="004D323C"/>
    <w:rsid w:val="004D35C6"/>
    <w:rsid w:val="004D378E"/>
    <w:rsid w:val="004D3797"/>
    <w:rsid w:val="004D3A2C"/>
    <w:rsid w:val="004D3B94"/>
    <w:rsid w:val="004D3BF7"/>
    <w:rsid w:val="004D3FDF"/>
    <w:rsid w:val="004D4312"/>
    <w:rsid w:val="004D4544"/>
    <w:rsid w:val="004D4647"/>
    <w:rsid w:val="004D4C47"/>
    <w:rsid w:val="004D5477"/>
    <w:rsid w:val="004D5745"/>
    <w:rsid w:val="004D593D"/>
    <w:rsid w:val="004D5CD9"/>
    <w:rsid w:val="004D5E82"/>
    <w:rsid w:val="004D5F42"/>
    <w:rsid w:val="004D602D"/>
    <w:rsid w:val="004D6CF4"/>
    <w:rsid w:val="004D6E44"/>
    <w:rsid w:val="004D6EDA"/>
    <w:rsid w:val="004D6F65"/>
    <w:rsid w:val="004D6F6B"/>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200"/>
    <w:rsid w:val="004E3415"/>
    <w:rsid w:val="004E3543"/>
    <w:rsid w:val="004E366E"/>
    <w:rsid w:val="004E39FA"/>
    <w:rsid w:val="004E3AE0"/>
    <w:rsid w:val="004E3C70"/>
    <w:rsid w:val="004E3EFB"/>
    <w:rsid w:val="004E3F8C"/>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6D"/>
    <w:rsid w:val="00512BA1"/>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E9F"/>
    <w:rsid w:val="00516F49"/>
    <w:rsid w:val="00516FE4"/>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1ABB"/>
    <w:rsid w:val="0052209B"/>
    <w:rsid w:val="005221B2"/>
    <w:rsid w:val="005223A5"/>
    <w:rsid w:val="0052243A"/>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CA2"/>
    <w:rsid w:val="005300DA"/>
    <w:rsid w:val="00530157"/>
    <w:rsid w:val="00530208"/>
    <w:rsid w:val="00530472"/>
    <w:rsid w:val="005304E0"/>
    <w:rsid w:val="005308E1"/>
    <w:rsid w:val="00530CAC"/>
    <w:rsid w:val="00531062"/>
    <w:rsid w:val="00531595"/>
    <w:rsid w:val="00531B26"/>
    <w:rsid w:val="0053232E"/>
    <w:rsid w:val="005323F1"/>
    <w:rsid w:val="005328B7"/>
    <w:rsid w:val="0053290C"/>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8B3"/>
    <w:rsid w:val="00535B25"/>
    <w:rsid w:val="00535C32"/>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454"/>
    <w:rsid w:val="00544918"/>
    <w:rsid w:val="00544928"/>
    <w:rsid w:val="0054498D"/>
    <w:rsid w:val="00544B77"/>
    <w:rsid w:val="00544E23"/>
    <w:rsid w:val="00544E54"/>
    <w:rsid w:val="00545062"/>
    <w:rsid w:val="0054534A"/>
    <w:rsid w:val="0054540D"/>
    <w:rsid w:val="005459D3"/>
    <w:rsid w:val="00545C38"/>
    <w:rsid w:val="00545D61"/>
    <w:rsid w:val="00545F99"/>
    <w:rsid w:val="005462CB"/>
    <w:rsid w:val="00546375"/>
    <w:rsid w:val="0054653E"/>
    <w:rsid w:val="00546B02"/>
    <w:rsid w:val="00546D0E"/>
    <w:rsid w:val="00546D78"/>
    <w:rsid w:val="0054707A"/>
    <w:rsid w:val="005473EA"/>
    <w:rsid w:val="005475E1"/>
    <w:rsid w:val="0054763F"/>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EB0"/>
    <w:rsid w:val="00551FED"/>
    <w:rsid w:val="00552C21"/>
    <w:rsid w:val="00552DB9"/>
    <w:rsid w:val="00553081"/>
    <w:rsid w:val="005535AA"/>
    <w:rsid w:val="0055362B"/>
    <w:rsid w:val="005536A7"/>
    <w:rsid w:val="005537A2"/>
    <w:rsid w:val="00553DAD"/>
    <w:rsid w:val="00554683"/>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E35"/>
    <w:rsid w:val="00556F11"/>
    <w:rsid w:val="00556FD5"/>
    <w:rsid w:val="00557019"/>
    <w:rsid w:val="005570F7"/>
    <w:rsid w:val="0055711F"/>
    <w:rsid w:val="00557270"/>
    <w:rsid w:val="00557359"/>
    <w:rsid w:val="00557827"/>
    <w:rsid w:val="00557B9E"/>
    <w:rsid w:val="00557DE4"/>
    <w:rsid w:val="00557F82"/>
    <w:rsid w:val="00560102"/>
    <w:rsid w:val="005606DA"/>
    <w:rsid w:val="005609D2"/>
    <w:rsid w:val="00560A3D"/>
    <w:rsid w:val="005610A0"/>
    <w:rsid w:val="005610C2"/>
    <w:rsid w:val="005612D0"/>
    <w:rsid w:val="00561631"/>
    <w:rsid w:val="0056185C"/>
    <w:rsid w:val="00561E6D"/>
    <w:rsid w:val="00561F9C"/>
    <w:rsid w:val="00561FED"/>
    <w:rsid w:val="005621A6"/>
    <w:rsid w:val="005623E8"/>
    <w:rsid w:val="005625F4"/>
    <w:rsid w:val="005626BF"/>
    <w:rsid w:val="005629B1"/>
    <w:rsid w:val="00562BBA"/>
    <w:rsid w:val="0056371A"/>
    <w:rsid w:val="00563955"/>
    <w:rsid w:val="005639FD"/>
    <w:rsid w:val="00563B74"/>
    <w:rsid w:val="00563D08"/>
    <w:rsid w:val="00563DFF"/>
    <w:rsid w:val="00563E54"/>
    <w:rsid w:val="00563F16"/>
    <w:rsid w:val="00563F47"/>
    <w:rsid w:val="00563F55"/>
    <w:rsid w:val="00564021"/>
    <w:rsid w:val="0056431B"/>
    <w:rsid w:val="005643B1"/>
    <w:rsid w:val="005647DB"/>
    <w:rsid w:val="005648E4"/>
    <w:rsid w:val="00564B70"/>
    <w:rsid w:val="00565272"/>
    <w:rsid w:val="00565921"/>
    <w:rsid w:val="00565D02"/>
    <w:rsid w:val="00565F56"/>
    <w:rsid w:val="0056637F"/>
    <w:rsid w:val="00566394"/>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8A8"/>
    <w:rsid w:val="00571942"/>
    <w:rsid w:val="00571B5A"/>
    <w:rsid w:val="00571B64"/>
    <w:rsid w:val="005721A4"/>
    <w:rsid w:val="00572203"/>
    <w:rsid w:val="005722BC"/>
    <w:rsid w:val="005723B6"/>
    <w:rsid w:val="005723BB"/>
    <w:rsid w:val="00572585"/>
    <w:rsid w:val="0057289B"/>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822"/>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664"/>
    <w:rsid w:val="00580CCE"/>
    <w:rsid w:val="005814E6"/>
    <w:rsid w:val="0058172C"/>
    <w:rsid w:val="00581958"/>
    <w:rsid w:val="00581A42"/>
    <w:rsid w:val="00581C03"/>
    <w:rsid w:val="00581D7D"/>
    <w:rsid w:val="005821CC"/>
    <w:rsid w:val="00582D68"/>
    <w:rsid w:val="00582E7D"/>
    <w:rsid w:val="00582E8D"/>
    <w:rsid w:val="005833D3"/>
    <w:rsid w:val="00583944"/>
    <w:rsid w:val="00583E5F"/>
    <w:rsid w:val="00584205"/>
    <w:rsid w:val="00584757"/>
    <w:rsid w:val="00584BFE"/>
    <w:rsid w:val="00584D23"/>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CF9"/>
    <w:rsid w:val="00586E61"/>
    <w:rsid w:val="00586F26"/>
    <w:rsid w:val="00587122"/>
    <w:rsid w:val="00587E8E"/>
    <w:rsid w:val="00590248"/>
    <w:rsid w:val="005903FA"/>
    <w:rsid w:val="0059077C"/>
    <w:rsid w:val="00590885"/>
    <w:rsid w:val="0059100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3DE3"/>
    <w:rsid w:val="005940A3"/>
    <w:rsid w:val="00594376"/>
    <w:rsid w:val="00594451"/>
    <w:rsid w:val="0059465D"/>
    <w:rsid w:val="005949B6"/>
    <w:rsid w:val="00594A07"/>
    <w:rsid w:val="00594A50"/>
    <w:rsid w:val="005951D7"/>
    <w:rsid w:val="0059526A"/>
    <w:rsid w:val="005958A4"/>
    <w:rsid w:val="005958A8"/>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315"/>
    <w:rsid w:val="005A4487"/>
    <w:rsid w:val="005A4977"/>
    <w:rsid w:val="005A4A3A"/>
    <w:rsid w:val="005A4ECB"/>
    <w:rsid w:val="005A5135"/>
    <w:rsid w:val="005A54D4"/>
    <w:rsid w:val="005A5B14"/>
    <w:rsid w:val="005A5BDE"/>
    <w:rsid w:val="005A602F"/>
    <w:rsid w:val="005A60E0"/>
    <w:rsid w:val="005A633C"/>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BE2"/>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913"/>
    <w:rsid w:val="005B7E45"/>
    <w:rsid w:val="005B7F65"/>
    <w:rsid w:val="005C0039"/>
    <w:rsid w:val="005C0448"/>
    <w:rsid w:val="005C0981"/>
    <w:rsid w:val="005C098F"/>
    <w:rsid w:val="005C0A6A"/>
    <w:rsid w:val="005C0A8D"/>
    <w:rsid w:val="005C0BF7"/>
    <w:rsid w:val="005C0BFD"/>
    <w:rsid w:val="005C1201"/>
    <w:rsid w:val="005C131D"/>
    <w:rsid w:val="005C1634"/>
    <w:rsid w:val="005C1AC5"/>
    <w:rsid w:val="005C1B7D"/>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A7E"/>
    <w:rsid w:val="005C5B7B"/>
    <w:rsid w:val="005C5BE0"/>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77F"/>
    <w:rsid w:val="005D07C9"/>
    <w:rsid w:val="005D084C"/>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565"/>
    <w:rsid w:val="005D4997"/>
    <w:rsid w:val="005D51F0"/>
    <w:rsid w:val="005D5298"/>
    <w:rsid w:val="005D52A1"/>
    <w:rsid w:val="005D52CC"/>
    <w:rsid w:val="005D532B"/>
    <w:rsid w:val="005D5392"/>
    <w:rsid w:val="005D54EF"/>
    <w:rsid w:val="005D5533"/>
    <w:rsid w:val="005D55A7"/>
    <w:rsid w:val="005D55D2"/>
    <w:rsid w:val="005D56BC"/>
    <w:rsid w:val="005D5C1F"/>
    <w:rsid w:val="005D603E"/>
    <w:rsid w:val="005D60C9"/>
    <w:rsid w:val="005D613F"/>
    <w:rsid w:val="005D6198"/>
    <w:rsid w:val="005D660C"/>
    <w:rsid w:val="005D678B"/>
    <w:rsid w:val="005D6C8E"/>
    <w:rsid w:val="005D73A6"/>
    <w:rsid w:val="005D7574"/>
    <w:rsid w:val="005D77C7"/>
    <w:rsid w:val="005D790D"/>
    <w:rsid w:val="005D7951"/>
    <w:rsid w:val="005E018B"/>
    <w:rsid w:val="005E0660"/>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2C3"/>
    <w:rsid w:val="005E6317"/>
    <w:rsid w:val="005E636F"/>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8D"/>
    <w:rsid w:val="005F1D8D"/>
    <w:rsid w:val="005F21C9"/>
    <w:rsid w:val="005F247D"/>
    <w:rsid w:val="005F26B1"/>
    <w:rsid w:val="005F2EF6"/>
    <w:rsid w:val="005F30BF"/>
    <w:rsid w:val="005F372C"/>
    <w:rsid w:val="005F3739"/>
    <w:rsid w:val="005F3E71"/>
    <w:rsid w:val="005F3FB8"/>
    <w:rsid w:val="005F4312"/>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600131"/>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987"/>
    <w:rsid w:val="00602BEF"/>
    <w:rsid w:val="00602E57"/>
    <w:rsid w:val="00603012"/>
    <w:rsid w:val="006030BB"/>
    <w:rsid w:val="006030BD"/>
    <w:rsid w:val="00603808"/>
    <w:rsid w:val="00603C02"/>
    <w:rsid w:val="00603C48"/>
    <w:rsid w:val="006047B1"/>
    <w:rsid w:val="006047D4"/>
    <w:rsid w:val="00604C70"/>
    <w:rsid w:val="00604DE8"/>
    <w:rsid w:val="006051A9"/>
    <w:rsid w:val="006051F3"/>
    <w:rsid w:val="00605261"/>
    <w:rsid w:val="0060548A"/>
    <w:rsid w:val="006054D2"/>
    <w:rsid w:val="006055B8"/>
    <w:rsid w:val="0060563D"/>
    <w:rsid w:val="00605BE0"/>
    <w:rsid w:val="00605BE6"/>
    <w:rsid w:val="00605FAA"/>
    <w:rsid w:val="006064F1"/>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2"/>
    <w:rsid w:val="0061557B"/>
    <w:rsid w:val="006160C4"/>
    <w:rsid w:val="00616265"/>
    <w:rsid w:val="006163CF"/>
    <w:rsid w:val="0061668C"/>
    <w:rsid w:val="00616B95"/>
    <w:rsid w:val="00616F43"/>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A9"/>
    <w:rsid w:val="006307DF"/>
    <w:rsid w:val="00630A60"/>
    <w:rsid w:val="00630EB3"/>
    <w:rsid w:val="00630F9E"/>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A6B"/>
    <w:rsid w:val="00634C12"/>
    <w:rsid w:val="00634C5F"/>
    <w:rsid w:val="00634CB5"/>
    <w:rsid w:val="00634D24"/>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1C9"/>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E89"/>
    <w:rsid w:val="00660EFE"/>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5CEA"/>
    <w:rsid w:val="00666084"/>
    <w:rsid w:val="006661EA"/>
    <w:rsid w:val="00666215"/>
    <w:rsid w:val="00666499"/>
    <w:rsid w:val="0066655F"/>
    <w:rsid w:val="006665CB"/>
    <w:rsid w:val="0066661F"/>
    <w:rsid w:val="00666B90"/>
    <w:rsid w:val="00666C1E"/>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5B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3C8"/>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1FD"/>
    <w:rsid w:val="0069432C"/>
    <w:rsid w:val="006945B4"/>
    <w:rsid w:val="00694630"/>
    <w:rsid w:val="0069471C"/>
    <w:rsid w:val="00694A94"/>
    <w:rsid w:val="00694C68"/>
    <w:rsid w:val="00694E98"/>
    <w:rsid w:val="0069509A"/>
    <w:rsid w:val="006952CE"/>
    <w:rsid w:val="00695629"/>
    <w:rsid w:val="006956AF"/>
    <w:rsid w:val="00695792"/>
    <w:rsid w:val="00695BC0"/>
    <w:rsid w:val="00695C46"/>
    <w:rsid w:val="00695D25"/>
    <w:rsid w:val="00696041"/>
    <w:rsid w:val="006963CB"/>
    <w:rsid w:val="006969DC"/>
    <w:rsid w:val="00696E73"/>
    <w:rsid w:val="00696EAD"/>
    <w:rsid w:val="00696EF5"/>
    <w:rsid w:val="006971B0"/>
    <w:rsid w:val="00697310"/>
    <w:rsid w:val="00697441"/>
    <w:rsid w:val="00697C5A"/>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68E"/>
    <w:rsid w:val="006A677A"/>
    <w:rsid w:val="006A6BD0"/>
    <w:rsid w:val="006A6C22"/>
    <w:rsid w:val="006A6C6C"/>
    <w:rsid w:val="006A6D16"/>
    <w:rsid w:val="006A6E8C"/>
    <w:rsid w:val="006A70FE"/>
    <w:rsid w:val="006A7227"/>
    <w:rsid w:val="006A735B"/>
    <w:rsid w:val="006A7738"/>
    <w:rsid w:val="006A77C7"/>
    <w:rsid w:val="006A7DBE"/>
    <w:rsid w:val="006A7F52"/>
    <w:rsid w:val="006A7FF0"/>
    <w:rsid w:val="006B028F"/>
    <w:rsid w:val="006B0483"/>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570A"/>
    <w:rsid w:val="006B5715"/>
    <w:rsid w:val="006B5878"/>
    <w:rsid w:val="006B5A61"/>
    <w:rsid w:val="006B648C"/>
    <w:rsid w:val="006B6546"/>
    <w:rsid w:val="006B6728"/>
    <w:rsid w:val="006B6CB7"/>
    <w:rsid w:val="006B6D0B"/>
    <w:rsid w:val="006B6ED5"/>
    <w:rsid w:val="006B6F1F"/>
    <w:rsid w:val="006B6F7D"/>
    <w:rsid w:val="006B7082"/>
    <w:rsid w:val="006B709A"/>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A21"/>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F68"/>
    <w:rsid w:val="006C61F8"/>
    <w:rsid w:val="006C64D5"/>
    <w:rsid w:val="006C67DA"/>
    <w:rsid w:val="006C684F"/>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696"/>
    <w:rsid w:val="006E5BBA"/>
    <w:rsid w:val="006E6338"/>
    <w:rsid w:val="006E66A7"/>
    <w:rsid w:val="006E68C1"/>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2FE"/>
    <w:rsid w:val="006F6337"/>
    <w:rsid w:val="006F6502"/>
    <w:rsid w:val="006F6847"/>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7B7"/>
    <w:rsid w:val="007039BA"/>
    <w:rsid w:val="00703AFB"/>
    <w:rsid w:val="00703EFD"/>
    <w:rsid w:val="007040E6"/>
    <w:rsid w:val="007044BB"/>
    <w:rsid w:val="0070488F"/>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0F2"/>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A05"/>
    <w:rsid w:val="00730C79"/>
    <w:rsid w:val="007312CA"/>
    <w:rsid w:val="007317E5"/>
    <w:rsid w:val="0073183B"/>
    <w:rsid w:val="00731859"/>
    <w:rsid w:val="007318DD"/>
    <w:rsid w:val="00731D48"/>
    <w:rsid w:val="00731DB2"/>
    <w:rsid w:val="00731E1F"/>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777"/>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0951"/>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403"/>
    <w:rsid w:val="00744A81"/>
    <w:rsid w:val="00744AF4"/>
    <w:rsid w:val="00744C07"/>
    <w:rsid w:val="00744EE4"/>
    <w:rsid w:val="007457BD"/>
    <w:rsid w:val="0074586F"/>
    <w:rsid w:val="007459BF"/>
    <w:rsid w:val="00745A65"/>
    <w:rsid w:val="00745CA3"/>
    <w:rsid w:val="00745D71"/>
    <w:rsid w:val="007460AE"/>
    <w:rsid w:val="00746214"/>
    <w:rsid w:val="007463AA"/>
    <w:rsid w:val="00746512"/>
    <w:rsid w:val="007468D5"/>
    <w:rsid w:val="00746F46"/>
    <w:rsid w:val="007471F8"/>
    <w:rsid w:val="00747516"/>
    <w:rsid w:val="0074755D"/>
    <w:rsid w:val="007476F0"/>
    <w:rsid w:val="00747949"/>
    <w:rsid w:val="00747BB2"/>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D1B"/>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FCC"/>
    <w:rsid w:val="0077510C"/>
    <w:rsid w:val="00775284"/>
    <w:rsid w:val="00775886"/>
    <w:rsid w:val="00775934"/>
    <w:rsid w:val="00775974"/>
    <w:rsid w:val="00775CBC"/>
    <w:rsid w:val="00775F0A"/>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42F"/>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3CA"/>
    <w:rsid w:val="007834F3"/>
    <w:rsid w:val="00783A1E"/>
    <w:rsid w:val="00783B53"/>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CE9"/>
    <w:rsid w:val="00786D0E"/>
    <w:rsid w:val="00786D77"/>
    <w:rsid w:val="00787634"/>
    <w:rsid w:val="0078784E"/>
    <w:rsid w:val="00787999"/>
    <w:rsid w:val="0079035A"/>
    <w:rsid w:val="007906A1"/>
    <w:rsid w:val="007906F9"/>
    <w:rsid w:val="007907BA"/>
    <w:rsid w:val="00790A2B"/>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848"/>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ED6"/>
    <w:rsid w:val="007A71D7"/>
    <w:rsid w:val="007A7600"/>
    <w:rsid w:val="007A7960"/>
    <w:rsid w:val="007B0002"/>
    <w:rsid w:val="007B017D"/>
    <w:rsid w:val="007B01AF"/>
    <w:rsid w:val="007B02C5"/>
    <w:rsid w:val="007B075C"/>
    <w:rsid w:val="007B083D"/>
    <w:rsid w:val="007B09B4"/>
    <w:rsid w:val="007B09D1"/>
    <w:rsid w:val="007B0ACC"/>
    <w:rsid w:val="007B1265"/>
    <w:rsid w:val="007B13D3"/>
    <w:rsid w:val="007B1A21"/>
    <w:rsid w:val="007B1ACD"/>
    <w:rsid w:val="007B21B1"/>
    <w:rsid w:val="007B234D"/>
    <w:rsid w:val="007B2840"/>
    <w:rsid w:val="007B28B4"/>
    <w:rsid w:val="007B2E7A"/>
    <w:rsid w:val="007B2FDF"/>
    <w:rsid w:val="007B30EA"/>
    <w:rsid w:val="007B33D2"/>
    <w:rsid w:val="007B354B"/>
    <w:rsid w:val="007B3A86"/>
    <w:rsid w:val="007B3DE7"/>
    <w:rsid w:val="007B4246"/>
    <w:rsid w:val="007B43A1"/>
    <w:rsid w:val="007B4499"/>
    <w:rsid w:val="007B473D"/>
    <w:rsid w:val="007B4BF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3C45"/>
    <w:rsid w:val="007C4201"/>
    <w:rsid w:val="007C463C"/>
    <w:rsid w:val="007C46BA"/>
    <w:rsid w:val="007C4ABD"/>
    <w:rsid w:val="007C4B44"/>
    <w:rsid w:val="007C5273"/>
    <w:rsid w:val="007C59EB"/>
    <w:rsid w:val="007C5A14"/>
    <w:rsid w:val="007C5C83"/>
    <w:rsid w:val="007C5D8A"/>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AAC"/>
    <w:rsid w:val="007D3AEC"/>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551"/>
    <w:rsid w:val="007D67A4"/>
    <w:rsid w:val="007D69BC"/>
    <w:rsid w:val="007D6AFB"/>
    <w:rsid w:val="007D6BAA"/>
    <w:rsid w:val="007D6D5E"/>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7FC"/>
    <w:rsid w:val="007E6AAB"/>
    <w:rsid w:val="007E6FAA"/>
    <w:rsid w:val="007E74BD"/>
    <w:rsid w:val="007E7501"/>
    <w:rsid w:val="007E756C"/>
    <w:rsid w:val="007E76CD"/>
    <w:rsid w:val="007E7B9F"/>
    <w:rsid w:val="007E7D0D"/>
    <w:rsid w:val="007E7E1C"/>
    <w:rsid w:val="007F0776"/>
    <w:rsid w:val="007F07F4"/>
    <w:rsid w:val="007F07FD"/>
    <w:rsid w:val="007F0BF6"/>
    <w:rsid w:val="007F0CB8"/>
    <w:rsid w:val="007F0FD2"/>
    <w:rsid w:val="007F1016"/>
    <w:rsid w:val="007F10FC"/>
    <w:rsid w:val="007F142B"/>
    <w:rsid w:val="007F190C"/>
    <w:rsid w:val="007F19AA"/>
    <w:rsid w:val="007F2272"/>
    <w:rsid w:val="007F2306"/>
    <w:rsid w:val="007F26DB"/>
    <w:rsid w:val="007F2C18"/>
    <w:rsid w:val="007F2DF4"/>
    <w:rsid w:val="007F2F43"/>
    <w:rsid w:val="007F2F4D"/>
    <w:rsid w:val="007F37AD"/>
    <w:rsid w:val="007F37AE"/>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E0C"/>
    <w:rsid w:val="007F727C"/>
    <w:rsid w:val="007F73E2"/>
    <w:rsid w:val="007F748F"/>
    <w:rsid w:val="007F7624"/>
    <w:rsid w:val="007F76BB"/>
    <w:rsid w:val="007F7E2B"/>
    <w:rsid w:val="0080043A"/>
    <w:rsid w:val="00800555"/>
    <w:rsid w:val="00800593"/>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296"/>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932"/>
    <w:rsid w:val="00806B10"/>
    <w:rsid w:val="00806BF8"/>
    <w:rsid w:val="00807252"/>
    <w:rsid w:val="00807383"/>
    <w:rsid w:val="00807419"/>
    <w:rsid w:val="008076A5"/>
    <w:rsid w:val="008077B2"/>
    <w:rsid w:val="0080780B"/>
    <w:rsid w:val="008078B7"/>
    <w:rsid w:val="00807C1A"/>
    <w:rsid w:val="00807CE2"/>
    <w:rsid w:val="00807CE5"/>
    <w:rsid w:val="00810474"/>
    <w:rsid w:val="008111F2"/>
    <w:rsid w:val="0081147E"/>
    <w:rsid w:val="00812128"/>
    <w:rsid w:val="00812176"/>
    <w:rsid w:val="00812321"/>
    <w:rsid w:val="00812AAE"/>
    <w:rsid w:val="00812AF2"/>
    <w:rsid w:val="00812D5C"/>
    <w:rsid w:val="00812E06"/>
    <w:rsid w:val="00813274"/>
    <w:rsid w:val="00813288"/>
    <w:rsid w:val="00813315"/>
    <w:rsid w:val="008133B2"/>
    <w:rsid w:val="008136B2"/>
    <w:rsid w:val="00813804"/>
    <w:rsid w:val="00813855"/>
    <w:rsid w:val="00813888"/>
    <w:rsid w:val="00813B99"/>
    <w:rsid w:val="008141D2"/>
    <w:rsid w:val="0081445E"/>
    <w:rsid w:val="0081457A"/>
    <w:rsid w:val="008145BC"/>
    <w:rsid w:val="00814855"/>
    <w:rsid w:val="00814AC5"/>
    <w:rsid w:val="00814AF0"/>
    <w:rsid w:val="00814D42"/>
    <w:rsid w:val="00814F0E"/>
    <w:rsid w:val="00815556"/>
    <w:rsid w:val="00815A27"/>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5F4"/>
    <w:rsid w:val="00823C26"/>
    <w:rsid w:val="00823EAE"/>
    <w:rsid w:val="00823F6F"/>
    <w:rsid w:val="00824055"/>
    <w:rsid w:val="0082405D"/>
    <w:rsid w:val="008242B4"/>
    <w:rsid w:val="00824671"/>
    <w:rsid w:val="008246B9"/>
    <w:rsid w:val="00824A4A"/>
    <w:rsid w:val="00824AF1"/>
    <w:rsid w:val="00824BE7"/>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3E6"/>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7A8"/>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E03"/>
    <w:rsid w:val="00836EFF"/>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10E"/>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F26"/>
    <w:rsid w:val="00846069"/>
    <w:rsid w:val="008460AE"/>
    <w:rsid w:val="008462C7"/>
    <w:rsid w:val="0084644F"/>
    <w:rsid w:val="008464D2"/>
    <w:rsid w:val="008465E6"/>
    <w:rsid w:val="00846905"/>
    <w:rsid w:val="00846A7E"/>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6A"/>
    <w:rsid w:val="00853A2E"/>
    <w:rsid w:val="00853D05"/>
    <w:rsid w:val="00853D12"/>
    <w:rsid w:val="00853F0F"/>
    <w:rsid w:val="00853F97"/>
    <w:rsid w:val="008540EB"/>
    <w:rsid w:val="0085431B"/>
    <w:rsid w:val="0085444A"/>
    <w:rsid w:val="008544B5"/>
    <w:rsid w:val="00854566"/>
    <w:rsid w:val="00854AC2"/>
    <w:rsid w:val="00854BC0"/>
    <w:rsid w:val="00854C05"/>
    <w:rsid w:val="008558EF"/>
    <w:rsid w:val="008559FD"/>
    <w:rsid w:val="00855C66"/>
    <w:rsid w:val="00855D46"/>
    <w:rsid w:val="008560CE"/>
    <w:rsid w:val="008561F9"/>
    <w:rsid w:val="00856992"/>
    <w:rsid w:val="00856A09"/>
    <w:rsid w:val="00856AA3"/>
    <w:rsid w:val="00857DEE"/>
    <w:rsid w:val="00857DF4"/>
    <w:rsid w:val="008603DE"/>
    <w:rsid w:val="008607F2"/>
    <w:rsid w:val="00860AD4"/>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C52"/>
    <w:rsid w:val="00865D6C"/>
    <w:rsid w:val="00865DC7"/>
    <w:rsid w:val="00865FE9"/>
    <w:rsid w:val="00866341"/>
    <w:rsid w:val="0086637F"/>
    <w:rsid w:val="00866B94"/>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1FC"/>
    <w:rsid w:val="00874609"/>
    <w:rsid w:val="0087490F"/>
    <w:rsid w:val="00874991"/>
    <w:rsid w:val="00874AD4"/>
    <w:rsid w:val="00874B51"/>
    <w:rsid w:val="00874CB0"/>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10C"/>
    <w:rsid w:val="008802CA"/>
    <w:rsid w:val="00880355"/>
    <w:rsid w:val="0088051A"/>
    <w:rsid w:val="00880834"/>
    <w:rsid w:val="00880CBB"/>
    <w:rsid w:val="00880FD7"/>
    <w:rsid w:val="0088127C"/>
    <w:rsid w:val="0088159C"/>
    <w:rsid w:val="00881887"/>
    <w:rsid w:val="008818E4"/>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87D8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97E"/>
    <w:rsid w:val="00897A0E"/>
    <w:rsid w:val="00897ED1"/>
    <w:rsid w:val="00897F20"/>
    <w:rsid w:val="008A0113"/>
    <w:rsid w:val="008A0453"/>
    <w:rsid w:val="008A061D"/>
    <w:rsid w:val="008A07CE"/>
    <w:rsid w:val="008A07F0"/>
    <w:rsid w:val="008A0C6F"/>
    <w:rsid w:val="008A1609"/>
    <w:rsid w:val="008A1BAA"/>
    <w:rsid w:val="008A1BC1"/>
    <w:rsid w:val="008A1E72"/>
    <w:rsid w:val="008A2413"/>
    <w:rsid w:val="008A25A6"/>
    <w:rsid w:val="008A2904"/>
    <w:rsid w:val="008A291F"/>
    <w:rsid w:val="008A2E0C"/>
    <w:rsid w:val="008A34E0"/>
    <w:rsid w:val="008A368E"/>
    <w:rsid w:val="008A36F0"/>
    <w:rsid w:val="008A37E5"/>
    <w:rsid w:val="008A401D"/>
    <w:rsid w:val="008A4256"/>
    <w:rsid w:val="008A451C"/>
    <w:rsid w:val="008A47DC"/>
    <w:rsid w:val="008A4824"/>
    <w:rsid w:val="008A49B1"/>
    <w:rsid w:val="008A4F1E"/>
    <w:rsid w:val="008A529E"/>
    <w:rsid w:val="008A53F8"/>
    <w:rsid w:val="008A56DC"/>
    <w:rsid w:val="008A5771"/>
    <w:rsid w:val="008A57FB"/>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389"/>
    <w:rsid w:val="008B3498"/>
    <w:rsid w:val="008B3A18"/>
    <w:rsid w:val="008B3A4A"/>
    <w:rsid w:val="008B3D66"/>
    <w:rsid w:val="008B411F"/>
    <w:rsid w:val="008B4175"/>
    <w:rsid w:val="008B4397"/>
    <w:rsid w:val="008B444E"/>
    <w:rsid w:val="008B44D0"/>
    <w:rsid w:val="008B452F"/>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149"/>
    <w:rsid w:val="008B71D6"/>
    <w:rsid w:val="008B723D"/>
    <w:rsid w:val="008B76EE"/>
    <w:rsid w:val="008B7721"/>
    <w:rsid w:val="008B77E9"/>
    <w:rsid w:val="008B781A"/>
    <w:rsid w:val="008B7CB2"/>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3BE7"/>
    <w:rsid w:val="008C4352"/>
    <w:rsid w:val="008C4456"/>
    <w:rsid w:val="008C47FA"/>
    <w:rsid w:val="008C497B"/>
    <w:rsid w:val="008C4C86"/>
    <w:rsid w:val="008C4CC1"/>
    <w:rsid w:val="008C4DF2"/>
    <w:rsid w:val="008C4F20"/>
    <w:rsid w:val="008C5008"/>
    <w:rsid w:val="008C525B"/>
    <w:rsid w:val="008C5B5B"/>
    <w:rsid w:val="008C5E64"/>
    <w:rsid w:val="008C65CC"/>
    <w:rsid w:val="008C6796"/>
    <w:rsid w:val="008C6D97"/>
    <w:rsid w:val="008C6FA4"/>
    <w:rsid w:val="008C7015"/>
    <w:rsid w:val="008C7160"/>
    <w:rsid w:val="008C73AC"/>
    <w:rsid w:val="008C7674"/>
    <w:rsid w:val="008C770D"/>
    <w:rsid w:val="008C781A"/>
    <w:rsid w:val="008C7953"/>
    <w:rsid w:val="008C79B9"/>
    <w:rsid w:val="008C7A94"/>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AC8"/>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731"/>
    <w:rsid w:val="008D77CB"/>
    <w:rsid w:val="008D7B61"/>
    <w:rsid w:val="008D7FB4"/>
    <w:rsid w:val="008E05F9"/>
    <w:rsid w:val="008E0629"/>
    <w:rsid w:val="008E06C1"/>
    <w:rsid w:val="008E089A"/>
    <w:rsid w:val="008E08AC"/>
    <w:rsid w:val="008E0967"/>
    <w:rsid w:val="008E0AE2"/>
    <w:rsid w:val="008E0F86"/>
    <w:rsid w:val="008E116D"/>
    <w:rsid w:val="008E14A9"/>
    <w:rsid w:val="008E1615"/>
    <w:rsid w:val="008E171E"/>
    <w:rsid w:val="008E1816"/>
    <w:rsid w:val="008E1A26"/>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5DC"/>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B72"/>
    <w:rsid w:val="00903BF8"/>
    <w:rsid w:val="009040B5"/>
    <w:rsid w:val="0090460F"/>
    <w:rsid w:val="009046B5"/>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CAD"/>
    <w:rsid w:val="00922481"/>
    <w:rsid w:val="009226FB"/>
    <w:rsid w:val="00922ECF"/>
    <w:rsid w:val="00923092"/>
    <w:rsid w:val="009231BC"/>
    <w:rsid w:val="009231DC"/>
    <w:rsid w:val="0092330D"/>
    <w:rsid w:val="009233CD"/>
    <w:rsid w:val="009234A1"/>
    <w:rsid w:val="00923881"/>
    <w:rsid w:val="00923A7F"/>
    <w:rsid w:val="00923B39"/>
    <w:rsid w:val="00923CAC"/>
    <w:rsid w:val="00923D1C"/>
    <w:rsid w:val="00924208"/>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F85"/>
    <w:rsid w:val="00936658"/>
    <w:rsid w:val="00936CCE"/>
    <w:rsid w:val="00936CF4"/>
    <w:rsid w:val="00936E80"/>
    <w:rsid w:val="009370A1"/>
    <w:rsid w:val="00937175"/>
    <w:rsid w:val="00937760"/>
    <w:rsid w:val="009377E4"/>
    <w:rsid w:val="00937BB5"/>
    <w:rsid w:val="00937D45"/>
    <w:rsid w:val="0094008E"/>
    <w:rsid w:val="00940266"/>
    <w:rsid w:val="00940537"/>
    <w:rsid w:val="009406DE"/>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9DA"/>
    <w:rsid w:val="00951B64"/>
    <w:rsid w:val="00952202"/>
    <w:rsid w:val="0095239B"/>
    <w:rsid w:val="009525CB"/>
    <w:rsid w:val="009529F3"/>
    <w:rsid w:val="00952A1B"/>
    <w:rsid w:val="00952CFE"/>
    <w:rsid w:val="00952E5F"/>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1EF"/>
    <w:rsid w:val="00956793"/>
    <w:rsid w:val="00956827"/>
    <w:rsid w:val="009568F4"/>
    <w:rsid w:val="00956C96"/>
    <w:rsid w:val="00956E87"/>
    <w:rsid w:val="00956FD3"/>
    <w:rsid w:val="009571A6"/>
    <w:rsid w:val="0095738D"/>
    <w:rsid w:val="00957C78"/>
    <w:rsid w:val="00957CEF"/>
    <w:rsid w:val="00957E04"/>
    <w:rsid w:val="0096018A"/>
    <w:rsid w:val="0096034D"/>
    <w:rsid w:val="009603BD"/>
    <w:rsid w:val="00960559"/>
    <w:rsid w:val="009606F6"/>
    <w:rsid w:val="00960972"/>
    <w:rsid w:val="00960A6A"/>
    <w:rsid w:val="00960C62"/>
    <w:rsid w:val="00960C9C"/>
    <w:rsid w:val="00960FEE"/>
    <w:rsid w:val="0096121F"/>
    <w:rsid w:val="0096154B"/>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C0"/>
    <w:rsid w:val="00962DA1"/>
    <w:rsid w:val="00962F80"/>
    <w:rsid w:val="00963025"/>
    <w:rsid w:val="00963187"/>
    <w:rsid w:val="00963420"/>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0BA"/>
    <w:rsid w:val="0099135D"/>
    <w:rsid w:val="0099168F"/>
    <w:rsid w:val="009918EC"/>
    <w:rsid w:val="00991D3C"/>
    <w:rsid w:val="00991D93"/>
    <w:rsid w:val="0099234E"/>
    <w:rsid w:val="00992394"/>
    <w:rsid w:val="009923D6"/>
    <w:rsid w:val="0099261C"/>
    <w:rsid w:val="0099264F"/>
    <w:rsid w:val="009928FA"/>
    <w:rsid w:val="00992B2B"/>
    <w:rsid w:val="00992B68"/>
    <w:rsid w:val="00992D80"/>
    <w:rsid w:val="00993183"/>
    <w:rsid w:val="009932C9"/>
    <w:rsid w:val="00993329"/>
    <w:rsid w:val="0099366C"/>
    <w:rsid w:val="00993A2A"/>
    <w:rsid w:val="00993B08"/>
    <w:rsid w:val="00993B7B"/>
    <w:rsid w:val="00993B7C"/>
    <w:rsid w:val="00993CC2"/>
    <w:rsid w:val="00993DF8"/>
    <w:rsid w:val="0099414F"/>
    <w:rsid w:val="00994284"/>
    <w:rsid w:val="009945D8"/>
    <w:rsid w:val="0099470F"/>
    <w:rsid w:val="00994959"/>
    <w:rsid w:val="00994B76"/>
    <w:rsid w:val="00994CA4"/>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3BD"/>
    <w:rsid w:val="009B57EC"/>
    <w:rsid w:val="009B5BA4"/>
    <w:rsid w:val="009B5E8D"/>
    <w:rsid w:val="009B5F42"/>
    <w:rsid w:val="009B5FC2"/>
    <w:rsid w:val="009B61B8"/>
    <w:rsid w:val="009B6596"/>
    <w:rsid w:val="009B65AD"/>
    <w:rsid w:val="009B6B3D"/>
    <w:rsid w:val="009B6DA1"/>
    <w:rsid w:val="009B6F81"/>
    <w:rsid w:val="009B7003"/>
    <w:rsid w:val="009B782C"/>
    <w:rsid w:val="009B7E72"/>
    <w:rsid w:val="009B7EC9"/>
    <w:rsid w:val="009C056C"/>
    <w:rsid w:val="009C0732"/>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8FD"/>
    <w:rsid w:val="009C2E33"/>
    <w:rsid w:val="009C2F12"/>
    <w:rsid w:val="009C3222"/>
    <w:rsid w:val="009C33D9"/>
    <w:rsid w:val="009C34D0"/>
    <w:rsid w:val="009C3526"/>
    <w:rsid w:val="009C3623"/>
    <w:rsid w:val="009C3A20"/>
    <w:rsid w:val="009C3CD6"/>
    <w:rsid w:val="009C3E2F"/>
    <w:rsid w:val="009C3E87"/>
    <w:rsid w:val="009C40AA"/>
    <w:rsid w:val="009C40EF"/>
    <w:rsid w:val="009C46AC"/>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AD1"/>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0DB"/>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D74"/>
    <w:rsid w:val="009E2FE1"/>
    <w:rsid w:val="009E2FF2"/>
    <w:rsid w:val="009E3297"/>
    <w:rsid w:val="009E3E52"/>
    <w:rsid w:val="009E3EBA"/>
    <w:rsid w:val="009E430F"/>
    <w:rsid w:val="009E449A"/>
    <w:rsid w:val="009E44BB"/>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67"/>
    <w:rsid w:val="009E5B90"/>
    <w:rsid w:val="009E5BF9"/>
    <w:rsid w:val="009E5DCF"/>
    <w:rsid w:val="009E5F36"/>
    <w:rsid w:val="009E5F3B"/>
    <w:rsid w:val="009E610E"/>
    <w:rsid w:val="009E634F"/>
    <w:rsid w:val="009E6426"/>
    <w:rsid w:val="009E6B48"/>
    <w:rsid w:val="009E6CDE"/>
    <w:rsid w:val="009E71AF"/>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10E"/>
    <w:rsid w:val="009F4261"/>
    <w:rsid w:val="009F4450"/>
    <w:rsid w:val="009F48C0"/>
    <w:rsid w:val="009F4955"/>
    <w:rsid w:val="009F4E2E"/>
    <w:rsid w:val="009F4E3D"/>
    <w:rsid w:val="009F4F1F"/>
    <w:rsid w:val="009F50A4"/>
    <w:rsid w:val="009F52C4"/>
    <w:rsid w:val="009F5447"/>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10B"/>
    <w:rsid w:val="00A010DC"/>
    <w:rsid w:val="00A012C7"/>
    <w:rsid w:val="00A01677"/>
    <w:rsid w:val="00A01B12"/>
    <w:rsid w:val="00A01E2A"/>
    <w:rsid w:val="00A01E81"/>
    <w:rsid w:val="00A022D4"/>
    <w:rsid w:val="00A023B0"/>
    <w:rsid w:val="00A029F2"/>
    <w:rsid w:val="00A02A02"/>
    <w:rsid w:val="00A02D43"/>
    <w:rsid w:val="00A02D4C"/>
    <w:rsid w:val="00A03668"/>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77D"/>
    <w:rsid w:val="00A1386E"/>
    <w:rsid w:val="00A138EF"/>
    <w:rsid w:val="00A13C1F"/>
    <w:rsid w:val="00A141BA"/>
    <w:rsid w:val="00A14210"/>
    <w:rsid w:val="00A142AE"/>
    <w:rsid w:val="00A148BF"/>
    <w:rsid w:val="00A14A24"/>
    <w:rsid w:val="00A15108"/>
    <w:rsid w:val="00A1521B"/>
    <w:rsid w:val="00A159F7"/>
    <w:rsid w:val="00A15C50"/>
    <w:rsid w:val="00A15CF5"/>
    <w:rsid w:val="00A15F89"/>
    <w:rsid w:val="00A1649C"/>
    <w:rsid w:val="00A1660F"/>
    <w:rsid w:val="00A16616"/>
    <w:rsid w:val="00A16723"/>
    <w:rsid w:val="00A16B1D"/>
    <w:rsid w:val="00A16C9D"/>
    <w:rsid w:val="00A16EBB"/>
    <w:rsid w:val="00A1735A"/>
    <w:rsid w:val="00A1785B"/>
    <w:rsid w:val="00A178CF"/>
    <w:rsid w:val="00A17926"/>
    <w:rsid w:val="00A17DAE"/>
    <w:rsid w:val="00A203C1"/>
    <w:rsid w:val="00A203E2"/>
    <w:rsid w:val="00A20603"/>
    <w:rsid w:val="00A20925"/>
    <w:rsid w:val="00A20A4E"/>
    <w:rsid w:val="00A20C1B"/>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C37"/>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2C1E"/>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DE9"/>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677C7"/>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E24"/>
    <w:rsid w:val="00A86F95"/>
    <w:rsid w:val="00A870D1"/>
    <w:rsid w:val="00A87180"/>
    <w:rsid w:val="00A87261"/>
    <w:rsid w:val="00A87514"/>
    <w:rsid w:val="00A87648"/>
    <w:rsid w:val="00A878D1"/>
    <w:rsid w:val="00A87CC9"/>
    <w:rsid w:val="00A90154"/>
    <w:rsid w:val="00A90272"/>
    <w:rsid w:val="00A90657"/>
    <w:rsid w:val="00A906FA"/>
    <w:rsid w:val="00A90944"/>
    <w:rsid w:val="00A90A7F"/>
    <w:rsid w:val="00A90AAD"/>
    <w:rsid w:val="00A90B82"/>
    <w:rsid w:val="00A90FFA"/>
    <w:rsid w:val="00A91051"/>
    <w:rsid w:val="00A91215"/>
    <w:rsid w:val="00A9132A"/>
    <w:rsid w:val="00A9134F"/>
    <w:rsid w:val="00A91BCE"/>
    <w:rsid w:val="00A91E60"/>
    <w:rsid w:val="00A9216C"/>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E8F"/>
    <w:rsid w:val="00AA0FDB"/>
    <w:rsid w:val="00AA1092"/>
    <w:rsid w:val="00AA13DA"/>
    <w:rsid w:val="00AA1532"/>
    <w:rsid w:val="00AA1757"/>
    <w:rsid w:val="00AA181B"/>
    <w:rsid w:val="00AA1907"/>
    <w:rsid w:val="00AA2221"/>
    <w:rsid w:val="00AA2801"/>
    <w:rsid w:val="00AA29BD"/>
    <w:rsid w:val="00AA2BE2"/>
    <w:rsid w:val="00AA3671"/>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60"/>
    <w:rsid w:val="00AB39B3"/>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6BD"/>
    <w:rsid w:val="00AB7787"/>
    <w:rsid w:val="00AB77E5"/>
    <w:rsid w:val="00AB78D9"/>
    <w:rsid w:val="00AB7DC2"/>
    <w:rsid w:val="00AB7E74"/>
    <w:rsid w:val="00AB7FD0"/>
    <w:rsid w:val="00AC00F3"/>
    <w:rsid w:val="00AC0222"/>
    <w:rsid w:val="00AC04C8"/>
    <w:rsid w:val="00AC0612"/>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A47"/>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88"/>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845"/>
    <w:rsid w:val="00AD68C1"/>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A3A"/>
    <w:rsid w:val="00AE0C87"/>
    <w:rsid w:val="00AE0DCC"/>
    <w:rsid w:val="00AE1315"/>
    <w:rsid w:val="00AE1842"/>
    <w:rsid w:val="00AE1C39"/>
    <w:rsid w:val="00AE2025"/>
    <w:rsid w:val="00AE2421"/>
    <w:rsid w:val="00AE26DD"/>
    <w:rsid w:val="00AE2A19"/>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0B3"/>
    <w:rsid w:val="00AF025C"/>
    <w:rsid w:val="00AF043A"/>
    <w:rsid w:val="00AF05B0"/>
    <w:rsid w:val="00AF0E17"/>
    <w:rsid w:val="00AF10B2"/>
    <w:rsid w:val="00AF112A"/>
    <w:rsid w:val="00AF11C4"/>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37"/>
    <w:rsid w:val="00AF540E"/>
    <w:rsid w:val="00AF57F7"/>
    <w:rsid w:val="00AF5A92"/>
    <w:rsid w:val="00AF5C5D"/>
    <w:rsid w:val="00AF64B6"/>
    <w:rsid w:val="00AF64C5"/>
    <w:rsid w:val="00AF659E"/>
    <w:rsid w:val="00AF6681"/>
    <w:rsid w:val="00AF66A9"/>
    <w:rsid w:val="00AF67DD"/>
    <w:rsid w:val="00AF692A"/>
    <w:rsid w:val="00AF6CF2"/>
    <w:rsid w:val="00AF744E"/>
    <w:rsid w:val="00AF74C2"/>
    <w:rsid w:val="00AF76E1"/>
    <w:rsid w:val="00AF77C2"/>
    <w:rsid w:val="00AF79E5"/>
    <w:rsid w:val="00AF7A9B"/>
    <w:rsid w:val="00AF7E92"/>
    <w:rsid w:val="00B00018"/>
    <w:rsid w:val="00B000BE"/>
    <w:rsid w:val="00B0030E"/>
    <w:rsid w:val="00B003AC"/>
    <w:rsid w:val="00B00879"/>
    <w:rsid w:val="00B00938"/>
    <w:rsid w:val="00B00C29"/>
    <w:rsid w:val="00B00D80"/>
    <w:rsid w:val="00B012CA"/>
    <w:rsid w:val="00B01369"/>
    <w:rsid w:val="00B01D56"/>
    <w:rsid w:val="00B01E3F"/>
    <w:rsid w:val="00B023FD"/>
    <w:rsid w:val="00B0249F"/>
    <w:rsid w:val="00B02584"/>
    <w:rsid w:val="00B029D0"/>
    <w:rsid w:val="00B02C28"/>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510E"/>
    <w:rsid w:val="00B05139"/>
    <w:rsid w:val="00B052F6"/>
    <w:rsid w:val="00B05423"/>
    <w:rsid w:val="00B05D68"/>
    <w:rsid w:val="00B05FEC"/>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3D9"/>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E27"/>
    <w:rsid w:val="00B14F54"/>
    <w:rsid w:val="00B15302"/>
    <w:rsid w:val="00B1535C"/>
    <w:rsid w:val="00B1536C"/>
    <w:rsid w:val="00B15397"/>
    <w:rsid w:val="00B15581"/>
    <w:rsid w:val="00B155AE"/>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50F"/>
    <w:rsid w:val="00B37757"/>
    <w:rsid w:val="00B37D40"/>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5D27"/>
    <w:rsid w:val="00B46B64"/>
    <w:rsid w:val="00B46BDD"/>
    <w:rsid w:val="00B46CC1"/>
    <w:rsid w:val="00B46DBE"/>
    <w:rsid w:val="00B470EA"/>
    <w:rsid w:val="00B47394"/>
    <w:rsid w:val="00B475A9"/>
    <w:rsid w:val="00B4799D"/>
    <w:rsid w:val="00B47A89"/>
    <w:rsid w:val="00B47D66"/>
    <w:rsid w:val="00B47F0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323"/>
    <w:rsid w:val="00B525CC"/>
    <w:rsid w:val="00B5274E"/>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E86"/>
    <w:rsid w:val="00B5417C"/>
    <w:rsid w:val="00B546E2"/>
    <w:rsid w:val="00B5548E"/>
    <w:rsid w:val="00B55AC6"/>
    <w:rsid w:val="00B55D56"/>
    <w:rsid w:val="00B55F9E"/>
    <w:rsid w:val="00B55FBA"/>
    <w:rsid w:val="00B560F0"/>
    <w:rsid w:val="00B56134"/>
    <w:rsid w:val="00B566BA"/>
    <w:rsid w:val="00B569A4"/>
    <w:rsid w:val="00B569B8"/>
    <w:rsid w:val="00B570F1"/>
    <w:rsid w:val="00B57DC9"/>
    <w:rsid w:val="00B57E2F"/>
    <w:rsid w:val="00B60670"/>
    <w:rsid w:val="00B60950"/>
    <w:rsid w:val="00B609BB"/>
    <w:rsid w:val="00B60D86"/>
    <w:rsid w:val="00B60DEB"/>
    <w:rsid w:val="00B6114D"/>
    <w:rsid w:val="00B612DE"/>
    <w:rsid w:val="00B6132E"/>
    <w:rsid w:val="00B613EC"/>
    <w:rsid w:val="00B615D3"/>
    <w:rsid w:val="00B61650"/>
    <w:rsid w:val="00B61EB6"/>
    <w:rsid w:val="00B62148"/>
    <w:rsid w:val="00B62226"/>
    <w:rsid w:val="00B626A3"/>
    <w:rsid w:val="00B62746"/>
    <w:rsid w:val="00B62954"/>
    <w:rsid w:val="00B62DAF"/>
    <w:rsid w:val="00B62E1E"/>
    <w:rsid w:val="00B62F2A"/>
    <w:rsid w:val="00B62FE1"/>
    <w:rsid w:val="00B6392E"/>
    <w:rsid w:val="00B63BA9"/>
    <w:rsid w:val="00B63C03"/>
    <w:rsid w:val="00B64103"/>
    <w:rsid w:val="00B641A2"/>
    <w:rsid w:val="00B6429C"/>
    <w:rsid w:val="00B64AB2"/>
    <w:rsid w:val="00B651FC"/>
    <w:rsid w:val="00B65207"/>
    <w:rsid w:val="00B6522F"/>
    <w:rsid w:val="00B65343"/>
    <w:rsid w:val="00B654FC"/>
    <w:rsid w:val="00B65BE6"/>
    <w:rsid w:val="00B65C8F"/>
    <w:rsid w:val="00B65D39"/>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7545"/>
    <w:rsid w:val="00B775BE"/>
    <w:rsid w:val="00B776CD"/>
    <w:rsid w:val="00B77801"/>
    <w:rsid w:val="00B80197"/>
    <w:rsid w:val="00B801A8"/>
    <w:rsid w:val="00B80214"/>
    <w:rsid w:val="00B80476"/>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3B6"/>
    <w:rsid w:val="00B84689"/>
    <w:rsid w:val="00B849C9"/>
    <w:rsid w:val="00B84A62"/>
    <w:rsid w:val="00B84ED3"/>
    <w:rsid w:val="00B84F34"/>
    <w:rsid w:val="00B84F7F"/>
    <w:rsid w:val="00B853C7"/>
    <w:rsid w:val="00B85414"/>
    <w:rsid w:val="00B85465"/>
    <w:rsid w:val="00B85747"/>
    <w:rsid w:val="00B8645C"/>
    <w:rsid w:val="00B86801"/>
    <w:rsid w:val="00B86933"/>
    <w:rsid w:val="00B86BB1"/>
    <w:rsid w:val="00B86C48"/>
    <w:rsid w:val="00B87258"/>
    <w:rsid w:val="00B87688"/>
    <w:rsid w:val="00B8777E"/>
    <w:rsid w:val="00B87D7A"/>
    <w:rsid w:val="00B904FF"/>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464"/>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B3D"/>
    <w:rsid w:val="00BA015D"/>
    <w:rsid w:val="00BA0229"/>
    <w:rsid w:val="00BA0860"/>
    <w:rsid w:val="00BA0A8E"/>
    <w:rsid w:val="00BA0ECC"/>
    <w:rsid w:val="00BA17E4"/>
    <w:rsid w:val="00BA1A10"/>
    <w:rsid w:val="00BA1B35"/>
    <w:rsid w:val="00BA1B99"/>
    <w:rsid w:val="00BA1C72"/>
    <w:rsid w:val="00BA1C8A"/>
    <w:rsid w:val="00BA2652"/>
    <w:rsid w:val="00BA2914"/>
    <w:rsid w:val="00BA2B6F"/>
    <w:rsid w:val="00BA2DD7"/>
    <w:rsid w:val="00BA3072"/>
    <w:rsid w:val="00BA30C7"/>
    <w:rsid w:val="00BA35C5"/>
    <w:rsid w:val="00BA3857"/>
    <w:rsid w:val="00BA3A00"/>
    <w:rsid w:val="00BA3CB8"/>
    <w:rsid w:val="00BA3CFD"/>
    <w:rsid w:val="00BA3D55"/>
    <w:rsid w:val="00BA409C"/>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7246"/>
    <w:rsid w:val="00BA7262"/>
    <w:rsid w:val="00BA7269"/>
    <w:rsid w:val="00BA757B"/>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C0455"/>
    <w:rsid w:val="00BC0974"/>
    <w:rsid w:val="00BC0AB0"/>
    <w:rsid w:val="00BC0C75"/>
    <w:rsid w:val="00BC0E32"/>
    <w:rsid w:val="00BC0E33"/>
    <w:rsid w:val="00BC0F4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B45"/>
    <w:rsid w:val="00BC4B70"/>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9A6"/>
    <w:rsid w:val="00BC79B3"/>
    <w:rsid w:val="00BC7C7C"/>
    <w:rsid w:val="00BD0322"/>
    <w:rsid w:val="00BD05D8"/>
    <w:rsid w:val="00BD06E7"/>
    <w:rsid w:val="00BD0A2B"/>
    <w:rsid w:val="00BD0A56"/>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50"/>
    <w:rsid w:val="00BD559C"/>
    <w:rsid w:val="00BD56B8"/>
    <w:rsid w:val="00BD5802"/>
    <w:rsid w:val="00BD618C"/>
    <w:rsid w:val="00BD64BE"/>
    <w:rsid w:val="00BD6593"/>
    <w:rsid w:val="00BD6630"/>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F43"/>
    <w:rsid w:val="00C03F48"/>
    <w:rsid w:val="00C03FD8"/>
    <w:rsid w:val="00C04513"/>
    <w:rsid w:val="00C04557"/>
    <w:rsid w:val="00C04CDB"/>
    <w:rsid w:val="00C04DD1"/>
    <w:rsid w:val="00C0502A"/>
    <w:rsid w:val="00C05121"/>
    <w:rsid w:val="00C05248"/>
    <w:rsid w:val="00C056C9"/>
    <w:rsid w:val="00C057EB"/>
    <w:rsid w:val="00C05900"/>
    <w:rsid w:val="00C05AE7"/>
    <w:rsid w:val="00C05EFF"/>
    <w:rsid w:val="00C05FFB"/>
    <w:rsid w:val="00C06179"/>
    <w:rsid w:val="00C06186"/>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21"/>
    <w:rsid w:val="00C152E3"/>
    <w:rsid w:val="00C154CD"/>
    <w:rsid w:val="00C15507"/>
    <w:rsid w:val="00C15671"/>
    <w:rsid w:val="00C158D3"/>
    <w:rsid w:val="00C158DA"/>
    <w:rsid w:val="00C160CD"/>
    <w:rsid w:val="00C165B2"/>
    <w:rsid w:val="00C16703"/>
    <w:rsid w:val="00C16AB2"/>
    <w:rsid w:val="00C16C05"/>
    <w:rsid w:val="00C17036"/>
    <w:rsid w:val="00C17215"/>
    <w:rsid w:val="00C173AD"/>
    <w:rsid w:val="00C1758F"/>
    <w:rsid w:val="00C176CB"/>
    <w:rsid w:val="00C17B66"/>
    <w:rsid w:val="00C17DE5"/>
    <w:rsid w:val="00C17E68"/>
    <w:rsid w:val="00C17F3E"/>
    <w:rsid w:val="00C17FB2"/>
    <w:rsid w:val="00C208D5"/>
    <w:rsid w:val="00C20B43"/>
    <w:rsid w:val="00C20CAB"/>
    <w:rsid w:val="00C20F7A"/>
    <w:rsid w:val="00C21163"/>
    <w:rsid w:val="00C2128A"/>
    <w:rsid w:val="00C214C5"/>
    <w:rsid w:val="00C214E6"/>
    <w:rsid w:val="00C2151A"/>
    <w:rsid w:val="00C219FD"/>
    <w:rsid w:val="00C21A38"/>
    <w:rsid w:val="00C21C30"/>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3F67"/>
    <w:rsid w:val="00C240BF"/>
    <w:rsid w:val="00C24245"/>
    <w:rsid w:val="00C2479D"/>
    <w:rsid w:val="00C247BF"/>
    <w:rsid w:val="00C24BE2"/>
    <w:rsid w:val="00C24ED1"/>
    <w:rsid w:val="00C24F1D"/>
    <w:rsid w:val="00C24F6C"/>
    <w:rsid w:val="00C25159"/>
    <w:rsid w:val="00C253E2"/>
    <w:rsid w:val="00C25540"/>
    <w:rsid w:val="00C25D5F"/>
    <w:rsid w:val="00C26040"/>
    <w:rsid w:val="00C267C6"/>
    <w:rsid w:val="00C26CC7"/>
    <w:rsid w:val="00C27030"/>
    <w:rsid w:val="00C271E2"/>
    <w:rsid w:val="00C27518"/>
    <w:rsid w:val="00C2784F"/>
    <w:rsid w:val="00C27D1D"/>
    <w:rsid w:val="00C27F24"/>
    <w:rsid w:val="00C27F43"/>
    <w:rsid w:val="00C301B8"/>
    <w:rsid w:val="00C3023F"/>
    <w:rsid w:val="00C30438"/>
    <w:rsid w:val="00C304C5"/>
    <w:rsid w:val="00C30873"/>
    <w:rsid w:val="00C30902"/>
    <w:rsid w:val="00C30E82"/>
    <w:rsid w:val="00C3105A"/>
    <w:rsid w:val="00C31313"/>
    <w:rsid w:val="00C313F4"/>
    <w:rsid w:val="00C3143C"/>
    <w:rsid w:val="00C31810"/>
    <w:rsid w:val="00C3184B"/>
    <w:rsid w:val="00C318E5"/>
    <w:rsid w:val="00C31D95"/>
    <w:rsid w:val="00C31DE4"/>
    <w:rsid w:val="00C31FBA"/>
    <w:rsid w:val="00C323D1"/>
    <w:rsid w:val="00C32576"/>
    <w:rsid w:val="00C325F9"/>
    <w:rsid w:val="00C32AFA"/>
    <w:rsid w:val="00C32C12"/>
    <w:rsid w:val="00C32C39"/>
    <w:rsid w:val="00C32E32"/>
    <w:rsid w:val="00C33439"/>
    <w:rsid w:val="00C33DAD"/>
    <w:rsid w:val="00C348C9"/>
    <w:rsid w:val="00C349B8"/>
    <w:rsid w:val="00C34A49"/>
    <w:rsid w:val="00C34BAA"/>
    <w:rsid w:val="00C34F1C"/>
    <w:rsid w:val="00C35415"/>
    <w:rsid w:val="00C354E3"/>
    <w:rsid w:val="00C355EB"/>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F89"/>
    <w:rsid w:val="00C41695"/>
    <w:rsid w:val="00C41B04"/>
    <w:rsid w:val="00C41D69"/>
    <w:rsid w:val="00C41F7A"/>
    <w:rsid w:val="00C42042"/>
    <w:rsid w:val="00C4265D"/>
    <w:rsid w:val="00C42674"/>
    <w:rsid w:val="00C428A6"/>
    <w:rsid w:val="00C42D3F"/>
    <w:rsid w:val="00C43908"/>
    <w:rsid w:val="00C43B4A"/>
    <w:rsid w:val="00C43C91"/>
    <w:rsid w:val="00C44069"/>
    <w:rsid w:val="00C443DF"/>
    <w:rsid w:val="00C44476"/>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831"/>
    <w:rsid w:val="00C47A2C"/>
    <w:rsid w:val="00C47AA1"/>
    <w:rsid w:val="00C47C2D"/>
    <w:rsid w:val="00C47E67"/>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5241"/>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AAB"/>
    <w:rsid w:val="00C76BB9"/>
    <w:rsid w:val="00C76C31"/>
    <w:rsid w:val="00C76E57"/>
    <w:rsid w:val="00C770CE"/>
    <w:rsid w:val="00C7724F"/>
    <w:rsid w:val="00C77281"/>
    <w:rsid w:val="00C777A7"/>
    <w:rsid w:val="00C777E9"/>
    <w:rsid w:val="00C77804"/>
    <w:rsid w:val="00C80A72"/>
    <w:rsid w:val="00C80AF3"/>
    <w:rsid w:val="00C8110D"/>
    <w:rsid w:val="00C81331"/>
    <w:rsid w:val="00C81975"/>
    <w:rsid w:val="00C81BF0"/>
    <w:rsid w:val="00C82540"/>
    <w:rsid w:val="00C82624"/>
    <w:rsid w:val="00C82EBF"/>
    <w:rsid w:val="00C82ED3"/>
    <w:rsid w:val="00C82FB5"/>
    <w:rsid w:val="00C83405"/>
    <w:rsid w:val="00C83613"/>
    <w:rsid w:val="00C83958"/>
    <w:rsid w:val="00C83F9A"/>
    <w:rsid w:val="00C84324"/>
    <w:rsid w:val="00C8434D"/>
    <w:rsid w:val="00C84898"/>
    <w:rsid w:val="00C848A0"/>
    <w:rsid w:val="00C84A98"/>
    <w:rsid w:val="00C84AE5"/>
    <w:rsid w:val="00C84D61"/>
    <w:rsid w:val="00C850F8"/>
    <w:rsid w:val="00C85145"/>
    <w:rsid w:val="00C85608"/>
    <w:rsid w:val="00C85B6F"/>
    <w:rsid w:val="00C86183"/>
    <w:rsid w:val="00C861EB"/>
    <w:rsid w:val="00C86245"/>
    <w:rsid w:val="00C86370"/>
    <w:rsid w:val="00C867AE"/>
    <w:rsid w:val="00C867E1"/>
    <w:rsid w:val="00C86AE8"/>
    <w:rsid w:val="00C86D7B"/>
    <w:rsid w:val="00C86EEC"/>
    <w:rsid w:val="00C87318"/>
    <w:rsid w:val="00C875F0"/>
    <w:rsid w:val="00C8771A"/>
    <w:rsid w:val="00C87C1D"/>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0C9"/>
    <w:rsid w:val="00C9310B"/>
    <w:rsid w:val="00C93579"/>
    <w:rsid w:val="00C937E9"/>
    <w:rsid w:val="00C93A91"/>
    <w:rsid w:val="00C93C21"/>
    <w:rsid w:val="00C93CB0"/>
    <w:rsid w:val="00C941E2"/>
    <w:rsid w:val="00C942CD"/>
    <w:rsid w:val="00C945E1"/>
    <w:rsid w:val="00C95083"/>
    <w:rsid w:val="00C953CB"/>
    <w:rsid w:val="00C95639"/>
    <w:rsid w:val="00C95761"/>
    <w:rsid w:val="00C95ED5"/>
    <w:rsid w:val="00C9653E"/>
    <w:rsid w:val="00C966AC"/>
    <w:rsid w:val="00C969DE"/>
    <w:rsid w:val="00C96B91"/>
    <w:rsid w:val="00C96FEF"/>
    <w:rsid w:val="00C976D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94"/>
    <w:rsid w:val="00CA1D39"/>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5EC2"/>
    <w:rsid w:val="00CA633D"/>
    <w:rsid w:val="00CA63D9"/>
    <w:rsid w:val="00CA6759"/>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BBA"/>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38F"/>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C3B"/>
    <w:rsid w:val="00CD2E1F"/>
    <w:rsid w:val="00CD2EB3"/>
    <w:rsid w:val="00CD30ED"/>
    <w:rsid w:val="00CD3197"/>
    <w:rsid w:val="00CD34DD"/>
    <w:rsid w:val="00CD34FA"/>
    <w:rsid w:val="00CD3544"/>
    <w:rsid w:val="00CD3E8B"/>
    <w:rsid w:val="00CD41DD"/>
    <w:rsid w:val="00CD47F2"/>
    <w:rsid w:val="00CD4E1C"/>
    <w:rsid w:val="00CD4EBB"/>
    <w:rsid w:val="00CD5571"/>
    <w:rsid w:val="00CD5991"/>
    <w:rsid w:val="00CD5AC0"/>
    <w:rsid w:val="00CD5DA8"/>
    <w:rsid w:val="00CD5DAA"/>
    <w:rsid w:val="00CD5F0A"/>
    <w:rsid w:val="00CD5F4D"/>
    <w:rsid w:val="00CD6331"/>
    <w:rsid w:val="00CD6406"/>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3F9"/>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52"/>
    <w:rsid w:val="00CE3589"/>
    <w:rsid w:val="00CE3C8A"/>
    <w:rsid w:val="00CE3D2A"/>
    <w:rsid w:val="00CE436D"/>
    <w:rsid w:val="00CE44A8"/>
    <w:rsid w:val="00CE48FA"/>
    <w:rsid w:val="00CE495C"/>
    <w:rsid w:val="00CE5216"/>
    <w:rsid w:val="00CE52E3"/>
    <w:rsid w:val="00CE5986"/>
    <w:rsid w:val="00CE5DD1"/>
    <w:rsid w:val="00CE5E30"/>
    <w:rsid w:val="00CE5E85"/>
    <w:rsid w:val="00CE5FAA"/>
    <w:rsid w:val="00CE63FA"/>
    <w:rsid w:val="00CE6EC3"/>
    <w:rsid w:val="00CE6EEE"/>
    <w:rsid w:val="00CE7572"/>
    <w:rsid w:val="00CE76EE"/>
    <w:rsid w:val="00CE7B52"/>
    <w:rsid w:val="00CE7E4D"/>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94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C30"/>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B3"/>
    <w:rsid w:val="00D07841"/>
    <w:rsid w:val="00D07984"/>
    <w:rsid w:val="00D07D37"/>
    <w:rsid w:val="00D07D5C"/>
    <w:rsid w:val="00D07F1F"/>
    <w:rsid w:val="00D10049"/>
    <w:rsid w:val="00D1010F"/>
    <w:rsid w:val="00D102D3"/>
    <w:rsid w:val="00D102E3"/>
    <w:rsid w:val="00D1065D"/>
    <w:rsid w:val="00D1082E"/>
    <w:rsid w:val="00D1099B"/>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2F4C"/>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3D17"/>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6E6"/>
    <w:rsid w:val="00D25773"/>
    <w:rsid w:val="00D257D5"/>
    <w:rsid w:val="00D25CBB"/>
    <w:rsid w:val="00D25CCA"/>
    <w:rsid w:val="00D26150"/>
    <w:rsid w:val="00D2641F"/>
    <w:rsid w:val="00D265C6"/>
    <w:rsid w:val="00D268BE"/>
    <w:rsid w:val="00D2691A"/>
    <w:rsid w:val="00D26C51"/>
    <w:rsid w:val="00D271AC"/>
    <w:rsid w:val="00D27609"/>
    <w:rsid w:val="00D27950"/>
    <w:rsid w:val="00D279BB"/>
    <w:rsid w:val="00D27AAA"/>
    <w:rsid w:val="00D27C35"/>
    <w:rsid w:val="00D27DBD"/>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912"/>
    <w:rsid w:val="00D32A27"/>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7C5"/>
    <w:rsid w:val="00D4589B"/>
    <w:rsid w:val="00D45EFB"/>
    <w:rsid w:val="00D460EB"/>
    <w:rsid w:val="00D463E2"/>
    <w:rsid w:val="00D4659C"/>
    <w:rsid w:val="00D46635"/>
    <w:rsid w:val="00D468D0"/>
    <w:rsid w:val="00D46929"/>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BC"/>
    <w:rsid w:val="00D579A6"/>
    <w:rsid w:val="00D579CC"/>
    <w:rsid w:val="00D57A73"/>
    <w:rsid w:val="00D57D22"/>
    <w:rsid w:val="00D60235"/>
    <w:rsid w:val="00D60339"/>
    <w:rsid w:val="00D6035A"/>
    <w:rsid w:val="00D6053E"/>
    <w:rsid w:val="00D60564"/>
    <w:rsid w:val="00D6083C"/>
    <w:rsid w:val="00D6088B"/>
    <w:rsid w:val="00D60C5B"/>
    <w:rsid w:val="00D60EED"/>
    <w:rsid w:val="00D60F21"/>
    <w:rsid w:val="00D615AD"/>
    <w:rsid w:val="00D617CC"/>
    <w:rsid w:val="00D61820"/>
    <w:rsid w:val="00D6183D"/>
    <w:rsid w:val="00D61A02"/>
    <w:rsid w:val="00D62208"/>
    <w:rsid w:val="00D625F2"/>
    <w:rsid w:val="00D62AAF"/>
    <w:rsid w:val="00D62B8A"/>
    <w:rsid w:val="00D634A7"/>
    <w:rsid w:val="00D634E9"/>
    <w:rsid w:val="00D636AA"/>
    <w:rsid w:val="00D63CDA"/>
    <w:rsid w:val="00D643C5"/>
    <w:rsid w:val="00D64791"/>
    <w:rsid w:val="00D647D7"/>
    <w:rsid w:val="00D6480C"/>
    <w:rsid w:val="00D64A46"/>
    <w:rsid w:val="00D64B5A"/>
    <w:rsid w:val="00D64CE8"/>
    <w:rsid w:val="00D64F53"/>
    <w:rsid w:val="00D65064"/>
    <w:rsid w:val="00D6563A"/>
    <w:rsid w:val="00D656B9"/>
    <w:rsid w:val="00D65BA6"/>
    <w:rsid w:val="00D65E4D"/>
    <w:rsid w:val="00D66132"/>
    <w:rsid w:val="00D66287"/>
    <w:rsid w:val="00D662C9"/>
    <w:rsid w:val="00D665A3"/>
    <w:rsid w:val="00D66CDA"/>
    <w:rsid w:val="00D66CDB"/>
    <w:rsid w:val="00D66EFF"/>
    <w:rsid w:val="00D66F39"/>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7F4"/>
    <w:rsid w:val="00D74933"/>
    <w:rsid w:val="00D749DD"/>
    <w:rsid w:val="00D74A63"/>
    <w:rsid w:val="00D74AF0"/>
    <w:rsid w:val="00D74BDE"/>
    <w:rsid w:val="00D74D0C"/>
    <w:rsid w:val="00D750BA"/>
    <w:rsid w:val="00D75160"/>
    <w:rsid w:val="00D755E7"/>
    <w:rsid w:val="00D756AA"/>
    <w:rsid w:val="00D757BD"/>
    <w:rsid w:val="00D75843"/>
    <w:rsid w:val="00D75DE5"/>
    <w:rsid w:val="00D75FA2"/>
    <w:rsid w:val="00D76014"/>
    <w:rsid w:val="00D76097"/>
    <w:rsid w:val="00D765A0"/>
    <w:rsid w:val="00D765D0"/>
    <w:rsid w:val="00D76709"/>
    <w:rsid w:val="00D767A0"/>
    <w:rsid w:val="00D7682A"/>
    <w:rsid w:val="00D76E51"/>
    <w:rsid w:val="00D7703D"/>
    <w:rsid w:val="00D776D4"/>
    <w:rsid w:val="00D77800"/>
    <w:rsid w:val="00D779F9"/>
    <w:rsid w:val="00D77BBF"/>
    <w:rsid w:val="00D8040B"/>
    <w:rsid w:val="00D80512"/>
    <w:rsid w:val="00D80567"/>
    <w:rsid w:val="00D80889"/>
    <w:rsid w:val="00D80912"/>
    <w:rsid w:val="00D809AE"/>
    <w:rsid w:val="00D80AF6"/>
    <w:rsid w:val="00D80C3D"/>
    <w:rsid w:val="00D80FB0"/>
    <w:rsid w:val="00D812B7"/>
    <w:rsid w:val="00D81550"/>
    <w:rsid w:val="00D818DD"/>
    <w:rsid w:val="00D81DF1"/>
    <w:rsid w:val="00D820EF"/>
    <w:rsid w:val="00D8231D"/>
    <w:rsid w:val="00D82569"/>
    <w:rsid w:val="00D825DD"/>
    <w:rsid w:val="00D82658"/>
    <w:rsid w:val="00D8297C"/>
    <w:rsid w:val="00D82A80"/>
    <w:rsid w:val="00D831DD"/>
    <w:rsid w:val="00D832A1"/>
    <w:rsid w:val="00D832D6"/>
    <w:rsid w:val="00D83420"/>
    <w:rsid w:val="00D83753"/>
    <w:rsid w:val="00D83BC6"/>
    <w:rsid w:val="00D84463"/>
    <w:rsid w:val="00D8455B"/>
    <w:rsid w:val="00D845B3"/>
    <w:rsid w:val="00D8487A"/>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10"/>
    <w:rsid w:val="00D87A6E"/>
    <w:rsid w:val="00D87EAA"/>
    <w:rsid w:val="00D900EF"/>
    <w:rsid w:val="00D90555"/>
    <w:rsid w:val="00D907B3"/>
    <w:rsid w:val="00D9089A"/>
    <w:rsid w:val="00D90932"/>
    <w:rsid w:val="00D90C91"/>
    <w:rsid w:val="00D90CD2"/>
    <w:rsid w:val="00D912E6"/>
    <w:rsid w:val="00D913F5"/>
    <w:rsid w:val="00D91D74"/>
    <w:rsid w:val="00D91E52"/>
    <w:rsid w:val="00D91E68"/>
    <w:rsid w:val="00D9201D"/>
    <w:rsid w:val="00D925AB"/>
    <w:rsid w:val="00D92877"/>
    <w:rsid w:val="00D9294C"/>
    <w:rsid w:val="00D92A24"/>
    <w:rsid w:val="00D92BFF"/>
    <w:rsid w:val="00D92DE5"/>
    <w:rsid w:val="00D92F09"/>
    <w:rsid w:val="00D930B9"/>
    <w:rsid w:val="00D937F1"/>
    <w:rsid w:val="00D93FD0"/>
    <w:rsid w:val="00D940D6"/>
    <w:rsid w:val="00D941A4"/>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8BB"/>
    <w:rsid w:val="00DA09AF"/>
    <w:rsid w:val="00DA09D2"/>
    <w:rsid w:val="00DA0B44"/>
    <w:rsid w:val="00DA14F6"/>
    <w:rsid w:val="00DA1801"/>
    <w:rsid w:val="00DA1803"/>
    <w:rsid w:val="00DA1923"/>
    <w:rsid w:val="00DA1F2D"/>
    <w:rsid w:val="00DA1F83"/>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C0"/>
    <w:rsid w:val="00DA43F1"/>
    <w:rsid w:val="00DA4549"/>
    <w:rsid w:val="00DA455E"/>
    <w:rsid w:val="00DA48EF"/>
    <w:rsid w:val="00DA49CA"/>
    <w:rsid w:val="00DA49CF"/>
    <w:rsid w:val="00DA5281"/>
    <w:rsid w:val="00DA5446"/>
    <w:rsid w:val="00DA5E4B"/>
    <w:rsid w:val="00DA6189"/>
    <w:rsid w:val="00DA6A04"/>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45F"/>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0D2"/>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C24"/>
    <w:rsid w:val="00DD70F4"/>
    <w:rsid w:val="00DD786C"/>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678"/>
    <w:rsid w:val="00DE3740"/>
    <w:rsid w:val="00DE3825"/>
    <w:rsid w:val="00DE4462"/>
    <w:rsid w:val="00DE4561"/>
    <w:rsid w:val="00DE4976"/>
    <w:rsid w:val="00DE4C64"/>
    <w:rsid w:val="00DE4ED8"/>
    <w:rsid w:val="00DE5337"/>
    <w:rsid w:val="00DE534B"/>
    <w:rsid w:val="00DE5DAE"/>
    <w:rsid w:val="00DE5F9A"/>
    <w:rsid w:val="00DE6233"/>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233"/>
    <w:rsid w:val="00DF7320"/>
    <w:rsid w:val="00DF7433"/>
    <w:rsid w:val="00DF7465"/>
    <w:rsid w:val="00DF7560"/>
    <w:rsid w:val="00DF7682"/>
    <w:rsid w:val="00DF78DE"/>
    <w:rsid w:val="00DF7CA7"/>
    <w:rsid w:val="00DF7D59"/>
    <w:rsid w:val="00DF7F6D"/>
    <w:rsid w:val="00DF7F9B"/>
    <w:rsid w:val="00E003DE"/>
    <w:rsid w:val="00E005AA"/>
    <w:rsid w:val="00E00802"/>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DD8"/>
    <w:rsid w:val="00E07E21"/>
    <w:rsid w:val="00E07E9C"/>
    <w:rsid w:val="00E07EB8"/>
    <w:rsid w:val="00E07F78"/>
    <w:rsid w:val="00E1015B"/>
    <w:rsid w:val="00E10385"/>
    <w:rsid w:val="00E103F8"/>
    <w:rsid w:val="00E114E8"/>
    <w:rsid w:val="00E11A5E"/>
    <w:rsid w:val="00E11A99"/>
    <w:rsid w:val="00E11B19"/>
    <w:rsid w:val="00E11BAF"/>
    <w:rsid w:val="00E11BE3"/>
    <w:rsid w:val="00E11E7E"/>
    <w:rsid w:val="00E12054"/>
    <w:rsid w:val="00E12088"/>
    <w:rsid w:val="00E120CF"/>
    <w:rsid w:val="00E121DE"/>
    <w:rsid w:val="00E122A5"/>
    <w:rsid w:val="00E12460"/>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35"/>
    <w:rsid w:val="00E13EF6"/>
    <w:rsid w:val="00E143C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A5"/>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F5"/>
    <w:rsid w:val="00E4198A"/>
    <w:rsid w:val="00E41EC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3D43"/>
    <w:rsid w:val="00E4420B"/>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17"/>
    <w:rsid w:val="00E500A1"/>
    <w:rsid w:val="00E5019D"/>
    <w:rsid w:val="00E501CA"/>
    <w:rsid w:val="00E502F0"/>
    <w:rsid w:val="00E50475"/>
    <w:rsid w:val="00E508AD"/>
    <w:rsid w:val="00E509AB"/>
    <w:rsid w:val="00E509DF"/>
    <w:rsid w:val="00E50CEC"/>
    <w:rsid w:val="00E50EF3"/>
    <w:rsid w:val="00E51B67"/>
    <w:rsid w:val="00E51E55"/>
    <w:rsid w:val="00E52544"/>
    <w:rsid w:val="00E52569"/>
    <w:rsid w:val="00E53101"/>
    <w:rsid w:val="00E53182"/>
    <w:rsid w:val="00E533B0"/>
    <w:rsid w:val="00E53404"/>
    <w:rsid w:val="00E53541"/>
    <w:rsid w:val="00E53810"/>
    <w:rsid w:val="00E539B9"/>
    <w:rsid w:val="00E53C2E"/>
    <w:rsid w:val="00E53F1E"/>
    <w:rsid w:val="00E53F43"/>
    <w:rsid w:val="00E53F79"/>
    <w:rsid w:val="00E541D6"/>
    <w:rsid w:val="00E541E8"/>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F2E"/>
    <w:rsid w:val="00E561B5"/>
    <w:rsid w:val="00E5640A"/>
    <w:rsid w:val="00E56599"/>
    <w:rsid w:val="00E568A7"/>
    <w:rsid w:val="00E56C87"/>
    <w:rsid w:val="00E56F06"/>
    <w:rsid w:val="00E57AE6"/>
    <w:rsid w:val="00E57B97"/>
    <w:rsid w:val="00E57CA4"/>
    <w:rsid w:val="00E57CB5"/>
    <w:rsid w:val="00E57E0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37"/>
    <w:rsid w:val="00E630DE"/>
    <w:rsid w:val="00E635A3"/>
    <w:rsid w:val="00E6372E"/>
    <w:rsid w:val="00E637E2"/>
    <w:rsid w:val="00E63FEC"/>
    <w:rsid w:val="00E64107"/>
    <w:rsid w:val="00E6462F"/>
    <w:rsid w:val="00E64C05"/>
    <w:rsid w:val="00E64EF3"/>
    <w:rsid w:val="00E64F2A"/>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357"/>
    <w:rsid w:val="00E674BF"/>
    <w:rsid w:val="00E67998"/>
    <w:rsid w:val="00E67BA0"/>
    <w:rsid w:val="00E67E01"/>
    <w:rsid w:val="00E70014"/>
    <w:rsid w:val="00E701EB"/>
    <w:rsid w:val="00E7034D"/>
    <w:rsid w:val="00E703D6"/>
    <w:rsid w:val="00E705A6"/>
    <w:rsid w:val="00E7065B"/>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37C"/>
    <w:rsid w:val="00E73745"/>
    <w:rsid w:val="00E73865"/>
    <w:rsid w:val="00E73A7D"/>
    <w:rsid w:val="00E73BF9"/>
    <w:rsid w:val="00E73F44"/>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045"/>
    <w:rsid w:val="00E762C5"/>
    <w:rsid w:val="00E763A2"/>
    <w:rsid w:val="00E7641C"/>
    <w:rsid w:val="00E7642C"/>
    <w:rsid w:val="00E764AC"/>
    <w:rsid w:val="00E765E8"/>
    <w:rsid w:val="00E766F9"/>
    <w:rsid w:val="00E77057"/>
    <w:rsid w:val="00E771EC"/>
    <w:rsid w:val="00E7732E"/>
    <w:rsid w:val="00E773E4"/>
    <w:rsid w:val="00E7740C"/>
    <w:rsid w:val="00E77432"/>
    <w:rsid w:val="00E776BB"/>
    <w:rsid w:val="00E777E4"/>
    <w:rsid w:val="00E77B4C"/>
    <w:rsid w:val="00E77CAD"/>
    <w:rsid w:val="00E77FA8"/>
    <w:rsid w:val="00E80015"/>
    <w:rsid w:val="00E8026D"/>
    <w:rsid w:val="00E8030A"/>
    <w:rsid w:val="00E8033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3126"/>
    <w:rsid w:val="00E93279"/>
    <w:rsid w:val="00E93799"/>
    <w:rsid w:val="00E93D4E"/>
    <w:rsid w:val="00E93FE0"/>
    <w:rsid w:val="00E9438B"/>
    <w:rsid w:val="00E946BB"/>
    <w:rsid w:val="00E9543D"/>
    <w:rsid w:val="00E95626"/>
    <w:rsid w:val="00E95723"/>
    <w:rsid w:val="00E95859"/>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299"/>
    <w:rsid w:val="00E97485"/>
    <w:rsid w:val="00E97584"/>
    <w:rsid w:val="00E9772C"/>
    <w:rsid w:val="00E97795"/>
    <w:rsid w:val="00E977AA"/>
    <w:rsid w:val="00E977DB"/>
    <w:rsid w:val="00E97864"/>
    <w:rsid w:val="00E97D5E"/>
    <w:rsid w:val="00E97E68"/>
    <w:rsid w:val="00EA0241"/>
    <w:rsid w:val="00EA045F"/>
    <w:rsid w:val="00EA04DA"/>
    <w:rsid w:val="00EA0667"/>
    <w:rsid w:val="00EA0B1E"/>
    <w:rsid w:val="00EA0B68"/>
    <w:rsid w:val="00EA0D59"/>
    <w:rsid w:val="00EA0E76"/>
    <w:rsid w:val="00EA135B"/>
    <w:rsid w:val="00EA1460"/>
    <w:rsid w:val="00EA16CF"/>
    <w:rsid w:val="00EA196E"/>
    <w:rsid w:val="00EA1A07"/>
    <w:rsid w:val="00EA1A27"/>
    <w:rsid w:val="00EA1B8C"/>
    <w:rsid w:val="00EA2194"/>
    <w:rsid w:val="00EA2267"/>
    <w:rsid w:val="00EA2441"/>
    <w:rsid w:val="00EA27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5B73"/>
    <w:rsid w:val="00EA6602"/>
    <w:rsid w:val="00EA6ECA"/>
    <w:rsid w:val="00EA7007"/>
    <w:rsid w:val="00EA73A2"/>
    <w:rsid w:val="00EA75DC"/>
    <w:rsid w:val="00EA7828"/>
    <w:rsid w:val="00EA7A72"/>
    <w:rsid w:val="00EA7C4C"/>
    <w:rsid w:val="00EB0340"/>
    <w:rsid w:val="00EB077B"/>
    <w:rsid w:val="00EB0B6C"/>
    <w:rsid w:val="00EB0EB9"/>
    <w:rsid w:val="00EB0EEC"/>
    <w:rsid w:val="00EB190B"/>
    <w:rsid w:val="00EB1CD5"/>
    <w:rsid w:val="00EB1CE6"/>
    <w:rsid w:val="00EB1DAC"/>
    <w:rsid w:val="00EB1E29"/>
    <w:rsid w:val="00EB2769"/>
    <w:rsid w:val="00EB2874"/>
    <w:rsid w:val="00EB28DB"/>
    <w:rsid w:val="00EB29DD"/>
    <w:rsid w:val="00EB2B8E"/>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AF8"/>
    <w:rsid w:val="00EB5B9D"/>
    <w:rsid w:val="00EB68EF"/>
    <w:rsid w:val="00EB6B54"/>
    <w:rsid w:val="00EB6BF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663"/>
    <w:rsid w:val="00EC4B5E"/>
    <w:rsid w:val="00EC4F5E"/>
    <w:rsid w:val="00EC4F76"/>
    <w:rsid w:val="00EC4F80"/>
    <w:rsid w:val="00EC4FF8"/>
    <w:rsid w:val="00EC52EE"/>
    <w:rsid w:val="00EC56D2"/>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6C9"/>
    <w:rsid w:val="00EE5AAD"/>
    <w:rsid w:val="00EE5ADD"/>
    <w:rsid w:val="00EE5D24"/>
    <w:rsid w:val="00EE5F0D"/>
    <w:rsid w:val="00EE623A"/>
    <w:rsid w:val="00EE6411"/>
    <w:rsid w:val="00EE664D"/>
    <w:rsid w:val="00EE67DD"/>
    <w:rsid w:val="00EE6C68"/>
    <w:rsid w:val="00EE6F30"/>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4DD8"/>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9AF"/>
    <w:rsid w:val="00F00ABB"/>
    <w:rsid w:val="00F00AD5"/>
    <w:rsid w:val="00F00B17"/>
    <w:rsid w:val="00F0135A"/>
    <w:rsid w:val="00F01A65"/>
    <w:rsid w:val="00F02197"/>
    <w:rsid w:val="00F0219B"/>
    <w:rsid w:val="00F023D8"/>
    <w:rsid w:val="00F02440"/>
    <w:rsid w:val="00F02465"/>
    <w:rsid w:val="00F02500"/>
    <w:rsid w:val="00F02759"/>
    <w:rsid w:val="00F027C0"/>
    <w:rsid w:val="00F02862"/>
    <w:rsid w:val="00F02901"/>
    <w:rsid w:val="00F037F9"/>
    <w:rsid w:val="00F03837"/>
    <w:rsid w:val="00F03934"/>
    <w:rsid w:val="00F03A8E"/>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10EE"/>
    <w:rsid w:val="00F11159"/>
    <w:rsid w:val="00F11195"/>
    <w:rsid w:val="00F11230"/>
    <w:rsid w:val="00F11A18"/>
    <w:rsid w:val="00F11C38"/>
    <w:rsid w:val="00F11F62"/>
    <w:rsid w:val="00F12941"/>
    <w:rsid w:val="00F12BFC"/>
    <w:rsid w:val="00F12E19"/>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437D"/>
    <w:rsid w:val="00F34561"/>
    <w:rsid w:val="00F34622"/>
    <w:rsid w:val="00F34AA8"/>
    <w:rsid w:val="00F34ADB"/>
    <w:rsid w:val="00F35160"/>
    <w:rsid w:val="00F351CA"/>
    <w:rsid w:val="00F35587"/>
    <w:rsid w:val="00F35A7F"/>
    <w:rsid w:val="00F35FE0"/>
    <w:rsid w:val="00F36149"/>
    <w:rsid w:val="00F3623A"/>
    <w:rsid w:val="00F36674"/>
    <w:rsid w:val="00F36729"/>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78"/>
    <w:rsid w:val="00F535E0"/>
    <w:rsid w:val="00F535EC"/>
    <w:rsid w:val="00F536E1"/>
    <w:rsid w:val="00F5375B"/>
    <w:rsid w:val="00F53979"/>
    <w:rsid w:val="00F53D3A"/>
    <w:rsid w:val="00F53DC6"/>
    <w:rsid w:val="00F5413B"/>
    <w:rsid w:val="00F541BF"/>
    <w:rsid w:val="00F542DE"/>
    <w:rsid w:val="00F54301"/>
    <w:rsid w:val="00F54368"/>
    <w:rsid w:val="00F543A3"/>
    <w:rsid w:val="00F54453"/>
    <w:rsid w:val="00F5467C"/>
    <w:rsid w:val="00F54A3F"/>
    <w:rsid w:val="00F54B3B"/>
    <w:rsid w:val="00F54DDD"/>
    <w:rsid w:val="00F54E47"/>
    <w:rsid w:val="00F5510A"/>
    <w:rsid w:val="00F551C8"/>
    <w:rsid w:val="00F551F5"/>
    <w:rsid w:val="00F5538A"/>
    <w:rsid w:val="00F55630"/>
    <w:rsid w:val="00F556A9"/>
    <w:rsid w:val="00F556DF"/>
    <w:rsid w:val="00F55773"/>
    <w:rsid w:val="00F55B34"/>
    <w:rsid w:val="00F55D7B"/>
    <w:rsid w:val="00F560EB"/>
    <w:rsid w:val="00F562DA"/>
    <w:rsid w:val="00F564A3"/>
    <w:rsid w:val="00F564A4"/>
    <w:rsid w:val="00F56655"/>
    <w:rsid w:val="00F566D5"/>
    <w:rsid w:val="00F56B2A"/>
    <w:rsid w:val="00F56CFC"/>
    <w:rsid w:val="00F56E21"/>
    <w:rsid w:val="00F571FA"/>
    <w:rsid w:val="00F5741C"/>
    <w:rsid w:val="00F575D2"/>
    <w:rsid w:val="00F575E0"/>
    <w:rsid w:val="00F577BD"/>
    <w:rsid w:val="00F578FC"/>
    <w:rsid w:val="00F57AA8"/>
    <w:rsid w:val="00F57ADE"/>
    <w:rsid w:val="00F57C34"/>
    <w:rsid w:val="00F60108"/>
    <w:rsid w:val="00F60127"/>
    <w:rsid w:val="00F603BA"/>
    <w:rsid w:val="00F607FF"/>
    <w:rsid w:val="00F61505"/>
    <w:rsid w:val="00F619A9"/>
    <w:rsid w:val="00F61CC0"/>
    <w:rsid w:val="00F61DDA"/>
    <w:rsid w:val="00F62114"/>
    <w:rsid w:val="00F623A6"/>
    <w:rsid w:val="00F623D5"/>
    <w:rsid w:val="00F624BA"/>
    <w:rsid w:val="00F62577"/>
    <w:rsid w:val="00F62583"/>
    <w:rsid w:val="00F62986"/>
    <w:rsid w:val="00F62CC8"/>
    <w:rsid w:val="00F63311"/>
    <w:rsid w:val="00F63851"/>
    <w:rsid w:val="00F63A58"/>
    <w:rsid w:val="00F63E86"/>
    <w:rsid w:val="00F64115"/>
    <w:rsid w:val="00F6434A"/>
    <w:rsid w:val="00F646F5"/>
    <w:rsid w:val="00F64751"/>
    <w:rsid w:val="00F64E6E"/>
    <w:rsid w:val="00F654F7"/>
    <w:rsid w:val="00F65515"/>
    <w:rsid w:val="00F6564C"/>
    <w:rsid w:val="00F65AAA"/>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80D"/>
    <w:rsid w:val="00F74B21"/>
    <w:rsid w:val="00F74BC8"/>
    <w:rsid w:val="00F7520F"/>
    <w:rsid w:val="00F756D4"/>
    <w:rsid w:val="00F75F2B"/>
    <w:rsid w:val="00F76562"/>
    <w:rsid w:val="00F765D2"/>
    <w:rsid w:val="00F76BDA"/>
    <w:rsid w:val="00F76D01"/>
    <w:rsid w:val="00F770BE"/>
    <w:rsid w:val="00F773E1"/>
    <w:rsid w:val="00F776DF"/>
    <w:rsid w:val="00F77EAA"/>
    <w:rsid w:val="00F806AC"/>
    <w:rsid w:val="00F807CA"/>
    <w:rsid w:val="00F808E9"/>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D8D"/>
    <w:rsid w:val="00F84E62"/>
    <w:rsid w:val="00F84EA8"/>
    <w:rsid w:val="00F84EF1"/>
    <w:rsid w:val="00F8553A"/>
    <w:rsid w:val="00F855FB"/>
    <w:rsid w:val="00F858E4"/>
    <w:rsid w:val="00F859E6"/>
    <w:rsid w:val="00F85D02"/>
    <w:rsid w:val="00F860DC"/>
    <w:rsid w:val="00F861B8"/>
    <w:rsid w:val="00F8625C"/>
    <w:rsid w:val="00F864F0"/>
    <w:rsid w:val="00F86B80"/>
    <w:rsid w:val="00F86EDE"/>
    <w:rsid w:val="00F86F57"/>
    <w:rsid w:val="00F86F7B"/>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389"/>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3F83"/>
    <w:rsid w:val="00F94395"/>
    <w:rsid w:val="00F945E0"/>
    <w:rsid w:val="00F94837"/>
    <w:rsid w:val="00F9484E"/>
    <w:rsid w:val="00F94BDC"/>
    <w:rsid w:val="00F954AB"/>
    <w:rsid w:val="00F95666"/>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2708"/>
    <w:rsid w:val="00FA2727"/>
    <w:rsid w:val="00FA2771"/>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68"/>
    <w:rsid w:val="00FA78A6"/>
    <w:rsid w:val="00FA7C15"/>
    <w:rsid w:val="00FA7E3D"/>
    <w:rsid w:val="00FA7E56"/>
    <w:rsid w:val="00FA7EDE"/>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ED3"/>
    <w:rsid w:val="00FB40C0"/>
    <w:rsid w:val="00FB4279"/>
    <w:rsid w:val="00FB42AB"/>
    <w:rsid w:val="00FB45B7"/>
    <w:rsid w:val="00FB4942"/>
    <w:rsid w:val="00FB4967"/>
    <w:rsid w:val="00FB49AF"/>
    <w:rsid w:val="00FB4D53"/>
    <w:rsid w:val="00FB5182"/>
    <w:rsid w:val="00FB53E3"/>
    <w:rsid w:val="00FB566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7C5"/>
    <w:rsid w:val="00FB7934"/>
    <w:rsid w:val="00FB7B97"/>
    <w:rsid w:val="00FB7EF3"/>
    <w:rsid w:val="00FB7F6F"/>
    <w:rsid w:val="00FC0004"/>
    <w:rsid w:val="00FC0013"/>
    <w:rsid w:val="00FC00FE"/>
    <w:rsid w:val="00FC0193"/>
    <w:rsid w:val="00FC0D0E"/>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B0"/>
    <w:rsid w:val="00FC64F6"/>
    <w:rsid w:val="00FC656F"/>
    <w:rsid w:val="00FC672F"/>
    <w:rsid w:val="00FC6C6D"/>
    <w:rsid w:val="00FC6C8E"/>
    <w:rsid w:val="00FC6CCF"/>
    <w:rsid w:val="00FC720C"/>
    <w:rsid w:val="00FC73EB"/>
    <w:rsid w:val="00FD01AF"/>
    <w:rsid w:val="00FD0BB7"/>
    <w:rsid w:val="00FD0CD2"/>
    <w:rsid w:val="00FD0E43"/>
    <w:rsid w:val="00FD0F39"/>
    <w:rsid w:val="00FD1555"/>
    <w:rsid w:val="00FD15B5"/>
    <w:rsid w:val="00FD1856"/>
    <w:rsid w:val="00FD1BD1"/>
    <w:rsid w:val="00FD1EA3"/>
    <w:rsid w:val="00FD1FBF"/>
    <w:rsid w:val="00FD2054"/>
    <w:rsid w:val="00FD20D6"/>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445"/>
    <w:rsid w:val="00FD7AF4"/>
    <w:rsid w:val="00FD7B19"/>
    <w:rsid w:val="00FD7FD1"/>
    <w:rsid w:val="00FE00A5"/>
    <w:rsid w:val="00FE00B6"/>
    <w:rsid w:val="00FE00BC"/>
    <w:rsid w:val="00FE03D6"/>
    <w:rsid w:val="00FE04B8"/>
    <w:rsid w:val="00FE0523"/>
    <w:rsid w:val="00FE1077"/>
    <w:rsid w:val="00FE1136"/>
    <w:rsid w:val="00FE12BF"/>
    <w:rsid w:val="00FE1773"/>
    <w:rsid w:val="00FE1813"/>
    <w:rsid w:val="00FE1AEA"/>
    <w:rsid w:val="00FE1F1C"/>
    <w:rsid w:val="00FE21BD"/>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375"/>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0FD"/>
    <w:rsid w:val="00FF0264"/>
    <w:rsid w:val="00FF037E"/>
    <w:rsid w:val="00FF04A0"/>
    <w:rsid w:val="00FF082C"/>
    <w:rsid w:val="00FF0A08"/>
    <w:rsid w:val="00FF0BD3"/>
    <w:rsid w:val="00FF0FD8"/>
    <w:rsid w:val="00FF100D"/>
    <w:rsid w:val="00FF1015"/>
    <w:rsid w:val="00FF1171"/>
    <w:rsid w:val="00FF1278"/>
    <w:rsid w:val="00FF1807"/>
    <w:rsid w:val="00FF184D"/>
    <w:rsid w:val="00FF1E31"/>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26"/>
    <w:rsid w:val="00FF3F55"/>
    <w:rsid w:val="00FF4044"/>
    <w:rsid w:val="00FF43F0"/>
    <w:rsid w:val="00FF4B3F"/>
    <w:rsid w:val="00FF4D84"/>
    <w:rsid w:val="00FF524E"/>
    <w:rsid w:val="00FF52B6"/>
    <w:rsid w:val="00FF562A"/>
    <w:rsid w:val="00FF57D9"/>
    <w:rsid w:val="00FF585E"/>
    <w:rsid w:val="00FF5975"/>
    <w:rsid w:val="00FF5B6B"/>
    <w:rsid w:val="00FF5C2A"/>
    <w:rsid w:val="00FF5E4C"/>
    <w:rsid w:val="00FF5EEB"/>
    <w:rsid w:val="00FF6037"/>
    <w:rsid w:val="00FF6664"/>
    <w:rsid w:val="00FF6832"/>
    <w:rsid w:val="00FF6A9D"/>
    <w:rsid w:val="00FF6BB9"/>
    <w:rsid w:val="00FF6DE6"/>
    <w:rsid w:val="00FF6F78"/>
    <w:rsid w:val="00FF6FBA"/>
    <w:rsid w:val="00FF7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33143"/>
  <w15:docId w15:val="{857EDD7A-1E22-4A75-B5FF-3DA98EB7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uiPriority w:val="99"/>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uiPriority w:val="99"/>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one" w:sz="96" w:space="31" w:color="FFFFFF" w:frame="1"/>
        <w:left w:val="none" w:sz="96" w:space="31" w:color="FFFFFF" w:frame="1"/>
        <w:bottom w:val="none" w:sz="96" w:space="31" w:color="FFFFFF" w:frame="1"/>
        <w:right w:val="none" w:sz="96" w:space="31" w:color="FFFFFF" w:frame="1"/>
      </w:pBdr>
      <w:spacing w:after="240"/>
      <w:jc w:val="both"/>
    </w:pPr>
    <w:rPr>
      <w:color w:val="000000"/>
      <w:sz w:val="24"/>
      <w:szCs w:val="24"/>
      <w:u w:color="000000"/>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rPr>
  </w:style>
  <w:style w:type="character" w:styleId="UnresolvedMention">
    <w:name w:val="Unresolved Mention"/>
    <w:uiPriority w:val="99"/>
    <w:semiHidden/>
    <w:unhideWhenUsed/>
    <w:rsid w:val="007E6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9646">
      <w:bodyDiv w:val="1"/>
      <w:marLeft w:val="0"/>
      <w:marRight w:val="0"/>
      <w:marTop w:val="0"/>
      <w:marBottom w:val="0"/>
      <w:divBdr>
        <w:top w:val="none" w:sz="0" w:space="0" w:color="auto"/>
        <w:left w:val="none" w:sz="0" w:space="0" w:color="auto"/>
        <w:bottom w:val="none" w:sz="0" w:space="0" w:color="auto"/>
        <w:right w:val="none" w:sz="0" w:space="0" w:color="auto"/>
      </w:divBdr>
      <w:divsChild>
        <w:div w:id="58216647">
          <w:marLeft w:val="0"/>
          <w:marRight w:val="0"/>
          <w:marTop w:val="0"/>
          <w:marBottom w:val="0"/>
          <w:divBdr>
            <w:top w:val="none" w:sz="0" w:space="0" w:color="auto"/>
            <w:left w:val="none" w:sz="0" w:space="0" w:color="auto"/>
            <w:bottom w:val="none" w:sz="0" w:space="0" w:color="auto"/>
            <w:right w:val="none" w:sz="0" w:space="0" w:color="auto"/>
          </w:divBdr>
          <w:divsChild>
            <w:div w:id="3716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382831">
      <w:bodyDiv w:val="1"/>
      <w:marLeft w:val="0"/>
      <w:marRight w:val="0"/>
      <w:marTop w:val="0"/>
      <w:marBottom w:val="0"/>
      <w:divBdr>
        <w:top w:val="none" w:sz="0" w:space="0" w:color="auto"/>
        <w:left w:val="none" w:sz="0" w:space="0" w:color="auto"/>
        <w:bottom w:val="none" w:sz="0" w:space="0" w:color="auto"/>
        <w:right w:val="none" w:sz="0" w:space="0" w:color="auto"/>
      </w:divBdr>
      <w:divsChild>
        <w:div w:id="1286890573">
          <w:marLeft w:val="0"/>
          <w:marRight w:val="0"/>
          <w:marTop w:val="0"/>
          <w:marBottom w:val="0"/>
          <w:divBdr>
            <w:top w:val="none" w:sz="0" w:space="0" w:color="auto"/>
            <w:left w:val="none" w:sz="0" w:space="0" w:color="auto"/>
            <w:bottom w:val="none" w:sz="0" w:space="0" w:color="auto"/>
            <w:right w:val="none" w:sz="0" w:space="0" w:color="auto"/>
          </w:divBdr>
          <w:divsChild>
            <w:div w:id="89531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97398">
      <w:bodyDiv w:val="1"/>
      <w:marLeft w:val="0"/>
      <w:marRight w:val="0"/>
      <w:marTop w:val="0"/>
      <w:marBottom w:val="0"/>
      <w:divBdr>
        <w:top w:val="none" w:sz="0" w:space="0" w:color="auto"/>
        <w:left w:val="none" w:sz="0" w:space="0" w:color="auto"/>
        <w:bottom w:val="none" w:sz="0" w:space="0" w:color="auto"/>
        <w:right w:val="none" w:sz="0" w:space="0" w:color="auto"/>
      </w:divBdr>
    </w:div>
    <w:div w:id="730277055">
      <w:bodyDiv w:val="1"/>
      <w:marLeft w:val="0"/>
      <w:marRight w:val="0"/>
      <w:marTop w:val="0"/>
      <w:marBottom w:val="0"/>
      <w:divBdr>
        <w:top w:val="none" w:sz="0" w:space="0" w:color="auto"/>
        <w:left w:val="none" w:sz="0" w:space="0" w:color="auto"/>
        <w:bottom w:val="none" w:sz="0" w:space="0" w:color="auto"/>
        <w:right w:val="none" w:sz="0" w:space="0" w:color="auto"/>
      </w:divBdr>
    </w:div>
    <w:div w:id="916479106">
      <w:bodyDiv w:val="1"/>
      <w:marLeft w:val="0"/>
      <w:marRight w:val="0"/>
      <w:marTop w:val="0"/>
      <w:marBottom w:val="0"/>
      <w:divBdr>
        <w:top w:val="none" w:sz="0" w:space="0" w:color="auto"/>
        <w:left w:val="none" w:sz="0" w:space="0" w:color="auto"/>
        <w:bottom w:val="none" w:sz="0" w:space="0" w:color="auto"/>
        <w:right w:val="none" w:sz="0" w:space="0" w:color="auto"/>
      </w:divBdr>
    </w:div>
    <w:div w:id="950670405">
      <w:bodyDiv w:val="1"/>
      <w:marLeft w:val="0"/>
      <w:marRight w:val="0"/>
      <w:marTop w:val="0"/>
      <w:marBottom w:val="0"/>
      <w:divBdr>
        <w:top w:val="none" w:sz="0" w:space="0" w:color="auto"/>
        <w:left w:val="none" w:sz="0" w:space="0" w:color="auto"/>
        <w:bottom w:val="none" w:sz="0" w:space="0" w:color="auto"/>
        <w:right w:val="none" w:sz="0" w:space="0" w:color="auto"/>
      </w:divBdr>
    </w:div>
    <w:div w:id="1003163063">
      <w:bodyDiv w:val="1"/>
      <w:marLeft w:val="0"/>
      <w:marRight w:val="0"/>
      <w:marTop w:val="0"/>
      <w:marBottom w:val="0"/>
      <w:divBdr>
        <w:top w:val="none" w:sz="0" w:space="0" w:color="auto"/>
        <w:left w:val="none" w:sz="0" w:space="0" w:color="auto"/>
        <w:bottom w:val="none" w:sz="0" w:space="0" w:color="auto"/>
        <w:right w:val="none" w:sz="0" w:space="0" w:color="auto"/>
      </w:divBdr>
      <w:divsChild>
        <w:div w:id="167716431">
          <w:marLeft w:val="0"/>
          <w:marRight w:val="0"/>
          <w:marTop w:val="0"/>
          <w:marBottom w:val="0"/>
          <w:divBdr>
            <w:top w:val="none" w:sz="0" w:space="0" w:color="auto"/>
            <w:left w:val="none" w:sz="0" w:space="0" w:color="auto"/>
            <w:bottom w:val="none" w:sz="0" w:space="0" w:color="auto"/>
            <w:right w:val="none" w:sz="0" w:space="0" w:color="auto"/>
          </w:divBdr>
        </w:div>
        <w:div w:id="498077037">
          <w:marLeft w:val="0"/>
          <w:marRight w:val="0"/>
          <w:marTop w:val="0"/>
          <w:marBottom w:val="0"/>
          <w:divBdr>
            <w:top w:val="none" w:sz="0" w:space="0" w:color="auto"/>
            <w:left w:val="none" w:sz="0" w:space="0" w:color="auto"/>
            <w:bottom w:val="none" w:sz="0" w:space="0" w:color="auto"/>
            <w:right w:val="none" w:sz="0" w:space="0" w:color="auto"/>
          </w:divBdr>
        </w:div>
        <w:div w:id="1166094298">
          <w:marLeft w:val="0"/>
          <w:marRight w:val="0"/>
          <w:marTop w:val="0"/>
          <w:marBottom w:val="0"/>
          <w:divBdr>
            <w:top w:val="none" w:sz="0" w:space="0" w:color="auto"/>
            <w:left w:val="none" w:sz="0" w:space="0" w:color="auto"/>
            <w:bottom w:val="none" w:sz="0" w:space="0" w:color="auto"/>
            <w:right w:val="none" w:sz="0" w:space="0" w:color="auto"/>
          </w:divBdr>
        </w:div>
        <w:div w:id="1728916201">
          <w:marLeft w:val="0"/>
          <w:marRight w:val="0"/>
          <w:marTop w:val="0"/>
          <w:marBottom w:val="0"/>
          <w:divBdr>
            <w:top w:val="none" w:sz="0" w:space="0" w:color="auto"/>
            <w:left w:val="none" w:sz="0" w:space="0" w:color="auto"/>
            <w:bottom w:val="none" w:sz="0" w:space="0" w:color="auto"/>
            <w:right w:val="none" w:sz="0" w:space="0" w:color="auto"/>
          </w:divBdr>
        </w:div>
        <w:div w:id="1932617189">
          <w:marLeft w:val="0"/>
          <w:marRight w:val="0"/>
          <w:marTop w:val="0"/>
          <w:marBottom w:val="0"/>
          <w:divBdr>
            <w:top w:val="none" w:sz="0" w:space="0" w:color="auto"/>
            <w:left w:val="none" w:sz="0" w:space="0" w:color="auto"/>
            <w:bottom w:val="none" w:sz="0" w:space="0" w:color="auto"/>
            <w:right w:val="none" w:sz="0" w:space="0" w:color="auto"/>
          </w:divBdr>
        </w:div>
      </w:divsChild>
    </w:div>
    <w:div w:id="1140153444">
      <w:bodyDiv w:val="1"/>
      <w:marLeft w:val="0"/>
      <w:marRight w:val="0"/>
      <w:marTop w:val="0"/>
      <w:marBottom w:val="0"/>
      <w:divBdr>
        <w:top w:val="none" w:sz="0" w:space="0" w:color="auto"/>
        <w:left w:val="none" w:sz="0" w:space="0" w:color="auto"/>
        <w:bottom w:val="none" w:sz="0" w:space="0" w:color="auto"/>
        <w:right w:val="none" w:sz="0" w:space="0" w:color="auto"/>
      </w:divBdr>
    </w:div>
    <w:div w:id="1228149295">
      <w:bodyDiv w:val="1"/>
      <w:marLeft w:val="0"/>
      <w:marRight w:val="0"/>
      <w:marTop w:val="0"/>
      <w:marBottom w:val="0"/>
      <w:divBdr>
        <w:top w:val="none" w:sz="0" w:space="0" w:color="auto"/>
        <w:left w:val="none" w:sz="0" w:space="0" w:color="auto"/>
        <w:bottom w:val="none" w:sz="0" w:space="0" w:color="auto"/>
        <w:right w:val="none" w:sz="0" w:space="0" w:color="auto"/>
      </w:divBdr>
    </w:div>
    <w:div w:id="1459565708">
      <w:bodyDiv w:val="1"/>
      <w:marLeft w:val="0"/>
      <w:marRight w:val="0"/>
      <w:marTop w:val="0"/>
      <w:marBottom w:val="0"/>
      <w:divBdr>
        <w:top w:val="none" w:sz="0" w:space="0" w:color="auto"/>
        <w:left w:val="none" w:sz="0" w:space="0" w:color="auto"/>
        <w:bottom w:val="none" w:sz="0" w:space="0" w:color="auto"/>
        <w:right w:val="none" w:sz="0" w:space="0" w:color="auto"/>
      </w:divBdr>
      <w:divsChild>
        <w:div w:id="87577711">
          <w:marLeft w:val="0"/>
          <w:marRight w:val="0"/>
          <w:marTop w:val="0"/>
          <w:marBottom w:val="0"/>
          <w:divBdr>
            <w:top w:val="none" w:sz="0" w:space="0" w:color="auto"/>
            <w:left w:val="none" w:sz="0" w:space="0" w:color="auto"/>
            <w:bottom w:val="none" w:sz="0" w:space="0" w:color="auto"/>
            <w:right w:val="none" w:sz="0" w:space="0" w:color="auto"/>
          </w:divBdr>
        </w:div>
        <w:div w:id="279262759">
          <w:marLeft w:val="0"/>
          <w:marRight w:val="0"/>
          <w:marTop w:val="0"/>
          <w:marBottom w:val="0"/>
          <w:divBdr>
            <w:top w:val="none" w:sz="0" w:space="0" w:color="auto"/>
            <w:left w:val="none" w:sz="0" w:space="0" w:color="auto"/>
            <w:bottom w:val="none" w:sz="0" w:space="0" w:color="auto"/>
            <w:right w:val="none" w:sz="0" w:space="0" w:color="auto"/>
          </w:divBdr>
        </w:div>
        <w:div w:id="647634916">
          <w:marLeft w:val="0"/>
          <w:marRight w:val="0"/>
          <w:marTop w:val="0"/>
          <w:marBottom w:val="0"/>
          <w:divBdr>
            <w:top w:val="none" w:sz="0" w:space="0" w:color="auto"/>
            <w:left w:val="none" w:sz="0" w:space="0" w:color="auto"/>
            <w:bottom w:val="none" w:sz="0" w:space="0" w:color="auto"/>
            <w:right w:val="none" w:sz="0" w:space="0" w:color="auto"/>
          </w:divBdr>
        </w:div>
        <w:div w:id="834685488">
          <w:marLeft w:val="0"/>
          <w:marRight w:val="0"/>
          <w:marTop w:val="0"/>
          <w:marBottom w:val="0"/>
          <w:divBdr>
            <w:top w:val="none" w:sz="0" w:space="0" w:color="auto"/>
            <w:left w:val="none" w:sz="0" w:space="0" w:color="auto"/>
            <w:bottom w:val="none" w:sz="0" w:space="0" w:color="auto"/>
            <w:right w:val="none" w:sz="0" w:space="0" w:color="auto"/>
          </w:divBdr>
        </w:div>
        <w:div w:id="1766998225">
          <w:marLeft w:val="0"/>
          <w:marRight w:val="0"/>
          <w:marTop w:val="0"/>
          <w:marBottom w:val="0"/>
          <w:divBdr>
            <w:top w:val="none" w:sz="0" w:space="0" w:color="auto"/>
            <w:left w:val="none" w:sz="0" w:space="0" w:color="auto"/>
            <w:bottom w:val="none" w:sz="0" w:space="0" w:color="auto"/>
            <w:right w:val="none" w:sz="0" w:space="0" w:color="auto"/>
          </w:divBdr>
        </w:div>
      </w:divsChild>
    </w:div>
    <w:div w:id="1642611253">
      <w:bodyDiv w:val="1"/>
      <w:marLeft w:val="0"/>
      <w:marRight w:val="0"/>
      <w:marTop w:val="0"/>
      <w:marBottom w:val="0"/>
      <w:divBdr>
        <w:top w:val="none" w:sz="0" w:space="0" w:color="auto"/>
        <w:left w:val="none" w:sz="0" w:space="0" w:color="auto"/>
        <w:bottom w:val="none" w:sz="0" w:space="0" w:color="auto"/>
        <w:right w:val="none" w:sz="0" w:space="0" w:color="auto"/>
      </w:divBdr>
    </w:div>
    <w:div w:id="1895776779">
      <w:bodyDiv w:val="1"/>
      <w:marLeft w:val="0"/>
      <w:marRight w:val="0"/>
      <w:marTop w:val="0"/>
      <w:marBottom w:val="0"/>
      <w:divBdr>
        <w:top w:val="none" w:sz="0" w:space="0" w:color="auto"/>
        <w:left w:val="none" w:sz="0" w:space="0" w:color="auto"/>
        <w:bottom w:val="none" w:sz="0" w:space="0" w:color="auto"/>
        <w:right w:val="none" w:sz="0" w:space="0" w:color="auto"/>
      </w:divBdr>
    </w:div>
    <w:div w:id="1917015977">
      <w:bodyDiv w:val="1"/>
      <w:marLeft w:val="0"/>
      <w:marRight w:val="0"/>
      <w:marTop w:val="0"/>
      <w:marBottom w:val="0"/>
      <w:divBdr>
        <w:top w:val="none" w:sz="0" w:space="0" w:color="auto"/>
        <w:left w:val="none" w:sz="0" w:space="0" w:color="auto"/>
        <w:bottom w:val="none" w:sz="0" w:space="0" w:color="auto"/>
        <w:right w:val="none" w:sz="0" w:space="0" w:color="auto"/>
      </w:divBdr>
      <w:divsChild>
        <w:div w:id="145629786">
          <w:marLeft w:val="0"/>
          <w:marRight w:val="0"/>
          <w:marTop w:val="0"/>
          <w:marBottom w:val="0"/>
          <w:divBdr>
            <w:top w:val="none" w:sz="0" w:space="0" w:color="auto"/>
            <w:left w:val="none" w:sz="0" w:space="0" w:color="auto"/>
            <w:bottom w:val="none" w:sz="0" w:space="0" w:color="auto"/>
            <w:right w:val="none" w:sz="0" w:space="0" w:color="auto"/>
          </w:divBdr>
          <w:divsChild>
            <w:div w:id="114211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ngle-market-economy.ec.europa.eu/news/commission-seeks-views-future-european-standardisation-2025-09-24_e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ec.europa.eu/info/law/better-regulation/have-your-say/initiatives/14807-Market-surveillance-and-compliance-of-products-evaluation-and-possible-revision-of-Regulation-EU-2019-1020_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lex.europa.eu/eli/reg/2023/1542/o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tps://ec.europa.eu/info/law/better-regulation/have-your-say/initiatives/14715-Product-legislation-ensuring-futureproof-rules-revision-of-the-New-Legislative-Framework-NLF-_e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europa.eu/info/law/better-regulation/have-your-say/initiatives/13164-Protecting-children-from-unsafe-toys-and-strengthening-the-Single-Market-revision-of-the-Toy-Safety-Directive_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ransparency/documents-register/detail?ref=SWD(2022)364&amp;lang=en"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5154A498-43A8-4475-86B8-2F7CF5F8AAB3}">
  <ds:schemaRefs>
    <ds:schemaRef ds:uri="http://schemas.microsoft.com/sharepoint/v3/contenttype/forms"/>
  </ds:schemaRefs>
</ds:datastoreItem>
</file>

<file path=customXml/itemProps3.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4.xml><?xml version="1.0" encoding="utf-8"?>
<ds:datastoreItem xmlns:ds="http://schemas.openxmlformats.org/officeDocument/2006/customXml" ds:itemID="{2D60F7A1-4645-4020-A968-FF9A805E1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TEL.DOTM</Template>
  <TotalTime>2</TotalTime>
  <Pages>4</Pages>
  <Words>1974</Words>
  <Characters>12323</Characters>
  <Application>Microsoft Office Word</Application>
  <DocSecurity>0</DocSecurity>
  <PresentationFormat>Microsoft Word 8.0b</PresentationFormat>
  <Lines>186</Lines>
  <Paragraphs>49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DELBAER Gerda (SG)</cp:lastModifiedBy>
  <cp:revision>3</cp:revision>
  <cp:lastPrinted>2017-11-24T02:27:00Z</cp:lastPrinted>
  <dcterms:created xsi:type="dcterms:W3CDTF">2026-02-16T09:14:00Z</dcterms:created>
  <dcterms:modified xsi:type="dcterms:W3CDTF">2026-03-04T09:08:00Z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2023-03-06T16:57:17Z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fed4ca29-9366-4f08-a0f8-47b4b7a2a3a2</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y fmtid="{D5CDD505-2E9C-101B-9397-08002B2CF9AE}" pid="22" name="APP0">
    <vt:lpwstr>28</vt:lpwstr>
  </property>
</Properties>
</file>