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902CE" w14:textId="24709B3D" w:rsidR="005F62E1" w:rsidRPr="005F62E1" w:rsidRDefault="005F62E1" w:rsidP="00A92BF1">
      <w:pPr>
        <w:jc w:val="center"/>
        <w:rPr>
          <w:rFonts w:ascii="Times New Roman" w:hAnsi="Times New Roman" w:cs="Times New Roman"/>
          <w:b/>
          <w:bCs/>
        </w:rPr>
      </w:pPr>
      <w:r w:rsidRPr="005F62E1">
        <w:rPr>
          <w:rFonts w:ascii="Times New Roman" w:hAnsi="Times New Roman" w:cs="Times New Roman"/>
          <w:b/>
          <w:bCs/>
        </w:rPr>
        <w:t>Follow-up to the European Parliament non-legislative resolution on the impact of artificial intelligence on the financial sector</w:t>
      </w:r>
      <w:r w:rsidR="00F64C91">
        <w:rPr>
          <w:rFonts w:ascii="Times New Roman" w:hAnsi="Times New Roman" w:cs="Times New Roman"/>
          <w:b/>
          <w:bCs/>
        </w:rPr>
        <w:br/>
      </w:r>
    </w:p>
    <w:p w14:paraId="66A37F55" w14:textId="77685CA6" w:rsidR="005F62E1" w:rsidRPr="00A92BF1" w:rsidRDefault="005F62E1" w:rsidP="00A92BF1">
      <w:pPr>
        <w:numPr>
          <w:ilvl w:val="0"/>
          <w:numId w:val="1"/>
        </w:numPr>
        <w:spacing w:before="240" w:after="0" w:line="240" w:lineRule="auto"/>
        <w:ind w:left="284" w:hanging="357"/>
        <w:jc w:val="both"/>
        <w:rPr>
          <w:rFonts w:ascii="Times New Roman" w:eastAsia="Times New Roman" w:hAnsi="Times New Roman" w:cs="Times New Roman"/>
          <w:lang w:val="fr-BE"/>
        </w:rPr>
      </w:pPr>
      <w:r w:rsidRPr="00A92BF1">
        <w:rPr>
          <w:rFonts w:ascii="Times New Roman" w:eastAsia="Times New Roman" w:hAnsi="Times New Roman" w:cs="Times New Roman"/>
          <w:b/>
          <w:bCs/>
          <w:lang w:val="fr-BE"/>
        </w:rPr>
        <w:t xml:space="preserve">Rapporteur : </w:t>
      </w:r>
      <w:r w:rsidRPr="00A92BF1">
        <w:rPr>
          <w:rFonts w:ascii="Times New Roman" w:eastAsia="Times New Roman" w:hAnsi="Times New Roman" w:cs="Times New Roman"/>
          <w:lang w:val="fr-BE"/>
        </w:rPr>
        <w:t>Arba KOKALARI (EPP</w:t>
      </w:r>
      <w:r w:rsidR="00723F00" w:rsidRPr="00A92BF1">
        <w:rPr>
          <w:rFonts w:ascii="Times New Roman" w:eastAsia="Times New Roman" w:hAnsi="Times New Roman" w:cs="Times New Roman"/>
          <w:lang w:val="fr-BE"/>
        </w:rPr>
        <w:t xml:space="preserve"> </w:t>
      </w:r>
      <w:r w:rsidRPr="00A92BF1">
        <w:rPr>
          <w:rFonts w:ascii="Times New Roman" w:eastAsia="Times New Roman" w:hAnsi="Times New Roman" w:cs="Times New Roman"/>
          <w:lang w:val="fr-BE"/>
        </w:rPr>
        <w:t>/</w:t>
      </w:r>
      <w:r w:rsidR="00723F00" w:rsidRPr="00A92BF1">
        <w:rPr>
          <w:rFonts w:ascii="Times New Roman" w:eastAsia="Times New Roman" w:hAnsi="Times New Roman" w:cs="Times New Roman"/>
          <w:lang w:val="fr-BE"/>
        </w:rPr>
        <w:t xml:space="preserve"> </w:t>
      </w:r>
      <w:r w:rsidRPr="00A92BF1">
        <w:rPr>
          <w:rFonts w:ascii="Times New Roman" w:eastAsia="Times New Roman" w:hAnsi="Times New Roman" w:cs="Times New Roman"/>
          <w:lang w:val="fr-BE"/>
        </w:rPr>
        <w:t>S</w:t>
      </w:r>
      <w:r w:rsidR="00705F93" w:rsidRPr="00A92BF1">
        <w:rPr>
          <w:rFonts w:ascii="Times New Roman" w:eastAsia="Times New Roman" w:hAnsi="Times New Roman" w:cs="Times New Roman"/>
          <w:lang w:val="fr-BE"/>
        </w:rPr>
        <w:t>E</w:t>
      </w:r>
      <w:r w:rsidRPr="00A92BF1">
        <w:rPr>
          <w:rFonts w:ascii="Times New Roman" w:eastAsia="Times New Roman" w:hAnsi="Times New Roman" w:cs="Times New Roman"/>
          <w:lang w:val="fr-BE"/>
        </w:rPr>
        <w:t>)</w:t>
      </w:r>
    </w:p>
    <w:p w14:paraId="2958D48B" w14:textId="0439146E" w:rsidR="005F62E1" w:rsidRPr="00A92BF1" w:rsidRDefault="005F62E1" w:rsidP="00A92BF1">
      <w:pPr>
        <w:numPr>
          <w:ilvl w:val="0"/>
          <w:numId w:val="1"/>
        </w:numPr>
        <w:spacing w:before="240" w:after="0" w:line="240" w:lineRule="auto"/>
        <w:ind w:left="284" w:hanging="357"/>
        <w:jc w:val="both"/>
        <w:rPr>
          <w:rFonts w:ascii="Times New Roman" w:eastAsia="Times New Roman" w:hAnsi="Times New Roman" w:cs="Times New Roman"/>
          <w:lang w:val="fr-BE"/>
        </w:rPr>
      </w:pPr>
      <w:r w:rsidRPr="00A92BF1">
        <w:rPr>
          <w:rFonts w:ascii="Times New Roman" w:eastAsia="Times New Roman" w:hAnsi="Times New Roman" w:cs="Times New Roman"/>
          <w:b/>
          <w:bCs/>
          <w:lang w:val="fr-BE"/>
        </w:rPr>
        <w:t>References</w:t>
      </w:r>
      <w:r w:rsidRPr="00A92BF1">
        <w:rPr>
          <w:rFonts w:ascii="Times New Roman" w:eastAsia="Times New Roman" w:hAnsi="Times New Roman" w:cs="Times New Roman"/>
          <w:lang w:val="fr-BE"/>
        </w:rPr>
        <w:t xml:space="preserve">: 2025/2056(INI) / </w:t>
      </w:r>
      <w:r w:rsidR="00723F00" w:rsidRPr="00A92BF1">
        <w:rPr>
          <w:rFonts w:ascii="Times New Roman" w:eastAsia="Times New Roman" w:hAnsi="Times New Roman" w:cs="Times New Roman"/>
          <w:lang w:val="fr-BE"/>
        </w:rPr>
        <w:t xml:space="preserve">A10-0225/2025 / </w:t>
      </w:r>
      <w:r w:rsidRPr="00A92BF1">
        <w:rPr>
          <w:rFonts w:ascii="Times New Roman" w:eastAsia="Times New Roman" w:hAnsi="Times New Roman" w:cs="Times New Roman"/>
          <w:lang w:val="fr-BE"/>
        </w:rPr>
        <w:t>P10</w:t>
      </w:r>
      <w:r w:rsidR="00723F00" w:rsidRPr="00A92BF1">
        <w:rPr>
          <w:rFonts w:ascii="Times New Roman" w:eastAsia="Times New Roman" w:hAnsi="Times New Roman" w:cs="Times New Roman"/>
          <w:lang w:val="fr-BE"/>
        </w:rPr>
        <w:t>_</w:t>
      </w:r>
      <w:r w:rsidRPr="00A92BF1">
        <w:rPr>
          <w:rFonts w:ascii="Times New Roman" w:eastAsia="Times New Roman" w:hAnsi="Times New Roman" w:cs="Times New Roman"/>
          <w:lang w:val="fr-BE"/>
        </w:rPr>
        <w:t>TA(2025)</w:t>
      </w:r>
      <w:r w:rsidR="00723F00" w:rsidRPr="00A92BF1">
        <w:rPr>
          <w:rFonts w:ascii="Times New Roman" w:eastAsia="Times New Roman" w:hAnsi="Times New Roman" w:cs="Times New Roman"/>
          <w:lang w:val="fr-BE"/>
        </w:rPr>
        <w:t>0</w:t>
      </w:r>
      <w:r w:rsidRPr="00A92BF1">
        <w:rPr>
          <w:rFonts w:ascii="Times New Roman" w:eastAsia="Times New Roman" w:hAnsi="Times New Roman" w:cs="Times New Roman"/>
          <w:lang w:val="fr-BE"/>
        </w:rPr>
        <w:t>286</w:t>
      </w:r>
    </w:p>
    <w:p w14:paraId="4FDEAB37" w14:textId="1CD17DA1" w:rsidR="005F62E1" w:rsidRPr="005F62E1" w:rsidRDefault="005F62E1" w:rsidP="00A92BF1">
      <w:pPr>
        <w:numPr>
          <w:ilvl w:val="0"/>
          <w:numId w:val="1"/>
        </w:numPr>
        <w:spacing w:before="240" w:after="0" w:line="240" w:lineRule="auto"/>
        <w:ind w:left="284" w:hanging="357"/>
        <w:jc w:val="both"/>
        <w:rPr>
          <w:rFonts w:ascii="Times New Roman" w:eastAsia="Times New Roman" w:hAnsi="Times New Roman" w:cs="Times New Roman"/>
          <w:lang w:val="en-GB"/>
        </w:rPr>
      </w:pPr>
      <w:r w:rsidRPr="005F62E1">
        <w:rPr>
          <w:rFonts w:ascii="Times New Roman" w:eastAsia="Times New Roman" w:hAnsi="Times New Roman" w:cs="Times New Roman"/>
          <w:b/>
          <w:bCs/>
          <w:lang w:val="en-GB"/>
        </w:rPr>
        <w:t>Date of adoption of the resolution:</w:t>
      </w:r>
      <w:r w:rsidRPr="005F62E1">
        <w:rPr>
          <w:rFonts w:ascii="Times New Roman" w:eastAsia="Times New Roman" w:hAnsi="Times New Roman" w:cs="Times New Roman"/>
          <w:lang w:val="en-GB"/>
        </w:rPr>
        <w:t xml:space="preserve"> 25</w:t>
      </w:r>
      <w:r w:rsidR="00723F00">
        <w:rPr>
          <w:rFonts w:ascii="Times New Roman" w:eastAsia="Times New Roman" w:hAnsi="Times New Roman" w:cs="Times New Roman"/>
          <w:lang w:val="en-GB"/>
        </w:rPr>
        <w:t xml:space="preserve"> November </w:t>
      </w:r>
      <w:r w:rsidRPr="005F62E1">
        <w:rPr>
          <w:rFonts w:ascii="Times New Roman" w:eastAsia="Times New Roman" w:hAnsi="Times New Roman" w:cs="Times New Roman"/>
          <w:lang w:val="en-GB"/>
        </w:rPr>
        <w:t>2025</w:t>
      </w:r>
    </w:p>
    <w:p w14:paraId="15D2030E" w14:textId="77777777" w:rsidR="005F62E1" w:rsidRPr="005F62E1" w:rsidRDefault="005F62E1" w:rsidP="00A92BF1">
      <w:pPr>
        <w:numPr>
          <w:ilvl w:val="0"/>
          <w:numId w:val="1"/>
        </w:numPr>
        <w:spacing w:before="240" w:after="0" w:line="240" w:lineRule="auto"/>
        <w:ind w:left="284" w:hanging="357"/>
        <w:jc w:val="both"/>
        <w:rPr>
          <w:rFonts w:ascii="Times New Roman" w:eastAsia="Times New Roman" w:hAnsi="Times New Roman" w:cs="Times New Roman"/>
          <w:lang w:val="en-GB"/>
        </w:rPr>
      </w:pPr>
      <w:r w:rsidRPr="005F62E1">
        <w:rPr>
          <w:rFonts w:ascii="Times New Roman" w:eastAsia="Times New Roman" w:hAnsi="Times New Roman" w:cs="Times New Roman"/>
          <w:b/>
          <w:bCs/>
          <w:lang w:val="en-GB"/>
        </w:rPr>
        <w:t xml:space="preserve">Competent Parliamentary Committee: </w:t>
      </w:r>
      <w:r w:rsidRPr="005F62E1">
        <w:rPr>
          <w:rFonts w:ascii="Times New Roman" w:eastAsia="Times New Roman" w:hAnsi="Times New Roman" w:cs="Times New Roman"/>
          <w:lang w:val="en-GB"/>
        </w:rPr>
        <w:t>Committee on Economic and Monetary Affairs (ECON)</w:t>
      </w:r>
    </w:p>
    <w:p w14:paraId="440C0F78" w14:textId="688497AA" w:rsidR="005F62E1" w:rsidRPr="005F62E1" w:rsidRDefault="005F62E1" w:rsidP="00A92BF1">
      <w:pPr>
        <w:numPr>
          <w:ilvl w:val="0"/>
          <w:numId w:val="1"/>
        </w:numPr>
        <w:spacing w:before="240" w:after="0" w:line="240" w:lineRule="auto"/>
        <w:ind w:left="284" w:hanging="357"/>
        <w:jc w:val="both"/>
        <w:rPr>
          <w:rFonts w:ascii="Times New Roman" w:eastAsia="Times New Roman" w:hAnsi="Times New Roman" w:cs="Times New Roman"/>
          <w:lang w:val="en-GB"/>
        </w:rPr>
      </w:pPr>
      <w:r w:rsidRPr="005F62E1">
        <w:rPr>
          <w:rFonts w:ascii="Times New Roman" w:hAnsi="Times New Roman" w:cs="Times New Roman"/>
          <w:b/>
          <w:bCs/>
        </w:rPr>
        <w:t>Brief analysis / assessment of the resolution and requests made in it:</w:t>
      </w:r>
    </w:p>
    <w:p w14:paraId="3F59E4C7" w14:textId="77777777" w:rsidR="005F62E1" w:rsidRPr="005F62E1" w:rsidRDefault="005F62E1" w:rsidP="005F62E1">
      <w:pPr>
        <w:spacing w:after="0" w:line="240" w:lineRule="auto"/>
        <w:ind w:left="720"/>
        <w:jc w:val="both"/>
        <w:rPr>
          <w:rFonts w:ascii="Times New Roman" w:eastAsia="Times New Roman" w:hAnsi="Times New Roman" w:cs="Times New Roman"/>
          <w:lang w:val="en-GB"/>
        </w:rPr>
      </w:pPr>
    </w:p>
    <w:p w14:paraId="1DBA346E" w14:textId="39D6F0D7"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rPr>
        <w:t xml:space="preserve">Throughout the resolution, the European Parliament </w:t>
      </w:r>
      <w:r w:rsidR="008C236C">
        <w:rPr>
          <w:rFonts w:ascii="Times New Roman" w:hAnsi="Times New Roman" w:cs="Times New Roman"/>
        </w:rPr>
        <w:t xml:space="preserve">strongly </w:t>
      </w:r>
      <w:r w:rsidRPr="005F62E1">
        <w:rPr>
          <w:rFonts w:ascii="Times New Roman" w:hAnsi="Times New Roman" w:cs="Times New Roman"/>
        </w:rPr>
        <w:t xml:space="preserve">endorses the Commission’s approach to artificial intelligence </w:t>
      </w:r>
      <w:r w:rsidR="4C76E2BF" w:rsidRPr="301755DE">
        <w:rPr>
          <w:rFonts w:ascii="Times New Roman" w:hAnsi="Times New Roman" w:cs="Times New Roman"/>
        </w:rPr>
        <w:t xml:space="preserve">(AI) </w:t>
      </w:r>
      <w:r w:rsidRPr="005F62E1">
        <w:rPr>
          <w:rFonts w:ascii="Times New Roman" w:hAnsi="Times New Roman" w:cs="Times New Roman"/>
        </w:rPr>
        <w:t xml:space="preserve">in the financial sector, notably its </w:t>
      </w:r>
      <w:r w:rsidRPr="005F62E1">
        <w:rPr>
          <w:rFonts w:ascii="Times New Roman" w:hAnsi="Times New Roman" w:cs="Times New Roman"/>
          <w:b/>
          <w:bCs/>
        </w:rPr>
        <w:t>risk-based, proportionate and innovation-friendly framework</w:t>
      </w:r>
      <w:r w:rsidRPr="005F62E1">
        <w:rPr>
          <w:rFonts w:ascii="Times New Roman" w:hAnsi="Times New Roman" w:cs="Times New Roman"/>
        </w:rPr>
        <w:t>, while calling for continued vigilance regarding consumer protection, financial stability and fundamental rights.</w:t>
      </w:r>
    </w:p>
    <w:p w14:paraId="0B7A1E88" w14:textId="77777777"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rPr>
        <w:t>The resolution recognises that AI is already widely deployed across the EU financial sector, including for creditworthiness assessments, fraud detection, transaction monitoring, customer support and investment advice, and notes the increasing experimentation with generative AI. Parliament highlights the opportunities AI offers to improve efficiency, foster innovation, enhance risk management and support the objectives of the Savings and Investments Union, while underlining the need to balance innovation with robust governance and human oversight.</w:t>
      </w:r>
    </w:p>
    <w:p w14:paraId="66F1EE38" w14:textId="77777777"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rPr>
        <w:t>At the same time, the resolution identifies key risks associated with AI deployment in finance, including data quality issues, discriminatory outcomes, model opacity, cybersecurity vulnerabilities, market concentration and supervisory capacity constraints. Parliament stresses that high-risk use cases, particularly those affecting consumers, should remain subject to meaningful human oversight.</w:t>
      </w:r>
    </w:p>
    <w:p w14:paraId="6A4CB7A1" w14:textId="77777777"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rPr>
        <w:t>Parliament underlines that the financial services sector is already heavily regulated at EU and national level and considers that existing sectoral legislation, complemented by the AI Act, is largely sufficient to address current AI use cases. It calls for close coordination between the Commission, Member States and supervisory authorities to avoid regulatory fragmentation, gold-plating and new barriers to cross-border activity.</w:t>
      </w:r>
    </w:p>
    <w:p w14:paraId="1C2D7ACD" w14:textId="77777777"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rPr>
        <w:t>The resolution also places strong emphasis on competitiveness, investment and strategic autonomy. Parliament expresses concern about the EU’s relative position in AI innovation and investment and calls for measures to mobilise private capital, including venture capital, scale-ups and AI-driven financial innovation. It supports initiatives to strengthen EU-based AI and cloud capabilities, enhance interoperability with like-minded partners and reduce dependencies on a limited number of service providers.</w:t>
      </w:r>
    </w:p>
    <w:p w14:paraId="17CCBFC0" w14:textId="77777777"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rPr>
        <w:lastRenderedPageBreak/>
        <w:t>Finally, Parliament makes recommendations on skills, sustainability and governance, calling for increased AI literacy and digital skills in the financial sector, support for research into the environmental impact of AI, and the use of innovation hubs, sandboxes and cross-border testing environments to enable responsible experimentation.</w:t>
      </w:r>
    </w:p>
    <w:p w14:paraId="24E4E1D9" w14:textId="70D46528" w:rsidR="005F62E1" w:rsidRPr="005F62E1" w:rsidRDefault="005F62E1" w:rsidP="005F62E1">
      <w:pPr>
        <w:jc w:val="both"/>
        <w:rPr>
          <w:rFonts w:ascii="Times New Roman" w:hAnsi="Times New Roman" w:cs="Times New Roman"/>
        </w:rPr>
      </w:pPr>
    </w:p>
    <w:p w14:paraId="7BB9050A" w14:textId="2BCD4FC6" w:rsidR="005F62E1" w:rsidRPr="005F62E1" w:rsidRDefault="005F62E1" w:rsidP="00A92BF1">
      <w:pPr>
        <w:pStyle w:val="ListParagraph"/>
        <w:spacing w:after="0" w:line="276" w:lineRule="auto"/>
        <w:ind w:left="284" w:hanging="425"/>
        <w:rPr>
          <w:rFonts w:ascii="Times New Roman" w:hAnsi="Times New Roman" w:cs="Times New Roman"/>
          <w:b/>
          <w:bCs/>
        </w:rPr>
      </w:pPr>
      <w:r w:rsidRPr="00A92BF1">
        <w:rPr>
          <w:rFonts w:ascii="Times New Roman" w:hAnsi="Times New Roman" w:cs="Times New Roman"/>
          <w:b/>
          <w:bCs/>
        </w:rPr>
        <w:t>6</w:t>
      </w:r>
      <w:r w:rsidRPr="00C5465D">
        <w:rPr>
          <w:rFonts w:ascii="Times New Roman" w:hAnsi="Times New Roman" w:cs="Times New Roman"/>
        </w:rPr>
        <w:t>.</w:t>
      </w:r>
      <w:r w:rsidRPr="005F62E1">
        <w:rPr>
          <w:rFonts w:ascii="Times New Roman" w:hAnsi="Times New Roman" w:cs="Times New Roman"/>
          <w:b/>
          <w:bCs/>
        </w:rPr>
        <w:t xml:space="preserve"> </w:t>
      </w:r>
      <w:r w:rsidR="00F64C91">
        <w:rPr>
          <w:rFonts w:ascii="Times New Roman" w:hAnsi="Times New Roman" w:cs="Times New Roman"/>
          <w:b/>
          <w:bCs/>
        </w:rPr>
        <w:tab/>
      </w:r>
      <w:r w:rsidRPr="005F62E1">
        <w:rPr>
          <w:rFonts w:ascii="Times New Roman" w:hAnsi="Times New Roman" w:cs="Times New Roman"/>
          <w:b/>
          <w:bCs/>
        </w:rPr>
        <w:t>Response to requests and overview of actions taken, or intended to be taken, by the</w:t>
      </w:r>
      <w:r w:rsidR="00675DFB">
        <w:rPr>
          <w:rFonts w:ascii="Times New Roman" w:hAnsi="Times New Roman" w:cs="Times New Roman"/>
          <w:b/>
          <w:bCs/>
        </w:rPr>
        <w:t xml:space="preserve"> </w:t>
      </w:r>
      <w:r w:rsidRPr="005F62E1">
        <w:rPr>
          <w:rFonts w:ascii="Times New Roman" w:hAnsi="Times New Roman" w:cs="Times New Roman"/>
          <w:b/>
          <w:bCs/>
        </w:rPr>
        <w:t>Commission</w:t>
      </w:r>
    </w:p>
    <w:p w14:paraId="336E358F" w14:textId="77777777" w:rsidR="005F62E1" w:rsidRPr="005F62E1" w:rsidRDefault="005F62E1" w:rsidP="005F62E1">
      <w:pPr>
        <w:jc w:val="both"/>
        <w:rPr>
          <w:rFonts w:ascii="Times New Roman" w:hAnsi="Times New Roman" w:cs="Times New Roman"/>
          <w:b/>
          <w:bCs/>
        </w:rPr>
      </w:pPr>
    </w:p>
    <w:p w14:paraId="04034E37" w14:textId="386C726B" w:rsidR="005F62E1" w:rsidRPr="005F62E1" w:rsidRDefault="005F62E1" w:rsidP="00F64C91">
      <w:pPr>
        <w:ind w:left="284"/>
        <w:jc w:val="both"/>
        <w:rPr>
          <w:rFonts w:ascii="Times New Roman" w:hAnsi="Times New Roman" w:cs="Times New Roman"/>
          <w:b/>
          <w:bCs/>
        </w:rPr>
      </w:pPr>
      <w:r w:rsidRPr="005F62E1">
        <w:rPr>
          <w:rFonts w:ascii="Times New Roman" w:hAnsi="Times New Roman" w:cs="Times New Roman"/>
          <w:b/>
          <w:bCs/>
        </w:rPr>
        <w:t>Regulatory framework, proportionality and legal certainty</w:t>
      </w:r>
    </w:p>
    <w:p w14:paraId="0DDC57F2" w14:textId="77777777" w:rsidR="005F62E1" w:rsidRPr="005F62E1" w:rsidRDefault="005F62E1" w:rsidP="00F64C91">
      <w:pPr>
        <w:ind w:left="284"/>
        <w:jc w:val="both"/>
        <w:rPr>
          <w:rFonts w:ascii="Times New Roman" w:hAnsi="Times New Roman" w:cs="Times New Roman"/>
        </w:rPr>
      </w:pPr>
      <w:r w:rsidRPr="005F62E1">
        <w:rPr>
          <w:rFonts w:ascii="Times New Roman" w:hAnsi="Times New Roman" w:cs="Times New Roman"/>
          <w:b/>
          <w:bCs/>
        </w:rPr>
        <w:t>On paragraphs relating to the regulatory framework, human oversight and risk-based governance:</w:t>
      </w:r>
    </w:p>
    <w:p w14:paraId="592688B9" w14:textId="7C9DEEC9" w:rsidR="005F62E1" w:rsidRPr="005F62E1" w:rsidRDefault="005F62E1" w:rsidP="00F64C91">
      <w:pPr>
        <w:ind w:left="284"/>
        <w:jc w:val="both"/>
        <w:rPr>
          <w:rFonts w:ascii="Times New Roman" w:hAnsi="Times New Roman" w:cs="Times New Roman"/>
        </w:rPr>
      </w:pPr>
      <w:r w:rsidRPr="005F62E1">
        <w:rPr>
          <w:rFonts w:ascii="Times New Roman" w:hAnsi="Times New Roman" w:cs="Times New Roman"/>
        </w:rPr>
        <w:t xml:space="preserve">The Commission welcomes Parliament’s strong support for the EU’s risk-based approach to AI. </w:t>
      </w:r>
      <w:r w:rsidR="006502EF" w:rsidRPr="005F62E1">
        <w:rPr>
          <w:rFonts w:ascii="Times New Roman" w:hAnsi="Times New Roman" w:cs="Times New Roman"/>
        </w:rPr>
        <w:t>The Commission shares Parliament’s view that fully autonomous AI systems in high-impact financial use cases should remain subject to appropriate human oversight.</w:t>
      </w:r>
      <w:r w:rsidR="006502EF">
        <w:rPr>
          <w:rFonts w:ascii="Times New Roman" w:hAnsi="Times New Roman" w:cs="Times New Roman"/>
        </w:rPr>
        <w:t xml:space="preserve"> </w:t>
      </w:r>
      <w:r w:rsidRPr="005F62E1">
        <w:rPr>
          <w:rFonts w:ascii="Times New Roman" w:hAnsi="Times New Roman" w:cs="Times New Roman"/>
        </w:rPr>
        <w:t>The Commission recalls that the AI Act constitutes the world’s first comprehensive legal framework on AI and establishes clear obligations for high-risk AI systems, including those used in creditworthiness assessments, while preserving space for innovation.</w:t>
      </w:r>
      <w:r w:rsidR="00786FD6">
        <w:rPr>
          <w:rFonts w:ascii="Times New Roman" w:hAnsi="Times New Roman" w:cs="Times New Roman"/>
        </w:rPr>
        <w:t xml:space="preserve"> The AI Act introduces strong safeguards to ensure transparency, human oversight, accuracy and robustness</w:t>
      </w:r>
      <w:r w:rsidR="00570D14">
        <w:rPr>
          <w:rFonts w:ascii="Times New Roman" w:hAnsi="Times New Roman" w:cs="Times New Roman"/>
        </w:rPr>
        <w:t>,</w:t>
      </w:r>
      <w:r w:rsidR="00786FD6">
        <w:rPr>
          <w:rFonts w:ascii="Times New Roman" w:hAnsi="Times New Roman" w:cs="Times New Roman"/>
        </w:rPr>
        <w:t xml:space="preserve"> and non-discriminat</w:t>
      </w:r>
      <w:r w:rsidR="008C236C">
        <w:rPr>
          <w:rFonts w:ascii="Times New Roman" w:hAnsi="Times New Roman" w:cs="Times New Roman"/>
        </w:rPr>
        <w:t>ion for the currently two high-risk</w:t>
      </w:r>
      <w:r w:rsidR="00786FD6">
        <w:rPr>
          <w:rFonts w:ascii="Times New Roman" w:hAnsi="Times New Roman" w:cs="Times New Roman"/>
        </w:rPr>
        <w:t xml:space="preserve"> AI system </w:t>
      </w:r>
      <w:r w:rsidR="00F46634">
        <w:rPr>
          <w:rFonts w:ascii="Times New Roman" w:hAnsi="Times New Roman" w:cs="Times New Roman"/>
        </w:rPr>
        <w:t xml:space="preserve">use cases </w:t>
      </w:r>
      <w:r w:rsidR="00786FD6">
        <w:rPr>
          <w:rFonts w:ascii="Times New Roman" w:hAnsi="Times New Roman" w:cs="Times New Roman"/>
        </w:rPr>
        <w:t>in the financial sector.</w:t>
      </w:r>
      <w:r w:rsidR="00786FD6" w:rsidRPr="00786FD6">
        <w:rPr>
          <w:rFonts w:ascii="Times New Roman" w:hAnsi="Times New Roman" w:cs="Times New Roman"/>
        </w:rPr>
        <w:t xml:space="preserve"> </w:t>
      </w:r>
      <w:r w:rsidR="00786FD6">
        <w:rPr>
          <w:rFonts w:ascii="Times New Roman" w:hAnsi="Times New Roman" w:cs="Times New Roman"/>
        </w:rPr>
        <w:t xml:space="preserve">The Commission is also required to review annually the list of AI systems </w:t>
      </w:r>
      <w:r w:rsidR="006502EF">
        <w:rPr>
          <w:rFonts w:ascii="Times New Roman" w:hAnsi="Times New Roman" w:cs="Times New Roman"/>
        </w:rPr>
        <w:t xml:space="preserve">considered high-risk under Annex III of the AI Act </w:t>
      </w:r>
      <w:r w:rsidR="00786FD6">
        <w:rPr>
          <w:rFonts w:ascii="Times New Roman" w:hAnsi="Times New Roman" w:cs="Times New Roman"/>
        </w:rPr>
        <w:t xml:space="preserve">and can amend it </w:t>
      </w:r>
      <w:r w:rsidR="00B7252E">
        <w:rPr>
          <w:rFonts w:ascii="Times New Roman" w:hAnsi="Times New Roman" w:cs="Times New Roman"/>
        </w:rPr>
        <w:t xml:space="preserve">in </w:t>
      </w:r>
      <w:r w:rsidR="00786FD6">
        <w:rPr>
          <w:rFonts w:ascii="Times New Roman" w:hAnsi="Times New Roman" w:cs="Times New Roman"/>
        </w:rPr>
        <w:t xml:space="preserve">case of further evidence of other </w:t>
      </w:r>
      <w:r w:rsidR="006502EF">
        <w:rPr>
          <w:rFonts w:ascii="Times New Roman" w:hAnsi="Times New Roman" w:cs="Times New Roman"/>
        </w:rPr>
        <w:t xml:space="preserve">use cases </w:t>
      </w:r>
      <w:r w:rsidR="00786FD6">
        <w:rPr>
          <w:rFonts w:ascii="Times New Roman" w:hAnsi="Times New Roman" w:cs="Times New Roman"/>
        </w:rPr>
        <w:t xml:space="preserve">in the financial sector that are posing </w:t>
      </w:r>
      <w:r w:rsidR="006502EF">
        <w:rPr>
          <w:rFonts w:ascii="Times New Roman" w:hAnsi="Times New Roman" w:cs="Times New Roman"/>
        </w:rPr>
        <w:t xml:space="preserve">a </w:t>
      </w:r>
      <w:r w:rsidR="00786FD6">
        <w:rPr>
          <w:rFonts w:ascii="Times New Roman" w:hAnsi="Times New Roman" w:cs="Times New Roman"/>
        </w:rPr>
        <w:t xml:space="preserve">high-risk. </w:t>
      </w:r>
    </w:p>
    <w:p w14:paraId="365808AF" w14:textId="76EBAAFF"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rPr>
        <w:t xml:space="preserve">In the financial sector, the AI Act complements existing EU financial services legislation, which continues to apply in full. Sector-specific rules on consumer protection, prudential supervision, market integrity, data protection and operational resilience already provide a robust </w:t>
      </w:r>
      <w:r w:rsidR="00786FD6">
        <w:rPr>
          <w:rFonts w:ascii="Times New Roman" w:hAnsi="Times New Roman" w:cs="Times New Roman"/>
        </w:rPr>
        <w:t>and technology neutral framework</w:t>
      </w:r>
      <w:r w:rsidRPr="005F62E1">
        <w:rPr>
          <w:rFonts w:ascii="Times New Roman" w:hAnsi="Times New Roman" w:cs="Times New Roman"/>
        </w:rPr>
        <w:t xml:space="preserve">. </w:t>
      </w:r>
    </w:p>
    <w:p w14:paraId="6A51F57E" w14:textId="0CC48F24"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rPr>
        <w:t xml:space="preserve">Future guidance on the implementation of the AI Act will be </w:t>
      </w:r>
      <w:r w:rsidRPr="005F62E1">
        <w:rPr>
          <w:rFonts w:ascii="Times New Roman" w:hAnsi="Times New Roman" w:cs="Times New Roman"/>
          <w:b/>
          <w:bCs/>
        </w:rPr>
        <w:t>proportionate, risk-focused and operational</w:t>
      </w:r>
      <w:r>
        <w:rPr>
          <w:rFonts w:ascii="Times New Roman" w:hAnsi="Times New Roman" w:cs="Times New Roman"/>
        </w:rPr>
        <w:t>.</w:t>
      </w:r>
      <w:r w:rsidR="006A4038">
        <w:rPr>
          <w:rFonts w:ascii="Times New Roman" w:hAnsi="Times New Roman" w:cs="Times New Roman"/>
        </w:rPr>
        <w:t xml:space="preserve"> </w:t>
      </w:r>
      <w:r w:rsidRPr="005F62E1">
        <w:rPr>
          <w:rFonts w:ascii="Times New Roman" w:hAnsi="Times New Roman" w:cs="Times New Roman"/>
        </w:rPr>
        <w:t>The Commission</w:t>
      </w:r>
      <w:r w:rsidR="00786FD6">
        <w:rPr>
          <w:rFonts w:ascii="Times New Roman" w:hAnsi="Times New Roman" w:cs="Times New Roman"/>
        </w:rPr>
        <w:t xml:space="preserve"> shares the view that the AI Act </w:t>
      </w:r>
      <w:r w:rsidRPr="005F62E1">
        <w:rPr>
          <w:rFonts w:ascii="Times New Roman" w:hAnsi="Times New Roman" w:cs="Times New Roman"/>
        </w:rPr>
        <w:t>avoid</w:t>
      </w:r>
      <w:r w:rsidR="00786FD6">
        <w:rPr>
          <w:rFonts w:ascii="Times New Roman" w:hAnsi="Times New Roman" w:cs="Times New Roman"/>
        </w:rPr>
        <w:t>s</w:t>
      </w:r>
      <w:r w:rsidRPr="005F62E1">
        <w:rPr>
          <w:rFonts w:ascii="Times New Roman" w:hAnsi="Times New Roman" w:cs="Times New Roman"/>
        </w:rPr>
        <w:t xml:space="preserve"> unnecessary duplication </w:t>
      </w:r>
      <w:r w:rsidR="00786FD6">
        <w:rPr>
          <w:rFonts w:ascii="Times New Roman" w:hAnsi="Times New Roman" w:cs="Times New Roman"/>
        </w:rPr>
        <w:t>and envisages targeted derogations where requirements are equivalent with obligations under Union financial service legislation</w:t>
      </w:r>
      <w:r w:rsidR="00F46634">
        <w:rPr>
          <w:rFonts w:ascii="Times New Roman" w:hAnsi="Times New Roman" w:cs="Times New Roman"/>
        </w:rPr>
        <w:t xml:space="preserve">, as well as certain provisions to integrate </w:t>
      </w:r>
      <w:r w:rsidR="007D4094" w:rsidRPr="006502EF">
        <w:rPr>
          <w:rFonts w:ascii="Times New Roman" w:hAnsi="Times New Roman" w:cs="Times New Roman"/>
        </w:rPr>
        <w:t>certain</w:t>
      </w:r>
      <w:r w:rsidR="007D4094">
        <w:rPr>
          <w:rFonts w:ascii="Times New Roman" w:hAnsi="Times New Roman" w:cs="Times New Roman"/>
        </w:rPr>
        <w:t xml:space="preserve"> </w:t>
      </w:r>
      <w:r w:rsidR="00F46634">
        <w:rPr>
          <w:rFonts w:ascii="Times New Roman" w:hAnsi="Times New Roman" w:cs="Times New Roman"/>
        </w:rPr>
        <w:t>compliance measures into existing governance frameworks under Union financial services law</w:t>
      </w:r>
      <w:r w:rsidR="00786FD6">
        <w:rPr>
          <w:rFonts w:ascii="Times New Roman" w:hAnsi="Times New Roman" w:cs="Times New Roman"/>
        </w:rPr>
        <w:t xml:space="preserve">. However, </w:t>
      </w:r>
      <w:r w:rsidR="00762F3A">
        <w:rPr>
          <w:rFonts w:ascii="Times New Roman" w:hAnsi="Times New Roman" w:cs="Times New Roman"/>
        </w:rPr>
        <w:t xml:space="preserve">it must be noted </w:t>
      </w:r>
      <w:r w:rsidR="00B7252E">
        <w:rPr>
          <w:rFonts w:ascii="Times New Roman" w:hAnsi="Times New Roman" w:cs="Times New Roman"/>
        </w:rPr>
        <w:t xml:space="preserve">that </w:t>
      </w:r>
      <w:r w:rsidR="00786FD6">
        <w:rPr>
          <w:rFonts w:ascii="Times New Roman" w:hAnsi="Times New Roman" w:cs="Times New Roman"/>
        </w:rPr>
        <w:t>the AI Act and financial service legislation pursue different objectives</w:t>
      </w:r>
      <w:r w:rsidR="00762F3A">
        <w:rPr>
          <w:rFonts w:ascii="Times New Roman" w:hAnsi="Times New Roman" w:cs="Times New Roman"/>
        </w:rPr>
        <w:t xml:space="preserve">: </w:t>
      </w:r>
      <w:r w:rsidR="00786FD6">
        <w:rPr>
          <w:rFonts w:ascii="Times New Roman" w:hAnsi="Times New Roman" w:cs="Times New Roman"/>
        </w:rPr>
        <w:t xml:space="preserve">the AI Act aims to address risks to health, safety and fundamental rights, while Union financial service law aims to ensure financial stability. The Commission will provide further guidance </w:t>
      </w:r>
      <w:r w:rsidR="00B7252E">
        <w:rPr>
          <w:rFonts w:ascii="Times New Roman" w:hAnsi="Times New Roman" w:cs="Times New Roman"/>
        </w:rPr>
        <w:t xml:space="preserve">on </w:t>
      </w:r>
      <w:r w:rsidR="00786FD6">
        <w:rPr>
          <w:rFonts w:ascii="Times New Roman" w:hAnsi="Times New Roman" w:cs="Times New Roman"/>
        </w:rPr>
        <w:t xml:space="preserve">how the AI Act interplays with existing Union financial service legislation </w:t>
      </w:r>
      <w:r w:rsidRPr="005F62E1">
        <w:rPr>
          <w:rFonts w:ascii="Times New Roman" w:hAnsi="Times New Roman" w:cs="Times New Roman"/>
        </w:rPr>
        <w:t>and will work to ensure coherence with existing financial services legislation</w:t>
      </w:r>
      <w:r w:rsidR="00840B6C">
        <w:rPr>
          <w:rFonts w:ascii="Times New Roman" w:hAnsi="Times New Roman" w:cs="Times New Roman"/>
        </w:rPr>
        <w:t>, while avoiding duplication</w:t>
      </w:r>
      <w:r w:rsidRPr="005F62E1">
        <w:rPr>
          <w:rFonts w:ascii="Times New Roman" w:hAnsi="Times New Roman" w:cs="Times New Roman"/>
        </w:rPr>
        <w:t>.</w:t>
      </w:r>
    </w:p>
    <w:p w14:paraId="6543CD65" w14:textId="77777777" w:rsidR="005F62E1" w:rsidRPr="005F62E1" w:rsidRDefault="005F62E1" w:rsidP="00A92BF1">
      <w:pPr>
        <w:ind w:left="284"/>
        <w:jc w:val="both"/>
        <w:rPr>
          <w:rFonts w:ascii="Times New Roman" w:hAnsi="Times New Roman" w:cs="Times New Roman"/>
          <w:b/>
          <w:bCs/>
        </w:rPr>
      </w:pPr>
      <w:r w:rsidRPr="005F62E1">
        <w:rPr>
          <w:rFonts w:ascii="Times New Roman" w:hAnsi="Times New Roman" w:cs="Times New Roman"/>
          <w:b/>
          <w:bCs/>
        </w:rPr>
        <w:t>Guidance, supervisory convergence and enforcement</w:t>
      </w:r>
    </w:p>
    <w:p w14:paraId="752B87BC" w14:textId="77777777" w:rsidR="005F62E1" w:rsidRPr="005F62E1" w:rsidRDefault="005F62E1" w:rsidP="00A92BF1">
      <w:pPr>
        <w:keepNext/>
        <w:keepLines/>
        <w:ind w:left="284"/>
        <w:jc w:val="both"/>
        <w:rPr>
          <w:rFonts w:ascii="Times New Roman" w:hAnsi="Times New Roman" w:cs="Times New Roman"/>
        </w:rPr>
      </w:pPr>
      <w:r w:rsidRPr="005F62E1">
        <w:rPr>
          <w:rFonts w:ascii="Times New Roman" w:hAnsi="Times New Roman" w:cs="Times New Roman"/>
          <w:b/>
          <w:bCs/>
        </w:rPr>
        <w:lastRenderedPageBreak/>
        <w:t>On paragraphs calling for clear guidance and consistent supervision:</w:t>
      </w:r>
    </w:p>
    <w:p w14:paraId="220334A7" w14:textId="77777777" w:rsidR="005F62E1" w:rsidRPr="005F62E1" w:rsidRDefault="005F62E1" w:rsidP="00A92BF1">
      <w:pPr>
        <w:keepNext/>
        <w:keepLines/>
        <w:ind w:left="284"/>
        <w:jc w:val="both"/>
        <w:rPr>
          <w:rFonts w:ascii="Times New Roman" w:hAnsi="Times New Roman" w:cs="Times New Roman"/>
        </w:rPr>
      </w:pPr>
      <w:r w:rsidRPr="005F62E1">
        <w:rPr>
          <w:rFonts w:ascii="Times New Roman" w:hAnsi="Times New Roman" w:cs="Times New Roman"/>
        </w:rPr>
        <w:t>The Commission takes note of Parliament’s call for clear and practical guidance on the application of existing financial services legislation in relation to AI. The Commission will continue to work closely with the European Supervisory Authorities (ESAs) to promote consistent interpretation and application of both the AI Act and financial sector legislation.</w:t>
      </w:r>
    </w:p>
    <w:p w14:paraId="7007C029" w14:textId="45D5BCCB"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rPr>
        <w:t xml:space="preserve">The Commission agrees that supervisory efforts should prioritise </w:t>
      </w:r>
      <w:r w:rsidRPr="005F62E1">
        <w:rPr>
          <w:rFonts w:ascii="Times New Roman" w:hAnsi="Times New Roman" w:cs="Times New Roman"/>
          <w:b/>
          <w:bCs/>
        </w:rPr>
        <w:t>tangible, operational risks</w:t>
      </w:r>
      <w:r w:rsidRPr="005F62E1">
        <w:rPr>
          <w:rFonts w:ascii="Times New Roman" w:hAnsi="Times New Roman" w:cs="Times New Roman"/>
        </w:rPr>
        <w:t>, while maintaining a proportionate and innovation-supportive approach. The Commission supports the strengthening of supervisory expertise, including through supervisory technology (SupTech), information sharing and coordinated supervisory practices across Member States.</w:t>
      </w:r>
    </w:p>
    <w:p w14:paraId="7463C865" w14:textId="27866C45"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rPr>
        <w:t xml:space="preserve">The Commission also acknowledges Parliament’s concerns regarding </w:t>
      </w:r>
      <w:r w:rsidR="00256747">
        <w:rPr>
          <w:rFonts w:ascii="Times New Roman" w:hAnsi="Times New Roman" w:cs="Times New Roman"/>
        </w:rPr>
        <w:t xml:space="preserve">the </w:t>
      </w:r>
      <w:r w:rsidRPr="005F62E1">
        <w:rPr>
          <w:rFonts w:ascii="Times New Roman" w:hAnsi="Times New Roman" w:cs="Times New Roman"/>
        </w:rPr>
        <w:t xml:space="preserve">concentration </w:t>
      </w:r>
      <w:r w:rsidR="00256747">
        <w:rPr>
          <w:rFonts w:ascii="Times New Roman" w:hAnsi="Times New Roman" w:cs="Times New Roman"/>
        </w:rPr>
        <w:t xml:space="preserve">of </w:t>
      </w:r>
      <w:r w:rsidRPr="005F62E1">
        <w:rPr>
          <w:rFonts w:ascii="Times New Roman" w:hAnsi="Times New Roman" w:cs="Times New Roman"/>
        </w:rPr>
        <w:t>risks and reliance on a limited number of critical service providers. These risks are already addressed through existing frameworks, including the Digital Operational Resilience Act (DORA), and will continue to be monitored closely.</w:t>
      </w:r>
    </w:p>
    <w:p w14:paraId="330BD349" w14:textId="77777777" w:rsidR="005F62E1" w:rsidRPr="005F62E1" w:rsidRDefault="005F62E1" w:rsidP="00F64C91">
      <w:pPr>
        <w:ind w:left="284"/>
        <w:jc w:val="both"/>
        <w:rPr>
          <w:rFonts w:ascii="Times New Roman" w:hAnsi="Times New Roman" w:cs="Times New Roman"/>
          <w:b/>
          <w:bCs/>
        </w:rPr>
      </w:pPr>
      <w:r w:rsidRPr="005F62E1">
        <w:rPr>
          <w:rFonts w:ascii="Times New Roman" w:hAnsi="Times New Roman" w:cs="Times New Roman"/>
          <w:b/>
          <w:bCs/>
        </w:rPr>
        <w:t>Innovation, investment and competitiveness</w:t>
      </w:r>
    </w:p>
    <w:p w14:paraId="67B57674" w14:textId="77777777" w:rsidR="005F62E1" w:rsidRPr="005F62E1" w:rsidRDefault="005F62E1" w:rsidP="00F64C91">
      <w:pPr>
        <w:ind w:left="284"/>
        <w:jc w:val="both"/>
        <w:rPr>
          <w:rFonts w:ascii="Times New Roman" w:hAnsi="Times New Roman" w:cs="Times New Roman"/>
        </w:rPr>
      </w:pPr>
      <w:r w:rsidRPr="005F62E1">
        <w:rPr>
          <w:rFonts w:ascii="Times New Roman" w:hAnsi="Times New Roman" w:cs="Times New Roman"/>
          <w:b/>
          <w:bCs/>
        </w:rPr>
        <w:t>On paragraphs relating to AI innovation, venture capital and competitiveness:</w:t>
      </w:r>
    </w:p>
    <w:p w14:paraId="378E1F4D" w14:textId="77777777"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rPr>
        <w:t>The Commission shares Parliament’s concern regarding the EU’s position in global AI investment and innovation. The Commission agrees that the financial services sector can act as a catalyst in mobilising private investment into AI and scaling innovative solutions within the EU.</w:t>
      </w:r>
    </w:p>
    <w:p w14:paraId="62539AAC" w14:textId="77777777"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rPr>
        <w:t xml:space="preserve">In this context, the Commission recalls its ongoing initiatives to strengthen the </w:t>
      </w:r>
      <w:r w:rsidRPr="005F62E1">
        <w:rPr>
          <w:rFonts w:ascii="Times New Roman" w:hAnsi="Times New Roman" w:cs="Times New Roman"/>
          <w:b/>
          <w:bCs/>
        </w:rPr>
        <w:t>Savings and Investments Union</w:t>
      </w:r>
      <w:r w:rsidRPr="005F62E1">
        <w:rPr>
          <w:rFonts w:ascii="Times New Roman" w:hAnsi="Times New Roman" w:cs="Times New Roman"/>
        </w:rPr>
        <w:t>, deepen capital markets and improve access to venture capital and scale-up financing. These initiatives aim to support AI-driven financial innovation and enable companies to grow and scale within the EU.</w:t>
      </w:r>
    </w:p>
    <w:p w14:paraId="3C61A030" w14:textId="77777777"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rPr>
        <w:t>The Commission continues to support AI development and deployment through substantial EU funding programmes, including Horizon Europe, the Digital Europe Programme and InvestEU. These programmes support research, testing, deployment and scaling of trustworthy AI solutions that are compliant with EU data protection, cybersecurity and fundamental rights frameworks.</w:t>
      </w:r>
      <w:r w:rsidR="005D785F">
        <w:rPr>
          <w:rFonts w:ascii="Times New Roman" w:hAnsi="Times New Roman" w:cs="Times New Roman"/>
        </w:rPr>
        <w:t xml:space="preserve"> These funding programmes are flanked by the EU’s </w:t>
      </w:r>
      <w:r w:rsidR="00EA3FAE">
        <w:rPr>
          <w:rFonts w:ascii="Times New Roman" w:hAnsi="Times New Roman" w:cs="Times New Roman"/>
        </w:rPr>
        <w:t>AI Factories</w:t>
      </w:r>
      <w:r w:rsidR="005917EC">
        <w:rPr>
          <w:rFonts w:ascii="Times New Roman" w:hAnsi="Times New Roman" w:cs="Times New Roman"/>
        </w:rPr>
        <w:t xml:space="preserve"> initiative</w:t>
      </w:r>
      <w:r w:rsidR="00EA3FAE">
        <w:rPr>
          <w:rFonts w:ascii="Times New Roman" w:hAnsi="Times New Roman" w:cs="Times New Roman"/>
        </w:rPr>
        <w:t xml:space="preserve"> </w:t>
      </w:r>
      <w:r w:rsidR="005917EC">
        <w:rPr>
          <w:rFonts w:ascii="Times New Roman" w:hAnsi="Times New Roman" w:cs="Times New Roman"/>
        </w:rPr>
        <w:t xml:space="preserve">(19 AI Factories have now been launched) </w:t>
      </w:r>
      <w:r w:rsidR="00EA3FAE">
        <w:rPr>
          <w:rFonts w:ascii="Times New Roman" w:hAnsi="Times New Roman" w:cs="Times New Roman"/>
        </w:rPr>
        <w:t xml:space="preserve">and the </w:t>
      </w:r>
      <w:r w:rsidR="005D785F">
        <w:rPr>
          <w:rFonts w:ascii="Times New Roman" w:hAnsi="Times New Roman" w:cs="Times New Roman"/>
        </w:rPr>
        <w:t xml:space="preserve">Apply AI strategy </w:t>
      </w:r>
      <w:r w:rsidR="00EA3FAE">
        <w:rPr>
          <w:rFonts w:ascii="Times New Roman" w:hAnsi="Times New Roman" w:cs="Times New Roman"/>
        </w:rPr>
        <w:t>(</w:t>
      </w:r>
      <w:r w:rsidR="005D785F">
        <w:rPr>
          <w:rFonts w:ascii="Times New Roman" w:hAnsi="Times New Roman" w:cs="Times New Roman"/>
        </w:rPr>
        <w:t>which – inter alia - launches a set of flagship actions to stimulate uptake of AI in key industrial sectors</w:t>
      </w:r>
      <w:r w:rsidR="00EA3FAE">
        <w:rPr>
          <w:rFonts w:ascii="Times New Roman" w:hAnsi="Times New Roman" w:cs="Times New Roman"/>
        </w:rPr>
        <w:t>)</w:t>
      </w:r>
      <w:r w:rsidR="005D785F">
        <w:rPr>
          <w:rFonts w:ascii="Times New Roman" w:hAnsi="Times New Roman" w:cs="Times New Roman"/>
        </w:rPr>
        <w:t>.</w:t>
      </w:r>
    </w:p>
    <w:p w14:paraId="084B13E7" w14:textId="77777777" w:rsidR="005F62E1" w:rsidRPr="005F62E1" w:rsidRDefault="005F62E1" w:rsidP="00A92BF1">
      <w:pPr>
        <w:ind w:left="284"/>
        <w:jc w:val="both"/>
        <w:rPr>
          <w:rFonts w:ascii="Times New Roman" w:hAnsi="Times New Roman" w:cs="Times New Roman"/>
          <w:b/>
          <w:bCs/>
        </w:rPr>
      </w:pPr>
      <w:r w:rsidRPr="005F62E1">
        <w:rPr>
          <w:rFonts w:ascii="Times New Roman" w:hAnsi="Times New Roman" w:cs="Times New Roman"/>
          <w:b/>
          <w:bCs/>
        </w:rPr>
        <w:t>Strategic autonomy, interoperability and international cooperation</w:t>
      </w:r>
    </w:p>
    <w:p w14:paraId="43473CD1" w14:textId="77777777"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b/>
          <w:bCs/>
        </w:rPr>
        <w:t>On paragraphs concerning strategic autonomy and international alignment:</w:t>
      </w:r>
    </w:p>
    <w:p w14:paraId="1EF4E4BC" w14:textId="77777777"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rPr>
        <w:t>The Commission welcomes Parliament’s support for initiatives to strengthen EU-based AI and cloud ecosystems. The Commission remains committed to reducing excessive dependencies, enhancing resilience and fostering strategic autonomy, while maintaining openness to international cooperation.</w:t>
      </w:r>
    </w:p>
    <w:p w14:paraId="33F7CCBA" w14:textId="301656DB"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rPr>
        <w:lastRenderedPageBreak/>
        <w:t>The Commission also supports efforts to enhance interoperability and compatibility of AI frameworks with like-minded international partners, including through regulatory dialogue</w:t>
      </w:r>
      <w:r>
        <w:rPr>
          <w:rFonts w:ascii="Times New Roman" w:hAnsi="Times New Roman" w:cs="Times New Roman"/>
        </w:rPr>
        <w:t>s</w:t>
      </w:r>
      <w:r w:rsidRPr="005F62E1">
        <w:rPr>
          <w:rFonts w:ascii="Times New Roman" w:hAnsi="Times New Roman" w:cs="Times New Roman"/>
        </w:rPr>
        <w:t>, international standard-setting and cooperation in multilateral fora. These efforts aim to facilitate cross-border activity while safeguarding EU values and regulatory objectives.</w:t>
      </w:r>
    </w:p>
    <w:p w14:paraId="4475B989" w14:textId="77777777" w:rsidR="005F62E1" w:rsidRPr="005F62E1" w:rsidRDefault="005F62E1" w:rsidP="00A92BF1">
      <w:pPr>
        <w:ind w:left="284"/>
        <w:jc w:val="both"/>
        <w:rPr>
          <w:rFonts w:ascii="Times New Roman" w:hAnsi="Times New Roman" w:cs="Times New Roman"/>
          <w:b/>
          <w:bCs/>
        </w:rPr>
      </w:pPr>
      <w:r w:rsidRPr="005F62E1">
        <w:rPr>
          <w:rFonts w:ascii="Times New Roman" w:hAnsi="Times New Roman" w:cs="Times New Roman"/>
          <w:b/>
          <w:bCs/>
        </w:rPr>
        <w:t>Skills, AI literacy and sustainability</w:t>
      </w:r>
    </w:p>
    <w:p w14:paraId="735B9EEC" w14:textId="77777777"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b/>
          <w:bCs/>
        </w:rPr>
        <w:t>On paragraphs relating to skills, AI literacy and environmental impact:</w:t>
      </w:r>
    </w:p>
    <w:p w14:paraId="1CECC1FE" w14:textId="77777777"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rPr>
        <w:t>The Commission agrees that the responsible uptake of AI in finance requires strong AI literacy, digital skills and ethical awareness across the financial workforce. The Commission will continue to support upskilling and reskilling initiatives, including through existing EU skills strategies, targeted training programmes and public-private partnerships.</w:t>
      </w:r>
    </w:p>
    <w:p w14:paraId="41DAE34C" w14:textId="77777777"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rPr>
        <w:t>Regarding sustainability, the Commission takes note of Parliament’s recommendation to support research into the environmental impact of AI, including resource intensity and energy consumption. This is consistent with the Commission’s broader objective to ensure that digital transformation contributes to the Union’s climate and sustainability goals.</w:t>
      </w:r>
    </w:p>
    <w:p w14:paraId="054EB307" w14:textId="77777777" w:rsidR="005F62E1" w:rsidRPr="005F62E1" w:rsidRDefault="005F62E1" w:rsidP="00F64C91">
      <w:pPr>
        <w:ind w:left="284"/>
        <w:jc w:val="both"/>
        <w:rPr>
          <w:rFonts w:ascii="Times New Roman" w:hAnsi="Times New Roman" w:cs="Times New Roman"/>
          <w:b/>
          <w:bCs/>
        </w:rPr>
      </w:pPr>
      <w:r w:rsidRPr="005F62E1">
        <w:rPr>
          <w:rFonts w:ascii="Times New Roman" w:hAnsi="Times New Roman" w:cs="Times New Roman"/>
          <w:b/>
          <w:bCs/>
        </w:rPr>
        <w:t>Sandboxes, innovation hubs and market entry</w:t>
      </w:r>
    </w:p>
    <w:p w14:paraId="3736D3E8" w14:textId="77777777"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b/>
          <w:bCs/>
        </w:rPr>
        <w:t>On paragraphs concerning sandboxes and innovation hubs:</w:t>
      </w:r>
    </w:p>
    <w:p w14:paraId="4D6C463E" w14:textId="186CB76E"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rPr>
        <w:t xml:space="preserve">The Commission welcomes Parliament’s interest in AI-specific regulatory sandboxes and cross-border testing environments. The AI Act already provides for AI regulatory sandboxes and </w:t>
      </w:r>
      <w:r w:rsidR="00762F3A">
        <w:rPr>
          <w:rFonts w:ascii="Times New Roman" w:hAnsi="Times New Roman" w:cs="Times New Roman"/>
        </w:rPr>
        <w:t xml:space="preserve">requires </w:t>
      </w:r>
      <w:r w:rsidR="00B7252E">
        <w:rPr>
          <w:rFonts w:ascii="Times New Roman" w:hAnsi="Times New Roman" w:cs="Times New Roman"/>
        </w:rPr>
        <w:t xml:space="preserve">each </w:t>
      </w:r>
      <w:r w:rsidRPr="005F62E1">
        <w:rPr>
          <w:rFonts w:ascii="Times New Roman" w:hAnsi="Times New Roman" w:cs="Times New Roman"/>
        </w:rPr>
        <w:t>Member State</w:t>
      </w:r>
      <w:r w:rsidR="00762F3A">
        <w:rPr>
          <w:rFonts w:ascii="Times New Roman" w:hAnsi="Times New Roman" w:cs="Times New Roman"/>
        </w:rPr>
        <w:t xml:space="preserve"> to establish at least one AI regulatory sandbox that should provide a broad coverage and be operational by August 2026</w:t>
      </w:r>
      <w:r w:rsidRPr="005F62E1">
        <w:rPr>
          <w:rFonts w:ascii="Times New Roman" w:hAnsi="Times New Roman" w:cs="Times New Roman"/>
        </w:rPr>
        <w:t>.</w:t>
      </w:r>
      <w:r w:rsidR="00762F3A">
        <w:rPr>
          <w:rFonts w:ascii="Times New Roman" w:hAnsi="Times New Roman" w:cs="Times New Roman"/>
        </w:rPr>
        <w:t xml:space="preserve"> The Commission notes that these AI regulatory sandboxes </w:t>
      </w:r>
      <w:r w:rsidR="00B7252E">
        <w:rPr>
          <w:rFonts w:ascii="Times New Roman" w:hAnsi="Times New Roman" w:cs="Times New Roman"/>
        </w:rPr>
        <w:t xml:space="preserve">also </w:t>
      </w:r>
      <w:r w:rsidR="00762F3A">
        <w:rPr>
          <w:rFonts w:ascii="Times New Roman" w:hAnsi="Times New Roman" w:cs="Times New Roman"/>
        </w:rPr>
        <w:t xml:space="preserve">allow supervision of other Union legislation, including </w:t>
      </w:r>
      <w:r w:rsidR="00B7252E">
        <w:rPr>
          <w:rFonts w:ascii="Times New Roman" w:hAnsi="Times New Roman" w:cs="Times New Roman"/>
        </w:rPr>
        <w:t xml:space="preserve">on </w:t>
      </w:r>
      <w:r w:rsidR="00762F3A">
        <w:rPr>
          <w:rFonts w:ascii="Times New Roman" w:hAnsi="Times New Roman" w:cs="Times New Roman"/>
        </w:rPr>
        <w:t>financial services.</w:t>
      </w:r>
    </w:p>
    <w:p w14:paraId="4DCFA5FE" w14:textId="77777777" w:rsidR="005F62E1" w:rsidRPr="005F62E1" w:rsidRDefault="3CE4786F" w:rsidP="00A92BF1">
      <w:pPr>
        <w:ind w:left="284"/>
        <w:jc w:val="both"/>
        <w:rPr>
          <w:rFonts w:ascii="Times New Roman" w:hAnsi="Times New Roman" w:cs="Times New Roman"/>
        </w:rPr>
      </w:pPr>
      <w:r w:rsidRPr="20F8CAAD">
        <w:rPr>
          <w:rFonts w:ascii="Times New Roman" w:hAnsi="Times New Roman" w:cs="Times New Roman"/>
        </w:rPr>
        <w:t>The Commission will also continue to support supervisory innovation hubs and dialogue between regulators and industry to facilitate responsible experimentation, reduce entry barriers for innovative AI-driven financial undertakings and support cross-border scaling within the single market.</w:t>
      </w:r>
    </w:p>
    <w:p w14:paraId="0D508040" w14:textId="77777777" w:rsidR="005F62E1" w:rsidRPr="005F62E1" w:rsidRDefault="005F62E1" w:rsidP="00A92BF1">
      <w:pPr>
        <w:ind w:left="284"/>
        <w:jc w:val="both"/>
        <w:rPr>
          <w:rFonts w:ascii="Times New Roman" w:hAnsi="Times New Roman" w:cs="Times New Roman"/>
          <w:b/>
          <w:bCs/>
        </w:rPr>
      </w:pPr>
      <w:r w:rsidRPr="005F62E1">
        <w:rPr>
          <w:rFonts w:ascii="Times New Roman" w:hAnsi="Times New Roman" w:cs="Times New Roman"/>
          <w:b/>
          <w:bCs/>
        </w:rPr>
        <w:t>Conclusion</w:t>
      </w:r>
    </w:p>
    <w:p w14:paraId="6454D48A" w14:textId="14F89111" w:rsidR="005F62E1" w:rsidRPr="005F62E1" w:rsidRDefault="005F62E1" w:rsidP="00A92BF1">
      <w:pPr>
        <w:ind w:left="284"/>
        <w:jc w:val="both"/>
        <w:rPr>
          <w:rFonts w:ascii="Times New Roman" w:hAnsi="Times New Roman" w:cs="Times New Roman"/>
        </w:rPr>
      </w:pPr>
      <w:r w:rsidRPr="311042CE">
        <w:rPr>
          <w:rFonts w:ascii="Times New Roman" w:hAnsi="Times New Roman" w:cs="Times New Roman"/>
        </w:rPr>
        <w:t xml:space="preserve">The Commission considers that the European Parliament’s resolution strongly supports the Union’s existing approach to AI in the financial sector. The Commission remains committed to ensuring that AI is deployed in a </w:t>
      </w:r>
      <w:r w:rsidRPr="311042CE">
        <w:rPr>
          <w:rFonts w:ascii="Times New Roman" w:hAnsi="Times New Roman" w:cs="Times New Roman"/>
          <w:b/>
          <w:bCs/>
        </w:rPr>
        <w:t>trustworthy, human-centric</w:t>
      </w:r>
      <w:r w:rsidR="4E70A27F" w:rsidRPr="311042CE">
        <w:rPr>
          <w:rFonts w:ascii="Times New Roman" w:hAnsi="Times New Roman" w:cs="Times New Roman"/>
          <w:b/>
          <w:bCs/>
        </w:rPr>
        <w:t>, non-discriminatory</w:t>
      </w:r>
      <w:r w:rsidRPr="311042CE">
        <w:rPr>
          <w:rFonts w:ascii="Times New Roman" w:hAnsi="Times New Roman" w:cs="Times New Roman"/>
          <w:b/>
          <w:bCs/>
        </w:rPr>
        <w:t xml:space="preserve"> and risk-based manner</w:t>
      </w:r>
      <w:r w:rsidRPr="311042CE">
        <w:rPr>
          <w:rFonts w:ascii="Times New Roman" w:hAnsi="Times New Roman" w:cs="Times New Roman"/>
        </w:rPr>
        <w:t>, while enabling innovation, competitiveness and investment.</w:t>
      </w:r>
    </w:p>
    <w:p w14:paraId="256AA24D" w14:textId="77777777" w:rsidR="005F62E1" w:rsidRPr="005F62E1" w:rsidRDefault="005F62E1" w:rsidP="00A92BF1">
      <w:pPr>
        <w:ind w:left="284"/>
        <w:jc w:val="both"/>
        <w:rPr>
          <w:rFonts w:ascii="Times New Roman" w:hAnsi="Times New Roman" w:cs="Times New Roman"/>
        </w:rPr>
      </w:pPr>
      <w:r w:rsidRPr="005F62E1">
        <w:rPr>
          <w:rFonts w:ascii="Times New Roman" w:hAnsi="Times New Roman" w:cs="Times New Roman"/>
        </w:rPr>
        <w:t>The Commission will take Parliament’s recommendations into account in its ongoing work, in close cooperation with Member States, supervisory authorities and stakeholders, and will continue to monitor technological and market developments to ensure that the EU framework remains effective, proportionate and future-proof.</w:t>
      </w:r>
    </w:p>
    <w:p w14:paraId="7FCB2E08" w14:textId="77777777" w:rsidR="005F62E1" w:rsidRPr="005F62E1" w:rsidRDefault="005F62E1" w:rsidP="005F62E1">
      <w:pPr>
        <w:jc w:val="both"/>
        <w:rPr>
          <w:rFonts w:ascii="Times New Roman" w:hAnsi="Times New Roman" w:cs="Times New Roman"/>
        </w:rPr>
      </w:pPr>
    </w:p>
    <w:sectPr w:rsidR="005F62E1" w:rsidRPr="005F62E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8C9B" w14:textId="77777777" w:rsidR="0097778F" w:rsidRDefault="0097778F" w:rsidP="00605819">
      <w:pPr>
        <w:spacing w:after="0" w:line="240" w:lineRule="auto"/>
      </w:pPr>
      <w:r>
        <w:separator/>
      </w:r>
    </w:p>
  </w:endnote>
  <w:endnote w:type="continuationSeparator" w:id="0">
    <w:p w14:paraId="39149022" w14:textId="77777777" w:rsidR="0097778F" w:rsidRDefault="0097778F" w:rsidP="00605819">
      <w:pPr>
        <w:spacing w:after="0" w:line="240" w:lineRule="auto"/>
      </w:pPr>
      <w:r>
        <w:continuationSeparator/>
      </w:r>
    </w:p>
  </w:endnote>
  <w:endnote w:type="continuationNotice" w:id="1">
    <w:p w14:paraId="0659AD40" w14:textId="77777777" w:rsidR="0097778F" w:rsidRDefault="00977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E182" w14:textId="77777777" w:rsidR="00605819" w:rsidRDefault="00605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73EB" w14:textId="77777777" w:rsidR="00605819" w:rsidRDefault="00605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C905" w14:textId="77777777" w:rsidR="00605819" w:rsidRDefault="00605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468D8" w14:textId="77777777" w:rsidR="0097778F" w:rsidRDefault="0097778F" w:rsidP="00605819">
      <w:pPr>
        <w:spacing w:after="0" w:line="240" w:lineRule="auto"/>
      </w:pPr>
      <w:r>
        <w:separator/>
      </w:r>
    </w:p>
  </w:footnote>
  <w:footnote w:type="continuationSeparator" w:id="0">
    <w:p w14:paraId="1F876A5F" w14:textId="77777777" w:rsidR="0097778F" w:rsidRDefault="0097778F" w:rsidP="00605819">
      <w:pPr>
        <w:spacing w:after="0" w:line="240" w:lineRule="auto"/>
      </w:pPr>
      <w:r>
        <w:continuationSeparator/>
      </w:r>
    </w:p>
  </w:footnote>
  <w:footnote w:type="continuationNotice" w:id="1">
    <w:p w14:paraId="4787C05D" w14:textId="77777777" w:rsidR="0097778F" w:rsidRDefault="009777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0EF0" w14:textId="77777777" w:rsidR="00605819" w:rsidRDefault="00605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9FE8" w14:textId="77777777" w:rsidR="00605819" w:rsidRDefault="00605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3188" w14:textId="77777777" w:rsidR="00605819" w:rsidRDefault="00605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55FE0"/>
    <w:multiLevelType w:val="hybridMultilevel"/>
    <w:tmpl w:val="7784987C"/>
    <w:lvl w:ilvl="0" w:tplc="4F3C331C">
      <w:start w:val="1"/>
      <w:numFmt w:val="decimal"/>
      <w:lvlText w:val="%1."/>
      <w:lvlJc w:val="left"/>
      <w:pPr>
        <w:ind w:left="866" w:hanging="360"/>
      </w:pPr>
      <w:rPr>
        <w:b/>
        <w:bCs/>
        <w:lang w:val="en-IE"/>
      </w:rPr>
    </w:lvl>
    <w:lvl w:ilvl="1" w:tplc="BCAA5FCE">
      <w:start w:val="1"/>
      <w:numFmt w:val="lowerLetter"/>
      <w:lvlText w:val="%2."/>
      <w:lvlJc w:val="left"/>
      <w:pPr>
        <w:ind w:left="1586" w:hanging="360"/>
      </w:pPr>
    </w:lvl>
    <w:lvl w:ilvl="2" w:tplc="E5EE773A">
      <w:start w:val="1"/>
      <w:numFmt w:val="lowerRoman"/>
      <w:lvlText w:val="%3."/>
      <w:lvlJc w:val="right"/>
      <w:pPr>
        <w:ind w:left="2306" w:hanging="180"/>
      </w:pPr>
    </w:lvl>
    <w:lvl w:ilvl="3" w:tplc="6C2C2C50">
      <w:start w:val="1"/>
      <w:numFmt w:val="decimal"/>
      <w:lvlText w:val="%4."/>
      <w:lvlJc w:val="left"/>
      <w:pPr>
        <w:ind w:left="3026" w:hanging="360"/>
      </w:pPr>
    </w:lvl>
    <w:lvl w:ilvl="4" w:tplc="3FAE41DA">
      <w:start w:val="1"/>
      <w:numFmt w:val="lowerLetter"/>
      <w:lvlText w:val="%5."/>
      <w:lvlJc w:val="left"/>
      <w:pPr>
        <w:ind w:left="3746" w:hanging="360"/>
      </w:pPr>
    </w:lvl>
    <w:lvl w:ilvl="5" w:tplc="D4880CF4">
      <w:start w:val="1"/>
      <w:numFmt w:val="lowerRoman"/>
      <w:lvlText w:val="%6."/>
      <w:lvlJc w:val="right"/>
      <w:pPr>
        <w:ind w:left="4466" w:hanging="180"/>
      </w:pPr>
    </w:lvl>
    <w:lvl w:ilvl="6" w:tplc="71566316">
      <w:start w:val="1"/>
      <w:numFmt w:val="decimal"/>
      <w:lvlText w:val="%7."/>
      <w:lvlJc w:val="left"/>
      <w:pPr>
        <w:ind w:left="5186" w:hanging="360"/>
      </w:pPr>
    </w:lvl>
    <w:lvl w:ilvl="7" w:tplc="C48A7288">
      <w:start w:val="1"/>
      <w:numFmt w:val="lowerLetter"/>
      <w:lvlText w:val="%8."/>
      <w:lvlJc w:val="left"/>
      <w:pPr>
        <w:ind w:left="5906" w:hanging="360"/>
      </w:pPr>
    </w:lvl>
    <w:lvl w:ilvl="8" w:tplc="32F8DC60">
      <w:start w:val="1"/>
      <w:numFmt w:val="lowerRoman"/>
      <w:lvlText w:val="%9."/>
      <w:lvlJc w:val="right"/>
      <w:pPr>
        <w:ind w:left="6626" w:hanging="180"/>
      </w:pPr>
    </w:lvl>
  </w:abstractNum>
  <w:num w:numId="1" w16cid:durableId="16751838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F62E1"/>
    <w:rsid w:val="0001524E"/>
    <w:rsid w:val="000C1D0E"/>
    <w:rsid w:val="00201C66"/>
    <w:rsid w:val="00223247"/>
    <w:rsid w:val="00253582"/>
    <w:rsid w:val="00256747"/>
    <w:rsid w:val="002740EF"/>
    <w:rsid w:val="00276270"/>
    <w:rsid w:val="002E0209"/>
    <w:rsid w:val="002E0454"/>
    <w:rsid w:val="002F6251"/>
    <w:rsid w:val="00355F65"/>
    <w:rsid w:val="003B60C8"/>
    <w:rsid w:val="003D3106"/>
    <w:rsid w:val="0040208F"/>
    <w:rsid w:val="0040681F"/>
    <w:rsid w:val="00423B70"/>
    <w:rsid w:val="004251C7"/>
    <w:rsid w:val="00437D71"/>
    <w:rsid w:val="00484E9D"/>
    <w:rsid w:val="004D577F"/>
    <w:rsid w:val="00570D14"/>
    <w:rsid w:val="0058549A"/>
    <w:rsid w:val="00590D40"/>
    <w:rsid w:val="005911E5"/>
    <w:rsid w:val="005917EC"/>
    <w:rsid w:val="005A2441"/>
    <w:rsid w:val="005A5238"/>
    <w:rsid w:val="005C3C7F"/>
    <w:rsid w:val="005D0502"/>
    <w:rsid w:val="005D785F"/>
    <w:rsid w:val="005F62E1"/>
    <w:rsid w:val="005F6D9C"/>
    <w:rsid w:val="00605819"/>
    <w:rsid w:val="006350D5"/>
    <w:rsid w:val="006502EF"/>
    <w:rsid w:val="00675DFB"/>
    <w:rsid w:val="006A4038"/>
    <w:rsid w:val="006C5D82"/>
    <w:rsid w:val="00705F93"/>
    <w:rsid w:val="00723F00"/>
    <w:rsid w:val="00746D83"/>
    <w:rsid w:val="00757908"/>
    <w:rsid w:val="00762F3A"/>
    <w:rsid w:val="00775E6D"/>
    <w:rsid w:val="00786FD6"/>
    <w:rsid w:val="00793D0B"/>
    <w:rsid w:val="00795935"/>
    <w:rsid w:val="007D4094"/>
    <w:rsid w:val="007F0E87"/>
    <w:rsid w:val="007F3248"/>
    <w:rsid w:val="00804B8D"/>
    <w:rsid w:val="00821B45"/>
    <w:rsid w:val="00840B6C"/>
    <w:rsid w:val="00870459"/>
    <w:rsid w:val="008830A2"/>
    <w:rsid w:val="008C236C"/>
    <w:rsid w:val="00944E2A"/>
    <w:rsid w:val="0097778F"/>
    <w:rsid w:val="009813CE"/>
    <w:rsid w:val="009B71FC"/>
    <w:rsid w:val="009C680A"/>
    <w:rsid w:val="009E5BD0"/>
    <w:rsid w:val="00A24844"/>
    <w:rsid w:val="00A35E3E"/>
    <w:rsid w:val="00A370BA"/>
    <w:rsid w:val="00A92BF1"/>
    <w:rsid w:val="00AA6EF8"/>
    <w:rsid w:val="00AC1BB8"/>
    <w:rsid w:val="00AC52CD"/>
    <w:rsid w:val="00AD0821"/>
    <w:rsid w:val="00B24367"/>
    <w:rsid w:val="00B41A5B"/>
    <w:rsid w:val="00B7252E"/>
    <w:rsid w:val="00B86C1C"/>
    <w:rsid w:val="00BE4425"/>
    <w:rsid w:val="00BF0E79"/>
    <w:rsid w:val="00C51F6A"/>
    <w:rsid w:val="00C5432B"/>
    <w:rsid w:val="00C5465D"/>
    <w:rsid w:val="00C660B5"/>
    <w:rsid w:val="00C75D90"/>
    <w:rsid w:val="00C859F4"/>
    <w:rsid w:val="00C941B3"/>
    <w:rsid w:val="00D34240"/>
    <w:rsid w:val="00DA2FC2"/>
    <w:rsid w:val="00E2043F"/>
    <w:rsid w:val="00E25EBC"/>
    <w:rsid w:val="00E91792"/>
    <w:rsid w:val="00EA3FAE"/>
    <w:rsid w:val="00EE4B08"/>
    <w:rsid w:val="00EE4BD5"/>
    <w:rsid w:val="00F06712"/>
    <w:rsid w:val="00F16290"/>
    <w:rsid w:val="00F43604"/>
    <w:rsid w:val="00F44FFE"/>
    <w:rsid w:val="00F46634"/>
    <w:rsid w:val="00F64C91"/>
    <w:rsid w:val="00FB72B6"/>
    <w:rsid w:val="00FD4DB1"/>
    <w:rsid w:val="00FE4047"/>
    <w:rsid w:val="00FF44A9"/>
    <w:rsid w:val="20F8CAAD"/>
    <w:rsid w:val="26010817"/>
    <w:rsid w:val="2DD1A1DA"/>
    <w:rsid w:val="301755DE"/>
    <w:rsid w:val="311042CE"/>
    <w:rsid w:val="3CE4786F"/>
    <w:rsid w:val="4C76E2BF"/>
    <w:rsid w:val="4E70A2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98758"/>
  <w15:chartTrackingRefBased/>
  <w15:docId w15:val="{29ED3AFF-997F-4900-AD1A-34700D12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2E1"/>
    <w:rPr>
      <w:rFonts w:eastAsiaTheme="majorEastAsia" w:cstheme="majorBidi"/>
      <w:color w:val="272727" w:themeColor="text1" w:themeTint="D8"/>
    </w:rPr>
  </w:style>
  <w:style w:type="paragraph" w:styleId="Title">
    <w:name w:val="Title"/>
    <w:basedOn w:val="Normal"/>
    <w:next w:val="Normal"/>
    <w:link w:val="TitleChar"/>
    <w:uiPriority w:val="10"/>
    <w:qFormat/>
    <w:rsid w:val="005F6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2E1"/>
    <w:pPr>
      <w:spacing w:before="160"/>
      <w:jc w:val="center"/>
    </w:pPr>
    <w:rPr>
      <w:i/>
      <w:iCs/>
      <w:color w:val="404040" w:themeColor="text1" w:themeTint="BF"/>
    </w:rPr>
  </w:style>
  <w:style w:type="character" w:customStyle="1" w:styleId="QuoteChar">
    <w:name w:val="Quote Char"/>
    <w:basedOn w:val="DefaultParagraphFont"/>
    <w:link w:val="Quote"/>
    <w:uiPriority w:val="29"/>
    <w:rsid w:val="005F62E1"/>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2"/>
    <w:basedOn w:val="Normal"/>
    <w:link w:val="ListParagraphChar"/>
    <w:uiPriority w:val="34"/>
    <w:qFormat/>
    <w:rsid w:val="005F62E1"/>
    <w:pPr>
      <w:ind w:left="720"/>
      <w:contextualSpacing/>
    </w:pPr>
  </w:style>
  <w:style w:type="character" w:styleId="IntenseEmphasis">
    <w:name w:val="Intense Emphasis"/>
    <w:basedOn w:val="DefaultParagraphFont"/>
    <w:uiPriority w:val="21"/>
    <w:qFormat/>
    <w:rsid w:val="005F62E1"/>
    <w:rPr>
      <w:i/>
      <w:iCs/>
      <w:color w:val="0F4761" w:themeColor="accent1" w:themeShade="BF"/>
    </w:rPr>
  </w:style>
  <w:style w:type="paragraph" w:styleId="IntenseQuote">
    <w:name w:val="Intense Quote"/>
    <w:basedOn w:val="Normal"/>
    <w:next w:val="Normal"/>
    <w:link w:val="IntenseQuoteChar"/>
    <w:uiPriority w:val="30"/>
    <w:qFormat/>
    <w:rsid w:val="005F6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2E1"/>
    <w:rPr>
      <w:i/>
      <w:iCs/>
      <w:color w:val="0F4761" w:themeColor="accent1" w:themeShade="BF"/>
    </w:rPr>
  </w:style>
  <w:style w:type="character" w:styleId="IntenseReference">
    <w:name w:val="Intense Reference"/>
    <w:basedOn w:val="DefaultParagraphFont"/>
    <w:uiPriority w:val="32"/>
    <w:qFormat/>
    <w:rsid w:val="005F62E1"/>
    <w:rPr>
      <w:b/>
      <w:bCs/>
      <w:smallCaps/>
      <w:color w:val="0F4761" w:themeColor="accent1" w:themeShade="BF"/>
      <w:spacing w:val="5"/>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2 Char"/>
    <w:link w:val="ListParagraph"/>
    <w:uiPriority w:val="34"/>
    <w:qFormat/>
    <w:locked/>
    <w:rsid w:val="005F62E1"/>
  </w:style>
  <w:style w:type="paragraph" w:styleId="Revision">
    <w:name w:val="Revision"/>
    <w:hidden/>
    <w:uiPriority w:val="99"/>
    <w:semiHidden/>
    <w:rsid w:val="00675DFB"/>
    <w:pPr>
      <w:spacing w:after="0" w:line="240" w:lineRule="auto"/>
    </w:pPr>
  </w:style>
  <w:style w:type="character" w:styleId="CommentReference">
    <w:name w:val="annotation reference"/>
    <w:basedOn w:val="DefaultParagraphFont"/>
    <w:uiPriority w:val="99"/>
    <w:semiHidden/>
    <w:unhideWhenUsed/>
    <w:rsid w:val="00786FD6"/>
    <w:rPr>
      <w:sz w:val="16"/>
      <w:szCs w:val="16"/>
    </w:rPr>
  </w:style>
  <w:style w:type="paragraph" w:styleId="CommentText">
    <w:name w:val="annotation text"/>
    <w:basedOn w:val="Normal"/>
    <w:link w:val="CommentTextChar"/>
    <w:uiPriority w:val="99"/>
    <w:unhideWhenUsed/>
    <w:rsid w:val="00786FD6"/>
    <w:pPr>
      <w:spacing w:line="240" w:lineRule="auto"/>
    </w:pPr>
    <w:rPr>
      <w:sz w:val="20"/>
      <w:szCs w:val="20"/>
    </w:rPr>
  </w:style>
  <w:style w:type="character" w:customStyle="1" w:styleId="CommentTextChar">
    <w:name w:val="Comment Text Char"/>
    <w:basedOn w:val="DefaultParagraphFont"/>
    <w:link w:val="CommentText"/>
    <w:uiPriority w:val="99"/>
    <w:rsid w:val="00786FD6"/>
    <w:rPr>
      <w:sz w:val="20"/>
      <w:szCs w:val="20"/>
    </w:rPr>
  </w:style>
  <w:style w:type="paragraph" w:styleId="CommentSubject">
    <w:name w:val="annotation subject"/>
    <w:basedOn w:val="CommentText"/>
    <w:next w:val="CommentText"/>
    <w:link w:val="CommentSubjectChar"/>
    <w:uiPriority w:val="99"/>
    <w:semiHidden/>
    <w:unhideWhenUsed/>
    <w:rsid w:val="00786FD6"/>
    <w:rPr>
      <w:b/>
      <w:bCs/>
    </w:rPr>
  </w:style>
  <w:style w:type="character" w:customStyle="1" w:styleId="CommentSubjectChar">
    <w:name w:val="Comment Subject Char"/>
    <w:basedOn w:val="CommentTextChar"/>
    <w:link w:val="CommentSubject"/>
    <w:uiPriority w:val="99"/>
    <w:semiHidden/>
    <w:rsid w:val="00786FD6"/>
    <w:rPr>
      <w:b/>
      <w:bCs/>
      <w:sz w:val="20"/>
      <w:szCs w:val="20"/>
    </w:rPr>
  </w:style>
  <w:style w:type="paragraph" w:styleId="Header">
    <w:name w:val="header"/>
    <w:basedOn w:val="Normal"/>
    <w:link w:val="HeaderChar"/>
    <w:uiPriority w:val="99"/>
    <w:unhideWhenUsed/>
    <w:rsid w:val="00605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819"/>
  </w:style>
  <w:style w:type="paragraph" w:styleId="Footer">
    <w:name w:val="footer"/>
    <w:basedOn w:val="Normal"/>
    <w:link w:val="FooterChar"/>
    <w:uiPriority w:val="99"/>
    <w:unhideWhenUsed/>
    <w:rsid w:val="00605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5497">
      <w:bodyDiv w:val="1"/>
      <w:marLeft w:val="0"/>
      <w:marRight w:val="0"/>
      <w:marTop w:val="0"/>
      <w:marBottom w:val="0"/>
      <w:divBdr>
        <w:top w:val="none" w:sz="0" w:space="0" w:color="auto"/>
        <w:left w:val="none" w:sz="0" w:space="0" w:color="auto"/>
        <w:bottom w:val="none" w:sz="0" w:space="0" w:color="auto"/>
        <w:right w:val="none" w:sz="0" w:space="0" w:color="auto"/>
      </w:divBdr>
    </w:div>
    <w:div w:id="770198098">
      <w:bodyDiv w:val="1"/>
      <w:marLeft w:val="0"/>
      <w:marRight w:val="0"/>
      <w:marTop w:val="0"/>
      <w:marBottom w:val="0"/>
      <w:divBdr>
        <w:top w:val="none" w:sz="0" w:space="0" w:color="auto"/>
        <w:left w:val="none" w:sz="0" w:space="0" w:color="auto"/>
        <w:bottom w:val="none" w:sz="0" w:space="0" w:color="auto"/>
        <w:right w:val="none" w:sz="0" w:space="0" w:color="auto"/>
      </w:divBdr>
    </w:div>
    <w:div w:id="1016493233">
      <w:bodyDiv w:val="1"/>
      <w:marLeft w:val="0"/>
      <w:marRight w:val="0"/>
      <w:marTop w:val="0"/>
      <w:marBottom w:val="0"/>
      <w:divBdr>
        <w:top w:val="none" w:sz="0" w:space="0" w:color="auto"/>
        <w:left w:val="none" w:sz="0" w:space="0" w:color="auto"/>
        <w:bottom w:val="none" w:sz="0" w:space="0" w:color="auto"/>
        <w:right w:val="none" w:sz="0" w:space="0" w:color="auto"/>
      </w:divBdr>
    </w:div>
    <w:div w:id="107323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0FDF0-BBE7-4D08-826D-806E1E23EE2C}">
  <ds:schemaRefs>
    <ds:schemaRef ds:uri="http://schemas.microsoft.com/sharepoint/v3/contenttype/forms"/>
  </ds:schemaRefs>
</ds:datastoreItem>
</file>

<file path=customXml/itemProps2.xml><?xml version="1.0" encoding="utf-8"?>
<ds:datastoreItem xmlns:ds="http://schemas.openxmlformats.org/officeDocument/2006/customXml" ds:itemID="{8D71FC77-8D7E-4EC2-9963-B9B12BAE6A75}">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A1BD9EE2-284D-4389-A686-5142C3D11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E0B653-9D2A-48C9-9991-76EEC697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1483</Words>
  <Characters>9632</Characters>
  <Application>Microsoft Office Word</Application>
  <DocSecurity>0</DocSecurity>
  <Lines>150</Lines>
  <Paragraphs>49</Paragraphs>
  <ScaleCrop>false</ScaleCrop>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DELBAER Gerda (SG)</dc:creator>
  <cp:keywords/>
  <dc:description/>
  <cp:lastModifiedBy>DELBAER Gerda (SG)</cp:lastModifiedBy>
  <cp:revision>2</cp:revision>
  <dcterms:created xsi:type="dcterms:W3CDTF">2026-02-16T09:47:00Z</dcterms:created>
  <dcterms:modified xsi:type="dcterms:W3CDTF">2026-02-16T09:47:00Z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2026-01-06T12:36:13Z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57fcf407-2e04-4a51-82c8-3ae6910b2589</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0x010100271BB73A879EDE41AFDC9232B9EB1EA9</vt:lpwstr>
  </property>
  <property fmtid="{D5CDD505-2E9C-101B-9397-08002B2CF9AE}" pid="11" name="EC_TX_All_World_Countries">
    <vt:lpwstr/>
  </property>
  <property fmtid="{D5CDD505-2E9C-101B-9397-08002B2CF9AE}" pid="12" name="EC_TX_Corporate_x0020_Body">
    <vt:lpwstr/>
  </property>
  <property fmtid="{D5CDD505-2E9C-101B-9397-08002B2CF9AE}" pid="13" name="MediaServiceImageTags">
    <vt:lpwstr/>
  </property>
  <property fmtid="{D5CDD505-2E9C-101B-9397-08002B2CF9AE}" pid="14" name="EC_TX_EU_Political_Leader">
    <vt:lpwstr/>
  </property>
  <property fmtid="{D5CDD505-2E9C-101B-9397-08002B2CF9AE}" pid="15" name="k2c54712f93b47eb83e1835ba301b6c6">
    <vt:lpwstr/>
  </property>
  <property fmtid="{D5CDD505-2E9C-101B-9397-08002B2CF9AE}" pid="16" name="EC_TX_Strategic_Priority">
    <vt:lpwstr/>
  </property>
  <property fmtid="{D5CDD505-2E9C-101B-9397-08002B2CF9AE}" pid="17" name="i8c8ab8b63424c5d9f8c4a8434abf670">
    <vt:lpwstr/>
  </property>
  <property fmtid="{D5CDD505-2E9C-101B-9397-08002B2CF9AE}" pid="18" name="p26229aee9004b9f888149fd0449ec68">
    <vt:lpwstr/>
  </property>
  <property fmtid="{D5CDD505-2E9C-101B-9397-08002B2CF9AE}" pid="19" name="eff2cf69f10b4279bbb27215ca009b37">
    <vt:lpwstr/>
  </property>
  <property fmtid="{D5CDD505-2E9C-101B-9397-08002B2CF9AE}" pid="20" name="EC_TX_EU_Member_State">
    <vt:lpwstr/>
  </property>
  <property fmtid="{D5CDD505-2E9C-101B-9397-08002B2CF9AE}" pid="21" name="EC_TX_Resource_Type">
    <vt:lpwstr/>
  </property>
  <property fmtid="{D5CDD505-2E9C-101B-9397-08002B2CF9AE}" pid="22" name="j8309f8bc3e645d1a2f07391f8e5795a">
    <vt:lpwstr/>
  </property>
  <property fmtid="{D5CDD505-2E9C-101B-9397-08002B2CF9AE}" pid="23" name="g81cb4d17be94922847ce418ea81f55a">
    <vt:lpwstr/>
  </property>
  <property fmtid="{D5CDD505-2E9C-101B-9397-08002B2CF9AE}" pid="24" name="TaxCatchAll">
    <vt:lpwstr/>
  </property>
  <property fmtid="{D5CDD505-2E9C-101B-9397-08002B2CF9AE}" pid="25" name="EC_TX_Corporate Body">
    <vt:lpwstr/>
  </property>
</Properties>
</file>