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362E4353" w:rsidR="009B1FF1" w:rsidRPr="009B1FF1" w:rsidRDefault="00DD5E3A" w:rsidP="008D59F9">
      <w:pPr>
        <w:spacing w:after="600" w:line="240" w:lineRule="auto"/>
        <w:ind w:left="720"/>
        <w:jc w:val="center"/>
      </w:pPr>
      <w:r>
        <w:rPr>
          <w:b/>
          <w:caps/>
        </w:rPr>
        <w:t>Procédure</w:t>
      </w:r>
      <w:r>
        <w:rPr>
          <w:b/>
        </w:rPr>
        <w:t xml:space="preserve"> LÉGISLATIVE SPÉCIALE</w:t>
      </w:r>
    </w:p>
    <w:p w14:paraId="65717952" w14:textId="5D250B2C" w:rsidR="00DC568A" w:rsidRPr="0019232D" w:rsidRDefault="009B1FF1" w:rsidP="00DC568A">
      <w:pPr>
        <w:spacing w:after="600" w:line="240" w:lineRule="auto"/>
        <w:jc w:val="center"/>
        <w:rPr>
          <w:b/>
          <w:bCs/>
          <w:szCs w:val="24"/>
        </w:rPr>
      </w:pPr>
      <w:r>
        <w:rPr>
          <w:b/>
        </w:rPr>
        <w:t xml:space="preserve">Suite donnée à la résolution législative du Parlement européen sur la proposition de règlement du Conseil modifiant le règlement (UE) 2021/1173 du Conseil du 13 juillet 2021 établissant l’entreprise commune pour le calcul à haute performance européen et abrogeant le règlement (UE) 2018/1488 </w:t>
      </w:r>
    </w:p>
    <w:p w14:paraId="5481E768" w14:textId="049E9BAC" w:rsidR="002B7441" w:rsidRPr="008C6833" w:rsidRDefault="002B7441" w:rsidP="00BB4DD6">
      <w:pPr>
        <w:spacing w:after="240"/>
        <w:ind w:left="567" w:hanging="567"/>
      </w:pPr>
      <w:r>
        <w:rPr>
          <w:b/>
        </w:rPr>
        <w:t>1.</w:t>
      </w:r>
      <w:r>
        <w:tab/>
      </w:r>
      <w:r>
        <w:rPr>
          <w:b/>
        </w:rPr>
        <w:t xml:space="preserve">Rapporteur: </w:t>
      </w:r>
      <w:r>
        <w:t>Borys BUDKA (PPE/PL)</w:t>
      </w:r>
    </w:p>
    <w:p w14:paraId="474B79A2" w14:textId="3ADAD3CF" w:rsidR="002B7441" w:rsidRPr="0019232D" w:rsidRDefault="002B7441" w:rsidP="00C96A69">
      <w:pPr>
        <w:tabs>
          <w:tab w:val="left" w:pos="567"/>
        </w:tabs>
        <w:spacing w:after="240"/>
      </w:pPr>
      <w:r>
        <w:rPr>
          <w:b/>
        </w:rPr>
        <w:t>2.</w:t>
      </w:r>
      <w:r>
        <w:tab/>
      </w:r>
      <w:r>
        <w:rPr>
          <w:b/>
        </w:rPr>
        <w:t>Références:</w:t>
      </w:r>
      <w:r>
        <w:t xml:space="preserve"> 2025/0229(NLE)</w:t>
      </w:r>
      <w:r>
        <w:rPr>
          <w:i/>
        </w:rPr>
        <w:t xml:space="preserve"> </w:t>
      </w:r>
      <w:r>
        <w:t xml:space="preserve">/ A10-0241/2025 / P10_TA(2025)0333 </w:t>
      </w:r>
      <w:r>
        <w:br/>
        <w:t xml:space="preserve"> </w:t>
      </w:r>
      <w:r>
        <w:br/>
      </w:r>
      <w:r>
        <w:rPr>
          <w:b/>
        </w:rPr>
        <w:t>3.</w:t>
      </w:r>
      <w:r>
        <w:tab/>
      </w:r>
      <w:r>
        <w:rPr>
          <w:b/>
        </w:rPr>
        <w:t>Date d’adoption de la résolution:</w:t>
      </w:r>
      <w:r>
        <w:t xml:space="preserve"> 17 décembre 2025</w:t>
      </w:r>
    </w:p>
    <w:p w14:paraId="35860E93" w14:textId="356ABF72" w:rsidR="002B7441" w:rsidRPr="002B7441" w:rsidRDefault="002B7441" w:rsidP="00BB4DD6">
      <w:pPr>
        <w:spacing w:after="240"/>
        <w:ind w:left="567" w:hanging="567"/>
        <w:jc w:val="both"/>
      </w:pPr>
      <w:r>
        <w:rPr>
          <w:b/>
        </w:rPr>
        <w:t>4.</w:t>
      </w:r>
      <w:r>
        <w:tab/>
      </w:r>
      <w:r>
        <w:rPr>
          <w:b/>
        </w:rPr>
        <w:t xml:space="preserve">Base juridique: </w:t>
      </w:r>
      <w:r>
        <w:t>article 187 et article 188, paragraphe 1, du traité sur le fonctionnement de l’Union européenne (TFUE)</w:t>
      </w:r>
    </w:p>
    <w:p w14:paraId="5DE3F035" w14:textId="1C3F41A0" w:rsidR="00DE04F8" w:rsidRPr="0019232D" w:rsidRDefault="002B7441" w:rsidP="00DE04F8">
      <w:pPr>
        <w:spacing w:after="240"/>
        <w:ind w:left="567" w:hanging="567"/>
        <w:jc w:val="both"/>
        <w:rPr>
          <w:szCs w:val="24"/>
        </w:rPr>
      </w:pPr>
      <w:r>
        <w:rPr>
          <w:b/>
        </w:rPr>
        <w:t>5.</w:t>
      </w:r>
      <w:r>
        <w:tab/>
      </w:r>
      <w:r>
        <w:rPr>
          <w:b/>
        </w:rPr>
        <w:t>Commission parlementaire compétente:</w:t>
      </w:r>
      <w:r>
        <w:t xml:space="preserve"> commission de l’industrie, de la recherche et de l’énergie (ITRE)</w:t>
      </w:r>
    </w:p>
    <w:p w14:paraId="5D495EC4" w14:textId="38E68945" w:rsidR="00777920" w:rsidRDefault="002B7441" w:rsidP="00C96A69">
      <w:pPr>
        <w:tabs>
          <w:tab w:val="left" w:pos="567"/>
        </w:tabs>
        <w:spacing w:after="240" w:line="240" w:lineRule="auto"/>
        <w:jc w:val="both"/>
      </w:pPr>
      <w:r>
        <w:rPr>
          <w:b/>
        </w:rPr>
        <w:t>6.</w:t>
      </w:r>
      <w:r>
        <w:tab/>
      </w:r>
      <w:r>
        <w:rPr>
          <w:b/>
        </w:rPr>
        <w:t>Position de la Commission:</w:t>
      </w:r>
      <w:r>
        <w:rPr>
          <w:color w:val="000000" w:themeColor="text1"/>
          <w:sz w:val="22"/>
        </w:rPr>
        <w:t xml:space="preserve"> </w:t>
      </w:r>
      <w:r>
        <w:t xml:space="preserve">Dans l’ensemble, les amendements proposés par le Parlement et inclus dans l’orientation générale du Conseil ne remettent pas en cause l’intégrité et la finalité de la proposition et peuvent être soutenus par la Commission. L’amendement proposé par le Parlement visant à faire en sorte que la contribution provenant d’Horizon Europe et contribuant au pilier «gigafabrique d’IA» couvre l’achat d’un temps d’accès à la gigafabrique d’IA qui soit utilisé exclusivement pour des projets Horizon Europe n’a pas été retenu. </w:t>
      </w:r>
    </w:p>
    <w:p w14:paraId="05E86E1B" w14:textId="72E16E28" w:rsidR="627FD83E" w:rsidRDefault="627FD83E" w:rsidP="627FD83E">
      <w:pPr>
        <w:tabs>
          <w:tab w:val="left" w:pos="567"/>
        </w:tabs>
        <w:spacing w:after="240" w:line="240" w:lineRule="auto"/>
        <w:jc w:val="both"/>
        <w:rPr>
          <w:lang w:val="en-GB"/>
        </w:rPr>
      </w:pPr>
    </w:p>
    <w:p w14:paraId="6ECE0E49" w14:textId="13DCE927" w:rsidR="627FD83E" w:rsidRDefault="627FD83E" w:rsidP="627FD83E">
      <w:pPr>
        <w:tabs>
          <w:tab w:val="left" w:pos="567"/>
        </w:tabs>
        <w:spacing w:after="240" w:line="240" w:lineRule="auto"/>
        <w:jc w:val="both"/>
        <w:rPr>
          <w:lang w:val="en-GB"/>
        </w:rPr>
      </w:pPr>
    </w:p>
    <w:p w14:paraId="040894AE" w14:textId="77777777" w:rsidR="00003352" w:rsidRPr="001A047A" w:rsidRDefault="00003352" w:rsidP="49C11EA8">
      <w:pPr>
        <w:spacing w:after="240" w:line="240" w:lineRule="auto"/>
        <w:jc w:val="both"/>
        <w:rPr>
          <w:color w:val="000000" w:themeColor="text1"/>
          <w:lang w:val="en-GB"/>
        </w:rPr>
      </w:pPr>
    </w:p>
    <w:p w14:paraId="5A73F7C6" w14:textId="595B4D74" w:rsidR="00777920" w:rsidRPr="001A047A" w:rsidRDefault="00777920" w:rsidP="49C11EA8">
      <w:pPr>
        <w:tabs>
          <w:tab w:val="left" w:pos="567"/>
        </w:tabs>
        <w:spacing w:after="240" w:line="240" w:lineRule="auto"/>
        <w:ind w:left="567" w:hanging="567"/>
        <w:jc w:val="both"/>
        <w:rPr>
          <w:color w:val="000000"/>
          <w:sz w:val="22"/>
          <w:szCs w:val="22"/>
          <w:lang w:val="en-GB"/>
        </w:rPr>
      </w:pPr>
    </w:p>
    <w:p w14:paraId="4C86F67B" w14:textId="77777777" w:rsidR="00862937" w:rsidRDefault="00862937" w:rsidP="00BB4DD6">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976C" w14:textId="77777777" w:rsidR="00F24453" w:rsidRDefault="00F24453">
      <w:pPr>
        <w:spacing w:line="240" w:lineRule="auto"/>
      </w:pPr>
      <w:r>
        <w:separator/>
      </w:r>
    </w:p>
  </w:endnote>
  <w:endnote w:type="continuationSeparator" w:id="0">
    <w:p w14:paraId="3A4CA6ED" w14:textId="77777777" w:rsidR="00F24453" w:rsidRDefault="00F24453">
      <w:pPr>
        <w:spacing w:line="240" w:lineRule="auto"/>
      </w:pPr>
      <w:r>
        <w:continuationSeparator/>
      </w:r>
    </w:p>
  </w:endnote>
  <w:endnote w:type="continuationNotice" w:id="1">
    <w:p w14:paraId="5D788873" w14:textId="77777777" w:rsidR="00F24453" w:rsidRDefault="00F244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B63B" w14:textId="77777777" w:rsidR="00F24453" w:rsidRDefault="00F24453">
      <w:pPr>
        <w:spacing w:line="240" w:lineRule="auto"/>
      </w:pPr>
      <w:r>
        <w:separator/>
      </w:r>
    </w:p>
  </w:footnote>
  <w:footnote w:type="continuationSeparator" w:id="0">
    <w:p w14:paraId="0FE121C6" w14:textId="77777777" w:rsidR="00F24453" w:rsidRDefault="00F24453">
      <w:pPr>
        <w:spacing w:line="240" w:lineRule="auto"/>
      </w:pPr>
      <w:r>
        <w:continuationSeparator/>
      </w:r>
    </w:p>
  </w:footnote>
  <w:footnote w:type="continuationNotice" w:id="1">
    <w:p w14:paraId="107E4AAA" w14:textId="77777777" w:rsidR="00F24453" w:rsidRDefault="00F244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E45"/>
    <w:rsid w:val="00001C75"/>
    <w:rsid w:val="00002127"/>
    <w:rsid w:val="00002E5D"/>
    <w:rsid w:val="00003352"/>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0565"/>
    <w:rsid w:val="000212EF"/>
    <w:rsid w:val="000216B0"/>
    <w:rsid w:val="00021B5A"/>
    <w:rsid w:val="00023E92"/>
    <w:rsid w:val="00025D11"/>
    <w:rsid w:val="0002612B"/>
    <w:rsid w:val="000269F6"/>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68A9"/>
    <w:rsid w:val="000577CD"/>
    <w:rsid w:val="00061954"/>
    <w:rsid w:val="0006264D"/>
    <w:rsid w:val="00065320"/>
    <w:rsid w:val="00065724"/>
    <w:rsid w:val="00067828"/>
    <w:rsid w:val="000712EA"/>
    <w:rsid w:val="000718ED"/>
    <w:rsid w:val="00071D2B"/>
    <w:rsid w:val="0007224C"/>
    <w:rsid w:val="000749AA"/>
    <w:rsid w:val="0007573A"/>
    <w:rsid w:val="00076D8B"/>
    <w:rsid w:val="000810C3"/>
    <w:rsid w:val="00081F5A"/>
    <w:rsid w:val="000832AF"/>
    <w:rsid w:val="00083F01"/>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13B4"/>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63B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6B8"/>
    <w:rsid w:val="001D2B20"/>
    <w:rsid w:val="001D6416"/>
    <w:rsid w:val="001D65E0"/>
    <w:rsid w:val="001E013A"/>
    <w:rsid w:val="001E1E30"/>
    <w:rsid w:val="001E216D"/>
    <w:rsid w:val="001E430C"/>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DBC"/>
    <w:rsid w:val="0024709A"/>
    <w:rsid w:val="00247145"/>
    <w:rsid w:val="00247E3D"/>
    <w:rsid w:val="00250F89"/>
    <w:rsid w:val="0025116B"/>
    <w:rsid w:val="002523DA"/>
    <w:rsid w:val="00254EB5"/>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28D6"/>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31238"/>
    <w:rsid w:val="003350A3"/>
    <w:rsid w:val="003353EF"/>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3F6FED"/>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5F"/>
    <w:rsid w:val="004551A1"/>
    <w:rsid w:val="00455DE2"/>
    <w:rsid w:val="004564C9"/>
    <w:rsid w:val="004612AF"/>
    <w:rsid w:val="00464769"/>
    <w:rsid w:val="004655B5"/>
    <w:rsid w:val="00466693"/>
    <w:rsid w:val="00471C99"/>
    <w:rsid w:val="00471E49"/>
    <w:rsid w:val="00473C92"/>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6F92"/>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5137"/>
    <w:rsid w:val="004B751B"/>
    <w:rsid w:val="004C02AD"/>
    <w:rsid w:val="004C2708"/>
    <w:rsid w:val="004C3D46"/>
    <w:rsid w:val="004D0416"/>
    <w:rsid w:val="004D3828"/>
    <w:rsid w:val="004D3A42"/>
    <w:rsid w:val="004D4210"/>
    <w:rsid w:val="004D544A"/>
    <w:rsid w:val="004D585F"/>
    <w:rsid w:val="004D659D"/>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4F7FC7"/>
    <w:rsid w:val="00500A06"/>
    <w:rsid w:val="00500DDA"/>
    <w:rsid w:val="00501994"/>
    <w:rsid w:val="00502F56"/>
    <w:rsid w:val="005043DB"/>
    <w:rsid w:val="005057E5"/>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42C"/>
    <w:rsid w:val="00551AA0"/>
    <w:rsid w:val="0055207E"/>
    <w:rsid w:val="00552D57"/>
    <w:rsid w:val="00553536"/>
    <w:rsid w:val="00554DBA"/>
    <w:rsid w:val="00556757"/>
    <w:rsid w:val="00557659"/>
    <w:rsid w:val="005602F2"/>
    <w:rsid w:val="00560A4B"/>
    <w:rsid w:val="00560FA9"/>
    <w:rsid w:val="005610DA"/>
    <w:rsid w:val="00561876"/>
    <w:rsid w:val="00566ED7"/>
    <w:rsid w:val="005675C4"/>
    <w:rsid w:val="005713F5"/>
    <w:rsid w:val="005714C1"/>
    <w:rsid w:val="00572D76"/>
    <w:rsid w:val="005746E1"/>
    <w:rsid w:val="00576FC4"/>
    <w:rsid w:val="00580A32"/>
    <w:rsid w:val="00580DC4"/>
    <w:rsid w:val="00582899"/>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E7B5B"/>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C40"/>
    <w:rsid w:val="006A1DAC"/>
    <w:rsid w:val="006A328C"/>
    <w:rsid w:val="006A40B6"/>
    <w:rsid w:val="006A50B7"/>
    <w:rsid w:val="006A5DB0"/>
    <w:rsid w:val="006B0AC3"/>
    <w:rsid w:val="006B40C2"/>
    <w:rsid w:val="006B64F3"/>
    <w:rsid w:val="006C05B6"/>
    <w:rsid w:val="006C080F"/>
    <w:rsid w:val="006C0DAC"/>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3682"/>
    <w:rsid w:val="00724C0A"/>
    <w:rsid w:val="00724EEF"/>
    <w:rsid w:val="00731190"/>
    <w:rsid w:val="007317FB"/>
    <w:rsid w:val="007318F0"/>
    <w:rsid w:val="00731F41"/>
    <w:rsid w:val="00732267"/>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5504"/>
    <w:rsid w:val="007576C4"/>
    <w:rsid w:val="00757751"/>
    <w:rsid w:val="007604E9"/>
    <w:rsid w:val="00761477"/>
    <w:rsid w:val="00762164"/>
    <w:rsid w:val="00762179"/>
    <w:rsid w:val="00762D3D"/>
    <w:rsid w:val="007641FC"/>
    <w:rsid w:val="007655B9"/>
    <w:rsid w:val="00765A4A"/>
    <w:rsid w:val="00766A15"/>
    <w:rsid w:val="0076779A"/>
    <w:rsid w:val="0076785A"/>
    <w:rsid w:val="007723FC"/>
    <w:rsid w:val="007732D6"/>
    <w:rsid w:val="0077371F"/>
    <w:rsid w:val="00773A94"/>
    <w:rsid w:val="00773EF1"/>
    <w:rsid w:val="0077475E"/>
    <w:rsid w:val="007751DA"/>
    <w:rsid w:val="007752D7"/>
    <w:rsid w:val="00777847"/>
    <w:rsid w:val="00777920"/>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5FA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6A4"/>
    <w:rsid w:val="007D33AD"/>
    <w:rsid w:val="007D5A06"/>
    <w:rsid w:val="007D5FC6"/>
    <w:rsid w:val="007D6810"/>
    <w:rsid w:val="007D7538"/>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701"/>
    <w:rsid w:val="008727CC"/>
    <w:rsid w:val="008734FD"/>
    <w:rsid w:val="00874346"/>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807"/>
    <w:rsid w:val="00896AE0"/>
    <w:rsid w:val="008A065C"/>
    <w:rsid w:val="008A1A0C"/>
    <w:rsid w:val="008A216A"/>
    <w:rsid w:val="008A2176"/>
    <w:rsid w:val="008A241A"/>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833"/>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0141"/>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7C7"/>
    <w:rsid w:val="00A44323"/>
    <w:rsid w:val="00A44626"/>
    <w:rsid w:val="00A44C06"/>
    <w:rsid w:val="00A454EF"/>
    <w:rsid w:val="00A45962"/>
    <w:rsid w:val="00A46C12"/>
    <w:rsid w:val="00A50B5F"/>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31A"/>
    <w:rsid w:val="00A86C93"/>
    <w:rsid w:val="00A904DB"/>
    <w:rsid w:val="00A90F77"/>
    <w:rsid w:val="00A93D35"/>
    <w:rsid w:val="00A97D6B"/>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3E9"/>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257"/>
    <w:rsid w:val="00AE7FAD"/>
    <w:rsid w:val="00AF05BB"/>
    <w:rsid w:val="00AF1073"/>
    <w:rsid w:val="00AF363C"/>
    <w:rsid w:val="00AF3817"/>
    <w:rsid w:val="00AF5EB4"/>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001"/>
    <w:rsid w:val="00B421B9"/>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270E"/>
    <w:rsid w:val="00B82CF0"/>
    <w:rsid w:val="00B82F50"/>
    <w:rsid w:val="00B834E7"/>
    <w:rsid w:val="00B83DCA"/>
    <w:rsid w:val="00B847E1"/>
    <w:rsid w:val="00B85D72"/>
    <w:rsid w:val="00B866FB"/>
    <w:rsid w:val="00B86754"/>
    <w:rsid w:val="00B8682B"/>
    <w:rsid w:val="00B86E10"/>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1492"/>
    <w:rsid w:val="00C34BE1"/>
    <w:rsid w:val="00C35A1E"/>
    <w:rsid w:val="00C36A94"/>
    <w:rsid w:val="00C37478"/>
    <w:rsid w:val="00C4000A"/>
    <w:rsid w:val="00C40971"/>
    <w:rsid w:val="00C4327A"/>
    <w:rsid w:val="00C44573"/>
    <w:rsid w:val="00C44E52"/>
    <w:rsid w:val="00C45897"/>
    <w:rsid w:val="00C47481"/>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DA9"/>
    <w:rsid w:val="00C71F57"/>
    <w:rsid w:val="00C73D57"/>
    <w:rsid w:val="00C75120"/>
    <w:rsid w:val="00C76640"/>
    <w:rsid w:val="00C76E10"/>
    <w:rsid w:val="00C8228B"/>
    <w:rsid w:val="00C82BBD"/>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6A69"/>
    <w:rsid w:val="00C97567"/>
    <w:rsid w:val="00C976E1"/>
    <w:rsid w:val="00CA3710"/>
    <w:rsid w:val="00CA4086"/>
    <w:rsid w:val="00CA497B"/>
    <w:rsid w:val="00CA6E56"/>
    <w:rsid w:val="00CA7167"/>
    <w:rsid w:val="00CB04F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284"/>
    <w:rsid w:val="00D22989"/>
    <w:rsid w:val="00D26C4C"/>
    <w:rsid w:val="00D2764B"/>
    <w:rsid w:val="00D27F29"/>
    <w:rsid w:val="00D30F76"/>
    <w:rsid w:val="00D310BE"/>
    <w:rsid w:val="00D3155B"/>
    <w:rsid w:val="00D33D85"/>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B57"/>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5E3A"/>
    <w:rsid w:val="00DD6DBD"/>
    <w:rsid w:val="00DE04F8"/>
    <w:rsid w:val="00DE0FF3"/>
    <w:rsid w:val="00DE696D"/>
    <w:rsid w:val="00DE762C"/>
    <w:rsid w:val="00DF2B58"/>
    <w:rsid w:val="00E014B7"/>
    <w:rsid w:val="00E0191C"/>
    <w:rsid w:val="00E01AF2"/>
    <w:rsid w:val="00E01F58"/>
    <w:rsid w:val="00E01FFD"/>
    <w:rsid w:val="00E022C6"/>
    <w:rsid w:val="00E03052"/>
    <w:rsid w:val="00E05230"/>
    <w:rsid w:val="00E05A83"/>
    <w:rsid w:val="00E069C2"/>
    <w:rsid w:val="00E06C4C"/>
    <w:rsid w:val="00E07552"/>
    <w:rsid w:val="00E07C1F"/>
    <w:rsid w:val="00E11756"/>
    <w:rsid w:val="00E12588"/>
    <w:rsid w:val="00E1396C"/>
    <w:rsid w:val="00E15286"/>
    <w:rsid w:val="00E15F7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11BD"/>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379"/>
    <w:rsid w:val="00E83411"/>
    <w:rsid w:val="00E86601"/>
    <w:rsid w:val="00E87F48"/>
    <w:rsid w:val="00E87FDC"/>
    <w:rsid w:val="00E906A2"/>
    <w:rsid w:val="00E92759"/>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3BB9"/>
    <w:rsid w:val="00EE4ECA"/>
    <w:rsid w:val="00EE5867"/>
    <w:rsid w:val="00EE5D74"/>
    <w:rsid w:val="00EE5F58"/>
    <w:rsid w:val="00EE64E6"/>
    <w:rsid w:val="00EE6D01"/>
    <w:rsid w:val="00EF000B"/>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453"/>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0D59"/>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E18"/>
    <w:rsid w:val="00FA0F1F"/>
    <w:rsid w:val="00FA291B"/>
    <w:rsid w:val="00FA3007"/>
    <w:rsid w:val="00FA3AF8"/>
    <w:rsid w:val="00FA55BA"/>
    <w:rsid w:val="00FA579A"/>
    <w:rsid w:val="00FA7FAD"/>
    <w:rsid w:val="00FB3789"/>
    <w:rsid w:val="00FB38F3"/>
    <w:rsid w:val="00FB74D2"/>
    <w:rsid w:val="00FB7C4A"/>
    <w:rsid w:val="00FB7CCD"/>
    <w:rsid w:val="00FC00EB"/>
    <w:rsid w:val="00FC09A7"/>
    <w:rsid w:val="00FC105F"/>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6809A4F"/>
    <w:rsid w:val="075BF409"/>
    <w:rsid w:val="07D0EF0A"/>
    <w:rsid w:val="0838E622"/>
    <w:rsid w:val="08668A8B"/>
    <w:rsid w:val="229DB865"/>
    <w:rsid w:val="24020B9C"/>
    <w:rsid w:val="2E570AD5"/>
    <w:rsid w:val="34EB7710"/>
    <w:rsid w:val="3A0FF1D4"/>
    <w:rsid w:val="3A2EF6A5"/>
    <w:rsid w:val="3D8E5945"/>
    <w:rsid w:val="3FD67F2A"/>
    <w:rsid w:val="4250694C"/>
    <w:rsid w:val="4337917C"/>
    <w:rsid w:val="4343E995"/>
    <w:rsid w:val="458EAE7D"/>
    <w:rsid w:val="47E5042B"/>
    <w:rsid w:val="490DE004"/>
    <w:rsid w:val="49C11EA8"/>
    <w:rsid w:val="4A77A29E"/>
    <w:rsid w:val="4BA2F45D"/>
    <w:rsid w:val="4C8EAD42"/>
    <w:rsid w:val="56B0B580"/>
    <w:rsid w:val="5D7E3421"/>
    <w:rsid w:val="627FD83E"/>
    <w:rsid w:val="63CFAA8F"/>
    <w:rsid w:val="64D3A5FD"/>
    <w:rsid w:val="68E048A9"/>
    <w:rsid w:val="74F94AA3"/>
    <w:rsid w:val="752BC9A3"/>
    <w:rsid w:val="79A34B70"/>
    <w:rsid w:val="7A3154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D397A0D1-FAB7-4E9C-8729-939D21F2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475949890">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993723803">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54468464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68121307">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2.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6CC48974-1ADB-4300-AFD7-A04CB8BB7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D7438-DCCF-4F7D-97C8-E8875FCB4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1070</Characters>
  <Application>Microsoft Office Word</Application>
  <DocSecurity>0</DocSecurity>
  <Lines>23</Lines>
  <Paragraphs>7</Paragraphs>
  <ScaleCrop>false</ScaleCrop>
  <Company>European Commission</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STEPIEN Beata (SG)</dc:creator>
  <cp:lastModifiedBy>DELBAER Gerda (SG)</cp:lastModifiedBy>
  <cp:revision>2</cp:revision>
  <cp:lastPrinted>2019-01-09T14:37:00Z</cp:lastPrinted>
  <dcterms:created xsi:type="dcterms:W3CDTF">2026-02-25T16:24:00Z</dcterms:created>
  <dcterms:modified xsi:type="dcterms:W3CDTF">2026-02-25T16:24:00Z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