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25A6" w14:textId="6F4B3AA7" w:rsidR="00B67759" w:rsidRPr="00BE446A" w:rsidRDefault="00B67759" w:rsidP="00B67759">
      <w:pPr>
        <w:spacing w:after="600"/>
        <w:jc w:val="center"/>
        <w:rPr>
          <w:rFonts w:ascii="Times New Roman" w:hAnsi="Times New Roman"/>
          <w:b/>
          <w:bCs/>
          <w:szCs w:val="24"/>
        </w:rPr>
      </w:pPr>
      <w:bookmarkStart w:id="0" w:name="NatParl"/>
      <w:r w:rsidRPr="00BE446A">
        <w:rPr>
          <w:rFonts w:ascii="Times New Roman" w:hAnsi="Times New Roman"/>
          <w:b/>
          <w:szCs w:val="24"/>
        </w:rPr>
        <w:t xml:space="preserve">Follow-up to the European Parliament non-legislative resolution </w:t>
      </w:r>
      <w:r w:rsidRPr="00BE446A">
        <w:rPr>
          <w:rFonts w:ascii="Times New Roman" w:hAnsi="Times New Roman"/>
          <w:b/>
          <w:bCs/>
          <w:szCs w:val="24"/>
        </w:rPr>
        <w:t xml:space="preserve">on </w:t>
      </w:r>
      <w:r w:rsidR="00886901" w:rsidRPr="00BE446A">
        <w:rPr>
          <w:rFonts w:ascii="Times New Roman" w:hAnsi="Times New Roman"/>
          <w:b/>
          <w:bCs/>
          <w:szCs w:val="24"/>
        </w:rPr>
        <w:t>Principles of subsidiarity and proportionality and the role of national parliaments in the EU</w:t>
      </w:r>
      <w:r w:rsidR="00C761BF">
        <w:rPr>
          <w:rFonts w:ascii="Times New Roman" w:hAnsi="Times New Roman"/>
          <w:b/>
          <w:bCs/>
          <w:szCs w:val="24"/>
        </w:rPr>
        <w:t> </w:t>
      </w:r>
      <w:r w:rsidR="00886901" w:rsidRPr="00BE446A">
        <w:rPr>
          <w:rFonts w:ascii="Times New Roman" w:hAnsi="Times New Roman"/>
          <w:b/>
          <w:bCs/>
          <w:szCs w:val="24"/>
        </w:rPr>
        <w:t xml:space="preserve">legislative process </w:t>
      </w:r>
    </w:p>
    <w:bookmarkEnd w:id="0"/>
    <w:p w14:paraId="774347C3" w14:textId="5420C173" w:rsidR="00B67759" w:rsidRPr="00BC5F99" w:rsidRDefault="00B67759" w:rsidP="00B67759">
      <w:pPr>
        <w:numPr>
          <w:ilvl w:val="0"/>
          <w:numId w:val="2"/>
        </w:numPr>
        <w:ind w:left="567" w:hanging="567"/>
        <w:rPr>
          <w:rFonts w:ascii="Times New Roman" w:hAnsi="Times New Roman"/>
          <w:i/>
          <w:szCs w:val="24"/>
          <w:lang w:val="fr-BE"/>
        </w:rPr>
      </w:pPr>
      <w:r w:rsidRPr="00BC5F99">
        <w:rPr>
          <w:rFonts w:ascii="Times New Roman" w:hAnsi="Times New Roman"/>
          <w:b/>
          <w:szCs w:val="24"/>
          <w:lang w:val="fr-BE"/>
        </w:rPr>
        <w:t>Rapporteur:</w:t>
      </w:r>
      <w:r w:rsidRPr="00BC5F99">
        <w:rPr>
          <w:rFonts w:ascii="Times New Roman" w:hAnsi="Times New Roman"/>
          <w:szCs w:val="24"/>
          <w:lang w:val="fr-BE"/>
        </w:rPr>
        <w:t xml:space="preserve"> </w:t>
      </w:r>
      <w:r w:rsidRPr="00BC5F99">
        <w:rPr>
          <w:rFonts w:ascii="Times New Roman" w:hAnsi="Times New Roman"/>
          <w:iCs/>
          <w:szCs w:val="24"/>
          <w:lang w:val="fr-BE"/>
        </w:rPr>
        <w:t xml:space="preserve">Marieke EHLERS (PfE </w:t>
      </w:r>
      <w:r w:rsidRPr="00BC5F99">
        <w:rPr>
          <w:rFonts w:ascii="Times New Roman" w:hAnsi="Times New Roman"/>
          <w:bCs/>
          <w:iCs/>
          <w:szCs w:val="24"/>
          <w:lang w:val="fr-BE"/>
        </w:rPr>
        <w:t>/ NL</w:t>
      </w:r>
      <w:r w:rsidRPr="00BC5F99">
        <w:rPr>
          <w:rFonts w:ascii="Times New Roman" w:hAnsi="Times New Roman"/>
          <w:iCs/>
          <w:szCs w:val="24"/>
          <w:lang w:val="fr-BE"/>
        </w:rPr>
        <w:t>)</w:t>
      </w:r>
    </w:p>
    <w:p w14:paraId="6B250AB5" w14:textId="2A5DF281" w:rsidR="00B67759" w:rsidRPr="00BE446A" w:rsidRDefault="00B67759" w:rsidP="00B67759">
      <w:pPr>
        <w:pStyle w:val="Default"/>
        <w:numPr>
          <w:ilvl w:val="0"/>
          <w:numId w:val="2"/>
        </w:numPr>
        <w:spacing w:after="240"/>
        <w:ind w:left="567" w:hanging="567"/>
        <w:jc w:val="both"/>
        <w:rPr>
          <w:color w:val="auto"/>
          <w:lang w:val="en-GB"/>
        </w:rPr>
      </w:pPr>
      <w:r w:rsidRPr="00BE446A">
        <w:rPr>
          <w:b/>
          <w:color w:val="auto"/>
          <w:lang w:val="en-GB"/>
        </w:rPr>
        <w:t xml:space="preserve">Reference number: </w:t>
      </w:r>
      <w:r w:rsidRPr="00BE446A">
        <w:rPr>
          <w:rFonts w:eastAsia="Calibri"/>
          <w:bCs/>
          <w:lang w:val="en-GB" w:eastAsia="en-US"/>
        </w:rPr>
        <w:t>202</w:t>
      </w:r>
      <w:r w:rsidR="001C7041" w:rsidRPr="00BE446A">
        <w:rPr>
          <w:rFonts w:eastAsia="Calibri"/>
          <w:bCs/>
          <w:lang w:val="en-GB" w:eastAsia="en-US"/>
        </w:rPr>
        <w:t>5</w:t>
      </w:r>
      <w:r w:rsidRPr="00BE446A">
        <w:rPr>
          <w:rFonts w:eastAsia="Calibri"/>
          <w:bCs/>
          <w:lang w:val="en-GB" w:eastAsia="en-US"/>
        </w:rPr>
        <w:t>/20</w:t>
      </w:r>
      <w:r w:rsidR="001C7041" w:rsidRPr="00BE446A">
        <w:rPr>
          <w:rFonts w:eastAsia="Calibri"/>
          <w:bCs/>
          <w:lang w:val="en-GB" w:eastAsia="en-US"/>
        </w:rPr>
        <w:t>42</w:t>
      </w:r>
      <w:r w:rsidRPr="00BE446A">
        <w:rPr>
          <w:rFonts w:eastAsia="Calibri"/>
          <w:bCs/>
          <w:lang w:val="en-GB" w:eastAsia="en-US"/>
        </w:rPr>
        <w:t xml:space="preserve"> (INI) /</w:t>
      </w:r>
      <w:r w:rsidRPr="00BE446A">
        <w:rPr>
          <w:color w:val="auto"/>
          <w:lang w:val="en-GB"/>
        </w:rPr>
        <w:t xml:space="preserve"> </w:t>
      </w:r>
      <w:r w:rsidR="007C28BA" w:rsidRPr="00BE446A">
        <w:rPr>
          <w:color w:val="auto"/>
          <w:lang w:val="en-GB"/>
        </w:rPr>
        <w:t>A10-0224/2025 /</w:t>
      </w:r>
      <w:r w:rsidR="008B4034" w:rsidRPr="00BE446A">
        <w:rPr>
          <w:color w:val="auto"/>
          <w:lang w:val="en-GB"/>
        </w:rPr>
        <w:t xml:space="preserve"> P10_TA(2025)</w:t>
      </w:r>
      <w:r w:rsidR="009C3D5E" w:rsidRPr="00BE446A">
        <w:rPr>
          <w:color w:val="auto"/>
          <w:lang w:val="en-GB"/>
        </w:rPr>
        <w:t>0</w:t>
      </w:r>
      <w:r w:rsidR="008B4034" w:rsidRPr="00BE446A">
        <w:rPr>
          <w:color w:val="auto"/>
          <w:lang w:val="en-GB"/>
        </w:rPr>
        <w:t>309</w:t>
      </w:r>
    </w:p>
    <w:p w14:paraId="0718C029" w14:textId="1F1F4FF4" w:rsidR="00B67759" w:rsidRPr="00BE446A" w:rsidRDefault="00B67759" w:rsidP="00B67759">
      <w:pPr>
        <w:numPr>
          <w:ilvl w:val="0"/>
          <w:numId w:val="2"/>
        </w:numPr>
        <w:ind w:left="567" w:hanging="567"/>
        <w:rPr>
          <w:rFonts w:ascii="Times New Roman" w:hAnsi="Times New Roman"/>
          <w:szCs w:val="24"/>
        </w:rPr>
      </w:pPr>
      <w:r w:rsidRPr="00BE446A">
        <w:rPr>
          <w:rFonts w:ascii="Times New Roman" w:hAnsi="Times New Roman"/>
          <w:b/>
          <w:szCs w:val="24"/>
        </w:rPr>
        <w:t>Date of adoption of the resolution:</w:t>
      </w:r>
      <w:r w:rsidRPr="00BE446A">
        <w:rPr>
          <w:rFonts w:ascii="Times New Roman" w:hAnsi="Times New Roman"/>
          <w:szCs w:val="24"/>
        </w:rPr>
        <w:t xml:space="preserve"> </w:t>
      </w:r>
      <w:r w:rsidRPr="00BE446A">
        <w:rPr>
          <w:rFonts w:ascii="Times New Roman" w:hAnsi="Times New Roman"/>
          <w:iCs/>
        </w:rPr>
        <w:t>27 November 2025</w:t>
      </w:r>
    </w:p>
    <w:p w14:paraId="5B90A8DA" w14:textId="77777777" w:rsidR="00B67759" w:rsidRPr="00BE446A" w:rsidRDefault="00B67759" w:rsidP="00B67759">
      <w:pPr>
        <w:numPr>
          <w:ilvl w:val="0"/>
          <w:numId w:val="2"/>
        </w:numPr>
        <w:ind w:left="567" w:hanging="567"/>
        <w:rPr>
          <w:rFonts w:ascii="Times New Roman" w:hAnsi="Times New Roman"/>
          <w:i/>
          <w:szCs w:val="24"/>
        </w:rPr>
      </w:pPr>
      <w:r w:rsidRPr="00BE446A">
        <w:rPr>
          <w:rFonts w:ascii="Times New Roman" w:hAnsi="Times New Roman"/>
          <w:b/>
          <w:szCs w:val="24"/>
        </w:rPr>
        <w:t xml:space="preserve">Competent Parliamentary Committee: </w:t>
      </w:r>
      <w:r w:rsidRPr="00BE446A">
        <w:rPr>
          <w:rFonts w:ascii="Times New Roman" w:hAnsi="Times New Roman"/>
          <w:iCs/>
          <w:szCs w:val="24"/>
        </w:rPr>
        <w:t>Committee on Constitutional Affairs (AFCO)</w:t>
      </w:r>
    </w:p>
    <w:p w14:paraId="57AAA9BB" w14:textId="77777777" w:rsidR="00B67759" w:rsidRPr="00BE446A" w:rsidRDefault="00B67759" w:rsidP="00B67759">
      <w:pPr>
        <w:widowControl w:val="0"/>
        <w:numPr>
          <w:ilvl w:val="0"/>
          <w:numId w:val="2"/>
        </w:numPr>
        <w:ind w:left="567" w:hanging="567"/>
        <w:rPr>
          <w:rFonts w:ascii="Times New Roman" w:hAnsi="Times New Roman"/>
          <w:b/>
          <w:szCs w:val="24"/>
        </w:rPr>
      </w:pPr>
      <w:r w:rsidRPr="00BE446A">
        <w:rPr>
          <w:rFonts w:ascii="Times New Roman" w:hAnsi="Times New Roman"/>
          <w:b/>
          <w:szCs w:val="24"/>
        </w:rPr>
        <w:t>Brief analysis/ assessment of the resolution and requests made in it:</w:t>
      </w:r>
    </w:p>
    <w:p w14:paraId="493E5269" w14:textId="7C1B21B4" w:rsidR="00B67759" w:rsidRPr="00BE446A" w:rsidRDefault="00B67759" w:rsidP="13D2897D">
      <w:pPr>
        <w:widowControl w:val="0"/>
        <w:spacing w:after="120"/>
        <w:rPr>
          <w:rFonts w:ascii="Times New Roman" w:hAnsi="Times New Roman"/>
        </w:rPr>
      </w:pPr>
      <w:bookmarkStart w:id="1" w:name="_Hlk158105047"/>
      <w:r w:rsidRPr="00BE446A">
        <w:rPr>
          <w:rFonts w:ascii="Times New Roman" w:hAnsi="Times New Roman"/>
        </w:rPr>
        <w:t>The resolution</w:t>
      </w:r>
      <w:bookmarkEnd w:id="1"/>
      <w:r w:rsidRPr="00BE446A">
        <w:rPr>
          <w:rFonts w:ascii="Times New Roman" w:hAnsi="Times New Roman"/>
        </w:rPr>
        <w:t xml:space="preserve"> </w:t>
      </w:r>
      <w:r w:rsidR="7D51AF3A" w:rsidRPr="00BE446A">
        <w:rPr>
          <w:rFonts w:ascii="Times New Roman" w:hAnsi="Times New Roman"/>
        </w:rPr>
        <w:t>calls for</w:t>
      </w:r>
      <w:r w:rsidR="003A70B8" w:rsidRPr="00BE446A">
        <w:rPr>
          <w:rFonts w:ascii="Times New Roman" w:hAnsi="Times New Roman"/>
        </w:rPr>
        <w:t xml:space="preserve"> </w:t>
      </w:r>
      <w:r w:rsidR="00EE1CAA" w:rsidRPr="00BE446A">
        <w:rPr>
          <w:rFonts w:ascii="Times New Roman" w:hAnsi="Times New Roman"/>
        </w:rPr>
        <w:t>strengthening</w:t>
      </w:r>
      <w:r w:rsidR="3E99B5DB" w:rsidRPr="00BE446A">
        <w:rPr>
          <w:rFonts w:ascii="Times New Roman" w:hAnsi="Times New Roman"/>
        </w:rPr>
        <w:t xml:space="preserve"> </w:t>
      </w:r>
      <w:r w:rsidR="3BAD232C" w:rsidRPr="00BE446A">
        <w:rPr>
          <w:rFonts w:ascii="Times New Roman" w:hAnsi="Times New Roman"/>
        </w:rPr>
        <w:t xml:space="preserve">the role </w:t>
      </w:r>
      <w:r w:rsidR="3E99B5DB" w:rsidRPr="00BE446A">
        <w:rPr>
          <w:rFonts w:ascii="Times New Roman" w:hAnsi="Times New Roman"/>
        </w:rPr>
        <w:t xml:space="preserve">of </w:t>
      </w:r>
      <w:r w:rsidR="0066448E" w:rsidRPr="00BE446A">
        <w:rPr>
          <w:rFonts w:ascii="Times New Roman" w:hAnsi="Times New Roman"/>
        </w:rPr>
        <w:t xml:space="preserve">national Parliaments </w:t>
      </w:r>
      <w:r w:rsidR="3E99B5DB" w:rsidRPr="00BE446A">
        <w:rPr>
          <w:rFonts w:ascii="Times New Roman" w:hAnsi="Times New Roman"/>
        </w:rPr>
        <w:t xml:space="preserve">in the EU by enhancing transparency, dialogue, and cooperation mechanisms between </w:t>
      </w:r>
      <w:r w:rsidR="40CE1F5A" w:rsidRPr="00BE446A">
        <w:rPr>
          <w:rFonts w:ascii="Times New Roman" w:hAnsi="Times New Roman"/>
        </w:rPr>
        <w:t>them</w:t>
      </w:r>
      <w:r w:rsidR="3E99B5DB" w:rsidRPr="00BE446A">
        <w:rPr>
          <w:rFonts w:ascii="Times New Roman" w:hAnsi="Times New Roman"/>
        </w:rPr>
        <w:t xml:space="preserve"> and </w:t>
      </w:r>
      <w:r w:rsidR="00A24FA3" w:rsidRPr="00BE446A">
        <w:rPr>
          <w:rFonts w:ascii="Times New Roman" w:hAnsi="Times New Roman"/>
        </w:rPr>
        <w:t>the European institutions</w:t>
      </w:r>
      <w:r w:rsidR="00037D38" w:rsidRPr="00BE446A">
        <w:rPr>
          <w:rFonts w:ascii="Times New Roman" w:hAnsi="Times New Roman"/>
        </w:rPr>
        <w:t xml:space="preserve">, </w:t>
      </w:r>
      <w:r w:rsidR="00BC5F99">
        <w:rPr>
          <w:rFonts w:ascii="Times New Roman" w:hAnsi="Times New Roman"/>
        </w:rPr>
        <w:t>including</w:t>
      </w:r>
      <w:r w:rsidR="00037D38" w:rsidRPr="00BE446A">
        <w:rPr>
          <w:rFonts w:ascii="Times New Roman" w:hAnsi="Times New Roman"/>
        </w:rPr>
        <w:t xml:space="preserve"> </w:t>
      </w:r>
      <w:r w:rsidR="3E99B5DB" w:rsidRPr="00BE446A">
        <w:rPr>
          <w:rFonts w:ascii="Times New Roman" w:hAnsi="Times New Roman"/>
        </w:rPr>
        <w:t xml:space="preserve">the Commission. </w:t>
      </w:r>
      <w:r w:rsidR="3A4EEB06" w:rsidRPr="00BE446A">
        <w:rPr>
          <w:rFonts w:ascii="Times New Roman" w:hAnsi="Times New Roman"/>
        </w:rPr>
        <w:t>It considers that the</w:t>
      </w:r>
      <w:r w:rsidR="3E99B5DB" w:rsidRPr="00BE446A">
        <w:rPr>
          <w:rFonts w:ascii="Times New Roman" w:hAnsi="Times New Roman"/>
        </w:rPr>
        <w:t xml:space="preserve"> political influence </w:t>
      </w:r>
      <w:r w:rsidR="1C3B24C6" w:rsidRPr="00BE446A">
        <w:rPr>
          <w:rFonts w:ascii="Times New Roman" w:hAnsi="Times New Roman"/>
        </w:rPr>
        <w:t xml:space="preserve">of national </w:t>
      </w:r>
      <w:r w:rsidR="4193A62A" w:rsidRPr="00BE446A">
        <w:rPr>
          <w:rFonts w:ascii="Times New Roman" w:hAnsi="Times New Roman"/>
        </w:rPr>
        <w:t>P</w:t>
      </w:r>
      <w:r w:rsidR="1C3B24C6" w:rsidRPr="00BE446A">
        <w:rPr>
          <w:rFonts w:ascii="Times New Roman" w:hAnsi="Times New Roman"/>
        </w:rPr>
        <w:t xml:space="preserve">arliaments </w:t>
      </w:r>
      <w:r w:rsidR="3E99B5DB" w:rsidRPr="00BE446A">
        <w:rPr>
          <w:rFonts w:ascii="Times New Roman" w:hAnsi="Times New Roman"/>
        </w:rPr>
        <w:t xml:space="preserve">should be reinforced to ensure more transparency and legitimacy of the </w:t>
      </w:r>
      <w:r w:rsidR="66116D97" w:rsidRPr="00BE446A">
        <w:rPr>
          <w:rFonts w:ascii="Times New Roman" w:hAnsi="Times New Roman"/>
        </w:rPr>
        <w:t>EU</w:t>
      </w:r>
      <w:r w:rsidR="00C91C98" w:rsidRPr="00BE446A">
        <w:rPr>
          <w:rFonts w:ascii="Times New Roman" w:hAnsi="Times New Roman"/>
        </w:rPr>
        <w:t xml:space="preserve"> and provides suggestions to that </w:t>
      </w:r>
      <w:r w:rsidR="0645F867" w:rsidRPr="00BE446A">
        <w:rPr>
          <w:rFonts w:ascii="Times New Roman" w:hAnsi="Times New Roman"/>
        </w:rPr>
        <w:t>end.</w:t>
      </w:r>
      <w:r w:rsidR="3E99B5DB" w:rsidRPr="00BE446A">
        <w:rPr>
          <w:rFonts w:ascii="Times New Roman" w:hAnsi="Times New Roman"/>
        </w:rPr>
        <w:t xml:space="preserve"> </w:t>
      </w:r>
      <w:r w:rsidR="42458FF9" w:rsidRPr="00BE446A">
        <w:rPr>
          <w:rFonts w:ascii="Times New Roman" w:hAnsi="Times New Roman"/>
        </w:rPr>
        <w:t>The resolution supports</w:t>
      </w:r>
      <w:r w:rsidR="3E99B5DB" w:rsidRPr="00BE446A">
        <w:rPr>
          <w:rFonts w:ascii="Times New Roman" w:hAnsi="Times New Roman"/>
        </w:rPr>
        <w:t xml:space="preserve"> creating a ‘green card’ </w:t>
      </w:r>
      <w:r w:rsidR="2EF0FD62" w:rsidRPr="00BE446A">
        <w:rPr>
          <w:rFonts w:ascii="Times New Roman" w:hAnsi="Times New Roman"/>
        </w:rPr>
        <w:t>mechanism</w:t>
      </w:r>
      <w:r w:rsidR="3E99B5DB" w:rsidRPr="00BE446A">
        <w:rPr>
          <w:rFonts w:ascii="Times New Roman" w:hAnsi="Times New Roman"/>
        </w:rPr>
        <w:t xml:space="preserve"> t</w:t>
      </w:r>
      <w:r w:rsidR="2E5EAD38" w:rsidRPr="00BE446A">
        <w:rPr>
          <w:rFonts w:ascii="Times New Roman" w:hAnsi="Times New Roman"/>
        </w:rPr>
        <w:t xml:space="preserve">o ensure a more positive and proactive role for national </w:t>
      </w:r>
      <w:r w:rsidR="42C525A7" w:rsidRPr="00BE446A">
        <w:rPr>
          <w:rFonts w:ascii="Times New Roman" w:hAnsi="Times New Roman"/>
        </w:rPr>
        <w:t>P</w:t>
      </w:r>
      <w:r w:rsidR="2E5EAD38" w:rsidRPr="00BE446A">
        <w:rPr>
          <w:rFonts w:ascii="Times New Roman" w:hAnsi="Times New Roman"/>
        </w:rPr>
        <w:t>arliaments.</w:t>
      </w:r>
    </w:p>
    <w:p w14:paraId="76EC5A10" w14:textId="0844F0BB" w:rsidR="00B67759" w:rsidRPr="00BE446A" w:rsidRDefault="646BEB47" w:rsidP="08335203">
      <w:pPr>
        <w:widowControl w:val="0"/>
        <w:spacing w:after="120"/>
        <w:rPr>
          <w:rFonts w:ascii="Times New Roman" w:hAnsi="Times New Roman"/>
        </w:rPr>
      </w:pPr>
      <w:r w:rsidRPr="00BE446A">
        <w:rPr>
          <w:rFonts w:ascii="Times New Roman" w:hAnsi="Times New Roman"/>
        </w:rPr>
        <w:t xml:space="preserve">The </w:t>
      </w:r>
      <w:r w:rsidR="38F01C18" w:rsidRPr="00BE446A">
        <w:rPr>
          <w:rFonts w:ascii="Times New Roman" w:hAnsi="Times New Roman"/>
        </w:rPr>
        <w:t>resolut</w:t>
      </w:r>
      <w:r w:rsidRPr="00BE446A">
        <w:rPr>
          <w:rFonts w:ascii="Times New Roman" w:hAnsi="Times New Roman"/>
        </w:rPr>
        <w:t>ion</w:t>
      </w:r>
      <w:r w:rsidR="75DE5E34" w:rsidRPr="00BE446A">
        <w:rPr>
          <w:rFonts w:ascii="Times New Roman" w:hAnsi="Times New Roman"/>
        </w:rPr>
        <w:t xml:space="preserve"> calls on the Commission to</w:t>
      </w:r>
      <w:r w:rsidR="00B67759" w:rsidRPr="00BE446A">
        <w:rPr>
          <w:rFonts w:ascii="Times New Roman" w:hAnsi="Times New Roman"/>
        </w:rPr>
        <w:t xml:space="preserve">: </w:t>
      </w:r>
    </w:p>
    <w:p w14:paraId="0582B723" w14:textId="3367B76B" w:rsidR="00B67759" w:rsidRPr="00BE446A" w:rsidRDefault="6E6E8DB6" w:rsidP="08335203">
      <w:pPr>
        <w:widowControl w:val="0"/>
        <w:numPr>
          <w:ilvl w:val="0"/>
          <w:numId w:val="1"/>
        </w:numPr>
        <w:spacing w:after="120"/>
        <w:ind w:left="714" w:hanging="357"/>
        <w:rPr>
          <w:rFonts w:ascii="Times New Roman" w:hAnsi="Times New Roman"/>
        </w:rPr>
      </w:pPr>
      <w:r w:rsidRPr="00BE446A">
        <w:rPr>
          <w:rFonts w:ascii="Times New Roman" w:hAnsi="Times New Roman"/>
        </w:rPr>
        <w:t xml:space="preserve">exercise due diligence and discretion when proposing legislation that falls under shared competence and ensure, together with other </w:t>
      </w:r>
      <w:r w:rsidR="0571A36F" w:rsidRPr="00BE446A">
        <w:rPr>
          <w:rFonts w:ascii="Times New Roman" w:hAnsi="Times New Roman"/>
        </w:rPr>
        <w:t xml:space="preserve">EU institutions, </w:t>
      </w:r>
      <w:r w:rsidR="00BA2091" w:rsidRPr="00BE446A">
        <w:rPr>
          <w:rFonts w:ascii="Times New Roman" w:hAnsi="Times New Roman"/>
        </w:rPr>
        <w:t>an</w:t>
      </w:r>
      <w:r w:rsidR="0571A36F" w:rsidRPr="00BE446A">
        <w:rPr>
          <w:rFonts w:ascii="Times New Roman" w:hAnsi="Times New Roman"/>
        </w:rPr>
        <w:t xml:space="preserve"> active involvement of national </w:t>
      </w:r>
      <w:r w:rsidR="2D661792" w:rsidRPr="00BE446A">
        <w:rPr>
          <w:rFonts w:ascii="Times New Roman" w:hAnsi="Times New Roman"/>
        </w:rPr>
        <w:t>P</w:t>
      </w:r>
      <w:r w:rsidR="0571A36F" w:rsidRPr="00BE446A">
        <w:rPr>
          <w:rFonts w:ascii="Times New Roman" w:hAnsi="Times New Roman"/>
        </w:rPr>
        <w:t>arliaments in European decision-making</w:t>
      </w:r>
      <w:r w:rsidR="51099AEC" w:rsidRPr="00BE446A">
        <w:rPr>
          <w:rFonts w:ascii="Times New Roman" w:hAnsi="Times New Roman"/>
        </w:rPr>
        <w:t>;</w:t>
      </w:r>
    </w:p>
    <w:p w14:paraId="7CC895B8" w14:textId="58F6FEDA" w:rsidR="063411DB" w:rsidRPr="00BE446A" w:rsidRDefault="063411DB" w:rsidP="08335203">
      <w:pPr>
        <w:widowControl w:val="0"/>
        <w:numPr>
          <w:ilvl w:val="0"/>
          <w:numId w:val="1"/>
        </w:numPr>
        <w:spacing w:after="120"/>
        <w:ind w:left="714" w:hanging="357"/>
        <w:rPr>
          <w:rFonts w:ascii="Times New Roman" w:hAnsi="Times New Roman"/>
        </w:rPr>
      </w:pPr>
      <w:r w:rsidRPr="00BE446A">
        <w:rPr>
          <w:rFonts w:ascii="Times New Roman" w:hAnsi="Times New Roman"/>
        </w:rPr>
        <w:t xml:space="preserve">limit the use of Article 122 TFEU to situations of </w:t>
      </w:r>
      <w:r w:rsidR="6DB5698E" w:rsidRPr="00BE446A">
        <w:rPr>
          <w:rFonts w:ascii="Times New Roman" w:hAnsi="Times New Roman"/>
        </w:rPr>
        <w:t xml:space="preserve">crisis and revise the legal basis of </w:t>
      </w:r>
      <w:r w:rsidR="00BC5F99">
        <w:rPr>
          <w:rFonts w:ascii="Times New Roman" w:hAnsi="Times New Roman"/>
        </w:rPr>
        <w:t xml:space="preserve">the </w:t>
      </w:r>
      <w:r w:rsidR="6DB5698E" w:rsidRPr="00BE446A">
        <w:rPr>
          <w:rFonts w:ascii="Times New Roman" w:hAnsi="Times New Roman"/>
        </w:rPr>
        <w:t>ReArm Europe Plan/Readiness 2030.</w:t>
      </w:r>
      <w:r w:rsidR="6E46CFB3" w:rsidRPr="00BE446A">
        <w:rPr>
          <w:rFonts w:ascii="Times New Roman" w:hAnsi="Times New Roman"/>
        </w:rPr>
        <w:t xml:space="preserve"> The use of Articles 122 and 352 TFEU as a legal basis should be more rigorously contro</w:t>
      </w:r>
      <w:r w:rsidR="271E2E07" w:rsidRPr="00BE446A">
        <w:rPr>
          <w:rFonts w:ascii="Times New Roman" w:hAnsi="Times New Roman"/>
        </w:rPr>
        <w:t>lled</w:t>
      </w:r>
      <w:r w:rsidR="4C231E6D" w:rsidRPr="00BE446A">
        <w:rPr>
          <w:rFonts w:ascii="Times New Roman" w:hAnsi="Times New Roman"/>
        </w:rPr>
        <w:t>;</w:t>
      </w:r>
    </w:p>
    <w:p w14:paraId="22ACF688" w14:textId="4E2888CB" w:rsidR="271E2E07" w:rsidRPr="00BE446A" w:rsidRDefault="271E2E07" w:rsidP="08335203">
      <w:pPr>
        <w:widowControl w:val="0"/>
        <w:numPr>
          <w:ilvl w:val="0"/>
          <w:numId w:val="1"/>
        </w:numPr>
        <w:spacing w:after="120"/>
        <w:ind w:left="714" w:hanging="357"/>
        <w:rPr>
          <w:rFonts w:ascii="Times New Roman" w:hAnsi="Times New Roman"/>
        </w:rPr>
      </w:pPr>
      <w:r w:rsidRPr="00BE446A">
        <w:rPr>
          <w:rFonts w:ascii="Times New Roman" w:hAnsi="Times New Roman"/>
        </w:rPr>
        <w:t xml:space="preserve">consult national and regional </w:t>
      </w:r>
      <w:r w:rsidR="46F97973" w:rsidRPr="00BE446A">
        <w:rPr>
          <w:rFonts w:ascii="Times New Roman" w:hAnsi="Times New Roman"/>
        </w:rPr>
        <w:t>P</w:t>
      </w:r>
      <w:r w:rsidRPr="00BE446A">
        <w:rPr>
          <w:rFonts w:ascii="Times New Roman" w:hAnsi="Times New Roman"/>
        </w:rPr>
        <w:t>arliaments with legislative powers before proposing EU legislation</w:t>
      </w:r>
      <w:r w:rsidR="2E557B63" w:rsidRPr="00BE446A">
        <w:rPr>
          <w:rFonts w:ascii="Times New Roman" w:hAnsi="Times New Roman"/>
        </w:rPr>
        <w:t xml:space="preserve"> and make sure that governments provide evidence of taking into account the positions of national and regional </w:t>
      </w:r>
      <w:r w:rsidR="4D7F02FA" w:rsidRPr="00BE446A">
        <w:rPr>
          <w:rFonts w:ascii="Times New Roman" w:hAnsi="Times New Roman"/>
        </w:rPr>
        <w:t>P</w:t>
      </w:r>
      <w:r w:rsidR="2E557B63" w:rsidRPr="00BE446A">
        <w:rPr>
          <w:rFonts w:ascii="Times New Roman" w:hAnsi="Times New Roman"/>
        </w:rPr>
        <w:t>arliaments with legislative powers;</w:t>
      </w:r>
    </w:p>
    <w:p w14:paraId="1E8C36E4" w14:textId="554D80D6" w:rsidR="4107B4AB" w:rsidRPr="00BE446A" w:rsidRDefault="4107B4AB" w:rsidP="08335203">
      <w:pPr>
        <w:widowControl w:val="0"/>
        <w:numPr>
          <w:ilvl w:val="0"/>
          <w:numId w:val="1"/>
        </w:numPr>
        <w:spacing w:after="120"/>
        <w:ind w:left="714" w:hanging="357"/>
        <w:rPr>
          <w:rFonts w:ascii="Times New Roman" w:hAnsi="Times New Roman"/>
        </w:rPr>
      </w:pPr>
      <w:r w:rsidRPr="00BE446A">
        <w:rPr>
          <w:rFonts w:ascii="Times New Roman" w:hAnsi="Times New Roman"/>
        </w:rPr>
        <w:t>c</w:t>
      </w:r>
      <w:r w:rsidR="1823D587" w:rsidRPr="00BE446A">
        <w:rPr>
          <w:rFonts w:ascii="Times New Roman" w:hAnsi="Times New Roman"/>
        </w:rPr>
        <w:t xml:space="preserve">arry out an ex-ante impact assessment for each legislative proposal under shared competence and justify </w:t>
      </w:r>
      <w:r w:rsidR="75E5BC06" w:rsidRPr="00BE446A">
        <w:rPr>
          <w:rFonts w:ascii="Times New Roman" w:hAnsi="Times New Roman"/>
        </w:rPr>
        <w:t xml:space="preserve">through a comparative analysis across Member States </w:t>
      </w:r>
      <w:r w:rsidR="1823D587" w:rsidRPr="00BE446A">
        <w:rPr>
          <w:rFonts w:ascii="Times New Roman" w:hAnsi="Times New Roman"/>
        </w:rPr>
        <w:t xml:space="preserve">that legislative harmonisation </w:t>
      </w:r>
      <w:r w:rsidR="741DDD62" w:rsidRPr="00BE446A">
        <w:rPr>
          <w:rFonts w:ascii="Times New Roman" w:hAnsi="Times New Roman"/>
        </w:rPr>
        <w:t>at EU level brings substantial added value</w:t>
      </w:r>
      <w:r w:rsidR="7916C0F9" w:rsidRPr="00BE446A">
        <w:rPr>
          <w:rFonts w:ascii="Times New Roman" w:hAnsi="Times New Roman"/>
        </w:rPr>
        <w:t>;</w:t>
      </w:r>
    </w:p>
    <w:p w14:paraId="25813313" w14:textId="1ABF9BBF" w:rsidR="5874EEE4" w:rsidRPr="00BE446A" w:rsidRDefault="5874EEE4" w:rsidP="08335203">
      <w:pPr>
        <w:widowControl w:val="0"/>
        <w:numPr>
          <w:ilvl w:val="0"/>
          <w:numId w:val="1"/>
        </w:numPr>
        <w:spacing w:after="120"/>
        <w:ind w:left="714" w:hanging="357"/>
        <w:rPr>
          <w:rFonts w:ascii="Times New Roman" w:hAnsi="Times New Roman"/>
          <w:szCs w:val="24"/>
        </w:rPr>
      </w:pPr>
      <w:r w:rsidRPr="00BE446A">
        <w:rPr>
          <w:rFonts w:ascii="Times New Roman" w:hAnsi="Times New Roman"/>
          <w:szCs w:val="24"/>
        </w:rPr>
        <w:t xml:space="preserve">conduct a more systematic analysis of </w:t>
      </w:r>
      <w:r w:rsidR="008D1ABC" w:rsidRPr="00BE446A">
        <w:rPr>
          <w:rFonts w:ascii="Times New Roman" w:hAnsi="Times New Roman"/>
          <w:szCs w:val="24"/>
        </w:rPr>
        <w:t xml:space="preserve">compliance with </w:t>
      </w:r>
      <w:r w:rsidR="00C20377" w:rsidRPr="00BE446A">
        <w:rPr>
          <w:rFonts w:ascii="Times New Roman" w:hAnsi="Times New Roman"/>
          <w:szCs w:val="24"/>
        </w:rPr>
        <w:t xml:space="preserve">the </w:t>
      </w:r>
      <w:r w:rsidRPr="00BE446A">
        <w:rPr>
          <w:rFonts w:ascii="Times New Roman" w:hAnsi="Times New Roman"/>
          <w:szCs w:val="24"/>
        </w:rPr>
        <w:t xml:space="preserve">subsidiarity and proportionality </w:t>
      </w:r>
      <w:r w:rsidR="00C20377" w:rsidRPr="00BE446A">
        <w:rPr>
          <w:rFonts w:ascii="Times New Roman" w:hAnsi="Times New Roman"/>
          <w:szCs w:val="24"/>
        </w:rPr>
        <w:t xml:space="preserve">principles </w:t>
      </w:r>
      <w:r w:rsidRPr="00BE446A">
        <w:rPr>
          <w:rFonts w:ascii="Times New Roman" w:hAnsi="Times New Roman"/>
          <w:szCs w:val="24"/>
        </w:rPr>
        <w:t>when drafting legislative proposals and include detailed justifications for EU intervention, the added value of the action and the proportionality of measures in legislative proposals;</w:t>
      </w:r>
    </w:p>
    <w:p w14:paraId="2DF5947D" w14:textId="37E8DDF1" w:rsidR="0293A7B0" w:rsidRPr="00BE446A" w:rsidRDefault="00BC5F99" w:rsidP="08335203">
      <w:pPr>
        <w:widowControl w:val="0"/>
        <w:numPr>
          <w:ilvl w:val="0"/>
          <w:numId w:val="1"/>
        </w:numPr>
        <w:spacing w:after="120"/>
        <w:ind w:left="714" w:hanging="357"/>
        <w:rPr>
          <w:rFonts w:ascii="Times New Roman" w:hAnsi="Times New Roman"/>
        </w:rPr>
      </w:pPr>
      <w:r>
        <w:rPr>
          <w:rFonts w:ascii="Times New Roman" w:hAnsi="Times New Roman"/>
        </w:rPr>
        <w:t>f</w:t>
      </w:r>
      <w:r w:rsidR="0293A7B0" w:rsidRPr="00BE446A">
        <w:rPr>
          <w:rFonts w:ascii="Times New Roman" w:hAnsi="Times New Roman"/>
        </w:rPr>
        <w:t xml:space="preserve">urther improve consultation with national </w:t>
      </w:r>
      <w:r w:rsidR="385FAA5D" w:rsidRPr="00BE446A">
        <w:rPr>
          <w:rFonts w:ascii="Times New Roman" w:hAnsi="Times New Roman"/>
        </w:rPr>
        <w:t>P</w:t>
      </w:r>
      <w:r w:rsidR="0293A7B0" w:rsidRPr="00BE446A">
        <w:rPr>
          <w:rFonts w:ascii="Times New Roman" w:hAnsi="Times New Roman"/>
        </w:rPr>
        <w:t>arliaments on subsidiarity concerns, for example by establishing a ‘single subsidiarity hub’ on the IPEX platform;</w:t>
      </w:r>
    </w:p>
    <w:p w14:paraId="50C5DE9A" w14:textId="18D1D74A" w:rsidR="0E4CA71E" w:rsidRPr="00BE446A" w:rsidRDefault="0E4CA71E" w:rsidP="08335203">
      <w:pPr>
        <w:widowControl w:val="0"/>
        <w:numPr>
          <w:ilvl w:val="0"/>
          <w:numId w:val="1"/>
        </w:numPr>
        <w:spacing w:after="120"/>
        <w:ind w:left="714" w:hanging="357"/>
        <w:rPr>
          <w:rFonts w:ascii="Times New Roman" w:hAnsi="Times New Roman"/>
        </w:rPr>
      </w:pPr>
      <w:r w:rsidRPr="00BE446A">
        <w:rPr>
          <w:rFonts w:ascii="Times New Roman" w:hAnsi="Times New Roman"/>
        </w:rPr>
        <w:t xml:space="preserve">mainstream the subsidiarity review in </w:t>
      </w:r>
      <w:r w:rsidR="3DCBCB04" w:rsidRPr="00BE446A">
        <w:rPr>
          <w:rFonts w:ascii="Times New Roman" w:hAnsi="Times New Roman"/>
        </w:rPr>
        <w:t>the</w:t>
      </w:r>
      <w:r w:rsidRPr="00BE446A">
        <w:rPr>
          <w:rFonts w:ascii="Times New Roman" w:hAnsi="Times New Roman"/>
        </w:rPr>
        <w:t xml:space="preserve"> policy cycle by, inter alia, extending the evaluation of subsidiarity following interinstitutional negotiations;</w:t>
      </w:r>
    </w:p>
    <w:p w14:paraId="1AEED51F" w14:textId="2773FD6B" w:rsidR="0E4CA71E" w:rsidRPr="00BE446A" w:rsidRDefault="0E4CA71E" w:rsidP="2F0EDF97">
      <w:pPr>
        <w:widowControl w:val="0"/>
        <w:numPr>
          <w:ilvl w:val="0"/>
          <w:numId w:val="1"/>
        </w:numPr>
        <w:spacing w:after="120"/>
        <w:ind w:left="714" w:hanging="357"/>
        <w:rPr>
          <w:rFonts w:ascii="Times New Roman" w:hAnsi="Times New Roman"/>
        </w:rPr>
      </w:pPr>
      <w:r w:rsidRPr="00BE446A">
        <w:rPr>
          <w:rFonts w:ascii="Times New Roman" w:hAnsi="Times New Roman"/>
        </w:rPr>
        <w:t xml:space="preserve">invite national </w:t>
      </w:r>
      <w:r w:rsidR="00B47D1D" w:rsidRPr="00BE446A">
        <w:rPr>
          <w:rFonts w:ascii="Times New Roman" w:hAnsi="Times New Roman"/>
        </w:rPr>
        <w:t>P</w:t>
      </w:r>
      <w:r w:rsidRPr="00BE446A">
        <w:rPr>
          <w:rFonts w:ascii="Times New Roman" w:hAnsi="Times New Roman"/>
        </w:rPr>
        <w:t>arliaments to provide input at an earlier stage</w:t>
      </w:r>
      <w:r w:rsidRPr="00BE446A">
        <w:rPr>
          <w:rFonts w:ascii="Times New Roman" w:hAnsi="Times New Roman"/>
          <w:szCs w:val="24"/>
        </w:rPr>
        <w:t xml:space="preserve"> in the legislative process, more specifically, when consultations take place;</w:t>
      </w:r>
    </w:p>
    <w:p w14:paraId="50896645" w14:textId="2A110AF1" w:rsidR="54791616" w:rsidRPr="00BE446A" w:rsidRDefault="0E4CA71E" w:rsidP="54791616">
      <w:pPr>
        <w:widowControl w:val="0"/>
        <w:numPr>
          <w:ilvl w:val="0"/>
          <w:numId w:val="1"/>
        </w:numPr>
        <w:spacing w:after="120"/>
        <w:ind w:left="714" w:hanging="357"/>
        <w:rPr>
          <w:rFonts w:ascii="Times New Roman" w:hAnsi="Times New Roman"/>
          <w:szCs w:val="24"/>
        </w:rPr>
      </w:pPr>
      <w:r w:rsidRPr="00BE446A">
        <w:rPr>
          <w:rFonts w:ascii="Times New Roman" w:hAnsi="Times New Roman"/>
          <w:szCs w:val="24"/>
        </w:rPr>
        <w:t>always consider whether increased coordination with national authorities would be a better solution in particular areas than the creation of new transnational agencies;</w:t>
      </w:r>
    </w:p>
    <w:p w14:paraId="43FCD7ED" w14:textId="482A25C1" w:rsidR="734CA701" w:rsidRPr="00BE446A" w:rsidRDefault="0E4CA71E" w:rsidP="734CA701">
      <w:pPr>
        <w:widowControl w:val="0"/>
        <w:numPr>
          <w:ilvl w:val="0"/>
          <w:numId w:val="1"/>
        </w:numPr>
        <w:spacing w:after="120"/>
        <w:ind w:left="714" w:hanging="357"/>
        <w:rPr>
          <w:rFonts w:ascii="Times New Roman" w:hAnsi="Times New Roman"/>
          <w:szCs w:val="24"/>
        </w:rPr>
      </w:pPr>
      <w:r w:rsidRPr="00BE446A">
        <w:rPr>
          <w:rFonts w:ascii="Times New Roman" w:hAnsi="Times New Roman"/>
        </w:rPr>
        <w:lastRenderedPageBreak/>
        <w:t>take greater account of the opinions expressed by the European Committee of the Regions;</w:t>
      </w:r>
    </w:p>
    <w:p w14:paraId="229A8FDF" w14:textId="7C34AFD4" w:rsidR="7661EC2F" w:rsidRPr="00BE446A" w:rsidRDefault="0E4CA71E" w:rsidP="7661EC2F">
      <w:pPr>
        <w:widowControl w:val="0"/>
        <w:numPr>
          <w:ilvl w:val="0"/>
          <w:numId w:val="1"/>
        </w:numPr>
        <w:spacing w:after="120"/>
        <w:ind w:left="714" w:hanging="357"/>
        <w:rPr>
          <w:rFonts w:ascii="Times New Roman" w:hAnsi="Times New Roman"/>
        </w:rPr>
      </w:pPr>
      <w:r w:rsidRPr="00BE446A">
        <w:rPr>
          <w:rFonts w:ascii="Times New Roman" w:hAnsi="Times New Roman"/>
        </w:rPr>
        <w:t xml:space="preserve">conduct a survey on the application of </w:t>
      </w:r>
      <w:r w:rsidR="00BC5F99">
        <w:rPr>
          <w:rFonts w:ascii="Times New Roman" w:hAnsi="Times New Roman"/>
        </w:rPr>
        <w:t xml:space="preserve">the </w:t>
      </w:r>
      <w:r w:rsidRPr="00BE446A">
        <w:rPr>
          <w:rFonts w:ascii="Times New Roman" w:hAnsi="Times New Roman"/>
        </w:rPr>
        <w:t xml:space="preserve">subsidiarity and proportionality </w:t>
      </w:r>
      <w:r w:rsidR="00CE6591" w:rsidRPr="00BE446A">
        <w:rPr>
          <w:rFonts w:ascii="Times New Roman" w:hAnsi="Times New Roman"/>
        </w:rPr>
        <w:t xml:space="preserve">principles </w:t>
      </w:r>
      <w:r w:rsidRPr="00BE446A">
        <w:rPr>
          <w:rFonts w:ascii="Times New Roman" w:hAnsi="Times New Roman"/>
        </w:rPr>
        <w:t>among national legislative bodies in order to identify in which areas and to what extent national legislative bodies need to be protagonists of change</w:t>
      </w:r>
      <w:r w:rsidR="0CCF8DDB" w:rsidRPr="00BE446A">
        <w:rPr>
          <w:rFonts w:ascii="Times New Roman" w:hAnsi="Times New Roman"/>
        </w:rPr>
        <w:t>;</w:t>
      </w:r>
    </w:p>
    <w:p w14:paraId="5FDE3F4C" w14:textId="3AC594C5" w:rsidR="0CCF8DDB" w:rsidRPr="00BE446A" w:rsidRDefault="0CCF8DDB" w:rsidP="59962B2E">
      <w:pPr>
        <w:widowControl w:val="0"/>
        <w:numPr>
          <w:ilvl w:val="0"/>
          <w:numId w:val="1"/>
        </w:numPr>
        <w:spacing w:after="120"/>
        <w:ind w:left="714" w:hanging="357"/>
        <w:rPr>
          <w:rFonts w:ascii="Times New Roman" w:hAnsi="Times New Roman"/>
        </w:rPr>
      </w:pPr>
      <w:r w:rsidRPr="00BE446A">
        <w:rPr>
          <w:rFonts w:ascii="Times New Roman" w:hAnsi="Times New Roman"/>
        </w:rPr>
        <w:t xml:space="preserve">launch an EU-wide investigation to identify and analyse the reasons behind the limited exercise of national </w:t>
      </w:r>
      <w:r w:rsidR="00195A10" w:rsidRPr="00BE446A">
        <w:rPr>
          <w:rFonts w:ascii="Times New Roman" w:hAnsi="Times New Roman"/>
        </w:rPr>
        <w:t>P</w:t>
      </w:r>
      <w:r w:rsidRPr="00BE446A">
        <w:rPr>
          <w:rFonts w:ascii="Times New Roman" w:hAnsi="Times New Roman"/>
        </w:rPr>
        <w:t>arliaments’ scrutiny capacity in relation to subsidiarity</w:t>
      </w:r>
      <w:r w:rsidRPr="00BE446A">
        <w:rPr>
          <w:rFonts w:ascii="Times New Roman" w:hAnsi="Times New Roman"/>
          <w:szCs w:val="24"/>
        </w:rPr>
        <w:t>.</w:t>
      </w:r>
    </w:p>
    <w:p w14:paraId="45DDC89A" w14:textId="089E6DD1" w:rsidR="60590AC6" w:rsidRPr="00BE446A" w:rsidRDefault="7916C0F9" w:rsidP="00BE446A">
      <w:pPr>
        <w:widowControl w:val="0"/>
        <w:rPr>
          <w:rFonts w:ascii="Times New Roman" w:hAnsi="Times New Roman"/>
        </w:rPr>
      </w:pPr>
      <w:r w:rsidRPr="00BE446A">
        <w:rPr>
          <w:rFonts w:ascii="Times New Roman" w:hAnsi="Times New Roman"/>
        </w:rPr>
        <w:t>Moreover, the re</w:t>
      </w:r>
      <w:r w:rsidR="3FEEBBC6" w:rsidRPr="00BE446A">
        <w:rPr>
          <w:rFonts w:ascii="Times New Roman" w:hAnsi="Times New Roman"/>
        </w:rPr>
        <w:t>solution</w:t>
      </w:r>
      <w:r w:rsidRPr="00BE446A">
        <w:rPr>
          <w:rFonts w:ascii="Times New Roman" w:hAnsi="Times New Roman"/>
        </w:rPr>
        <w:t xml:space="preserve"> reiterates the French </w:t>
      </w:r>
      <w:r w:rsidRPr="00BE446A">
        <w:rPr>
          <w:rFonts w:ascii="Times New Roman" w:hAnsi="Times New Roman"/>
          <w:i/>
          <w:iCs/>
        </w:rPr>
        <w:t>S</w:t>
      </w:r>
      <w:r w:rsidR="548984CC" w:rsidRPr="00BE446A">
        <w:rPr>
          <w:rFonts w:ascii="Times New Roman" w:hAnsi="Times New Roman"/>
          <w:i/>
          <w:iCs/>
        </w:rPr>
        <w:t>é</w:t>
      </w:r>
      <w:r w:rsidRPr="00BE446A">
        <w:rPr>
          <w:rFonts w:ascii="Times New Roman" w:hAnsi="Times New Roman"/>
          <w:i/>
          <w:iCs/>
        </w:rPr>
        <w:t>nat</w:t>
      </w:r>
      <w:r w:rsidRPr="00BE446A">
        <w:rPr>
          <w:rFonts w:ascii="Times New Roman" w:hAnsi="Times New Roman"/>
        </w:rPr>
        <w:t>’s concerns regarding the weak legal foundation for certain EU legislative initiatives, the increasing tendency to favour regulations over directives, and the excessive use of implementing or delegated acts.</w:t>
      </w:r>
    </w:p>
    <w:p w14:paraId="02B877E9" w14:textId="77777777" w:rsidR="00B67759" w:rsidRPr="00BE446A" w:rsidRDefault="00B67759" w:rsidP="00B67759">
      <w:pPr>
        <w:widowControl w:val="0"/>
        <w:numPr>
          <w:ilvl w:val="0"/>
          <w:numId w:val="2"/>
        </w:numPr>
        <w:ind w:left="567" w:hanging="567"/>
        <w:rPr>
          <w:rFonts w:ascii="Times New Roman" w:hAnsi="Times New Roman"/>
          <w:b/>
          <w:szCs w:val="24"/>
        </w:rPr>
      </w:pPr>
      <w:r w:rsidRPr="00BE446A">
        <w:rPr>
          <w:rFonts w:ascii="Times New Roman" w:hAnsi="Times New Roman"/>
          <w:b/>
          <w:szCs w:val="24"/>
        </w:rPr>
        <w:t xml:space="preserve">Response to requests and overview of actions taken, or intended to be taken, by the Commission: </w:t>
      </w:r>
    </w:p>
    <w:p w14:paraId="79DCCFFA" w14:textId="77777777" w:rsidR="00B67759" w:rsidRPr="00BE446A" w:rsidRDefault="00B67759" w:rsidP="00B67759">
      <w:pPr>
        <w:widowControl w:val="0"/>
        <w:spacing w:after="120"/>
        <w:rPr>
          <w:rFonts w:ascii="Times New Roman" w:hAnsi="Times New Roman"/>
          <w:b/>
          <w:szCs w:val="24"/>
        </w:rPr>
      </w:pPr>
      <w:r w:rsidRPr="00BE446A">
        <w:rPr>
          <w:rFonts w:ascii="Times New Roman" w:hAnsi="Times New Roman"/>
          <w:b/>
          <w:szCs w:val="24"/>
        </w:rPr>
        <w:t>In general</w:t>
      </w:r>
    </w:p>
    <w:p w14:paraId="27239BB7" w14:textId="675295D3" w:rsidR="00B67759" w:rsidRPr="00BE446A" w:rsidRDefault="00B67759" w:rsidP="00B67759">
      <w:pPr>
        <w:widowControl w:val="0"/>
        <w:spacing w:after="120"/>
        <w:rPr>
          <w:rFonts w:ascii="Times New Roman" w:hAnsi="Times New Roman"/>
        </w:rPr>
      </w:pPr>
      <w:r w:rsidRPr="00BE446A">
        <w:rPr>
          <w:rFonts w:ascii="Times New Roman" w:hAnsi="Times New Roman"/>
        </w:rPr>
        <w:t xml:space="preserve">The Commission </w:t>
      </w:r>
      <w:r w:rsidR="00486A3D" w:rsidRPr="00BE446A">
        <w:rPr>
          <w:rFonts w:ascii="Times New Roman" w:hAnsi="Times New Roman"/>
        </w:rPr>
        <w:t xml:space="preserve">welcomes the resolution </w:t>
      </w:r>
      <w:r w:rsidR="007E2C0A" w:rsidRPr="00BE446A">
        <w:rPr>
          <w:rFonts w:ascii="Times New Roman" w:hAnsi="Times New Roman"/>
        </w:rPr>
        <w:t xml:space="preserve">of the European Parliament </w:t>
      </w:r>
      <w:r w:rsidR="00846AE8" w:rsidRPr="00BE446A">
        <w:rPr>
          <w:rFonts w:ascii="Times New Roman" w:hAnsi="Times New Roman"/>
        </w:rPr>
        <w:t xml:space="preserve">underlining the important </w:t>
      </w:r>
      <w:r w:rsidR="007E2C0A" w:rsidRPr="00BE446A">
        <w:rPr>
          <w:rFonts w:ascii="Times New Roman" w:hAnsi="Times New Roman"/>
        </w:rPr>
        <w:t>role</w:t>
      </w:r>
      <w:r w:rsidR="00D43A19" w:rsidRPr="00BE446A">
        <w:rPr>
          <w:rFonts w:ascii="Times New Roman" w:hAnsi="Times New Roman"/>
        </w:rPr>
        <w:t xml:space="preserve"> of </w:t>
      </w:r>
      <w:r w:rsidR="008E6CB9" w:rsidRPr="00BE446A">
        <w:rPr>
          <w:rFonts w:ascii="Times New Roman" w:hAnsi="Times New Roman"/>
        </w:rPr>
        <w:t xml:space="preserve">national Parliaments in </w:t>
      </w:r>
      <w:r w:rsidR="5D623DA4" w:rsidRPr="00BE446A">
        <w:rPr>
          <w:rFonts w:ascii="Times New Roman" w:hAnsi="Times New Roman"/>
        </w:rPr>
        <w:t>EU</w:t>
      </w:r>
      <w:r w:rsidR="008E6CB9" w:rsidRPr="00BE446A">
        <w:rPr>
          <w:rFonts w:ascii="Times New Roman" w:hAnsi="Times New Roman"/>
        </w:rPr>
        <w:t xml:space="preserve"> decision</w:t>
      </w:r>
      <w:r w:rsidR="00EB3877" w:rsidRPr="00BE446A">
        <w:rPr>
          <w:rFonts w:ascii="Times New Roman" w:hAnsi="Times New Roman"/>
        </w:rPr>
        <w:t>-making</w:t>
      </w:r>
      <w:r w:rsidR="002B7919" w:rsidRPr="00BE446A">
        <w:rPr>
          <w:rFonts w:ascii="Times New Roman" w:hAnsi="Times New Roman"/>
        </w:rPr>
        <w:t xml:space="preserve"> </w:t>
      </w:r>
      <w:r w:rsidR="00B43B4B" w:rsidRPr="00BE446A">
        <w:rPr>
          <w:rFonts w:ascii="Times New Roman" w:hAnsi="Times New Roman"/>
        </w:rPr>
        <w:t>within the framework set by the Treaties</w:t>
      </w:r>
      <w:r w:rsidR="00EB3877" w:rsidRPr="00BE446A">
        <w:rPr>
          <w:rFonts w:ascii="Times New Roman" w:hAnsi="Times New Roman"/>
        </w:rPr>
        <w:t xml:space="preserve">. </w:t>
      </w:r>
      <w:r w:rsidR="000A14A8" w:rsidRPr="00BE446A">
        <w:rPr>
          <w:rFonts w:ascii="Times New Roman" w:hAnsi="Times New Roman"/>
        </w:rPr>
        <w:t>The Commission fully shares the view that the rigorous application of the subsidiarity principle in EU legislation is of great importance for refocusing the work of the EU on where it offers most added value</w:t>
      </w:r>
      <w:r w:rsidR="5E91ECDE" w:rsidRPr="00BE446A">
        <w:rPr>
          <w:rFonts w:ascii="Times New Roman" w:hAnsi="Times New Roman"/>
        </w:rPr>
        <w:t xml:space="preserve"> and for the democratic legitimacy of the EU</w:t>
      </w:r>
      <w:r w:rsidR="000A14A8" w:rsidRPr="00BE446A">
        <w:rPr>
          <w:rFonts w:ascii="Times New Roman" w:hAnsi="Times New Roman"/>
        </w:rPr>
        <w:t>.</w:t>
      </w:r>
    </w:p>
    <w:p w14:paraId="61BFACFA" w14:textId="59AB2755" w:rsidR="00BC583B" w:rsidRPr="00BE446A" w:rsidRDefault="00BC583B" w:rsidP="00BC583B">
      <w:pPr>
        <w:widowControl w:val="0"/>
        <w:spacing w:after="120"/>
        <w:rPr>
          <w:rFonts w:ascii="Times New Roman" w:hAnsi="Times New Roman"/>
          <w:b/>
          <w:bCs/>
          <w:szCs w:val="24"/>
        </w:rPr>
      </w:pPr>
      <w:r w:rsidRPr="00BE446A">
        <w:rPr>
          <w:rFonts w:ascii="Times New Roman" w:hAnsi="Times New Roman"/>
          <w:b/>
          <w:bCs/>
          <w:szCs w:val="24"/>
        </w:rPr>
        <w:t>P</w:t>
      </w:r>
      <w:r w:rsidR="00C402EE" w:rsidRPr="00BE446A">
        <w:rPr>
          <w:rFonts w:ascii="Times New Roman" w:hAnsi="Times New Roman"/>
          <w:b/>
          <w:bCs/>
          <w:szCs w:val="24"/>
        </w:rPr>
        <w:t>aragraph</w:t>
      </w:r>
      <w:r w:rsidRPr="00BE446A">
        <w:rPr>
          <w:rFonts w:ascii="Times New Roman" w:hAnsi="Times New Roman"/>
          <w:b/>
          <w:bCs/>
          <w:szCs w:val="24"/>
        </w:rPr>
        <w:t xml:space="preserve"> 5 </w:t>
      </w:r>
    </w:p>
    <w:p w14:paraId="54FF3C9A" w14:textId="49F2A123" w:rsidR="00A37221" w:rsidRPr="00BE446A" w:rsidRDefault="00A37221" w:rsidP="00BC583B">
      <w:pPr>
        <w:widowControl w:val="0"/>
        <w:spacing w:after="120"/>
        <w:rPr>
          <w:rFonts w:ascii="Times New Roman" w:hAnsi="Times New Roman"/>
        </w:rPr>
      </w:pPr>
      <w:r w:rsidRPr="00BE446A">
        <w:rPr>
          <w:rFonts w:ascii="Times New Roman" w:hAnsi="Times New Roman"/>
        </w:rPr>
        <w:t>The choice of the legal basis</w:t>
      </w:r>
      <w:r w:rsidRPr="00BE446A">
        <w:rPr>
          <w:rFonts w:ascii="Times New Roman" w:hAnsi="Times New Roman"/>
          <w:vertAlign w:val="superscript"/>
        </w:rPr>
        <w:footnoteReference w:id="2"/>
      </w:r>
      <w:r w:rsidRPr="00BE446A">
        <w:rPr>
          <w:rFonts w:ascii="Times New Roman" w:hAnsi="Times New Roman"/>
        </w:rPr>
        <w:t xml:space="preserve"> must be based upon the nature of the main/predominant objective and content</w:t>
      </w:r>
      <w:r w:rsidR="246CDDFA" w:rsidRPr="00BE446A">
        <w:rPr>
          <w:rFonts w:ascii="Times New Roman" w:hAnsi="Times New Roman"/>
        </w:rPr>
        <w:t xml:space="preserve"> of the proposal</w:t>
      </w:r>
      <w:r w:rsidRPr="00BE446A">
        <w:rPr>
          <w:rFonts w:ascii="Times New Roman" w:hAnsi="Times New Roman"/>
        </w:rPr>
        <w:t>. Also, such a choice must align with the legal basis set in the EU treaties for the proposed action. This means that the Commission carefully considers which Treaty articles authori</w:t>
      </w:r>
      <w:r w:rsidR="15D1EEB0" w:rsidRPr="00BE446A">
        <w:rPr>
          <w:rFonts w:ascii="Times New Roman" w:hAnsi="Times New Roman"/>
        </w:rPr>
        <w:t>s</w:t>
      </w:r>
      <w:r w:rsidRPr="00BE446A">
        <w:rPr>
          <w:rFonts w:ascii="Times New Roman" w:hAnsi="Times New Roman"/>
        </w:rPr>
        <w:t>e the proposed action and then selects the corresponding instrument (e.g., regulation, directive, decision). All impact assessments refer to the appropriate legal basis for action derived from the Treaty</w:t>
      </w:r>
      <w:r w:rsidR="00051A1F" w:rsidRPr="00BE446A">
        <w:rPr>
          <w:rFonts w:ascii="Times New Roman" w:hAnsi="Times New Roman"/>
        </w:rPr>
        <w:t>.</w:t>
      </w:r>
    </w:p>
    <w:p w14:paraId="0B3170C6" w14:textId="0D20442C" w:rsidR="00BC583B" w:rsidRPr="00BE446A" w:rsidRDefault="6E5036CE" w:rsidP="60590AC6">
      <w:pPr>
        <w:widowControl w:val="0"/>
        <w:spacing w:after="120"/>
        <w:rPr>
          <w:rFonts w:ascii="Times New Roman" w:hAnsi="Times New Roman"/>
          <w:b/>
          <w:bCs/>
        </w:rPr>
      </w:pPr>
      <w:r w:rsidRPr="00BE446A">
        <w:rPr>
          <w:rFonts w:ascii="Times New Roman" w:hAnsi="Times New Roman"/>
        </w:rPr>
        <w:t>The Commission establishes the legal basis of its proposals in line with the EU Treaties</w:t>
      </w:r>
      <w:r w:rsidR="26ADD910" w:rsidRPr="00BE446A">
        <w:rPr>
          <w:rFonts w:ascii="Times New Roman" w:hAnsi="Times New Roman"/>
        </w:rPr>
        <w:t>, in full respect of Member States’ competences</w:t>
      </w:r>
      <w:r w:rsidRPr="00BE446A">
        <w:rPr>
          <w:rFonts w:ascii="Times New Roman" w:hAnsi="Times New Roman"/>
        </w:rPr>
        <w:t>.</w:t>
      </w:r>
      <w:r w:rsidR="45E92B66" w:rsidRPr="00BE446A">
        <w:rPr>
          <w:rFonts w:ascii="Times New Roman" w:hAnsi="Times New Roman"/>
        </w:rPr>
        <w:t xml:space="preserve"> The Commission </w:t>
      </w:r>
      <w:r w:rsidR="3E1A8353" w:rsidRPr="00BE446A">
        <w:rPr>
          <w:rFonts w:ascii="Times New Roman" w:hAnsi="Times New Roman"/>
        </w:rPr>
        <w:t>acknowledg</w:t>
      </w:r>
      <w:r w:rsidR="3C0D0465" w:rsidRPr="00BE446A">
        <w:rPr>
          <w:rFonts w:ascii="Times New Roman" w:hAnsi="Times New Roman"/>
        </w:rPr>
        <w:t xml:space="preserve">es the </w:t>
      </w:r>
      <w:r w:rsidR="0B5661B5" w:rsidRPr="00BE446A">
        <w:rPr>
          <w:rFonts w:ascii="Times New Roman" w:hAnsi="Times New Roman"/>
        </w:rPr>
        <w:t xml:space="preserve">important </w:t>
      </w:r>
      <w:r w:rsidR="3C0D0465" w:rsidRPr="00BE446A">
        <w:rPr>
          <w:rFonts w:ascii="Times New Roman" w:hAnsi="Times New Roman"/>
        </w:rPr>
        <w:t xml:space="preserve">role of </w:t>
      </w:r>
      <w:r w:rsidR="45E92B66" w:rsidRPr="00BE446A">
        <w:rPr>
          <w:rFonts w:ascii="Times New Roman" w:hAnsi="Times New Roman"/>
        </w:rPr>
        <w:t>national Parliaments</w:t>
      </w:r>
      <w:r w:rsidR="42A3EBA6" w:rsidRPr="00BE446A">
        <w:rPr>
          <w:rFonts w:ascii="Times New Roman" w:hAnsi="Times New Roman"/>
        </w:rPr>
        <w:t xml:space="preserve"> </w:t>
      </w:r>
      <w:r w:rsidR="0060E72A" w:rsidRPr="00BE446A">
        <w:rPr>
          <w:rFonts w:ascii="Times New Roman" w:hAnsi="Times New Roman"/>
        </w:rPr>
        <w:t xml:space="preserve">in EU decision making and </w:t>
      </w:r>
      <w:r w:rsidR="02126F52" w:rsidRPr="00BE446A">
        <w:rPr>
          <w:rFonts w:ascii="Times New Roman" w:hAnsi="Times New Roman"/>
        </w:rPr>
        <w:t xml:space="preserve">encourages </w:t>
      </w:r>
      <w:r w:rsidR="284409F1" w:rsidRPr="00BE446A">
        <w:rPr>
          <w:rFonts w:ascii="Times New Roman" w:hAnsi="Times New Roman"/>
        </w:rPr>
        <w:t>national Parliaments</w:t>
      </w:r>
      <w:r w:rsidR="7A9C6BDA" w:rsidRPr="00BE446A">
        <w:rPr>
          <w:rFonts w:ascii="Times New Roman" w:hAnsi="Times New Roman"/>
        </w:rPr>
        <w:t xml:space="preserve"> </w:t>
      </w:r>
      <w:r w:rsidR="6CC04248" w:rsidRPr="00BE446A">
        <w:rPr>
          <w:rFonts w:ascii="Times New Roman" w:hAnsi="Times New Roman"/>
        </w:rPr>
        <w:t xml:space="preserve">to actively contribute to EU decision making </w:t>
      </w:r>
      <w:r w:rsidR="7A9C6BDA" w:rsidRPr="00BE446A">
        <w:rPr>
          <w:rFonts w:ascii="Times New Roman" w:hAnsi="Times New Roman"/>
        </w:rPr>
        <w:t>through the</w:t>
      </w:r>
      <w:r w:rsidR="4DF5F5BF" w:rsidRPr="00BE446A">
        <w:rPr>
          <w:rFonts w:ascii="Times New Roman" w:hAnsi="Times New Roman"/>
        </w:rPr>
        <w:t>ir subsidiarity control right</w:t>
      </w:r>
      <w:r w:rsidR="00BC5F99">
        <w:rPr>
          <w:rFonts w:ascii="Times New Roman" w:hAnsi="Times New Roman"/>
        </w:rPr>
        <w:t>s</w:t>
      </w:r>
      <w:r w:rsidR="4DF5F5BF" w:rsidRPr="00BE446A">
        <w:rPr>
          <w:rFonts w:ascii="Times New Roman" w:hAnsi="Times New Roman"/>
        </w:rPr>
        <w:t xml:space="preserve"> and the</w:t>
      </w:r>
      <w:r w:rsidR="7A9C6BDA" w:rsidRPr="00BE446A">
        <w:rPr>
          <w:rFonts w:ascii="Times New Roman" w:hAnsi="Times New Roman"/>
        </w:rPr>
        <w:t xml:space="preserve"> political dialogue </w:t>
      </w:r>
      <w:r w:rsidR="178D573C" w:rsidRPr="00BE446A">
        <w:rPr>
          <w:rFonts w:ascii="Times New Roman" w:hAnsi="Times New Roman"/>
        </w:rPr>
        <w:t xml:space="preserve">with </w:t>
      </w:r>
      <w:r w:rsidR="7A9C6BDA" w:rsidRPr="00BE446A">
        <w:rPr>
          <w:rFonts w:ascii="Times New Roman" w:hAnsi="Times New Roman"/>
        </w:rPr>
        <w:t>the Commission.</w:t>
      </w:r>
    </w:p>
    <w:p w14:paraId="02C020CB" w14:textId="618063FE" w:rsidR="00BC583B" w:rsidRPr="00BE446A" w:rsidRDefault="00BC583B" w:rsidP="00BC583B">
      <w:pPr>
        <w:widowControl w:val="0"/>
        <w:spacing w:after="120"/>
        <w:rPr>
          <w:rFonts w:ascii="Times New Roman" w:hAnsi="Times New Roman"/>
          <w:szCs w:val="24"/>
        </w:rPr>
      </w:pPr>
      <w:r w:rsidRPr="00BE446A">
        <w:rPr>
          <w:rFonts w:ascii="Times New Roman" w:hAnsi="Times New Roman"/>
          <w:b/>
          <w:szCs w:val="24"/>
        </w:rPr>
        <w:t>P</w:t>
      </w:r>
      <w:r w:rsidR="00C402EE" w:rsidRPr="00BE446A">
        <w:rPr>
          <w:rFonts w:ascii="Times New Roman" w:hAnsi="Times New Roman"/>
          <w:b/>
          <w:szCs w:val="24"/>
        </w:rPr>
        <w:t>aragraph</w:t>
      </w:r>
      <w:r w:rsidRPr="00BE446A">
        <w:rPr>
          <w:rFonts w:ascii="Times New Roman" w:hAnsi="Times New Roman"/>
          <w:b/>
          <w:szCs w:val="24"/>
        </w:rPr>
        <w:t xml:space="preserve"> 6</w:t>
      </w:r>
      <w:r w:rsidRPr="00BE446A">
        <w:rPr>
          <w:rFonts w:ascii="Times New Roman" w:hAnsi="Times New Roman"/>
          <w:szCs w:val="24"/>
        </w:rPr>
        <w:t xml:space="preserve"> </w:t>
      </w:r>
    </w:p>
    <w:p w14:paraId="09C25EE4" w14:textId="74FC282E" w:rsidR="43464F23" w:rsidRPr="00BE446A" w:rsidRDefault="00647B63" w:rsidP="02E52D64">
      <w:pPr>
        <w:widowControl w:val="0"/>
        <w:spacing w:after="120"/>
        <w:rPr>
          <w:rFonts w:ascii="Times New Roman" w:hAnsi="Times New Roman"/>
        </w:rPr>
      </w:pPr>
      <w:r w:rsidRPr="00BE446A">
        <w:rPr>
          <w:rFonts w:ascii="Times New Roman" w:hAnsi="Times New Roman"/>
        </w:rPr>
        <w:t xml:space="preserve">The Commission recalls that many of the crises faced during the Commission’s last mandate required exceptional responses, notably </w:t>
      </w:r>
      <w:r w:rsidR="00BE446A" w:rsidRPr="00BE446A">
        <w:rPr>
          <w:rFonts w:ascii="Times New Roman" w:hAnsi="Times New Roman"/>
        </w:rPr>
        <w:t>using</w:t>
      </w:r>
      <w:r w:rsidRPr="00BE446A">
        <w:rPr>
          <w:rFonts w:ascii="Times New Roman" w:hAnsi="Times New Roman"/>
        </w:rPr>
        <w:t xml:space="preserve"> Article 122 TFEU, and that this mechanism allowed the Union to react swiftly.</w:t>
      </w:r>
    </w:p>
    <w:p w14:paraId="5AED5282" w14:textId="2D7C7972" w:rsidR="43464F23" w:rsidRPr="00BE446A" w:rsidRDefault="009A17B0" w:rsidP="009A17B0">
      <w:pPr>
        <w:widowControl w:val="0"/>
        <w:spacing w:after="120"/>
        <w:rPr>
          <w:rFonts w:ascii="Times New Roman" w:hAnsi="Times New Roman"/>
        </w:rPr>
      </w:pPr>
      <w:r w:rsidRPr="00BE446A">
        <w:rPr>
          <w:rFonts w:ascii="Times New Roman" w:hAnsi="Times New Roman"/>
        </w:rPr>
        <w:t>As also reflected in t</w:t>
      </w:r>
      <w:r w:rsidR="282C9D69" w:rsidRPr="00BE446A">
        <w:rPr>
          <w:rFonts w:ascii="Times New Roman" w:hAnsi="Times New Roman"/>
        </w:rPr>
        <w:t xml:space="preserve">he </w:t>
      </w:r>
      <w:r w:rsidR="5D335229" w:rsidRPr="00BE446A">
        <w:rPr>
          <w:rFonts w:ascii="Times New Roman" w:hAnsi="Times New Roman"/>
        </w:rPr>
        <w:t>provisionally agreed</w:t>
      </w:r>
      <w:r w:rsidR="282C9D69" w:rsidRPr="00BE446A">
        <w:rPr>
          <w:rFonts w:ascii="Times New Roman" w:hAnsi="Times New Roman"/>
        </w:rPr>
        <w:t xml:space="preserve"> revised Framework Agreement on relations </w:t>
      </w:r>
      <w:r w:rsidR="70F5DE4C" w:rsidRPr="00BE446A">
        <w:rPr>
          <w:rFonts w:ascii="Times New Roman" w:hAnsi="Times New Roman"/>
        </w:rPr>
        <w:t>between</w:t>
      </w:r>
      <w:r w:rsidR="282C9D69" w:rsidRPr="00BE446A">
        <w:rPr>
          <w:rFonts w:ascii="Times New Roman" w:hAnsi="Times New Roman"/>
        </w:rPr>
        <w:t xml:space="preserve"> the Europe</w:t>
      </w:r>
      <w:r w:rsidR="22CFB3C1" w:rsidRPr="00BE446A">
        <w:rPr>
          <w:rFonts w:ascii="Times New Roman" w:hAnsi="Times New Roman"/>
        </w:rPr>
        <w:t>an Parliament</w:t>
      </w:r>
      <w:r w:rsidR="437BD72F" w:rsidRPr="00BE446A">
        <w:rPr>
          <w:rFonts w:ascii="Times New Roman" w:hAnsi="Times New Roman"/>
        </w:rPr>
        <w:t xml:space="preserve"> </w:t>
      </w:r>
      <w:r w:rsidR="2041FA17" w:rsidRPr="00BE446A">
        <w:rPr>
          <w:rFonts w:ascii="Times New Roman" w:hAnsi="Times New Roman"/>
        </w:rPr>
        <w:t>and the European Commission</w:t>
      </w:r>
      <w:r w:rsidRPr="00BE446A">
        <w:rPr>
          <w:rFonts w:ascii="Times New Roman" w:hAnsi="Times New Roman"/>
        </w:rPr>
        <w:t>,</w:t>
      </w:r>
      <w:r w:rsidR="437BD72F" w:rsidRPr="00BE446A">
        <w:rPr>
          <w:rFonts w:ascii="Times New Roman" w:hAnsi="Times New Roman"/>
        </w:rPr>
        <w:t xml:space="preserve"> recourse to Article 122 TFEU is only possible on an exceptional basis and under the strict conditions set out in that provision. </w:t>
      </w:r>
    </w:p>
    <w:p w14:paraId="0B896083" w14:textId="55F75FD9" w:rsidR="00BC583B" w:rsidRPr="00BE446A" w:rsidRDefault="00BC583B" w:rsidP="00BC583B">
      <w:pPr>
        <w:widowControl w:val="0"/>
        <w:spacing w:after="120"/>
        <w:rPr>
          <w:rFonts w:ascii="Times New Roman" w:hAnsi="Times New Roman"/>
          <w:b/>
          <w:bCs/>
          <w:szCs w:val="24"/>
        </w:rPr>
      </w:pPr>
      <w:r w:rsidRPr="00BE446A">
        <w:rPr>
          <w:rFonts w:ascii="Times New Roman" w:hAnsi="Times New Roman"/>
          <w:b/>
          <w:bCs/>
          <w:szCs w:val="24"/>
        </w:rPr>
        <w:t>P</w:t>
      </w:r>
      <w:r w:rsidR="00C402EE" w:rsidRPr="00BE446A">
        <w:rPr>
          <w:rFonts w:ascii="Times New Roman" w:hAnsi="Times New Roman"/>
          <w:b/>
          <w:bCs/>
          <w:szCs w:val="24"/>
        </w:rPr>
        <w:t>aragraph</w:t>
      </w:r>
      <w:r w:rsidRPr="00BE446A">
        <w:rPr>
          <w:rFonts w:ascii="Times New Roman" w:hAnsi="Times New Roman"/>
          <w:b/>
          <w:bCs/>
          <w:szCs w:val="24"/>
        </w:rPr>
        <w:t xml:space="preserve"> 7 </w:t>
      </w:r>
    </w:p>
    <w:p w14:paraId="7CB94C4F" w14:textId="7F23834B" w:rsidR="00494AB2" w:rsidRPr="00BE446A" w:rsidRDefault="00494AB2" w:rsidP="60590AC6">
      <w:pPr>
        <w:widowControl w:val="0"/>
        <w:spacing w:after="120"/>
        <w:rPr>
          <w:rFonts w:ascii="Times New Roman" w:hAnsi="Times New Roman"/>
        </w:rPr>
      </w:pPr>
      <w:r w:rsidRPr="00BE446A">
        <w:rPr>
          <w:rFonts w:ascii="Times New Roman" w:hAnsi="Times New Roman"/>
        </w:rPr>
        <w:t xml:space="preserve">The Commission ensures that legislative initiatives </w:t>
      </w:r>
      <w:r w:rsidR="002B33B6" w:rsidRPr="00BE446A">
        <w:rPr>
          <w:rFonts w:ascii="Times New Roman" w:hAnsi="Times New Roman"/>
        </w:rPr>
        <w:t xml:space="preserve">which are expected to have significant </w:t>
      </w:r>
      <w:r w:rsidR="002B33B6" w:rsidRPr="00BE446A">
        <w:rPr>
          <w:rFonts w:ascii="Times New Roman" w:hAnsi="Times New Roman"/>
        </w:rPr>
        <w:lastRenderedPageBreak/>
        <w:t xml:space="preserve">economic, environmental or social impacts </w:t>
      </w:r>
      <w:r w:rsidRPr="00BE446A">
        <w:rPr>
          <w:rFonts w:ascii="Times New Roman" w:hAnsi="Times New Roman"/>
        </w:rPr>
        <w:t xml:space="preserve">are supported by an </w:t>
      </w:r>
      <w:r w:rsidR="00EA7450" w:rsidRPr="00BE446A">
        <w:rPr>
          <w:rFonts w:ascii="Times New Roman" w:hAnsi="Times New Roman"/>
        </w:rPr>
        <w:t>ex</w:t>
      </w:r>
      <w:r w:rsidR="00EA7450">
        <w:rPr>
          <w:rFonts w:ascii="Times New Roman" w:hAnsi="Times New Roman"/>
        </w:rPr>
        <w:t>-ante</w:t>
      </w:r>
      <w:r w:rsidRPr="00BE446A">
        <w:rPr>
          <w:rFonts w:ascii="Times New Roman" w:hAnsi="Times New Roman"/>
        </w:rPr>
        <w:t xml:space="preserve"> impact assessment</w:t>
      </w:r>
      <w:r w:rsidRPr="00BE446A">
        <w:rPr>
          <w:rFonts w:ascii="Times New Roman" w:hAnsi="Times New Roman"/>
          <w:vertAlign w:val="superscript"/>
        </w:rPr>
        <w:footnoteReference w:id="3"/>
      </w:r>
      <w:r w:rsidRPr="00BE446A">
        <w:rPr>
          <w:rFonts w:ascii="Times New Roman" w:hAnsi="Times New Roman"/>
        </w:rPr>
        <w:t xml:space="preserve">, respecting its Better Regulation approach. A key part of the subsidiarity analysis is to demonstrate the necessity for EU action and </w:t>
      </w:r>
      <w:r w:rsidR="00BC5F99">
        <w:rPr>
          <w:rFonts w:ascii="Times New Roman" w:hAnsi="Times New Roman"/>
        </w:rPr>
        <w:t>assess</w:t>
      </w:r>
      <w:r w:rsidRPr="00BE446A">
        <w:rPr>
          <w:rFonts w:ascii="Times New Roman" w:hAnsi="Times New Roman"/>
        </w:rPr>
        <w:t xml:space="preserve"> the </w:t>
      </w:r>
      <w:r w:rsidR="008A6E02" w:rsidRPr="00BE446A">
        <w:rPr>
          <w:rFonts w:ascii="Times New Roman" w:hAnsi="Times New Roman"/>
        </w:rPr>
        <w:t>‘</w:t>
      </w:r>
      <w:r w:rsidRPr="00BE446A">
        <w:rPr>
          <w:rFonts w:ascii="Times New Roman" w:hAnsi="Times New Roman"/>
        </w:rPr>
        <w:t>Union relevance</w:t>
      </w:r>
      <w:r w:rsidR="008A6E02" w:rsidRPr="00BE446A">
        <w:rPr>
          <w:rFonts w:ascii="Times New Roman" w:hAnsi="Times New Roman"/>
        </w:rPr>
        <w:t>’</w:t>
      </w:r>
      <w:r w:rsidRPr="00BE446A">
        <w:rPr>
          <w:rFonts w:ascii="Times New Roman" w:hAnsi="Times New Roman"/>
        </w:rPr>
        <w:t xml:space="preserve"> of the initiative being considered. The impact assessments examine key issues such as how the problems vary across the national, regional and local levels of the EU</w:t>
      </w:r>
      <w:r w:rsidR="00715BD9" w:rsidRPr="00BE446A">
        <w:rPr>
          <w:rFonts w:ascii="Times New Roman" w:hAnsi="Times New Roman"/>
        </w:rPr>
        <w:t xml:space="preserve"> </w:t>
      </w:r>
      <w:r w:rsidRPr="00BE446A">
        <w:rPr>
          <w:rFonts w:ascii="Times New Roman" w:hAnsi="Times New Roman"/>
        </w:rPr>
        <w:t xml:space="preserve">(e.g. negative externalities) </w:t>
      </w:r>
      <w:r w:rsidR="00BC5F99">
        <w:rPr>
          <w:rFonts w:ascii="Times New Roman" w:hAnsi="Times New Roman"/>
        </w:rPr>
        <w:t>whether</w:t>
      </w:r>
      <w:r w:rsidRPr="00BE446A">
        <w:rPr>
          <w:rFonts w:ascii="Times New Roman" w:hAnsi="Times New Roman"/>
        </w:rPr>
        <w:t xml:space="preserve"> the problem is widespread across the EU or concern</w:t>
      </w:r>
      <w:r w:rsidR="00BC5F99">
        <w:rPr>
          <w:rFonts w:ascii="Times New Roman" w:hAnsi="Times New Roman"/>
        </w:rPr>
        <w:t>s only</w:t>
      </w:r>
      <w:r w:rsidRPr="00BE446A">
        <w:rPr>
          <w:rFonts w:ascii="Times New Roman" w:hAnsi="Times New Roman"/>
        </w:rPr>
        <w:t xml:space="preserve"> a few Member States or regions, and whether the problems have the same underlying cause across the EU. </w:t>
      </w:r>
    </w:p>
    <w:p w14:paraId="12FD3349" w14:textId="06C291D6" w:rsidR="00E30462" w:rsidRPr="0004617A" w:rsidRDefault="00494AB2" w:rsidP="00BC583B">
      <w:pPr>
        <w:widowControl w:val="0"/>
        <w:spacing w:after="120"/>
        <w:rPr>
          <w:rFonts w:ascii="Times New Roman" w:hAnsi="Times New Roman"/>
        </w:rPr>
      </w:pPr>
      <w:r w:rsidRPr="00BE446A">
        <w:rPr>
          <w:rFonts w:ascii="Times New Roman" w:hAnsi="Times New Roman"/>
        </w:rPr>
        <w:t xml:space="preserve">The subsidiarity grid has </w:t>
      </w:r>
      <w:r w:rsidR="22E55CC0" w:rsidRPr="00BE446A">
        <w:rPr>
          <w:rFonts w:ascii="Times New Roman" w:hAnsi="Times New Roman"/>
        </w:rPr>
        <w:t xml:space="preserve">already </w:t>
      </w:r>
      <w:r w:rsidRPr="00BE446A">
        <w:rPr>
          <w:rFonts w:ascii="Times New Roman" w:hAnsi="Times New Roman"/>
        </w:rPr>
        <w:t>been integrated in</w:t>
      </w:r>
      <w:r w:rsidR="00BC5F99">
        <w:rPr>
          <w:rFonts w:ascii="Times New Roman" w:hAnsi="Times New Roman"/>
        </w:rPr>
        <w:t>to</w:t>
      </w:r>
      <w:r w:rsidRPr="00BE446A">
        <w:rPr>
          <w:rFonts w:ascii="Times New Roman" w:hAnsi="Times New Roman"/>
        </w:rPr>
        <w:t xml:space="preserve"> the Commission’s better regulation approach in response to the recommendations of the Task Force on Subsidiarity. The grid is attached as an annex to significant or politically sensitive legislative proposals accompanied by an impact assessment which do not fall under the exclusive competence of the Commission. </w:t>
      </w:r>
    </w:p>
    <w:p w14:paraId="472CB0C4" w14:textId="323D6F96" w:rsidR="00BE6774" w:rsidRPr="00BE446A" w:rsidRDefault="00D62D48" w:rsidP="00BC583B">
      <w:pPr>
        <w:widowControl w:val="0"/>
        <w:spacing w:after="120"/>
        <w:rPr>
          <w:rFonts w:ascii="Times New Roman" w:hAnsi="Times New Roman"/>
        </w:rPr>
      </w:pPr>
      <w:r w:rsidRPr="00BE446A">
        <w:rPr>
          <w:rFonts w:ascii="Times New Roman" w:hAnsi="Times New Roman"/>
        </w:rPr>
        <w:t xml:space="preserve">The Commission </w:t>
      </w:r>
      <w:r w:rsidR="00BC5F99">
        <w:rPr>
          <w:rFonts w:ascii="Times New Roman" w:hAnsi="Times New Roman"/>
        </w:rPr>
        <w:t xml:space="preserve">also </w:t>
      </w:r>
      <w:r w:rsidRPr="00BE446A">
        <w:rPr>
          <w:rFonts w:ascii="Times New Roman" w:hAnsi="Times New Roman"/>
        </w:rPr>
        <w:t>encourages regional Parliaments'</w:t>
      </w:r>
      <w:r w:rsidR="76ECD4AC" w:rsidRPr="00BE446A">
        <w:rPr>
          <w:rFonts w:ascii="Times New Roman" w:hAnsi="Times New Roman"/>
        </w:rPr>
        <w:t xml:space="preserve"> participation in the Commission’s public consultations, and their </w:t>
      </w:r>
      <w:r w:rsidRPr="00BE446A">
        <w:rPr>
          <w:rFonts w:ascii="Times New Roman" w:hAnsi="Times New Roman"/>
        </w:rPr>
        <w:t xml:space="preserve">active involvement in discussions on EU policy proposals and initiatives which have a particular relevance for the local and regional level, and it replies in substance to the contributions it receives from regional Parliaments in this context. </w:t>
      </w:r>
    </w:p>
    <w:p w14:paraId="0A16592A" w14:textId="130073BC" w:rsidR="00BC583B" w:rsidRPr="00BE446A" w:rsidRDefault="00BC583B" w:rsidP="00BC583B">
      <w:pPr>
        <w:widowControl w:val="0"/>
        <w:spacing w:after="120"/>
        <w:rPr>
          <w:rFonts w:ascii="Times New Roman" w:hAnsi="Times New Roman"/>
          <w:b/>
          <w:bCs/>
          <w:szCs w:val="24"/>
        </w:rPr>
      </w:pPr>
      <w:r w:rsidRPr="00BE446A">
        <w:rPr>
          <w:rFonts w:ascii="Times New Roman" w:hAnsi="Times New Roman"/>
          <w:b/>
          <w:bCs/>
          <w:szCs w:val="24"/>
        </w:rPr>
        <w:t>P</w:t>
      </w:r>
      <w:r w:rsidR="00C402EE" w:rsidRPr="00BE446A">
        <w:rPr>
          <w:rFonts w:ascii="Times New Roman" w:hAnsi="Times New Roman"/>
          <w:b/>
          <w:bCs/>
          <w:szCs w:val="24"/>
        </w:rPr>
        <w:t>aragraph</w:t>
      </w:r>
      <w:r w:rsidRPr="00BE446A">
        <w:rPr>
          <w:rFonts w:ascii="Times New Roman" w:hAnsi="Times New Roman"/>
          <w:b/>
          <w:bCs/>
          <w:szCs w:val="24"/>
        </w:rPr>
        <w:t xml:space="preserve"> 8 </w:t>
      </w:r>
    </w:p>
    <w:p w14:paraId="2E745699" w14:textId="11C5DDB4" w:rsidR="00BC583B" w:rsidRPr="00BE446A" w:rsidRDefault="007D73B2" w:rsidP="13D2897D">
      <w:pPr>
        <w:widowControl w:val="0"/>
        <w:spacing w:after="120"/>
        <w:rPr>
          <w:rFonts w:ascii="Times New Roman" w:hAnsi="Times New Roman"/>
        </w:rPr>
      </w:pPr>
      <w:r w:rsidRPr="00BE446A">
        <w:rPr>
          <w:rFonts w:ascii="Times New Roman" w:hAnsi="Times New Roman"/>
        </w:rPr>
        <w:t xml:space="preserve">The Commission points out that its proposals for legislation remain solidly based on Treaty legal bases. In line with the Interinstitutional Agreement on Better Law-Making of 13 April 2016, the explanatory memorandum accompanying each proposal duly explains the choice of legal basis and the type of legal act, including the use of regulations and directives. </w:t>
      </w:r>
      <w:r w:rsidR="7741198C" w:rsidRPr="00BE446A">
        <w:rPr>
          <w:rFonts w:ascii="Times New Roman" w:hAnsi="Times New Roman"/>
        </w:rPr>
        <w:t>The choice of policy instrument is an important consideration in the application of proportionality, and it is carefully assessed for each proposal considering the objectives that the envisaged legislation seeks to achieve.</w:t>
      </w:r>
    </w:p>
    <w:p w14:paraId="22180B3C" w14:textId="516B7283" w:rsidR="00BC583B" w:rsidRPr="00BE446A" w:rsidRDefault="007D73B2" w:rsidP="13D2897D">
      <w:pPr>
        <w:widowControl w:val="0"/>
        <w:spacing w:after="120"/>
        <w:rPr>
          <w:rFonts w:ascii="Times New Roman" w:hAnsi="Times New Roman"/>
        </w:rPr>
      </w:pPr>
      <w:r w:rsidRPr="00BE446A">
        <w:rPr>
          <w:rFonts w:ascii="Times New Roman" w:hAnsi="Times New Roman"/>
        </w:rPr>
        <w:t>Where appropriate, a legislative initiative also proposes empowerments for the Commission to adopt implementing or delegated acts, following which it is then for the co-legislators to decide whether and to what extent such empowerments are included in the final text.</w:t>
      </w:r>
      <w:r w:rsidR="1CC2DEAF" w:rsidRPr="00BE446A">
        <w:rPr>
          <w:rFonts w:ascii="Times New Roman" w:hAnsi="Times New Roman"/>
        </w:rPr>
        <w:t xml:space="preserve"> </w:t>
      </w:r>
      <w:r w:rsidR="00BC0B0B" w:rsidRPr="00BE446A">
        <w:rPr>
          <w:rFonts w:ascii="Times New Roman" w:hAnsi="Times New Roman"/>
        </w:rPr>
        <w:t xml:space="preserve">Implementing and </w:t>
      </w:r>
      <w:r w:rsidR="002B33B6" w:rsidRPr="00BE446A">
        <w:rPr>
          <w:rFonts w:ascii="Times New Roman" w:hAnsi="Times New Roman"/>
        </w:rPr>
        <w:t>d</w:t>
      </w:r>
      <w:r w:rsidR="00641446" w:rsidRPr="00BE446A">
        <w:rPr>
          <w:rFonts w:ascii="Times New Roman" w:hAnsi="Times New Roman"/>
        </w:rPr>
        <w:t>elegated acts</w:t>
      </w:r>
      <w:r w:rsidR="00E45022" w:rsidRPr="00BE446A">
        <w:rPr>
          <w:rFonts w:ascii="Times New Roman" w:hAnsi="Times New Roman"/>
        </w:rPr>
        <w:t xml:space="preserve"> are necessary </w:t>
      </w:r>
      <w:r w:rsidR="00E3589E" w:rsidRPr="00BE446A">
        <w:rPr>
          <w:rFonts w:ascii="Times New Roman" w:hAnsi="Times New Roman"/>
        </w:rPr>
        <w:t xml:space="preserve">to ensure an efficient implementation and adaptation of Union legislation. </w:t>
      </w:r>
      <w:r w:rsidR="008015A6" w:rsidRPr="00BE446A">
        <w:rPr>
          <w:rFonts w:ascii="Times New Roman" w:hAnsi="Times New Roman"/>
        </w:rPr>
        <w:t>In view of limiting</w:t>
      </w:r>
      <w:r w:rsidR="00892C0E" w:rsidRPr="00BE446A">
        <w:rPr>
          <w:rFonts w:ascii="Times New Roman" w:hAnsi="Times New Roman"/>
        </w:rPr>
        <w:t xml:space="preserve"> complexity and </w:t>
      </w:r>
      <w:r w:rsidR="00B43B4B" w:rsidRPr="00BE446A">
        <w:rPr>
          <w:rFonts w:ascii="Times New Roman" w:hAnsi="Times New Roman"/>
        </w:rPr>
        <w:t xml:space="preserve">unjustified </w:t>
      </w:r>
      <w:r w:rsidR="008015A6" w:rsidRPr="00BE446A">
        <w:rPr>
          <w:rFonts w:ascii="Times New Roman" w:hAnsi="Times New Roman"/>
        </w:rPr>
        <w:t xml:space="preserve">additional </w:t>
      </w:r>
      <w:r w:rsidR="00892C0E" w:rsidRPr="00BE446A">
        <w:rPr>
          <w:rFonts w:ascii="Times New Roman" w:hAnsi="Times New Roman"/>
        </w:rPr>
        <w:t>burden</w:t>
      </w:r>
      <w:r w:rsidR="008015A6" w:rsidRPr="00BE446A">
        <w:rPr>
          <w:rFonts w:ascii="Times New Roman" w:hAnsi="Times New Roman"/>
        </w:rPr>
        <w:t>,</w:t>
      </w:r>
      <w:r w:rsidR="006923E8" w:rsidRPr="00BE446A">
        <w:rPr>
          <w:rFonts w:ascii="Times New Roman" w:hAnsi="Times New Roman"/>
        </w:rPr>
        <w:t xml:space="preserve"> </w:t>
      </w:r>
      <w:r w:rsidR="00892C0E" w:rsidRPr="00BE446A">
        <w:rPr>
          <w:rFonts w:ascii="Times New Roman" w:hAnsi="Times New Roman"/>
        </w:rPr>
        <w:t>the Commission has screened the delegated and implementing acts expected in 2026 with a view to deprioritis</w:t>
      </w:r>
      <w:r w:rsidR="00BC5F99">
        <w:rPr>
          <w:rFonts w:ascii="Times New Roman" w:hAnsi="Times New Roman"/>
        </w:rPr>
        <w:t>ing</w:t>
      </w:r>
      <w:r w:rsidR="00892C0E" w:rsidRPr="00BE446A">
        <w:rPr>
          <w:rFonts w:ascii="Times New Roman" w:hAnsi="Times New Roman"/>
        </w:rPr>
        <w:t xml:space="preserve"> those that are not necessary for the good implementation of legislation</w:t>
      </w:r>
      <w:r w:rsidR="00BC0B0B" w:rsidRPr="00BE446A">
        <w:rPr>
          <w:rFonts w:ascii="Times New Roman" w:hAnsi="Times New Roman"/>
        </w:rPr>
        <w:t xml:space="preserve"> and </w:t>
      </w:r>
      <w:r w:rsidR="008015A6" w:rsidRPr="00BE446A">
        <w:rPr>
          <w:rFonts w:ascii="Times New Roman" w:hAnsi="Times New Roman"/>
        </w:rPr>
        <w:t>where there is</w:t>
      </w:r>
      <w:r w:rsidR="00BC0B0B" w:rsidRPr="00BE446A">
        <w:rPr>
          <w:rFonts w:ascii="Times New Roman" w:hAnsi="Times New Roman"/>
        </w:rPr>
        <w:t xml:space="preserve"> no </w:t>
      </w:r>
      <w:r w:rsidR="008015A6" w:rsidRPr="00BE446A">
        <w:rPr>
          <w:rFonts w:ascii="Times New Roman" w:hAnsi="Times New Roman"/>
        </w:rPr>
        <w:t>legal</w:t>
      </w:r>
      <w:r w:rsidR="00BC0B0B" w:rsidRPr="00BE446A">
        <w:rPr>
          <w:rFonts w:ascii="Times New Roman" w:hAnsi="Times New Roman"/>
        </w:rPr>
        <w:t xml:space="preserve"> obligation to adopt such acts</w:t>
      </w:r>
      <w:r w:rsidR="00892C0E" w:rsidRPr="00BE446A">
        <w:rPr>
          <w:rFonts w:ascii="Times New Roman" w:hAnsi="Times New Roman"/>
        </w:rPr>
        <w:t xml:space="preserve">. </w:t>
      </w:r>
      <w:r w:rsidR="00A85A52" w:rsidRPr="00BE446A">
        <w:rPr>
          <w:rFonts w:ascii="Times New Roman" w:hAnsi="Times New Roman"/>
        </w:rPr>
        <w:t>Moreover, t</w:t>
      </w:r>
      <w:r w:rsidR="00752D3B" w:rsidRPr="00BE446A">
        <w:rPr>
          <w:rFonts w:ascii="Times New Roman" w:hAnsi="Times New Roman"/>
        </w:rPr>
        <w:t>he transparency surrounding the preparation of delegated acts has been improved by the Commission with the interinstitutional register</w:t>
      </w:r>
      <w:r w:rsidR="00D80E7B" w:rsidRPr="00BE446A">
        <w:rPr>
          <w:rFonts w:ascii="Times New Roman" w:hAnsi="Times New Roman"/>
        </w:rPr>
        <w:t xml:space="preserve"> of delegated and implementing acts</w:t>
      </w:r>
      <w:r w:rsidR="00752D3B" w:rsidRPr="00BE446A">
        <w:rPr>
          <w:rFonts w:ascii="Times New Roman" w:hAnsi="Times New Roman"/>
        </w:rPr>
        <w:t>.</w:t>
      </w:r>
      <w:r w:rsidR="00F12B83" w:rsidRPr="00BE446A">
        <w:rPr>
          <w:rFonts w:ascii="Times New Roman" w:hAnsi="Times New Roman"/>
        </w:rPr>
        <w:t xml:space="preserve"> </w:t>
      </w:r>
      <w:r w:rsidR="0036563E" w:rsidRPr="00BE446A">
        <w:rPr>
          <w:rFonts w:ascii="Times New Roman" w:hAnsi="Times New Roman"/>
        </w:rPr>
        <w:t>These acts are supported by evidence. If there are also policy options they are accompanied by an impact assessment – if not but they still create significant costs or savings, a concise analytical staff working document presenting the cost</w:t>
      </w:r>
      <w:r w:rsidR="00BC5F99">
        <w:rPr>
          <w:rFonts w:ascii="Times New Roman" w:hAnsi="Times New Roman"/>
        </w:rPr>
        <w:t>-</w:t>
      </w:r>
      <w:r w:rsidR="0036563E" w:rsidRPr="00BE446A">
        <w:rPr>
          <w:rFonts w:ascii="Times New Roman" w:hAnsi="Times New Roman"/>
        </w:rPr>
        <w:t xml:space="preserve">benefit analysis is produced. </w:t>
      </w:r>
    </w:p>
    <w:p w14:paraId="4B657AA9" w14:textId="5A1BB867" w:rsidR="00895BEC" w:rsidRPr="00BE446A" w:rsidRDefault="00895BEC" w:rsidP="18E2B03F">
      <w:pPr>
        <w:widowControl w:val="0"/>
        <w:spacing w:after="120"/>
        <w:rPr>
          <w:rFonts w:ascii="Times New Roman" w:hAnsi="Times New Roman"/>
          <w:b/>
          <w:bCs/>
        </w:rPr>
      </w:pPr>
      <w:bookmarkStart w:id="2" w:name="_Hlk216369346"/>
      <w:r w:rsidRPr="00BE446A">
        <w:rPr>
          <w:rFonts w:ascii="Times New Roman" w:hAnsi="Times New Roman"/>
          <w:b/>
          <w:bCs/>
        </w:rPr>
        <w:t>Paragraph</w:t>
      </w:r>
      <w:r w:rsidR="000B7E14" w:rsidRPr="00BE446A">
        <w:rPr>
          <w:rFonts w:ascii="Times New Roman" w:hAnsi="Times New Roman"/>
          <w:b/>
          <w:bCs/>
        </w:rPr>
        <w:t xml:space="preserve"> 9</w:t>
      </w:r>
    </w:p>
    <w:p w14:paraId="7326381D" w14:textId="48D0854F" w:rsidR="007042C3" w:rsidRPr="00BE446A" w:rsidRDefault="007042C3" w:rsidP="18E2B03F">
      <w:pPr>
        <w:widowControl w:val="0"/>
        <w:spacing w:after="120"/>
        <w:rPr>
          <w:rFonts w:ascii="Times New Roman" w:hAnsi="Times New Roman"/>
        </w:rPr>
      </w:pPr>
      <w:r w:rsidRPr="00BE446A">
        <w:rPr>
          <w:rFonts w:ascii="Times New Roman" w:hAnsi="Times New Roman"/>
        </w:rPr>
        <w:t xml:space="preserve">Ensuring that European legislation complies with </w:t>
      </w:r>
      <w:r w:rsidR="00BC5F99">
        <w:rPr>
          <w:rFonts w:ascii="Times New Roman" w:hAnsi="Times New Roman"/>
        </w:rPr>
        <w:t xml:space="preserve">the </w:t>
      </w:r>
      <w:r w:rsidRPr="00BE446A">
        <w:rPr>
          <w:rFonts w:ascii="Times New Roman" w:hAnsi="Times New Roman"/>
        </w:rPr>
        <w:t>subsidiarity principle is a shared responsibility of all EU</w:t>
      </w:r>
      <w:r w:rsidR="002B33B6" w:rsidRPr="00BE446A">
        <w:rPr>
          <w:rFonts w:ascii="Times New Roman" w:hAnsi="Times New Roman"/>
        </w:rPr>
        <w:t xml:space="preserve"> </w:t>
      </w:r>
      <w:r w:rsidRPr="00BE446A">
        <w:rPr>
          <w:rFonts w:ascii="Times New Roman" w:hAnsi="Times New Roman"/>
        </w:rPr>
        <w:t xml:space="preserve">Institutions, and all actors involved. For its part, the Commission, under its Better Regulation agenda, puts a strong focus on ensuring that its legislative initiatives respect </w:t>
      </w:r>
      <w:r w:rsidR="00411E35" w:rsidRPr="00BE446A">
        <w:rPr>
          <w:rFonts w:ascii="Times New Roman" w:hAnsi="Times New Roman"/>
        </w:rPr>
        <w:t xml:space="preserve">the </w:t>
      </w:r>
      <w:r w:rsidRPr="00BE446A">
        <w:rPr>
          <w:rFonts w:ascii="Times New Roman" w:hAnsi="Times New Roman"/>
        </w:rPr>
        <w:t>subsidiarity</w:t>
      </w:r>
      <w:r w:rsidR="00411E35" w:rsidRPr="00BE446A">
        <w:rPr>
          <w:rFonts w:ascii="Times New Roman" w:hAnsi="Times New Roman"/>
        </w:rPr>
        <w:t xml:space="preserve"> and proportionality principles.</w:t>
      </w:r>
      <w:r w:rsidRPr="00BE446A">
        <w:rPr>
          <w:rFonts w:ascii="Times New Roman" w:hAnsi="Times New Roman"/>
        </w:rPr>
        <w:t xml:space="preserve"> </w:t>
      </w:r>
    </w:p>
    <w:p w14:paraId="08944775" w14:textId="151A5100" w:rsidR="000B7E14" w:rsidRPr="00BE446A" w:rsidRDefault="00280F4C" w:rsidP="18E2B03F">
      <w:pPr>
        <w:widowControl w:val="0"/>
        <w:spacing w:after="120"/>
        <w:rPr>
          <w:rFonts w:ascii="Times New Roman" w:hAnsi="Times New Roman"/>
        </w:rPr>
      </w:pPr>
      <w:r w:rsidRPr="00BE446A">
        <w:rPr>
          <w:rFonts w:ascii="Times New Roman" w:hAnsi="Times New Roman"/>
        </w:rPr>
        <w:t xml:space="preserve">The analysis of subsidiarity and proportionality is </w:t>
      </w:r>
      <w:r w:rsidR="002B7919" w:rsidRPr="00BE446A">
        <w:rPr>
          <w:rFonts w:ascii="Times New Roman" w:hAnsi="Times New Roman"/>
        </w:rPr>
        <w:t xml:space="preserve">also </w:t>
      </w:r>
      <w:r w:rsidRPr="00BE446A">
        <w:rPr>
          <w:rFonts w:ascii="Times New Roman" w:hAnsi="Times New Roman"/>
        </w:rPr>
        <w:t xml:space="preserve">a mandatory section of </w:t>
      </w:r>
      <w:r w:rsidR="002B7919" w:rsidRPr="00BE446A">
        <w:rPr>
          <w:rFonts w:ascii="Times New Roman" w:hAnsi="Times New Roman"/>
        </w:rPr>
        <w:t>the</w:t>
      </w:r>
      <w:r w:rsidRPr="00BE446A">
        <w:rPr>
          <w:rFonts w:ascii="Times New Roman" w:hAnsi="Times New Roman"/>
        </w:rPr>
        <w:t xml:space="preserve"> impact assessments supporting legislative proposals </w:t>
      </w:r>
      <w:r w:rsidR="002B7919" w:rsidRPr="00BE446A">
        <w:rPr>
          <w:rFonts w:ascii="Times New Roman" w:hAnsi="Times New Roman"/>
        </w:rPr>
        <w:t xml:space="preserve">expected to have significant economic, social or </w:t>
      </w:r>
      <w:r w:rsidR="002B7919" w:rsidRPr="00BE446A">
        <w:rPr>
          <w:rFonts w:ascii="Times New Roman" w:hAnsi="Times New Roman"/>
        </w:rPr>
        <w:lastRenderedPageBreak/>
        <w:t xml:space="preserve">environmental impacts </w:t>
      </w:r>
      <w:r w:rsidRPr="00BE446A">
        <w:rPr>
          <w:rFonts w:ascii="Times New Roman" w:hAnsi="Times New Roman"/>
        </w:rPr>
        <w:t>in areas which do not fall under the exclusive competence of the EU. An analysis of EU-added value is carried out for designing new policy measures and for evaluating existing initiatives. This means showing the benefits that the EU action brings, such as economies of scale or achieving political objectives more efficiently (</w:t>
      </w:r>
      <w:r w:rsidR="00BC5F99">
        <w:rPr>
          <w:rFonts w:ascii="Times New Roman" w:hAnsi="Times New Roman"/>
        </w:rPr>
        <w:t>at lower</w:t>
      </w:r>
      <w:r w:rsidRPr="00BE446A">
        <w:rPr>
          <w:rFonts w:ascii="Times New Roman" w:hAnsi="Times New Roman"/>
        </w:rPr>
        <w:t xml:space="preserve"> cost) at the EU level. According to better regulation, respecting the principle of proportionality is about ensuring that the policy approach and its intensity match the identified problem and objectives. Demonstrating compliance with the principles of subsidiarity and proportionality is also a fundamental part of the explanatory memorandum of Commission proposals.</w:t>
      </w:r>
    </w:p>
    <w:p w14:paraId="49634FCF" w14:textId="2FB5C145" w:rsidR="00895BEC" w:rsidRPr="00BE446A" w:rsidRDefault="000B7E14" w:rsidP="18E2B03F">
      <w:pPr>
        <w:widowControl w:val="0"/>
        <w:spacing w:after="120"/>
        <w:rPr>
          <w:rFonts w:ascii="Times New Roman" w:hAnsi="Times New Roman"/>
          <w:b/>
          <w:bCs/>
        </w:rPr>
      </w:pPr>
      <w:r w:rsidRPr="00BE446A">
        <w:rPr>
          <w:rFonts w:ascii="Times New Roman" w:hAnsi="Times New Roman"/>
          <w:b/>
          <w:bCs/>
        </w:rPr>
        <w:t>Paragraph 10</w:t>
      </w:r>
    </w:p>
    <w:p w14:paraId="44C8A70A" w14:textId="2DA229C5" w:rsidR="00FD787B" w:rsidRPr="00BE446A" w:rsidRDefault="1150D75F">
      <w:pPr>
        <w:widowControl w:val="0"/>
        <w:spacing w:after="120"/>
        <w:rPr>
          <w:rFonts w:ascii="Times New Roman" w:hAnsi="Times New Roman"/>
        </w:rPr>
      </w:pPr>
      <w:r w:rsidRPr="00BE446A">
        <w:rPr>
          <w:rFonts w:ascii="Times New Roman" w:hAnsi="Times New Roman"/>
        </w:rPr>
        <w:t xml:space="preserve">In line with Protocol </w:t>
      </w:r>
      <w:r w:rsidR="00BC5F99">
        <w:rPr>
          <w:rFonts w:ascii="Times New Roman" w:hAnsi="Times New Roman"/>
        </w:rPr>
        <w:t xml:space="preserve">No. </w:t>
      </w:r>
      <w:r w:rsidRPr="00BE446A">
        <w:rPr>
          <w:rFonts w:ascii="Times New Roman" w:hAnsi="Times New Roman"/>
        </w:rPr>
        <w:t xml:space="preserve">2 to the Treaties, the Commission </w:t>
      </w:r>
      <w:r w:rsidR="7E3274EC" w:rsidRPr="00BE446A">
        <w:rPr>
          <w:rFonts w:ascii="Times New Roman" w:hAnsi="Times New Roman"/>
        </w:rPr>
        <w:t>take</w:t>
      </w:r>
      <w:r w:rsidR="241C8C4D" w:rsidRPr="00BE446A">
        <w:rPr>
          <w:rFonts w:ascii="Times New Roman" w:hAnsi="Times New Roman"/>
        </w:rPr>
        <w:t>s</w:t>
      </w:r>
      <w:r w:rsidR="7E3274EC" w:rsidRPr="00BE446A">
        <w:rPr>
          <w:rFonts w:ascii="Times New Roman" w:hAnsi="Times New Roman"/>
        </w:rPr>
        <w:t xml:space="preserve"> due account of the reasoned opinions issued by national Parliaments</w:t>
      </w:r>
      <w:r w:rsidR="5F6166E6" w:rsidRPr="00BE446A">
        <w:rPr>
          <w:rFonts w:ascii="Times New Roman" w:hAnsi="Times New Roman"/>
        </w:rPr>
        <w:t xml:space="preserve"> individually and in conjunction</w:t>
      </w:r>
      <w:r w:rsidR="2B5A893C" w:rsidRPr="00BE446A">
        <w:rPr>
          <w:rFonts w:ascii="Times New Roman" w:hAnsi="Times New Roman"/>
        </w:rPr>
        <w:t xml:space="preserve"> with reasoned opinions by other national Parliaments on the same Commission proposal. </w:t>
      </w:r>
      <w:r w:rsidR="26A5E64F" w:rsidRPr="00BE446A">
        <w:rPr>
          <w:rFonts w:ascii="Times New Roman" w:hAnsi="Times New Roman"/>
        </w:rPr>
        <w:t>If a Commission proposal raised subsidiarity concerns of a significant number (equ</w:t>
      </w:r>
      <w:r w:rsidR="00BC5F99">
        <w:rPr>
          <w:rFonts w:ascii="Times New Roman" w:hAnsi="Times New Roman"/>
        </w:rPr>
        <w:t>ivalent</w:t>
      </w:r>
      <w:r w:rsidR="26A5E64F" w:rsidRPr="00BE446A">
        <w:rPr>
          <w:rFonts w:ascii="Times New Roman" w:hAnsi="Times New Roman"/>
        </w:rPr>
        <w:t xml:space="preserve"> to seven votes) of national Parliaments, even without reaching the formal threshold for triggering a yellow card</w:t>
      </w:r>
      <w:r w:rsidR="5D838F88" w:rsidRPr="00BE446A">
        <w:rPr>
          <w:rFonts w:ascii="Times New Roman" w:hAnsi="Times New Roman"/>
        </w:rPr>
        <w:t>, t</w:t>
      </w:r>
      <w:r w:rsidR="26A5E64F" w:rsidRPr="00BE446A">
        <w:rPr>
          <w:rFonts w:ascii="Times New Roman" w:hAnsi="Times New Roman"/>
        </w:rPr>
        <w:t>he Com</w:t>
      </w:r>
      <w:r w:rsidR="30A2D1E5" w:rsidRPr="00BE446A">
        <w:rPr>
          <w:rFonts w:ascii="Times New Roman" w:hAnsi="Times New Roman"/>
        </w:rPr>
        <w:t>mission will produce aggregate responses to national Parliaments, reflecting</w:t>
      </w:r>
      <w:r w:rsidR="7A4D36D8" w:rsidRPr="00BE446A">
        <w:rPr>
          <w:rFonts w:ascii="Times New Roman" w:hAnsi="Times New Roman"/>
        </w:rPr>
        <w:t xml:space="preserve"> and replying to</w:t>
      </w:r>
      <w:r w:rsidR="30A2D1E5" w:rsidRPr="00BE446A">
        <w:rPr>
          <w:rFonts w:ascii="Times New Roman" w:hAnsi="Times New Roman"/>
        </w:rPr>
        <w:t xml:space="preserve"> t</w:t>
      </w:r>
      <w:r w:rsidR="120824DE" w:rsidRPr="00BE446A">
        <w:rPr>
          <w:rFonts w:ascii="Times New Roman" w:hAnsi="Times New Roman"/>
        </w:rPr>
        <w:t xml:space="preserve">heir concerns </w:t>
      </w:r>
      <w:r w:rsidR="246DDC9E" w:rsidRPr="00BE446A">
        <w:rPr>
          <w:rFonts w:ascii="Times New Roman" w:hAnsi="Times New Roman"/>
        </w:rPr>
        <w:t xml:space="preserve">in </w:t>
      </w:r>
      <w:r w:rsidR="22428482" w:rsidRPr="00BE446A">
        <w:rPr>
          <w:rFonts w:ascii="Times New Roman" w:hAnsi="Times New Roman"/>
        </w:rPr>
        <w:t>a</w:t>
      </w:r>
      <w:r w:rsidR="246DDC9E" w:rsidRPr="00BE446A">
        <w:rPr>
          <w:rFonts w:ascii="Times New Roman" w:hAnsi="Times New Roman"/>
        </w:rPr>
        <w:t xml:space="preserve"> comprehensive manner. </w:t>
      </w:r>
    </w:p>
    <w:p w14:paraId="1DF9DD70" w14:textId="634A5F14" w:rsidR="005843F7" w:rsidRPr="00BE446A" w:rsidRDefault="023F4158" w:rsidP="5F99EEA0">
      <w:pPr>
        <w:widowControl w:val="0"/>
        <w:spacing w:after="120"/>
        <w:rPr>
          <w:rFonts w:ascii="Times New Roman" w:hAnsi="Times New Roman"/>
        </w:rPr>
      </w:pPr>
      <w:r w:rsidRPr="00BE446A">
        <w:rPr>
          <w:rFonts w:ascii="Times New Roman" w:hAnsi="Times New Roman"/>
        </w:rPr>
        <w:t xml:space="preserve">Each reasoned opinion or opinion received under the political dialogue with national Parliaments is for the Commission an important source of information </w:t>
      </w:r>
      <w:r w:rsidR="7D41EBE0" w:rsidRPr="00BE446A">
        <w:rPr>
          <w:rFonts w:ascii="Times New Roman" w:hAnsi="Times New Roman"/>
        </w:rPr>
        <w:t xml:space="preserve">about the perception of its legislative proposals in the Member States and about relevant </w:t>
      </w:r>
      <w:r w:rsidR="3D4C33B2" w:rsidRPr="00BE446A">
        <w:rPr>
          <w:rFonts w:ascii="Times New Roman" w:hAnsi="Times New Roman"/>
        </w:rPr>
        <w:t>national specificities</w:t>
      </w:r>
      <w:r w:rsidR="26E2E851" w:rsidRPr="00BE446A">
        <w:rPr>
          <w:rFonts w:ascii="Times New Roman" w:hAnsi="Times New Roman"/>
        </w:rPr>
        <w:t xml:space="preserve">. National Parliaments could provide the latter </w:t>
      </w:r>
      <w:r w:rsidR="1FE468B0" w:rsidRPr="00BE446A">
        <w:rPr>
          <w:rFonts w:ascii="Times New Roman" w:hAnsi="Times New Roman"/>
        </w:rPr>
        <w:t xml:space="preserve">most </w:t>
      </w:r>
      <w:r w:rsidR="3D4C33B2" w:rsidRPr="00BE446A">
        <w:rPr>
          <w:rFonts w:ascii="Times New Roman" w:hAnsi="Times New Roman"/>
        </w:rPr>
        <w:t xml:space="preserve">effectively </w:t>
      </w:r>
      <w:r w:rsidR="33C6AADA" w:rsidRPr="00BE446A">
        <w:rPr>
          <w:rFonts w:ascii="Times New Roman" w:hAnsi="Times New Roman"/>
        </w:rPr>
        <w:t xml:space="preserve">already </w:t>
      </w:r>
      <w:r w:rsidR="3D4C33B2" w:rsidRPr="00BE446A">
        <w:rPr>
          <w:rFonts w:ascii="Times New Roman" w:hAnsi="Times New Roman"/>
        </w:rPr>
        <w:t xml:space="preserve">during </w:t>
      </w:r>
      <w:r w:rsidR="5A1CE0F2" w:rsidRPr="00BE446A">
        <w:rPr>
          <w:rFonts w:ascii="Times New Roman" w:hAnsi="Times New Roman"/>
        </w:rPr>
        <w:t>the Commission’s public consultation on each legislative proposal</w:t>
      </w:r>
      <w:r w:rsidR="7E3274EC" w:rsidRPr="00BE446A">
        <w:rPr>
          <w:rFonts w:ascii="Times New Roman" w:hAnsi="Times New Roman"/>
        </w:rPr>
        <w:t xml:space="preserve">. The replies </w:t>
      </w:r>
      <w:r w:rsidR="496BD42D" w:rsidRPr="00BE446A">
        <w:rPr>
          <w:rFonts w:ascii="Times New Roman" w:hAnsi="Times New Roman"/>
        </w:rPr>
        <w:t xml:space="preserve">of the Commission </w:t>
      </w:r>
      <w:r w:rsidR="7E3274EC" w:rsidRPr="00BE446A">
        <w:rPr>
          <w:rFonts w:ascii="Times New Roman" w:hAnsi="Times New Roman"/>
        </w:rPr>
        <w:t xml:space="preserve">to </w:t>
      </w:r>
      <w:r w:rsidR="26295919" w:rsidRPr="00BE446A">
        <w:rPr>
          <w:rFonts w:ascii="Times New Roman" w:hAnsi="Times New Roman"/>
        </w:rPr>
        <w:t xml:space="preserve">each </w:t>
      </w:r>
      <w:r w:rsidR="7E3274EC" w:rsidRPr="00BE446A">
        <w:rPr>
          <w:rFonts w:ascii="Times New Roman" w:hAnsi="Times New Roman"/>
        </w:rPr>
        <w:t xml:space="preserve">opinion issued by national Parliaments </w:t>
      </w:r>
      <w:r w:rsidR="132BC815" w:rsidRPr="00BE446A">
        <w:rPr>
          <w:rFonts w:ascii="Times New Roman" w:hAnsi="Times New Roman"/>
        </w:rPr>
        <w:t xml:space="preserve">are always considered and adopted by the College of Commissioners, in line with the </w:t>
      </w:r>
      <w:r w:rsidR="3D9B8E5B" w:rsidRPr="00BE446A">
        <w:rPr>
          <w:rFonts w:ascii="Times New Roman" w:hAnsi="Times New Roman"/>
        </w:rPr>
        <w:t>collegiality principle</w:t>
      </w:r>
      <w:r w:rsidR="132BC815" w:rsidRPr="00BE446A">
        <w:rPr>
          <w:rFonts w:ascii="Times New Roman" w:hAnsi="Times New Roman"/>
        </w:rPr>
        <w:t xml:space="preserve"> of </w:t>
      </w:r>
      <w:r w:rsidR="3D9B8E5B" w:rsidRPr="00BE446A">
        <w:rPr>
          <w:rFonts w:ascii="Times New Roman" w:hAnsi="Times New Roman"/>
        </w:rPr>
        <w:t xml:space="preserve">the </w:t>
      </w:r>
      <w:r w:rsidR="132BC815" w:rsidRPr="00BE446A">
        <w:rPr>
          <w:rFonts w:ascii="Times New Roman" w:hAnsi="Times New Roman"/>
        </w:rPr>
        <w:t xml:space="preserve">Commission’s </w:t>
      </w:r>
      <w:r w:rsidR="24AC4D42" w:rsidRPr="00BE446A">
        <w:rPr>
          <w:rFonts w:ascii="Times New Roman" w:hAnsi="Times New Roman"/>
        </w:rPr>
        <w:t>decision making</w:t>
      </w:r>
      <w:r w:rsidR="187CDCEE" w:rsidRPr="00BE446A">
        <w:rPr>
          <w:rFonts w:ascii="Times New Roman" w:hAnsi="Times New Roman"/>
        </w:rPr>
        <w:t xml:space="preserve">. </w:t>
      </w:r>
      <w:r w:rsidR="1388AAF4" w:rsidRPr="00BE446A">
        <w:rPr>
          <w:rFonts w:ascii="Times New Roman" w:hAnsi="Times New Roman"/>
        </w:rPr>
        <w:t>The Treaties (Protocol No. 2, Art. 6</w:t>
      </w:r>
      <w:r w:rsidR="00BC5F99">
        <w:rPr>
          <w:rFonts w:ascii="Times New Roman" w:hAnsi="Times New Roman"/>
        </w:rPr>
        <w:t>)</w:t>
      </w:r>
      <w:r w:rsidR="1388AAF4" w:rsidRPr="00BE446A">
        <w:rPr>
          <w:rFonts w:ascii="Times New Roman" w:hAnsi="Times New Roman"/>
        </w:rPr>
        <w:t xml:space="preserve">, offer national Parliaments the possibility to send their reasoned opinions at the same time to the Presidents of the European Parliament, the Council and the Commission. In the legislative procedure it may be more efficient - and more directly effective - for the co-legislators to </w:t>
      </w:r>
      <w:r w:rsidR="00EB2F3A" w:rsidRPr="00BE446A">
        <w:rPr>
          <w:rFonts w:ascii="Times New Roman" w:hAnsi="Times New Roman"/>
        </w:rPr>
        <w:t xml:space="preserve">consider </w:t>
      </w:r>
      <w:r w:rsidR="1388AAF4" w:rsidRPr="00BE446A">
        <w:rPr>
          <w:rFonts w:ascii="Times New Roman" w:hAnsi="Times New Roman"/>
        </w:rPr>
        <w:t>the reasoned opinions than for the Commission to formally alter its proposal</w:t>
      </w:r>
      <w:r w:rsidR="00361A7D" w:rsidRPr="00BE446A">
        <w:rPr>
          <w:rFonts w:ascii="Times New Roman" w:hAnsi="Times New Roman"/>
        </w:rPr>
        <w:t>.</w:t>
      </w:r>
    </w:p>
    <w:p w14:paraId="3724683D" w14:textId="03D7255C" w:rsidR="000F725C" w:rsidRPr="00BE446A" w:rsidRDefault="000F725C" w:rsidP="18E2B03F">
      <w:pPr>
        <w:widowControl w:val="0"/>
        <w:spacing w:after="120"/>
        <w:rPr>
          <w:rFonts w:ascii="Times New Roman" w:hAnsi="Times New Roman"/>
          <w:b/>
          <w:bCs/>
          <w:szCs w:val="24"/>
        </w:rPr>
      </w:pPr>
      <w:r w:rsidRPr="00BE446A">
        <w:rPr>
          <w:rFonts w:ascii="Times New Roman" w:hAnsi="Times New Roman"/>
          <w:b/>
          <w:bCs/>
          <w:szCs w:val="24"/>
        </w:rPr>
        <w:t>Paragraph 13</w:t>
      </w:r>
    </w:p>
    <w:p w14:paraId="4281B591" w14:textId="7F10698B" w:rsidR="000F725C" w:rsidRPr="00BE446A" w:rsidRDefault="00541124" w:rsidP="18E2B03F">
      <w:pPr>
        <w:widowControl w:val="0"/>
        <w:spacing w:after="120"/>
        <w:rPr>
          <w:rFonts w:ascii="Times New Roman" w:hAnsi="Times New Roman"/>
          <w:szCs w:val="24"/>
        </w:rPr>
      </w:pPr>
      <w:r w:rsidRPr="00BE446A">
        <w:rPr>
          <w:rFonts w:ascii="Times New Roman" w:hAnsi="Times New Roman"/>
        </w:rPr>
        <w:t>The Commission shares the objective to reinforce the dialogue with national Parliaments. The Commission has taken important steps to provide information relevant for national Parliaments’ subsidiarity checks. It for example improved its portal publishing the opinions of national Parliaments and the Commission replies to them</w:t>
      </w:r>
      <w:r w:rsidRPr="00BE446A">
        <w:rPr>
          <w:rFonts w:ascii="Times New Roman" w:hAnsi="Times New Roman"/>
          <w:vertAlign w:val="superscript"/>
        </w:rPr>
        <w:footnoteReference w:id="4"/>
      </w:r>
      <w:r w:rsidRPr="00BE446A">
        <w:rPr>
          <w:rFonts w:ascii="Times New Roman" w:hAnsi="Times New Roman"/>
        </w:rPr>
        <w:t xml:space="preserve"> equipping it with better search possibilities which was acknowledged in the</w:t>
      </w:r>
      <w:r w:rsidR="00A8785D" w:rsidRPr="00BE446A">
        <w:rPr>
          <w:rFonts w:ascii="Times New Roman" w:hAnsi="Times New Roman"/>
        </w:rPr>
        <w:t xml:space="preserve"> resolution</w:t>
      </w:r>
      <w:r w:rsidR="00840B96" w:rsidRPr="00BE446A">
        <w:rPr>
          <w:rFonts w:ascii="Times New Roman" w:hAnsi="Times New Roman"/>
        </w:rPr>
        <w:t xml:space="preserve"> of the European Parliament</w:t>
      </w:r>
      <w:r w:rsidRPr="00BE446A">
        <w:rPr>
          <w:rFonts w:ascii="Times New Roman" w:hAnsi="Times New Roman"/>
        </w:rPr>
        <w:t>. All Commission documents sent to national Parliaments are also being transmitted to the IPEX platform dedicated to the parliamentary information exchange and hosted at the European Parliament</w:t>
      </w:r>
      <w:r w:rsidR="00E868FD" w:rsidRPr="00BE446A">
        <w:rPr>
          <w:rFonts w:ascii="Times New Roman" w:hAnsi="Times New Roman"/>
        </w:rPr>
        <w:t>.</w:t>
      </w:r>
    </w:p>
    <w:p w14:paraId="2755EDFC" w14:textId="381474BB" w:rsidR="00BC583B" w:rsidRPr="00BE446A" w:rsidRDefault="00BC583B" w:rsidP="00BC583B">
      <w:pPr>
        <w:widowControl w:val="0"/>
        <w:spacing w:after="120"/>
        <w:rPr>
          <w:rFonts w:ascii="Times New Roman" w:hAnsi="Times New Roman"/>
          <w:b/>
          <w:bCs/>
          <w:szCs w:val="24"/>
        </w:rPr>
      </w:pPr>
      <w:bookmarkStart w:id="3" w:name="_Hlk216368968"/>
      <w:bookmarkStart w:id="4" w:name="_Hlk216368935"/>
      <w:bookmarkEnd w:id="2"/>
      <w:r w:rsidRPr="00BE446A">
        <w:rPr>
          <w:rFonts w:ascii="Times New Roman" w:hAnsi="Times New Roman"/>
          <w:b/>
          <w:bCs/>
          <w:szCs w:val="24"/>
        </w:rPr>
        <w:t>P</w:t>
      </w:r>
      <w:r w:rsidR="00C402EE" w:rsidRPr="00BE446A">
        <w:rPr>
          <w:rFonts w:ascii="Times New Roman" w:hAnsi="Times New Roman"/>
          <w:b/>
          <w:bCs/>
          <w:szCs w:val="24"/>
        </w:rPr>
        <w:t>aragraph</w:t>
      </w:r>
      <w:r w:rsidRPr="00BE446A">
        <w:rPr>
          <w:rFonts w:ascii="Times New Roman" w:hAnsi="Times New Roman"/>
          <w:b/>
          <w:bCs/>
          <w:szCs w:val="24"/>
        </w:rPr>
        <w:t xml:space="preserve"> 14 </w:t>
      </w:r>
    </w:p>
    <w:p w14:paraId="207CDC58" w14:textId="412929F5" w:rsidR="00BC583B" w:rsidRPr="00BE446A" w:rsidRDefault="00521BCB" w:rsidP="5F99EEA0">
      <w:pPr>
        <w:widowControl w:val="0"/>
        <w:spacing w:after="120"/>
        <w:rPr>
          <w:rFonts w:ascii="Times New Roman" w:hAnsi="Times New Roman"/>
        </w:rPr>
      </w:pPr>
      <w:r w:rsidRPr="00BE446A">
        <w:rPr>
          <w:rFonts w:ascii="Times New Roman" w:hAnsi="Times New Roman"/>
        </w:rPr>
        <w:t xml:space="preserve">The subsidiarity analysis is fully mainstreamed in the Commission’s decision-making process. There is relevant analysis in the impact assessments supporting legislative proposals, which is also referenced in the explanatory memoranda of the proposals. The interinstitutional agreement on better law making clearly acknowledges that each </w:t>
      </w:r>
      <w:r w:rsidR="00246631" w:rsidRPr="00BE446A">
        <w:rPr>
          <w:rFonts w:ascii="Times New Roman" w:hAnsi="Times New Roman"/>
        </w:rPr>
        <w:t>i</w:t>
      </w:r>
      <w:r w:rsidRPr="00BE446A">
        <w:rPr>
          <w:rFonts w:ascii="Times New Roman" w:hAnsi="Times New Roman"/>
        </w:rPr>
        <w:t xml:space="preserve">nstitution organises its better regulation activities. An assessment of subsidiarity following interinstitutional negotiations would hence fall under the responsibility of the co-legislators. Article 15 of the </w:t>
      </w:r>
      <w:r w:rsidR="00246631" w:rsidRPr="00BE446A">
        <w:rPr>
          <w:rFonts w:ascii="Times New Roman" w:hAnsi="Times New Roman"/>
        </w:rPr>
        <w:t>A</w:t>
      </w:r>
      <w:r w:rsidRPr="00BE446A">
        <w:rPr>
          <w:rFonts w:ascii="Times New Roman" w:hAnsi="Times New Roman"/>
        </w:rPr>
        <w:t xml:space="preserve">greement </w:t>
      </w:r>
      <w:r w:rsidRPr="00BE446A">
        <w:rPr>
          <w:rFonts w:ascii="Times New Roman" w:hAnsi="Times New Roman"/>
        </w:rPr>
        <w:lastRenderedPageBreak/>
        <w:t xml:space="preserve">notes that the European Parliament and the Council will, when they consider this to be appropriate and necessary for the legislative process, carry out impact assessments in relation to their substantial amendments to the Commission's proposal. </w:t>
      </w:r>
      <w:r w:rsidR="63823E13" w:rsidRPr="00BE446A">
        <w:rPr>
          <w:rFonts w:ascii="Times New Roman" w:hAnsi="Times New Roman"/>
        </w:rPr>
        <w:t xml:space="preserve">The Commission </w:t>
      </w:r>
      <w:r w:rsidR="00ED6351" w:rsidRPr="00BE446A">
        <w:rPr>
          <w:rFonts w:ascii="Times New Roman" w:hAnsi="Times New Roman"/>
        </w:rPr>
        <w:t xml:space="preserve">suggests </w:t>
      </w:r>
      <w:r w:rsidR="7F0D1E25" w:rsidRPr="00BE446A">
        <w:rPr>
          <w:rFonts w:ascii="Times New Roman" w:hAnsi="Times New Roman"/>
        </w:rPr>
        <w:t>working</w:t>
      </w:r>
      <w:r w:rsidR="00ED6351" w:rsidRPr="00BE446A">
        <w:rPr>
          <w:rFonts w:ascii="Times New Roman" w:hAnsi="Times New Roman"/>
        </w:rPr>
        <w:t xml:space="preserve"> on the basis of a simple </w:t>
      </w:r>
      <w:r w:rsidR="003A2A88" w:rsidRPr="00BE446A">
        <w:rPr>
          <w:rFonts w:ascii="Times New Roman" w:hAnsi="Times New Roman"/>
        </w:rPr>
        <w:t xml:space="preserve">and </w:t>
      </w:r>
      <w:r w:rsidR="63823E13" w:rsidRPr="00BE446A">
        <w:rPr>
          <w:rFonts w:ascii="Times New Roman" w:hAnsi="Times New Roman"/>
        </w:rPr>
        <w:t>common approach to facilitate such assessments</w:t>
      </w:r>
      <w:r w:rsidR="003A2A88" w:rsidRPr="00BE446A">
        <w:rPr>
          <w:rFonts w:ascii="Times New Roman" w:hAnsi="Times New Roman"/>
        </w:rPr>
        <w:t xml:space="preserve"> to be performed by each institution</w:t>
      </w:r>
      <w:r w:rsidR="63823E13" w:rsidRPr="00BE446A">
        <w:rPr>
          <w:rFonts w:ascii="Times New Roman" w:hAnsi="Times New Roman"/>
        </w:rPr>
        <w:t xml:space="preserve">. </w:t>
      </w:r>
      <w:r w:rsidRPr="00BE446A">
        <w:rPr>
          <w:rFonts w:ascii="Times New Roman" w:hAnsi="Times New Roman"/>
        </w:rPr>
        <w:t>The Commission will assess EU added value in the context of the interim and/or ex</w:t>
      </w:r>
      <w:r w:rsidR="00BC5F99">
        <w:rPr>
          <w:rFonts w:ascii="Times New Roman" w:hAnsi="Times New Roman"/>
        </w:rPr>
        <w:t xml:space="preserve"> </w:t>
      </w:r>
      <w:r w:rsidRPr="00BE446A">
        <w:rPr>
          <w:rFonts w:ascii="Times New Roman" w:hAnsi="Times New Roman"/>
        </w:rPr>
        <w:t>post evaluation of the legislation.</w:t>
      </w:r>
    </w:p>
    <w:p w14:paraId="7EAE2D82" w14:textId="47CDCB01" w:rsidR="00BC583B" w:rsidRPr="00BE446A" w:rsidRDefault="00311D19" w:rsidP="00BC583B">
      <w:pPr>
        <w:widowControl w:val="0"/>
        <w:spacing w:after="120"/>
        <w:rPr>
          <w:rFonts w:ascii="Times New Roman" w:hAnsi="Times New Roman"/>
          <w:b/>
          <w:bCs/>
          <w:szCs w:val="24"/>
        </w:rPr>
      </w:pPr>
      <w:bookmarkStart w:id="5" w:name="_Hlk216694815"/>
      <w:bookmarkEnd w:id="3"/>
      <w:r w:rsidRPr="00BE446A">
        <w:rPr>
          <w:rFonts w:ascii="Times New Roman" w:hAnsi="Times New Roman"/>
          <w:b/>
          <w:bCs/>
          <w:szCs w:val="24"/>
        </w:rPr>
        <w:t>Paragraph 15</w:t>
      </w:r>
    </w:p>
    <w:p w14:paraId="5A3A1737" w14:textId="68FFD492" w:rsidR="001B774A" w:rsidRPr="00BE446A" w:rsidRDefault="00311D19" w:rsidP="5F99EEA0">
      <w:pPr>
        <w:widowControl w:val="0"/>
        <w:spacing w:after="120"/>
        <w:rPr>
          <w:rFonts w:ascii="Times New Roman" w:hAnsi="Times New Roman"/>
        </w:rPr>
      </w:pPr>
      <w:r w:rsidRPr="00BE446A">
        <w:rPr>
          <w:rFonts w:ascii="Times New Roman" w:hAnsi="Times New Roman"/>
        </w:rPr>
        <w:t xml:space="preserve">The Commission </w:t>
      </w:r>
      <w:bookmarkEnd w:id="5"/>
      <w:r w:rsidRPr="00BE446A">
        <w:rPr>
          <w:rFonts w:ascii="Times New Roman" w:hAnsi="Times New Roman"/>
        </w:rPr>
        <w:t>very much appreciates the active engagement of national Parliaments in the framework of the political dialogue with the Commission. It encourages national Parliaments to engage earlier in the process by participati</w:t>
      </w:r>
      <w:r w:rsidR="00155E0E" w:rsidRPr="00BE446A">
        <w:rPr>
          <w:rFonts w:ascii="Times New Roman" w:hAnsi="Times New Roman"/>
        </w:rPr>
        <w:t>ng</w:t>
      </w:r>
      <w:r w:rsidRPr="00BE446A">
        <w:rPr>
          <w:rFonts w:ascii="Times New Roman" w:hAnsi="Times New Roman"/>
        </w:rPr>
        <w:t xml:space="preserve"> in the Commission</w:t>
      </w:r>
      <w:r w:rsidR="00BC5F99">
        <w:rPr>
          <w:rFonts w:ascii="Times New Roman" w:hAnsi="Times New Roman"/>
        </w:rPr>
        <w:t>’</w:t>
      </w:r>
      <w:r w:rsidRPr="00BE446A">
        <w:rPr>
          <w:rFonts w:ascii="Times New Roman" w:hAnsi="Times New Roman"/>
        </w:rPr>
        <w:t xml:space="preserve">s consultations, </w:t>
      </w:r>
      <w:r w:rsidR="192408D8" w:rsidRPr="00BE446A">
        <w:rPr>
          <w:rFonts w:ascii="Times New Roman" w:hAnsi="Times New Roman"/>
        </w:rPr>
        <w:t>a</w:t>
      </w:r>
      <w:r w:rsidR="03D0D40F" w:rsidRPr="00BE446A">
        <w:rPr>
          <w:rFonts w:ascii="Times New Roman" w:hAnsi="Times New Roman"/>
        </w:rPr>
        <w:t xml:space="preserve">nd </w:t>
      </w:r>
      <w:r w:rsidR="00155E0E" w:rsidRPr="00BE446A">
        <w:rPr>
          <w:rFonts w:ascii="Times New Roman" w:hAnsi="Times New Roman"/>
        </w:rPr>
        <w:t xml:space="preserve">to </w:t>
      </w:r>
      <w:r w:rsidR="03D0D40F" w:rsidRPr="00BE446A">
        <w:rPr>
          <w:rFonts w:ascii="Times New Roman" w:hAnsi="Times New Roman"/>
        </w:rPr>
        <w:t>us</w:t>
      </w:r>
      <w:r w:rsidR="00155E0E" w:rsidRPr="00BE446A">
        <w:rPr>
          <w:rFonts w:ascii="Times New Roman" w:hAnsi="Times New Roman"/>
        </w:rPr>
        <w:t>e</w:t>
      </w:r>
      <w:r w:rsidR="03D0D40F" w:rsidRPr="00BE446A">
        <w:rPr>
          <w:rFonts w:ascii="Times New Roman" w:hAnsi="Times New Roman"/>
        </w:rPr>
        <w:t xml:space="preserve"> the political dialogue with the Commission to </w:t>
      </w:r>
      <w:r w:rsidRPr="00BE446A">
        <w:rPr>
          <w:rFonts w:ascii="Times New Roman" w:hAnsi="Times New Roman"/>
        </w:rPr>
        <w:t>provid</w:t>
      </w:r>
      <w:r w:rsidR="43F50D22" w:rsidRPr="00BE446A">
        <w:rPr>
          <w:rFonts w:ascii="Times New Roman" w:hAnsi="Times New Roman"/>
        </w:rPr>
        <w:t>e</w:t>
      </w:r>
      <w:r w:rsidRPr="00BE446A">
        <w:rPr>
          <w:rFonts w:ascii="Times New Roman" w:hAnsi="Times New Roman"/>
        </w:rPr>
        <w:t xml:space="preserve"> forward-looking political input </w:t>
      </w:r>
      <w:r w:rsidR="00155E0E" w:rsidRPr="00BE446A">
        <w:rPr>
          <w:rFonts w:ascii="Times New Roman" w:hAnsi="Times New Roman"/>
        </w:rPr>
        <w:t>on topics that seem relevant to them, preferably but not exclusively related to the policy priorities of the Commission</w:t>
      </w:r>
      <w:r w:rsidR="22859CAC" w:rsidRPr="00BE446A">
        <w:rPr>
          <w:rFonts w:ascii="Times New Roman" w:hAnsi="Times New Roman"/>
        </w:rPr>
        <w:t xml:space="preserve">. </w:t>
      </w:r>
      <w:r w:rsidR="001B774A" w:rsidRPr="00BE446A">
        <w:rPr>
          <w:rFonts w:ascii="Times New Roman" w:hAnsi="Times New Roman"/>
        </w:rPr>
        <w:t xml:space="preserve">National Parliaments can </w:t>
      </w:r>
      <w:r w:rsidR="3D8271BB" w:rsidRPr="00BE446A">
        <w:rPr>
          <w:rFonts w:ascii="Times New Roman" w:hAnsi="Times New Roman"/>
        </w:rPr>
        <w:t xml:space="preserve">for example </w:t>
      </w:r>
      <w:r w:rsidR="001B774A" w:rsidRPr="00BE446A">
        <w:rPr>
          <w:rFonts w:ascii="Times New Roman" w:hAnsi="Times New Roman"/>
        </w:rPr>
        <w:t xml:space="preserve">annually send their views about the content of the Commission’s annual work programme and </w:t>
      </w:r>
      <w:r w:rsidR="7E776C2D" w:rsidRPr="00BE446A">
        <w:rPr>
          <w:rFonts w:ascii="Times New Roman" w:hAnsi="Times New Roman"/>
        </w:rPr>
        <w:t xml:space="preserve">relate it to </w:t>
      </w:r>
      <w:r w:rsidR="001B774A" w:rsidRPr="00BE446A">
        <w:rPr>
          <w:rFonts w:ascii="Times New Roman" w:hAnsi="Times New Roman"/>
        </w:rPr>
        <w:t>their own priorities. They also have the possibility of sending their input through the ‘Have your say’ portal on legislative proposals and policies under preparation. In practice, the Commission sees more and more national Parliaments using these possibilities.</w:t>
      </w:r>
    </w:p>
    <w:p w14:paraId="7B14D51A" w14:textId="1FC91CD8" w:rsidR="00BC583B" w:rsidRPr="00BE446A" w:rsidRDefault="00BC583B" w:rsidP="00BC583B">
      <w:pPr>
        <w:widowControl w:val="0"/>
        <w:spacing w:after="120"/>
        <w:rPr>
          <w:rFonts w:ascii="Times New Roman" w:hAnsi="Times New Roman"/>
          <w:b/>
          <w:bCs/>
          <w:szCs w:val="24"/>
        </w:rPr>
      </w:pPr>
      <w:r w:rsidRPr="00BE446A">
        <w:rPr>
          <w:rFonts w:ascii="Times New Roman" w:hAnsi="Times New Roman"/>
          <w:b/>
          <w:bCs/>
          <w:szCs w:val="24"/>
        </w:rPr>
        <w:t>P</w:t>
      </w:r>
      <w:r w:rsidR="00C402EE" w:rsidRPr="00BE446A">
        <w:rPr>
          <w:rFonts w:ascii="Times New Roman" w:hAnsi="Times New Roman"/>
          <w:b/>
          <w:bCs/>
          <w:szCs w:val="24"/>
        </w:rPr>
        <w:t>aragraph</w:t>
      </w:r>
      <w:r w:rsidRPr="00BE446A">
        <w:rPr>
          <w:rFonts w:ascii="Times New Roman" w:hAnsi="Times New Roman"/>
          <w:b/>
          <w:bCs/>
          <w:szCs w:val="24"/>
        </w:rPr>
        <w:t xml:space="preserve"> 17 </w:t>
      </w:r>
    </w:p>
    <w:p w14:paraId="5E904655" w14:textId="47A74085" w:rsidR="00BC583B" w:rsidRPr="00BE446A" w:rsidRDefault="00CD4CEA" w:rsidP="13D2897D">
      <w:pPr>
        <w:widowControl w:val="0"/>
        <w:spacing w:after="120"/>
        <w:rPr>
          <w:rFonts w:ascii="Times New Roman" w:hAnsi="Times New Roman"/>
        </w:rPr>
      </w:pPr>
      <w:r w:rsidRPr="00BE446A">
        <w:rPr>
          <w:rFonts w:ascii="Times New Roman" w:hAnsi="Times New Roman"/>
        </w:rPr>
        <w:t>In accordance with the Better Regulation guidelines and ToolBox, the Commission always undertakes a</w:t>
      </w:r>
      <w:r w:rsidR="7F425A1B" w:rsidRPr="00BE446A">
        <w:rPr>
          <w:rFonts w:ascii="Times New Roman" w:hAnsi="Times New Roman"/>
        </w:rPr>
        <w:t>n</w:t>
      </w:r>
      <w:r w:rsidRPr="00BE446A">
        <w:rPr>
          <w:rFonts w:ascii="Times New Roman" w:hAnsi="Times New Roman"/>
        </w:rPr>
        <w:t xml:space="preserve"> impact assessment in view of assessing the efficiency, added-value, effectiveness, relevance, and coherence of creating a new decentralised agency (see in particular ToolBox#47 and the related questions on agencies).</w:t>
      </w:r>
    </w:p>
    <w:p w14:paraId="3C7BFAB7" w14:textId="3BC56BE6" w:rsidR="00BC583B" w:rsidRPr="00BE446A" w:rsidRDefault="00BC583B" w:rsidP="00BC583B">
      <w:pPr>
        <w:widowControl w:val="0"/>
        <w:spacing w:after="120"/>
        <w:rPr>
          <w:rFonts w:ascii="Times New Roman" w:hAnsi="Times New Roman"/>
          <w:b/>
          <w:bCs/>
          <w:szCs w:val="24"/>
        </w:rPr>
      </w:pPr>
      <w:r w:rsidRPr="00BE446A">
        <w:rPr>
          <w:rFonts w:ascii="Times New Roman" w:hAnsi="Times New Roman"/>
          <w:b/>
          <w:bCs/>
          <w:szCs w:val="24"/>
        </w:rPr>
        <w:t>P</w:t>
      </w:r>
      <w:r w:rsidR="00C402EE" w:rsidRPr="00BE446A">
        <w:rPr>
          <w:rFonts w:ascii="Times New Roman" w:hAnsi="Times New Roman"/>
          <w:b/>
          <w:bCs/>
          <w:szCs w:val="24"/>
        </w:rPr>
        <w:t>aragraph</w:t>
      </w:r>
      <w:r w:rsidRPr="00BE446A">
        <w:rPr>
          <w:rFonts w:ascii="Times New Roman" w:hAnsi="Times New Roman"/>
          <w:b/>
          <w:bCs/>
          <w:szCs w:val="24"/>
        </w:rPr>
        <w:t xml:space="preserve"> 19 </w:t>
      </w:r>
    </w:p>
    <w:p w14:paraId="7CF6BFBE" w14:textId="4DDA9A4B" w:rsidR="00BC583B" w:rsidRPr="00BE446A" w:rsidRDefault="00C21D77" w:rsidP="13D2897D">
      <w:pPr>
        <w:widowControl w:val="0"/>
        <w:spacing w:after="120"/>
        <w:rPr>
          <w:rFonts w:ascii="Times New Roman" w:hAnsi="Times New Roman"/>
        </w:rPr>
      </w:pPr>
      <w:r w:rsidRPr="00BE446A">
        <w:rPr>
          <w:rFonts w:ascii="Times New Roman" w:hAnsi="Times New Roman"/>
        </w:rPr>
        <w:t xml:space="preserve">Through the Protocol on Cooperation with the European Committee of </w:t>
      </w:r>
      <w:r w:rsidR="00BC5F99">
        <w:rPr>
          <w:rFonts w:ascii="Times New Roman" w:hAnsi="Times New Roman"/>
        </w:rPr>
        <w:t xml:space="preserve">the </w:t>
      </w:r>
      <w:r w:rsidRPr="00BE446A">
        <w:rPr>
          <w:rFonts w:ascii="Times New Roman" w:hAnsi="Times New Roman"/>
        </w:rPr>
        <w:t xml:space="preserve">Regions, the Commission has committed itself to reply to all the Committee’s opinions, striving to do so within three months. </w:t>
      </w:r>
      <w:r w:rsidR="7C12342A" w:rsidRPr="00BE446A">
        <w:rPr>
          <w:rFonts w:ascii="Times New Roman" w:hAnsi="Times New Roman"/>
        </w:rPr>
        <w:t>At this occasion,</w:t>
      </w:r>
      <w:r w:rsidRPr="00BE446A">
        <w:rPr>
          <w:rFonts w:ascii="Times New Roman" w:hAnsi="Times New Roman"/>
        </w:rPr>
        <w:t xml:space="preserve"> the Commission replies a</w:t>
      </w:r>
      <w:r w:rsidR="29AFB04B" w:rsidRPr="00BE446A">
        <w:rPr>
          <w:rFonts w:ascii="Times New Roman" w:hAnsi="Times New Roman"/>
        </w:rPr>
        <w:t xml:space="preserve">lso </w:t>
      </w:r>
      <w:r w:rsidRPr="00BE446A">
        <w:rPr>
          <w:rFonts w:ascii="Times New Roman" w:hAnsi="Times New Roman"/>
        </w:rPr>
        <w:t xml:space="preserve">to </w:t>
      </w:r>
      <w:r w:rsidR="6DDA9F26" w:rsidRPr="00BE446A">
        <w:rPr>
          <w:rFonts w:ascii="Times New Roman" w:hAnsi="Times New Roman"/>
        </w:rPr>
        <w:t xml:space="preserve">any </w:t>
      </w:r>
      <w:r w:rsidRPr="00BE446A">
        <w:rPr>
          <w:rFonts w:ascii="Times New Roman" w:hAnsi="Times New Roman"/>
        </w:rPr>
        <w:t>subsidiarity concerns expressed by the Committee.</w:t>
      </w:r>
    </w:p>
    <w:bookmarkEnd w:id="4"/>
    <w:p w14:paraId="461DA223" w14:textId="11B260B5" w:rsidR="007354A4" w:rsidRPr="00BE446A" w:rsidRDefault="007354A4" w:rsidP="00BC583B">
      <w:pPr>
        <w:widowControl w:val="0"/>
        <w:spacing w:after="120"/>
        <w:rPr>
          <w:rFonts w:ascii="Times New Roman" w:hAnsi="Times New Roman"/>
          <w:b/>
          <w:bCs/>
          <w:szCs w:val="24"/>
        </w:rPr>
      </w:pPr>
      <w:r w:rsidRPr="00BE446A">
        <w:rPr>
          <w:rFonts w:ascii="Times New Roman" w:hAnsi="Times New Roman"/>
          <w:b/>
          <w:bCs/>
          <w:szCs w:val="24"/>
        </w:rPr>
        <w:t>Paragraph 23</w:t>
      </w:r>
    </w:p>
    <w:p w14:paraId="7CD8BF5D" w14:textId="315C139C" w:rsidR="00666991" w:rsidRPr="00BE446A" w:rsidRDefault="00C53D03" w:rsidP="5F99EEA0">
      <w:pPr>
        <w:widowControl w:val="0"/>
        <w:spacing w:after="120"/>
        <w:rPr>
          <w:rFonts w:ascii="Times New Roman" w:hAnsi="Times New Roman"/>
        </w:rPr>
      </w:pPr>
      <w:r w:rsidRPr="00BE446A">
        <w:rPr>
          <w:rFonts w:ascii="Times New Roman" w:hAnsi="Times New Roman"/>
        </w:rPr>
        <w:t>The extent of national Parliaments’ competence in the E</w:t>
      </w:r>
      <w:r w:rsidR="00BC5F99">
        <w:rPr>
          <w:rFonts w:ascii="Times New Roman" w:hAnsi="Times New Roman"/>
        </w:rPr>
        <w:t>U</w:t>
      </w:r>
      <w:r w:rsidRPr="00BE446A">
        <w:rPr>
          <w:rFonts w:ascii="Times New Roman" w:hAnsi="Times New Roman"/>
        </w:rPr>
        <w:t xml:space="preserve"> governance </w:t>
      </w:r>
      <w:r w:rsidR="007F3F91">
        <w:rPr>
          <w:rFonts w:ascii="Times New Roman" w:hAnsi="Times New Roman"/>
        </w:rPr>
        <w:t xml:space="preserve">is </w:t>
      </w:r>
      <w:r w:rsidRPr="00BE446A">
        <w:rPr>
          <w:rFonts w:ascii="Times New Roman" w:hAnsi="Times New Roman"/>
        </w:rPr>
        <w:t>defined in Art</w:t>
      </w:r>
      <w:r w:rsidR="007F3F91">
        <w:rPr>
          <w:rFonts w:ascii="Times New Roman" w:hAnsi="Times New Roman"/>
        </w:rPr>
        <w:t>icle</w:t>
      </w:r>
      <w:r w:rsidRPr="00BE446A">
        <w:rPr>
          <w:rFonts w:ascii="Times New Roman" w:hAnsi="Times New Roman"/>
        </w:rPr>
        <w:t xml:space="preserve"> 12 of the TEU and Protocols 1 and 2 attached to the Treaties. Moreover, any ideas to reinforce the role of national Parliaments should not make the legislative process more complicated or prolong it nor hamper the institutional balance </w:t>
      </w:r>
      <w:r w:rsidR="68EAF9E9" w:rsidRPr="00BE446A">
        <w:rPr>
          <w:rFonts w:ascii="Times New Roman" w:hAnsi="Times New Roman"/>
        </w:rPr>
        <w:t>at</w:t>
      </w:r>
      <w:r w:rsidRPr="00BE446A">
        <w:rPr>
          <w:rFonts w:ascii="Times New Roman" w:hAnsi="Times New Roman"/>
        </w:rPr>
        <w:t xml:space="preserve"> EU level</w:t>
      </w:r>
      <w:r w:rsidR="60A1BDD7" w:rsidRPr="00BE446A">
        <w:rPr>
          <w:rFonts w:ascii="Times New Roman" w:hAnsi="Times New Roman"/>
        </w:rPr>
        <w:t>.</w:t>
      </w:r>
    </w:p>
    <w:p w14:paraId="6BA1A913" w14:textId="695C3F7C" w:rsidR="007354A4" w:rsidRPr="00BE446A" w:rsidRDefault="00133232" w:rsidP="00BC583B">
      <w:pPr>
        <w:widowControl w:val="0"/>
        <w:spacing w:after="120"/>
        <w:rPr>
          <w:rFonts w:ascii="Times New Roman" w:hAnsi="Times New Roman"/>
          <w:szCs w:val="24"/>
        </w:rPr>
      </w:pPr>
      <w:r w:rsidRPr="00BE446A">
        <w:rPr>
          <w:rFonts w:ascii="Times New Roman" w:hAnsi="Times New Roman"/>
          <w:szCs w:val="24"/>
        </w:rPr>
        <w:t>The Commission believes that the political dialogue with national Parliaments still bears great potential for addressing current and future challenges, and it stands ready to strengthen this dialogue through the established channels of communication and cooperation to facilitate national Parliaments’ input to and feedback on the Commission’s political and legislative initiatives</w:t>
      </w:r>
    </w:p>
    <w:p w14:paraId="6BFAE1E2" w14:textId="0A71A281" w:rsidR="00BC583B" w:rsidRPr="00BE446A" w:rsidRDefault="00BC583B" w:rsidP="00BC583B">
      <w:pPr>
        <w:widowControl w:val="0"/>
        <w:spacing w:after="120"/>
        <w:rPr>
          <w:rFonts w:ascii="Times New Roman" w:hAnsi="Times New Roman"/>
          <w:b/>
          <w:bCs/>
          <w:szCs w:val="24"/>
        </w:rPr>
      </w:pPr>
      <w:r w:rsidRPr="00BE446A">
        <w:rPr>
          <w:rFonts w:ascii="Times New Roman" w:hAnsi="Times New Roman"/>
          <w:b/>
          <w:bCs/>
          <w:szCs w:val="24"/>
        </w:rPr>
        <w:t>P</w:t>
      </w:r>
      <w:r w:rsidR="00A77D34" w:rsidRPr="00BE446A">
        <w:rPr>
          <w:rFonts w:ascii="Times New Roman" w:hAnsi="Times New Roman"/>
          <w:b/>
          <w:bCs/>
          <w:szCs w:val="24"/>
        </w:rPr>
        <w:t>aragraph</w:t>
      </w:r>
      <w:r w:rsidRPr="00BE446A">
        <w:rPr>
          <w:rFonts w:ascii="Times New Roman" w:hAnsi="Times New Roman"/>
          <w:b/>
          <w:bCs/>
          <w:szCs w:val="24"/>
        </w:rPr>
        <w:t xml:space="preserve"> 28</w:t>
      </w:r>
    </w:p>
    <w:p w14:paraId="2E6AFB81" w14:textId="5A654BAE" w:rsidR="00E90F15" w:rsidRPr="00BE446A" w:rsidRDefault="00E90F15" w:rsidP="5F99EEA0">
      <w:pPr>
        <w:widowControl w:val="0"/>
        <w:spacing w:after="120"/>
        <w:rPr>
          <w:rFonts w:ascii="Times New Roman" w:hAnsi="Times New Roman"/>
        </w:rPr>
      </w:pPr>
      <w:r w:rsidRPr="00BE446A">
        <w:rPr>
          <w:rFonts w:ascii="Times New Roman" w:hAnsi="Times New Roman"/>
        </w:rPr>
        <w:t>Consulting stakeholders is important to collect information for evidence-based policymaking. All Commission impact assessments invite stakeholders and the public to a)</w:t>
      </w:r>
      <w:r w:rsidR="007244ED">
        <w:rPr>
          <w:rFonts w:ascii="Times New Roman" w:hAnsi="Times New Roman"/>
        </w:rPr>
        <w:t xml:space="preserve"> </w:t>
      </w:r>
      <w:r w:rsidRPr="00BE446A">
        <w:rPr>
          <w:rFonts w:ascii="Times New Roman" w:hAnsi="Times New Roman"/>
        </w:rPr>
        <w:t xml:space="preserve">give their feedback on the ‘call for evidence’ document, which explains the Commission’s understanding of the problem and possible solutions, and to b) respond to a public consultation questionnaire to share their views and any relevant information they may have. A synopsis report, annexed to all impact assessments, summarises the results of all consultation activities in relation to a particular initiative and gives both a qualitative and a quantitative </w:t>
      </w:r>
      <w:r w:rsidRPr="00BE446A">
        <w:rPr>
          <w:rFonts w:ascii="Times New Roman" w:hAnsi="Times New Roman"/>
        </w:rPr>
        <w:lastRenderedPageBreak/>
        <w:t xml:space="preserve">analytical overview of these results. Contributions from different types of stakeholders (local, regional and national authorities, associations, civil society, businesses of different sizes, the scientific community and individuals) are distinguished from each other and presented. </w:t>
      </w:r>
    </w:p>
    <w:p w14:paraId="593F4905" w14:textId="77777777" w:rsidR="00E90F15" w:rsidRPr="00BE446A" w:rsidRDefault="00E90F15" w:rsidP="00E90F15">
      <w:pPr>
        <w:widowControl w:val="0"/>
        <w:spacing w:after="120"/>
        <w:rPr>
          <w:rFonts w:ascii="Times New Roman" w:hAnsi="Times New Roman"/>
          <w:szCs w:val="24"/>
        </w:rPr>
      </w:pPr>
      <w:r w:rsidRPr="00BE446A">
        <w:rPr>
          <w:rFonts w:ascii="Times New Roman" w:hAnsi="Times New Roman"/>
          <w:szCs w:val="24"/>
        </w:rPr>
        <w:t xml:space="preserve">The Commission has also introduced two new consultation tools - reality checks and implementation dialogues - to ensure that stakeholders’ needs remain central to the EU legislation preparation. </w:t>
      </w:r>
    </w:p>
    <w:p w14:paraId="6BE137C1" w14:textId="7B153809" w:rsidR="00E90F15" w:rsidRPr="00BE446A" w:rsidRDefault="00E90F15" w:rsidP="00E90F15">
      <w:pPr>
        <w:widowControl w:val="0"/>
        <w:spacing w:after="120"/>
        <w:rPr>
          <w:rFonts w:ascii="Times New Roman" w:hAnsi="Times New Roman"/>
          <w:szCs w:val="24"/>
        </w:rPr>
      </w:pPr>
      <w:r w:rsidRPr="00BE446A">
        <w:rPr>
          <w:rFonts w:ascii="Times New Roman" w:hAnsi="Times New Roman"/>
        </w:rPr>
        <w:t xml:space="preserve">Implementation dialogues are high-level political consultations to gather stakeholder feedback on enhancing and simplifying the implementation of EU laws and policies. Each Member of the </w:t>
      </w:r>
      <w:r w:rsidR="00C444A2">
        <w:rPr>
          <w:rFonts w:ascii="Times New Roman" w:hAnsi="Times New Roman"/>
        </w:rPr>
        <w:t>Commission</w:t>
      </w:r>
      <w:r w:rsidR="00C444A2" w:rsidRPr="00BE446A">
        <w:rPr>
          <w:rFonts w:ascii="Times New Roman" w:hAnsi="Times New Roman"/>
        </w:rPr>
        <w:t xml:space="preserve"> </w:t>
      </w:r>
      <w:r w:rsidRPr="00BE446A">
        <w:rPr>
          <w:rFonts w:ascii="Times New Roman" w:hAnsi="Times New Roman"/>
        </w:rPr>
        <w:t>will hold at least two implementation dialogues</w:t>
      </w:r>
      <w:r w:rsidRPr="00D707A7">
        <w:rPr>
          <w:rFonts w:ascii="Times New Roman" w:hAnsi="Times New Roman"/>
          <w:vertAlign w:val="superscript"/>
        </w:rPr>
        <w:footnoteReference w:id="5"/>
      </w:r>
      <w:r w:rsidRPr="00BE446A">
        <w:rPr>
          <w:rFonts w:ascii="Times New Roman" w:hAnsi="Times New Roman"/>
        </w:rPr>
        <w:t xml:space="preserve"> per year. This engagement may be further supported through the involvement of local and regional authorities in relevant implementation dialogues. For example, </w:t>
      </w:r>
      <w:r w:rsidR="007F3F91" w:rsidRPr="00BE446A">
        <w:rPr>
          <w:rFonts w:ascii="Times New Roman" w:hAnsi="Times New Roman"/>
        </w:rPr>
        <w:t>E</w:t>
      </w:r>
      <w:r w:rsidR="007F3F91">
        <w:rPr>
          <w:rFonts w:ascii="Times New Roman" w:hAnsi="Times New Roman"/>
        </w:rPr>
        <w:t xml:space="preserve">xecutive </w:t>
      </w:r>
      <w:r w:rsidRPr="00BE446A">
        <w:rPr>
          <w:rFonts w:ascii="Times New Roman" w:hAnsi="Times New Roman"/>
        </w:rPr>
        <w:t>V</w:t>
      </w:r>
      <w:r w:rsidR="007F3F91">
        <w:rPr>
          <w:rFonts w:ascii="Times New Roman" w:hAnsi="Times New Roman"/>
        </w:rPr>
        <w:t>ice-</w:t>
      </w:r>
      <w:r w:rsidRPr="00BE446A">
        <w:rPr>
          <w:rFonts w:ascii="Times New Roman" w:hAnsi="Times New Roman"/>
        </w:rPr>
        <w:t>P</w:t>
      </w:r>
      <w:r w:rsidR="007F3F91">
        <w:rPr>
          <w:rFonts w:ascii="Times New Roman" w:hAnsi="Times New Roman"/>
        </w:rPr>
        <w:t>resident</w:t>
      </w:r>
      <w:r w:rsidRPr="00BE446A">
        <w:rPr>
          <w:rFonts w:ascii="Times New Roman" w:hAnsi="Times New Roman"/>
        </w:rPr>
        <w:t xml:space="preserve"> Fitto under the </w:t>
      </w:r>
      <w:r w:rsidR="0097302C" w:rsidRPr="00BE446A">
        <w:rPr>
          <w:rFonts w:ascii="Times New Roman" w:hAnsi="Times New Roman"/>
        </w:rPr>
        <w:t>c</w:t>
      </w:r>
      <w:r w:rsidRPr="00BE446A">
        <w:rPr>
          <w:rFonts w:ascii="Times New Roman" w:hAnsi="Times New Roman"/>
        </w:rPr>
        <w:t xml:space="preserve">ohesion </w:t>
      </w:r>
      <w:r w:rsidR="0097302C" w:rsidRPr="00BE446A">
        <w:rPr>
          <w:rFonts w:ascii="Times New Roman" w:hAnsi="Times New Roman"/>
        </w:rPr>
        <w:t>p</w:t>
      </w:r>
      <w:r w:rsidRPr="00BE446A">
        <w:rPr>
          <w:rFonts w:ascii="Times New Roman" w:hAnsi="Times New Roman"/>
        </w:rPr>
        <w:t>olicy held a dialogue on ‘</w:t>
      </w:r>
      <w:r w:rsidR="0097302C" w:rsidRPr="00BE446A">
        <w:rPr>
          <w:rFonts w:ascii="Times New Roman" w:hAnsi="Times New Roman"/>
        </w:rPr>
        <w:t>s</w:t>
      </w:r>
      <w:r w:rsidRPr="00BE446A">
        <w:rPr>
          <w:rFonts w:ascii="Times New Roman" w:hAnsi="Times New Roman"/>
        </w:rPr>
        <w:t xml:space="preserve">ustainable </w:t>
      </w:r>
      <w:r w:rsidR="0097302C" w:rsidRPr="00BE446A">
        <w:rPr>
          <w:rFonts w:ascii="Times New Roman" w:hAnsi="Times New Roman"/>
        </w:rPr>
        <w:t>u</w:t>
      </w:r>
      <w:r w:rsidRPr="00BE446A">
        <w:rPr>
          <w:rFonts w:ascii="Times New Roman" w:hAnsi="Times New Roman"/>
        </w:rPr>
        <w:t xml:space="preserve">rban </w:t>
      </w:r>
      <w:r w:rsidR="0097302C" w:rsidRPr="00BE446A">
        <w:rPr>
          <w:rFonts w:ascii="Times New Roman" w:hAnsi="Times New Roman"/>
        </w:rPr>
        <w:t>d</w:t>
      </w:r>
      <w:r w:rsidRPr="00BE446A">
        <w:rPr>
          <w:rFonts w:ascii="Times New Roman" w:hAnsi="Times New Roman"/>
        </w:rPr>
        <w:t>evelopment’ on 24 June 2025 and another one on ‘EU funding and regional competitiveness’ on 18 September 2025, which brought together representatives of local and regional authorities with universities, research institutes and EU-based enterprises.</w:t>
      </w:r>
    </w:p>
    <w:p w14:paraId="3A24D961" w14:textId="77777777" w:rsidR="00E90F15" w:rsidRPr="00BE446A" w:rsidRDefault="00E90F15" w:rsidP="00E90F15">
      <w:pPr>
        <w:widowControl w:val="0"/>
        <w:spacing w:after="120"/>
        <w:rPr>
          <w:rFonts w:ascii="Times New Roman" w:hAnsi="Times New Roman"/>
          <w:szCs w:val="24"/>
        </w:rPr>
      </w:pPr>
      <w:r w:rsidRPr="00BE446A">
        <w:rPr>
          <w:rFonts w:ascii="Times New Roman" w:hAnsi="Times New Roman"/>
          <w:szCs w:val="24"/>
        </w:rPr>
        <w:t>Reality checks are technical-level consultations with stakeholders directly concerned in order to identify and resolve practical issues in implementing EU laws and ensuring that legislation delivers expected benefits.</w:t>
      </w:r>
    </w:p>
    <w:p w14:paraId="2FB39C38" w14:textId="6979D668" w:rsidR="00BC583B" w:rsidRPr="00BE446A" w:rsidRDefault="00E90F15" w:rsidP="00B67759">
      <w:pPr>
        <w:widowControl w:val="0"/>
        <w:spacing w:after="120"/>
        <w:rPr>
          <w:rFonts w:ascii="Times New Roman" w:hAnsi="Times New Roman"/>
          <w:szCs w:val="24"/>
        </w:rPr>
      </w:pPr>
      <w:r w:rsidRPr="00BE446A">
        <w:rPr>
          <w:rFonts w:ascii="Times New Roman" w:hAnsi="Times New Roman"/>
          <w:szCs w:val="24"/>
        </w:rPr>
        <w:t>The results of the implementation dialogues and reality checks carried out since the beginning of this mandate, have proved to represent a valuable contribution to the preparation of the EU legislative acts and, in particular, to the stress-test of the EU acquis, an ambitious and comprehensive screening of existing EU acquis, to identify overlaps, inefficient and obsolete provisions.</w:t>
      </w:r>
    </w:p>
    <w:p w14:paraId="1C1989A2" w14:textId="467A6D35" w:rsidR="00B67759" w:rsidRPr="00BE446A" w:rsidRDefault="00B67759" w:rsidP="00B67759">
      <w:pPr>
        <w:widowControl w:val="0"/>
        <w:spacing w:after="120"/>
        <w:rPr>
          <w:rFonts w:ascii="Times New Roman" w:hAnsi="Times New Roman"/>
          <w:b/>
          <w:szCs w:val="24"/>
        </w:rPr>
      </w:pPr>
      <w:r w:rsidRPr="00BE446A">
        <w:rPr>
          <w:rFonts w:ascii="Times New Roman" w:hAnsi="Times New Roman"/>
          <w:b/>
          <w:szCs w:val="24"/>
        </w:rPr>
        <w:t xml:space="preserve">Paragraph </w:t>
      </w:r>
      <w:r w:rsidR="00611653" w:rsidRPr="00BE446A">
        <w:rPr>
          <w:rFonts w:ascii="Times New Roman" w:hAnsi="Times New Roman"/>
          <w:b/>
          <w:szCs w:val="24"/>
        </w:rPr>
        <w:t>29</w:t>
      </w:r>
    </w:p>
    <w:p w14:paraId="1AC1D0A3" w14:textId="0C540680" w:rsidR="00B67759" w:rsidRPr="00BE446A" w:rsidRDefault="00B67759" w:rsidP="00B67759">
      <w:pPr>
        <w:widowControl w:val="0"/>
        <w:spacing w:after="120"/>
        <w:rPr>
          <w:rFonts w:ascii="Times New Roman" w:hAnsi="Times New Roman"/>
          <w:szCs w:val="24"/>
        </w:rPr>
      </w:pPr>
      <w:r w:rsidRPr="00BE446A">
        <w:rPr>
          <w:rFonts w:ascii="Times New Roman" w:hAnsi="Times New Roman"/>
          <w:szCs w:val="24"/>
        </w:rPr>
        <w:t>The Commissio</w:t>
      </w:r>
      <w:r w:rsidR="00596520" w:rsidRPr="00BE446A">
        <w:rPr>
          <w:rFonts w:ascii="Times New Roman" w:hAnsi="Times New Roman"/>
          <w:szCs w:val="24"/>
        </w:rPr>
        <w:t xml:space="preserve">n, in its contacts with regional Parliaments with legislative powers, does not pursue activities that would go beyond the Treaty setup or interfere in the constitutional relationship between the national and regional Parliaments in Member States </w:t>
      </w:r>
      <w:r w:rsidR="007A3A9E" w:rsidRPr="00BE446A">
        <w:rPr>
          <w:rFonts w:ascii="Times New Roman" w:hAnsi="Times New Roman"/>
          <w:szCs w:val="24"/>
        </w:rPr>
        <w:t xml:space="preserve">having regions </w:t>
      </w:r>
      <w:r w:rsidR="00596520" w:rsidRPr="00BE446A">
        <w:rPr>
          <w:rFonts w:ascii="Times New Roman" w:hAnsi="Times New Roman"/>
          <w:szCs w:val="24"/>
        </w:rPr>
        <w:t>with legislative powers. However, the Commission continues to encourage regional Parliaments' early and proactive involvement in discussions on EU policy proposals and initiatives which have a particular relevance for the local and regional level, and it replies in substance to the contributions it receives from regional Parliaments in this context. This is fully in line with the spirit of the Lisbon Treaty. For example, in 202</w:t>
      </w:r>
      <w:r w:rsidR="00642169" w:rsidRPr="00BE446A">
        <w:rPr>
          <w:rFonts w:ascii="Times New Roman" w:hAnsi="Times New Roman"/>
          <w:szCs w:val="24"/>
        </w:rPr>
        <w:t>5</w:t>
      </w:r>
      <w:r w:rsidR="00596520" w:rsidRPr="00BE446A">
        <w:rPr>
          <w:rFonts w:ascii="Times New Roman" w:hAnsi="Times New Roman"/>
          <w:szCs w:val="24"/>
        </w:rPr>
        <w:t xml:space="preserve"> the Commission received </w:t>
      </w:r>
      <w:r w:rsidR="006A6E09" w:rsidRPr="00BE446A">
        <w:rPr>
          <w:rFonts w:ascii="Times New Roman" w:hAnsi="Times New Roman"/>
          <w:szCs w:val="24"/>
        </w:rPr>
        <w:t>76</w:t>
      </w:r>
      <w:r w:rsidR="00596520" w:rsidRPr="00BE446A">
        <w:rPr>
          <w:rFonts w:ascii="Times New Roman" w:hAnsi="Times New Roman"/>
          <w:szCs w:val="24"/>
        </w:rPr>
        <w:t xml:space="preserve"> resolutions from regional Parliaments, concerning various </w:t>
      </w:r>
      <w:r w:rsidR="001E5001" w:rsidRPr="00BE446A">
        <w:rPr>
          <w:rFonts w:ascii="Times New Roman" w:hAnsi="Times New Roman"/>
          <w:szCs w:val="24"/>
        </w:rPr>
        <w:t>issues</w:t>
      </w:r>
      <w:r w:rsidR="000F5FD2" w:rsidRPr="00BE446A">
        <w:rPr>
          <w:rFonts w:ascii="Times New Roman" w:hAnsi="Times New Roman"/>
          <w:szCs w:val="24"/>
        </w:rPr>
        <w:t>.</w:t>
      </w:r>
      <w:r w:rsidR="00596520" w:rsidRPr="00BE446A">
        <w:rPr>
          <w:rFonts w:ascii="Times New Roman" w:hAnsi="Times New Roman"/>
          <w:szCs w:val="24"/>
        </w:rPr>
        <w:t xml:space="preserve"> Some regional Parliaments participate regularly in the Commission’s public consultations.</w:t>
      </w:r>
    </w:p>
    <w:p w14:paraId="186DCD51" w14:textId="7CDF9A3A" w:rsidR="00B67759" w:rsidRPr="00BE446A" w:rsidRDefault="00B67759" w:rsidP="5F99EEA0">
      <w:pPr>
        <w:widowControl w:val="0"/>
        <w:spacing w:after="120"/>
        <w:rPr>
          <w:rFonts w:ascii="Times New Roman" w:hAnsi="Times New Roman"/>
          <w:b/>
          <w:bCs/>
        </w:rPr>
      </w:pPr>
      <w:bookmarkStart w:id="6" w:name="_Hlk218500025"/>
      <w:bookmarkStart w:id="7" w:name="_Hlk216859705"/>
      <w:r w:rsidRPr="00BE446A">
        <w:rPr>
          <w:rFonts w:ascii="Times New Roman" w:hAnsi="Times New Roman"/>
          <w:b/>
          <w:bCs/>
        </w:rPr>
        <w:t xml:space="preserve">Paragraph </w:t>
      </w:r>
      <w:r w:rsidR="00115A7D" w:rsidRPr="00BE446A">
        <w:rPr>
          <w:rFonts w:ascii="Times New Roman" w:hAnsi="Times New Roman"/>
          <w:b/>
          <w:bCs/>
        </w:rPr>
        <w:t>30</w:t>
      </w:r>
    </w:p>
    <w:bookmarkEnd w:id="6"/>
    <w:p w14:paraId="1830833D" w14:textId="408ACC83" w:rsidR="009914A8" w:rsidRDefault="00B67759">
      <w:pPr>
        <w:widowControl w:val="0"/>
        <w:spacing w:after="120"/>
        <w:rPr>
          <w:rFonts w:ascii="Times New Roman" w:hAnsi="Times New Roman"/>
        </w:rPr>
      </w:pPr>
      <w:r w:rsidRPr="00BE446A">
        <w:rPr>
          <w:rFonts w:ascii="Times New Roman" w:hAnsi="Times New Roman"/>
        </w:rPr>
        <w:t>The Commission</w:t>
      </w:r>
      <w:bookmarkEnd w:id="7"/>
      <w:r w:rsidR="000A14A8" w:rsidRPr="00BE446A">
        <w:rPr>
          <w:rFonts w:ascii="Times New Roman" w:hAnsi="Times New Roman"/>
        </w:rPr>
        <w:t xml:space="preserve"> </w:t>
      </w:r>
      <w:r w:rsidR="00400ABF" w:rsidRPr="00BE446A">
        <w:rPr>
          <w:rFonts w:ascii="Times New Roman" w:hAnsi="Times New Roman"/>
        </w:rPr>
        <w:t xml:space="preserve">is open to exploring </w:t>
      </w:r>
      <w:r w:rsidR="00B069E8" w:rsidRPr="00BE446A">
        <w:rPr>
          <w:rFonts w:ascii="Times New Roman" w:hAnsi="Times New Roman"/>
        </w:rPr>
        <w:t xml:space="preserve">in </w:t>
      </w:r>
      <w:r w:rsidR="7BED23AE" w:rsidRPr="00BE446A">
        <w:rPr>
          <w:rFonts w:ascii="Times New Roman" w:hAnsi="Times New Roman"/>
        </w:rPr>
        <w:t xml:space="preserve">greater </w:t>
      </w:r>
      <w:r w:rsidR="00B069E8" w:rsidRPr="00BE446A">
        <w:rPr>
          <w:rFonts w:ascii="Times New Roman" w:hAnsi="Times New Roman"/>
        </w:rPr>
        <w:t>depth</w:t>
      </w:r>
      <w:r w:rsidR="6006C336" w:rsidRPr="00BE446A">
        <w:rPr>
          <w:rFonts w:ascii="Times New Roman" w:hAnsi="Times New Roman"/>
        </w:rPr>
        <w:t xml:space="preserve"> with </w:t>
      </w:r>
      <w:r w:rsidR="00B069E8" w:rsidRPr="00BE446A">
        <w:rPr>
          <w:rFonts w:ascii="Times New Roman" w:hAnsi="Times New Roman"/>
        </w:rPr>
        <w:t xml:space="preserve">national Parliaments </w:t>
      </w:r>
      <w:r w:rsidR="633B5691" w:rsidRPr="00BE446A">
        <w:rPr>
          <w:rFonts w:ascii="Times New Roman" w:hAnsi="Times New Roman"/>
        </w:rPr>
        <w:t xml:space="preserve">how they </w:t>
      </w:r>
      <w:r w:rsidR="00796003" w:rsidRPr="00BE446A">
        <w:rPr>
          <w:rFonts w:ascii="Times New Roman" w:hAnsi="Times New Roman"/>
        </w:rPr>
        <w:t xml:space="preserve">perform their </w:t>
      </w:r>
      <w:r w:rsidR="008C6839" w:rsidRPr="00BE446A">
        <w:rPr>
          <w:rFonts w:ascii="Times New Roman" w:hAnsi="Times New Roman"/>
        </w:rPr>
        <w:t>subsidiarity control</w:t>
      </w:r>
      <w:r w:rsidR="00E23D00" w:rsidRPr="00BE446A">
        <w:rPr>
          <w:rFonts w:ascii="Times New Roman" w:hAnsi="Times New Roman"/>
        </w:rPr>
        <w:t xml:space="preserve"> and </w:t>
      </w:r>
      <w:r w:rsidR="00600069" w:rsidRPr="00BE446A">
        <w:rPr>
          <w:rFonts w:ascii="Times New Roman" w:hAnsi="Times New Roman"/>
        </w:rPr>
        <w:t>how it could be enhanced</w:t>
      </w:r>
      <w:r w:rsidR="00400ABF" w:rsidRPr="00BE446A">
        <w:rPr>
          <w:rFonts w:ascii="Times New Roman" w:hAnsi="Times New Roman"/>
        </w:rPr>
        <w:t>.</w:t>
      </w:r>
      <w:r w:rsidR="00417E9C" w:rsidRPr="00BE446A">
        <w:rPr>
          <w:rFonts w:ascii="Times New Roman" w:hAnsi="Times New Roman"/>
        </w:rPr>
        <w:t xml:space="preserve"> It encourages national Parliaments </w:t>
      </w:r>
      <w:r w:rsidR="00A56607" w:rsidRPr="00BE446A">
        <w:rPr>
          <w:rFonts w:ascii="Times New Roman" w:hAnsi="Times New Roman"/>
        </w:rPr>
        <w:t>on</w:t>
      </w:r>
      <w:r w:rsidR="00417E9C" w:rsidRPr="00BE446A">
        <w:rPr>
          <w:rFonts w:ascii="Times New Roman" w:hAnsi="Times New Roman"/>
        </w:rPr>
        <w:t xml:space="preserve"> every occasion to </w:t>
      </w:r>
      <w:r w:rsidR="00FA0BA6" w:rsidRPr="00BE446A">
        <w:rPr>
          <w:rFonts w:ascii="Times New Roman" w:hAnsi="Times New Roman"/>
        </w:rPr>
        <w:t>explore the communication channels already established (political dialogue, including participation in public consultations), since formally introducing changes in the functioning of the subsidiarity control mechanism would require Treaty change.</w:t>
      </w:r>
      <w:r w:rsidR="00D754B2" w:rsidRPr="00BE446A">
        <w:rPr>
          <w:rFonts w:ascii="Times New Roman" w:hAnsi="Times New Roman"/>
        </w:rPr>
        <w:t xml:space="preserve"> </w:t>
      </w:r>
      <w:r w:rsidR="7D28EEE5" w:rsidRPr="00BE446A">
        <w:rPr>
          <w:rFonts w:ascii="Times New Roman" w:hAnsi="Times New Roman"/>
        </w:rPr>
        <w:t xml:space="preserve">In </w:t>
      </w:r>
      <w:r w:rsidR="00D754B2" w:rsidRPr="00BE446A">
        <w:rPr>
          <w:rFonts w:ascii="Times New Roman" w:hAnsi="Times New Roman"/>
        </w:rPr>
        <w:t>the Commission</w:t>
      </w:r>
      <w:r w:rsidR="33DFCC69" w:rsidRPr="00BE446A">
        <w:rPr>
          <w:rFonts w:ascii="Times New Roman" w:hAnsi="Times New Roman"/>
        </w:rPr>
        <w:t xml:space="preserve">’s view, </w:t>
      </w:r>
      <w:r w:rsidR="00BA29D9" w:rsidRPr="00BE446A">
        <w:rPr>
          <w:rFonts w:ascii="Times New Roman" w:hAnsi="Times New Roman"/>
        </w:rPr>
        <w:t>an earlier involvement of national Parliaments in the political process</w:t>
      </w:r>
      <w:r w:rsidR="2F186915" w:rsidRPr="00BE446A">
        <w:rPr>
          <w:rFonts w:ascii="Times New Roman" w:hAnsi="Times New Roman"/>
        </w:rPr>
        <w:t xml:space="preserve"> in the spirit of ‘active subsidiarity’</w:t>
      </w:r>
      <w:r w:rsidR="00BA29D9" w:rsidRPr="00BE446A">
        <w:rPr>
          <w:rFonts w:ascii="Times New Roman" w:hAnsi="Times New Roman"/>
        </w:rPr>
        <w:t>, while the Commission is still preparing its initiatives, could also facilitate national Parliaments’ subsidiarity scrutiny.</w:t>
      </w:r>
    </w:p>
    <w:p w14:paraId="34E3F97F" w14:textId="77777777" w:rsidR="007F3F91" w:rsidRPr="00BE446A" w:rsidRDefault="007F3F91">
      <w:pPr>
        <w:widowControl w:val="0"/>
        <w:spacing w:after="120"/>
        <w:rPr>
          <w:rFonts w:ascii="Times New Roman" w:hAnsi="Times New Roman"/>
        </w:rPr>
      </w:pPr>
    </w:p>
    <w:p w14:paraId="15555FED" w14:textId="0A5E2F92" w:rsidR="00E90F15" w:rsidRPr="00BE446A" w:rsidRDefault="00E90F15" w:rsidP="00E90F15">
      <w:pPr>
        <w:widowControl w:val="0"/>
        <w:spacing w:after="120"/>
        <w:rPr>
          <w:rFonts w:ascii="Times New Roman" w:hAnsi="Times New Roman"/>
          <w:b/>
          <w:bCs/>
          <w:szCs w:val="24"/>
        </w:rPr>
      </w:pPr>
      <w:r w:rsidRPr="00BE446A">
        <w:rPr>
          <w:rFonts w:ascii="Times New Roman" w:hAnsi="Times New Roman"/>
          <w:b/>
          <w:bCs/>
          <w:szCs w:val="24"/>
        </w:rPr>
        <w:lastRenderedPageBreak/>
        <w:t>Paragraph 37</w:t>
      </w:r>
    </w:p>
    <w:p w14:paraId="04EEF07D" w14:textId="2107510B" w:rsidR="00E90F15" w:rsidRPr="00BE446A" w:rsidRDefault="00DC597C" w:rsidP="5F99EEA0">
      <w:pPr>
        <w:widowControl w:val="0"/>
        <w:spacing w:after="120"/>
        <w:rPr>
          <w:rFonts w:ascii="Times New Roman" w:hAnsi="Times New Roman"/>
        </w:rPr>
      </w:pPr>
      <w:r w:rsidRPr="00BE446A">
        <w:rPr>
          <w:rFonts w:ascii="Times New Roman" w:hAnsi="Times New Roman"/>
        </w:rPr>
        <w:t>Impact assessments are carried out for all legislative proposals likely to lead to significant economic, environmental, or social impacts or entail</w:t>
      </w:r>
      <w:r w:rsidR="00496586">
        <w:rPr>
          <w:rFonts w:ascii="Times New Roman" w:hAnsi="Times New Roman"/>
        </w:rPr>
        <w:t>ing</w:t>
      </w:r>
      <w:r w:rsidRPr="00BE446A">
        <w:rPr>
          <w:rFonts w:ascii="Times New Roman" w:hAnsi="Times New Roman"/>
        </w:rPr>
        <w:t xml:space="preserve"> significant spending, and </w:t>
      </w:r>
      <w:r w:rsidR="00496586">
        <w:rPr>
          <w:rFonts w:ascii="Times New Roman" w:hAnsi="Times New Roman"/>
        </w:rPr>
        <w:t xml:space="preserve">where </w:t>
      </w:r>
      <w:r w:rsidRPr="00BE446A">
        <w:rPr>
          <w:rFonts w:ascii="Times New Roman" w:hAnsi="Times New Roman"/>
        </w:rPr>
        <w:t xml:space="preserve">the Commission has a choice between alternative policy options. In case no impact assessment was conducted due to political urgency, a </w:t>
      </w:r>
      <w:r w:rsidR="005F6ADF" w:rsidRPr="00BE446A">
        <w:rPr>
          <w:rFonts w:ascii="Times New Roman" w:hAnsi="Times New Roman"/>
        </w:rPr>
        <w:t>s</w:t>
      </w:r>
      <w:r w:rsidRPr="00BE446A">
        <w:rPr>
          <w:rFonts w:ascii="Times New Roman" w:hAnsi="Times New Roman"/>
        </w:rPr>
        <w:t xml:space="preserve">taff working document </w:t>
      </w:r>
      <w:r w:rsidR="6B51B15B" w:rsidRPr="00BE446A">
        <w:rPr>
          <w:rFonts w:ascii="Times New Roman" w:hAnsi="Times New Roman"/>
        </w:rPr>
        <w:t xml:space="preserve">reflecting </w:t>
      </w:r>
      <w:r w:rsidRPr="00BE446A">
        <w:rPr>
          <w:rFonts w:ascii="Times New Roman" w:hAnsi="Times New Roman"/>
        </w:rPr>
        <w:t xml:space="preserve">the analysis behind the proposal is presented with it or within </w:t>
      </w:r>
      <w:r w:rsidR="00496586">
        <w:rPr>
          <w:rFonts w:ascii="Times New Roman" w:hAnsi="Times New Roman"/>
        </w:rPr>
        <w:t>three</w:t>
      </w:r>
      <w:r w:rsidRPr="00BE446A">
        <w:rPr>
          <w:rFonts w:ascii="Times New Roman" w:hAnsi="Times New Roman"/>
        </w:rPr>
        <w:t xml:space="preserve"> months. According to the interinstitutional agreement on better law-making, delivering high quality Union legislation is a joint responsibility of the three institutions. </w:t>
      </w:r>
      <w:r w:rsidR="00F84737" w:rsidRPr="00BE446A">
        <w:rPr>
          <w:rFonts w:ascii="Times New Roman" w:hAnsi="Times New Roman"/>
        </w:rPr>
        <w:t xml:space="preserve">Point </w:t>
      </w:r>
      <w:r w:rsidRPr="00BE446A">
        <w:rPr>
          <w:rFonts w:ascii="Times New Roman" w:hAnsi="Times New Roman"/>
        </w:rPr>
        <w:t xml:space="preserve">15 of the agreement notes that the European Parliament and the Council will, when they consider this to be appropriate and necessary for the legislative process, carry out impact assessments in relation to their substantial amendments to the Commission's proposal.  </w:t>
      </w:r>
    </w:p>
    <w:p w14:paraId="46A74E4D" w14:textId="3611AF4F" w:rsidR="009914A8" w:rsidRPr="00BE446A" w:rsidRDefault="009914A8" w:rsidP="009914A8">
      <w:pPr>
        <w:widowControl w:val="0"/>
        <w:spacing w:after="120"/>
        <w:rPr>
          <w:rFonts w:ascii="Times New Roman" w:hAnsi="Times New Roman"/>
          <w:b/>
          <w:szCs w:val="24"/>
        </w:rPr>
      </w:pPr>
      <w:r w:rsidRPr="00BE446A">
        <w:rPr>
          <w:rFonts w:ascii="Times New Roman" w:hAnsi="Times New Roman"/>
          <w:b/>
          <w:szCs w:val="24"/>
        </w:rPr>
        <w:t>Paragraph 41</w:t>
      </w:r>
    </w:p>
    <w:p w14:paraId="3FA1D1D6" w14:textId="2AF48273" w:rsidR="009914A8" w:rsidRPr="00BE446A" w:rsidRDefault="009914A8" w:rsidP="5F99EEA0">
      <w:pPr>
        <w:widowControl w:val="0"/>
        <w:spacing w:after="120"/>
        <w:rPr>
          <w:rFonts w:ascii="Times New Roman" w:hAnsi="Times New Roman"/>
        </w:rPr>
      </w:pPr>
      <w:r w:rsidRPr="00BE446A">
        <w:rPr>
          <w:rFonts w:ascii="Times New Roman" w:hAnsi="Times New Roman"/>
        </w:rPr>
        <w:t>The Commission</w:t>
      </w:r>
      <w:r w:rsidR="00DF2773" w:rsidRPr="00BE446A">
        <w:rPr>
          <w:rFonts w:ascii="Times New Roman" w:hAnsi="Times New Roman"/>
        </w:rPr>
        <w:t xml:space="preserve"> considers that </w:t>
      </w:r>
      <w:r w:rsidR="007960FE" w:rsidRPr="00BE446A">
        <w:rPr>
          <w:rFonts w:ascii="Times New Roman" w:hAnsi="Times New Roman"/>
        </w:rPr>
        <w:t xml:space="preserve">national Parliaments </w:t>
      </w:r>
      <w:r w:rsidR="002B6836" w:rsidRPr="00BE446A">
        <w:rPr>
          <w:rFonts w:ascii="Times New Roman" w:hAnsi="Times New Roman"/>
        </w:rPr>
        <w:t xml:space="preserve">as a collective actor are best placed to </w:t>
      </w:r>
      <w:r w:rsidR="00C16A95" w:rsidRPr="00BE446A">
        <w:rPr>
          <w:rFonts w:ascii="Times New Roman" w:hAnsi="Times New Roman"/>
        </w:rPr>
        <w:t>defin</w:t>
      </w:r>
      <w:r w:rsidR="006F65BD" w:rsidRPr="00BE446A">
        <w:rPr>
          <w:rFonts w:ascii="Times New Roman" w:hAnsi="Times New Roman"/>
        </w:rPr>
        <w:t>e their needs</w:t>
      </w:r>
      <w:r w:rsidR="00DC7D4E" w:rsidRPr="00BE446A">
        <w:rPr>
          <w:rFonts w:ascii="Times New Roman" w:hAnsi="Times New Roman"/>
        </w:rPr>
        <w:t>, experiences</w:t>
      </w:r>
      <w:r w:rsidR="006F65BD" w:rsidRPr="00BE446A">
        <w:rPr>
          <w:rFonts w:ascii="Times New Roman" w:hAnsi="Times New Roman"/>
        </w:rPr>
        <w:t xml:space="preserve"> and expectations</w:t>
      </w:r>
      <w:r w:rsidR="009B0AE6" w:rsidRPr="00BE446A">
        <w:rPr>
          <w:rFonts w:ascii="Times New Roman" w:hAnsi="Times New Roman"/>
        </w:rPr>
        <w:t xml:space="preserve">. For the Commission, </w:t>
      </w:r>
      <w:r w:rsidR="00DF2773" w:rsidRPr="00BE446A">
        <w:rPr>
          <w:rFonts w:ascii="Times New Roman" w:hAnsi="Times New Roman"/>
        </w:rPr>
        <w:t xml:space="preserve">the </w:t>
      </w:r>
      <w:r w:rsidR="009453BE" w:rsidRPr="00BE446A">
        <w:rPr>
          <w:rFonts w:ascii="Times New Roman" w:hAnsi="Times New Roman"/>
        </w:rPr>
        <w:t>COSAC bi-annual reports</w:t>
      </w:r>
      <w:r w:rsidR="009B0AE6" w:rsidRPr="00BE446A">
        <w:rPr>
          <w:rFonts w:ascii="Times New Roman" w:hAnsi="Times New Roman"/>
        </w:rPr>
        <w:t xml:space="preserve"> based on the surveys of national Parliaments coordinated by the COSAC s</w:t>
      </w:r>
      <w:r w:rsidR="00A17898" w:rsidRPr="00BE446A">
        <w:rPr>
          <w:rFonts w:ascii="Times New Roman" w:hAnsi="Times New Roman"/>
        </w:rPr>
        <w:t>ecretariat</w:t>
      </w:r>
      <w:r w:rsidR="009453BE" w:rsidRPr="00BE446A">
        <w:rPr>
          <w:rFonts w:ascii="Times New Roman" w:hAnsi="Times New Roman"/>
        </w:rPr>
        <w:t xml:space="preserve"> are </w:t>
      </w:r>
      <w:r w:rsidR="00496586">
        <w:rPr>
          <w:rFonts w:ascii="Times New Roman" w:hAnsi="Times New Roman"/>
        </w:rPr>
        <w:t xml:space="preserve">a </w:t>
      </w:r>
      <w:r w:rsidR="00BF49ED" w:rsidRPr="00BE446A">
        <w:rPr>
          <w:rFonts w:ascii="Times New Roman" w:hAnsi="Times New Roman"/>
        </w:rPr>
        <w:t xml:space="preserve">timely and </w:t>
      </w:r>
      <w:r w:rsidR="000A15A8" w:rsidRPr="00BE446A">
        <w:rPr>
          <w:rFonts w:ascii="Times New Roman" w:hAnsi="Times New Roman"/>
        </w:rPr>
        <w:t xml:space="preserve">valuable </w:t>
      </w:r>
      <w:r w:rsidR="00BF49ED" w:rsidRPr="00BE446A">
        <w:rPr>
          <w:rFonts w:ascii="Times New Roman" w:hAnsi="Times New Roman"/>
        </w:rPr>
        <w:t>source</w:t>
      </w:r>
      <w:r w:rsidR="008766A6" w:rsidRPr="00BE446A">
        <w:rPr>
          <w:rFonts w:ascii="Times New Roman" w:hAnsi="Times New Roman"/>
        </w:rPr>
        <w:t xml:space="preserve"> of</w:t>
      </w:r>
      <w:r w:rsidR="00BF49ED" w:rsidRPr="00BE446A">
        <w:rPr>
          <w:rFonts w:ascii="Times New Roman" w:hAnsi="Times New Roman"/>
        </w:rPr>
        <w:t xml:space="preserve"> </w:t>
      </w:r>
      <w:r w:rsidR="008E36D6" w:rsidRPr="00BE446A">
        <w:rPr>
          <w:rFonts w:ascii="Times New Roman" w:hAnsi="Times New Roman"/>
        </w:rPr>
        <w:t>information regarding the developments in national Parliaments</w:t>
      </w:r>
      <w:r w:rsidR="00963AA3" w:rsidRPr="00BE446A">
        <w:rPr>
          <w:rFonts w:ascii="Times New Roman" w:hAnsi="Times New Roman"/>
        </w:rPr>
        <w:t xml:space="preserve">. </w:t>
      </w:r>
      <w:r w:rsidR="2E86124E" w:rsidRPr="00BE446A">
        <w:rPr>
          <w:rFonts w:ascii="Times New Roman" w:hAnsi="Times New Roman"/>
        </w:rPr>
        <w:t xml:space="preserve">Overburdening national Parliaments by </w:t>
      </w:r>
      <w:r w:rsidR="4704660E" w:rsidRPr="00BE446A">
        <w:rPr>
          <w:rFonts w:ascii="Times New Roman" w:hAnsi="Times New Roman"/>
        </w:rPr>
        <w:t>m</w:t>
      </w:r>
      <w:r w:rsidR="00963AA3" w:rsidRPr="00BE446A">
        <w:rPr>
          <w:rFonts w:ascii="Times New Roman" w:hAnsi="Times New Roman"/>
        </w:rPr>
        <w:t xml:space="preserve">ultiplying surveys </w:t>
      </w:r>
      <w:r w:rsidR="36F66179" w:rsidRPr="00BE446A">
        <w:rPr>
          <w:rFonts w:ascii="Times New Roman" w:hAnsi="Times New Roman"/>
        </w:rPr>
        <w:t xml:space="preserve">should be avoided, </w:t>
      </w:r>
    </w:p>
    <w:p w14:paraId="77B79BA4" w14:textId="4FD57E4A" w:rsidR="0071069C" w:rsidRPr="00BE446A" w:rsidRDefault="0071069C" w:rsidP="0071069C">
      <w:pPr>
        <w:widowControl w:val="0"/>
        <w:spacing w:after="120"/>
        <w:rPr>
          <w:rFonts w:ascii="Times New Roman" w:hAnsi="Times New Roman"/>
          <w:b/>
          <w:szCs w:val="24"/>
        </w:rPr>
      </w:pPr>
      <w:bookmarkStart w:id="8" w:name="_Hlk216860022"/>
      <w:r w:rsidRPr="00BE446A">
        <w:rPr>
          <w:rFonts w:ascii="Times New Roman" w:hAnsi="Times New Roman"/>
          <w:b/>
          <w:szCs w:val="24"/>
        </w:rPr>
        <w:t>Paragraph 43</w:t>
      </w:r>
    </w:p>
    <w:p w14:paraId="3DBA84A3" w14:textId="54EBC391" w:rsidR="0071069C" w:rsidRPr="00BE446A" w:rsidRDefault="0071069C" w:rsidP="00B67759">
      <w:pPr>
        <w:widowControl w:val="0"/>
        <w:spacing w:after="120"/>
        <w:rPr>
          <w:rFonts w:ascii="Times New Roman" w:hAnsi="Times New Roman"/>
        </w:rPr>
      </w:pPr>
      <w:r w:rsidRPr="00BE446A">
        <w:rPr>
          <w:rFonts w:ascii="Times New Roman" w:hAnsi="Times New Roman"/>
        </w:rPr>
        <w:t xml:space="preserve">The Commission </w:t>
      </w:r>
      <w:r w:rsidR="00631C50" w:rsidRPr="00BE446A">
        <w:rPr>
          <w:rFonts w:ascii="Times New Roman" w:hAnsi="Times New Roman"/>
        </w:rPr>
        <w:t xml:space="preserve">would like to recall </w:t>
      </w:r>
      <w:r w:rsidR="00575B0D" w:rsidRPr="00BE446A">
        <w:rPr>
          <w:rFonts w:ascii="Times New Roman" w:hAnsi="Times New Roman"/>
        </w:rPr>
        <w:t xml:space="preserve">that </w:t>
      </w:r>
      <w:r w:rsidR="00E872E9" w:rsidRPr="00BE446A">
        <w:rPr>
          <w:rFonts w:ascii="Times New Roman" w:hAnsi="Times New Roman"/>
        </w:rPr>
        <w:t xml:space="preserve">for </w:t>
      </w:r>
      <w:r w:rsidR="6FAEF14B" w:rsidRPr="00BE446A">
        <w:rPr>
          <w:rFonts w:ascii="Times New Roman" w:hAnsi="Times New Roman"/>
        </w:rPr>
        <w:t xml:space="preserve">its </w:t>
      </w:r>
      <w:r w:rsidR="00E872E9" w:rsidRPr="00BE446A">
        <w:rPr>
          <w:rFonts w:ascii="Times New Roman" w:hAnsi="Times New Roman"/>
        </w:rPr>
        <w:t xml:space="preserve">strategic planning and </w:t>
      </w:r>
      <w:r w:rsidR="1C739F8E" w:rsidRPr="00BE446A">
        <w:rPr>
          <w:rFonts w:ascii="Times New Roman" w:hAnsi="Times New Roman"/>
        </w:rPr>
        <w:t xml:space="preserve">important legislative initiatives, Commissioners </w:t>
      </w:r>
      <w:r w:rsidR="0CF95215" w:rsidRPr="00BE446A">
        <w:rPr>
          <w:rFonts w:ascii="Times New Roman" w:hAnsi="Times New Roman"/>
        </w:rPr>
        <w:t xml:space="preserve">regularly </w:t>
      </w:r>
      <w:r w:rsidR="1C739F8E" w:rsidRPr="00BE446A">
        <w:rPr>
          <w:rFonts w:ascii="Times New Roman" w:hAnsi="Times New Roman"/>
        </w:rPr>
        <w:t>visit Member States</w:t>
      </w:r>
      <w:r w:rsidR="2D4BD009" w:rsidRPr="00BE446A">
        <w:rPr>
          <w:rFonts w:ascii="Times New Roman" w:hAnsi="Times New Roman"/>
        </w:rPr>
        <w:t xml:space="preserve"> to engage with decision makers, including </w:t>
      </w:r>
      <w:r w:rsidR="79D0753B" w:rsidRPr="00BE446A">
        <w:rPr>
          <w:rFonts w:ascii="Times New Roman" w:hAnsi="Times New Roman"/>
        </w:rPr>
        <w:t>members</w:t>
      </w:r>
      <w:r w:rsidR="2D4BD009" w:rsidRPr="00BE446A">
        <w:rPr>
          <w:rFonts w:ascii="Times New Roman" w:hAnsi="Times New Roman"/>
        </w:rPr>
        <w:t xml:space="preserve"> of national Parliaments, already when the </w:t>
      </w:r>
      <w:r w:rsidR="38B39B6F" w:rsidRPr="00BE446A">
        <w:rPr>
          <w:rFonts w:ascii="Times New Roman" w:hAnsi="Times New Roman"/>
        </w:rPr>
        <w:t>proposal is under preparation</w:t>
      </w:r>
      <w:r w:rsidR="73201BF1" w:rsidRPr="00BE446A">
        <w:rPr>
          <w:rFonts w:ascii="Times New Roman" w:hAnsi="Times New Roman"/>
        </w:rPr>
        <w:t>.</w:t>
      </w:r>
      <w:r w:rsidR="036F51CE" w:rsidRPr="00BE446A">
        <w:rPr>
          <w:rFonts w:ascii="Times New Roman" w:hAnsi="Times New Roman"/>
        </w:rPr>
        <w:t xml:space="preserve"> For instance, Commissioner Serafin</w:t>
      </w:r>
      <w:r w:rsidR="48514E68" w:rsidRPr="00BE446A">
        <w:rPr>
          <w:rFonts w:ascii="Times New Roman" w:hAnsi="Times New Roman"/>
        </w:rPr>
        <w:t xml:space="preserve"> went on a </w:t>
      </w:r>
      <w:r w:rsidR="007D2D84" w:rsidRPr="00BE446A">
        <w:rPr>
          <w:rFonts w:ascii="Times New Roman" w:hAnsi="Times New Roman"/>
        </w:rPr>
        <w:t>‘</w:t>
      </w:r>
      <w:r w:rsidR="007D2D84" w:rsidRPr="00BE446A">
        <w:rPr>
          <w:rFonts w:ascii="Times New Roman" w:hAnsi="Times New Roman"/>
          <w:i/>
          <w:iCs/>
        </w:rPr>
        <w:t>t</w:t>
      </w:r>
      <w:r w:rsidR="48514E68" w:rsidRPr="00BE446A">
        <w:rPr>
          <w:rFonts w:ascii="Times New Roman" w:hAnsi="Times New Roman"/>
          <w:i/>
          <w:iCs/>
        </w:rPr>
        <w:t>our d’Europe</w:t>
      </w:r>
      <w:r w:rsidR="007D2D84" w:rsidRPr="00BE446A">
        <w:rPr>
          <w:rFonts w:ascii="Times New Roman" w:hAnsi="Times New Roman"/>
        </w:rPr>
        <w:t>’</w:t>
      </w:r>
      <w:r w:rsidR="48514E68" w:rsidRPr="00BE446A">
        <w:rPr>
          <w:rFonts w:ascii="Times New Roman" w:hAnsi="Times New Roman"/>
        </w:rPr>
        <w:t xml:space="preserve"> in preparation for the Multiannual Financial Framework</w:t>
      </w:r>
      <w:r w:rsidR="2DB1E094" w:rsidRPr="00BE446A">
        <w:rPr>
          <w:rFonts w:ascii="Times New Roman" w:hAnsi="Times New Roman"/>
        </w:rPr>
        <w:t xml:space="preserve"> for</w:t>
      </w:r>
      <w:r w:rsidR="006EB961" w:rsidRPr="00BE446A">
        <w:rPr>
          <w:rFonts w:ascii="Times New Roman" w:hAnsi="Times New Roman"/>
        </w:rPr>
        <w:t xml:space="preserve"> </w:t>
      </w:r>
      <w:r w:rsidR="2DB1E094" w:rsidRPr="00BE446A">
        <w:rPr>
          <w:rFonts w:ascii="Times New Roman" w:hAnsi="Times New Roman"/>
        </w:rPr>
        <w:t xml:space="preserve">2028-2034 and met </w:t>
      </w:r>
      <w:r w:rsidR="4FD58808" w:rsidRPr="00BE446A">
        <w:rPr>
          <w:rFonts w:ascii="Times New Roman" w:hAnsi="Times New Roman"/>
        </w:rPr>
        <w:t>11 chambers</w:t>
      </w:r>
      <w:r w:rsidR="00B74641" w:rsidRPr="00BE446A">
        <w:rPr>
          <w:rFonts w:ascii="Times New Roman" w:hAnsi="Times New Roman"/>
        </w:rPr>
        <w:t xml:space="preserve"> and listened to their concerns and ideas</w:t>
      </w:r>
      <w:r w:rsidR="4FD58808" w:rsidRPr="00BE446A">
        <w:rPr>
          <w:rFonts w:ascii="Times New Roman" w:hAnsi="Times New Roman"/>
        </w:rPr>
        <w:t xml:space="preserve"> ahead of the publication of the </w:t>
      </w:r>
      <w:r w:rsidR="3A7BAA18" w:rsidRPr="00BE446A">
        <w:rPr>
          <w:rFonts w:ascii="Times New Roman" w:hAnsi="Times New Roman"/>
        </w:rPr>
        <w:t xml:space="preserve">proposals in </w:t>
      </w:r>
      <w:r w:rsidR="00F31DD6" w:rsidRPr="00BE446A">
        <w:rPr>
          <w:rFonts w:ascii="Times New Roman" w:hAnsi="Times New Roman"/>
        </w:rPr>
        <w:t xml:space="preserve">July </w:t>
      </w:r>
      <w:r w:rsidR="3A7BAA18" w:rsidRPr="00BE446A">
        <w:rPr>
          <w:rFonts w:ascii="Times New Roman" w:hAnsi="Times New Roman"/>
        </w:rPr>
        <w:t>2025.</w:t>
      </w:r>
      <w:bookmarkEnd w:id="8"/>
    </w:p>
    <w:p w14:paraId="58F937DD" w14:textId="533D35E0" w:rsidR="00A012B6" w:rsidRPr="00BE446A" w:rsidRDefault="00A012B6" w:rsidP="00A012B6">
      <w:pPr>
        <w:widowControl w:val="0"/>
        <w:spacing w:after="120"/>
        <w:rPr>
          <w:rFonts w:ascii="Times New Roman" w:hAnsi="Times New Roman"/>
          <w:b/>
          <w:bCs/>
          <w:szCs w:val="24"/>
        </w:rPr>
      </w:pPr>
      <w:bookmarkStart w:id="9" w:name="_Hlk216860085"/>
      <w:r w:rsidRPr="00BE446A">
        <w:rPr>
          <w:rFonts w:ascii="Times New Roman" w:hAnsi="Times New Roman"/>
          <w:b/>
          <w:bCs/>
          <w:szCs w:val="24"/>
        </w:rPr>
        <w:t>Paragraph 48</w:t>
      </w:r>
    </w:p>
    <w:bookmarkEnd w:id="9"/>
    <w:p w14:paraId="265721C7" w14:textId="392A774F" w:rsidR="0071069C" w:rsidRPr="00BE446A" w:rsidRDefault="728C6098" w:rsidP="00B67759">
      <w:pPr>
        <w:widowControl w:val="0"/>
        <w:spacing w:after="120"/>
        <w:rPr>
          <w:rFonts w:ascii="Times New Roman" w:hAnsi="Times New Roman"/>
        </w:rPr>
      </w:pPr>
      <w:r w:rsidRPr="00BE446A">
        <w:rPr>
          <w:rFonts w:ascii="Times New Roman" w:hAnsi="Times New Roman"/>
        </w:rPr>
        <w:t xml:space="preserve">As the guardian of the Treaties, the Commission fully respects the principles of subsidiarity and proportionality. </w:t>
      </w:r>
      <w:r w:rsidR="4C29C96F" w:rsidRPr="00BE446A">
        <w:rPr>
          <w:rFonts w:ascii="Times New Roman" w:hAnsi="Times New Roman"/>
        </w:rPr>
        <w:t>T</w:t>
      </w:r>
      <w:r w:rsidR="00127357" w:rsidRPr="00BE446A">
        <w:rPr>
          <w:rFonts w:ascii="Times New Roman" w:hAnsi="Times New Roman"/>
        </w:rPr>
        <w:t xml:space="preserve">he </w:t>
      </w:r>
      <w:r w:rsidR="52D61E74" w:rsidRPr="00BE446A">
        <w:rPr>
          <w:rFonts w:ascii="Times New Roman" w:hAnsi="Times New Roman"/>
        </w:rPr>
        <w:t xml:space="preserve">Commission’s </w:t>
      </w:r>
      <w:r w:rsidR="00127357" w:rsidRPr="00BE446A">
        <w:rPr>
          <w:rFonts w:ascii="Times New Roman" w:hAnsi="Times New Roman"/>
        </w:rPr>
        <w:t>better regulation guidelines</w:t>
      </w:r>
      <w:r w:rsidR="59E4A792" w:rsidRPr="00BE446A">
        <w:rPr>
          <w:rFonts w:ascii="Times New Roman" w:hAnsi="Times New Roman"/>
        </w:rPr>
        <w:t xml:space="preserve"> require that </w:t>
      </w:r>
      <w:r w:rsidR="00127357" w:rsidRPr="00BE446A">
        <w:rPr>
          <w:rFonts w:ascii="Times New Roman" w:hAnsi="Times New Roman"/>
        </w:rPr>
        <w:t xml:space="preserve">each impact assessment </w:t>
      </w:r>
      <w:r w:rsidR="770449BF" w:rsidRPr="00BE446A">
        <w:rPr>
          <w:rFonts w:ascii="Times New Roman" w:hAnsi="Times New Roman"/>
        </w:rPr>
        <w:t>accompanying a legislative proposal explain</w:t>
      </w:r>
      <w:r w:rsidR="6DA877EC" w:rsidRPr="00BE446A">
        <w:rPr>
          <w:rFonts w:ascii="Times New Roman" w:hAnsi="Times New Roman"/>
        </w:rPr>
        <w:t>s</w:t>
      </w:r>
      <w:r w:rsidR="770449BF" w:rsidRPr="00BE446A">
        <w:rPr>
          <w:rFonts w:ascii="Times New Roman" w:hAnsi="Times New Roman"/>
        </w:rPr>
        <w:t xml:space="preserve"> the necessity and added value of EU action</w:t>
      </w:r>
      <w:r w:rsidR="00EB16BA" w:rsidRPr="00BE446A">
        <w:rPr>
          <w:rFonts w:ascii="Times New Roman" w:hAnsi="Times New Roman"/>
        </w:rPr>
        <w:t xml:space="preserve"> compared to action on national</w:t>
      </w:r>
      <w:r w:rsidR="00F94CD1" w:rsidRPr="00BE446A">
        <w:rPr>
          <w:rFonts w:ascii="Times New Roman" w:hAnsi="Times New Roman"/>
        </w:rPr>
        <w:t xml:space="preserve">, </w:t>
      </w:r>
      <w:r w:rsidR="00EB16BA" w:rsidRPr="00BE446A">
        <w:rPr>
          <w:rFonts w:ascii="Times New Roman" w:hAnsi="Times New Roman"/>
        </w:rPr>
        <w:t xml:space="preserve">regional </w:t>
      </w:r>
      <w:r w:rsidR="00546421" w:rsidRPr="00BE446A">
        <w:rPr>
          <w:rFonts w:ascii="Times New Roman" w:hAnsi="Times New Roman"/>
        </w:rPr>
        <w:t xml:space="preserve">or local </w:t>
      </w:r>
      <w:r w:rsidR="00EB16BA" w:rsidRPr="00BE446A">
        <w:rPr>
          <w:rFonts w:ascii="Times New Roman" w:hAnsi="Times New Roman"/>
        </w:rPr>
        <w:t>level</w:t>
      </w:r>
      <w:r w:rsidR="770449BF" w:rsidRPr="00BE446A">
        <w:rPr>
          <w:rFonts w:ascii="Times New Roman" w:hAnsi="Times New Roman"/>
        </w:rPr>
        <w:t xml:space="preserve">. </w:t>
      </w:r>
      <w:r w:rsidR="00C67CF0" w:rsidRPr="00BE446A">
        <w:rPr>
          <w:rFonts w:ascii="Times New Roman" w:hAnsi="Times New Roman"/>
        </w:rPr>
        <w:t>The Commission stands ready to explore, in cooperation with national Parliaments, the co-legislators, and other actors</w:t>
      </w:r>
      <w:r w:rsidR="05257A75" w:rsidRPr="00BE446A">
        <w:rPr>
          <w:rFonts w:ascii="Times New Roman" w:hAnsi="Times New Roman"/>
        </w:rPr>
        <w:t xml:space="preserve"> such as the European Economic and Social Committee and the European Committee of the Regions</w:t>
      </w:r>
      <w:r w:rsidR="00C67CF0" w:rsidRPr="00BE446A">
        <w:rPr>
          <w:rFonts w:ascii="Times New Roman" w:hAnsi="Times New Roman"/>
        </w:rPr>
        <w:t>, how we can collectively ensure even better that European legislation finds the right balance in attributing responsibilities to the European, the national as well as the regional and local level.</w:t>
      </w:r>
    </w:p>
    <w:sectPr w:rsidR="0071069C" w:rsidRPr="00BE44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5675" w14:textId="77777777" w:rsidR="007934FC" w:rsidRDefault="007934FC" w:rsidP="00541124">
      <w:pPr>
        <w:spacing w:after="0"/>
      </w:pPr>
      <w:r>
        <w:separator/>
      </w:r>
    </w:p>
  </w:endnote>
  <w:endnote w:type="continuationSeparator" w:id="0">
    <w:p w14:paraId="32BB1328" w14:textId="77777777" w:rsidR="007934FC" w:rsidRDefault="007934FC" w:rsidP="00541124">
      <w:pPr>
        <w:spacing w:after="0"/>
      </w:pPr>
      <w:r>
        <w:continuationSeparator/>
      </w:r>
    </w:p>
  </w:endnote>
  <w:endnote w:type="continuationNotice" w:id="1">
    <w:p w14:paraId="5BAD3407" w14:textId="77777777" w:rsidR="007934FC" w:rsidRDefault="007934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7EBE" w14:textId="77777777" w:rsidR="007934FC" w:rsidRDefault="007934FC" w:rsidP="00541124">
      <w:pPr>
        <w:spacing w:after="0"/>
      </w:pPr>
      <w:r>
        <w:separator/>
      </w:r>
    </w:p>
  </w:footnote>
  <w:footnote w:type="continuationSeparator" w:id="0">
    <w:p w14:paraId="2A064ABB" w14:textId="77777777" w:rsidR="007934FC" w:rsidRDefault="007934FC" w:rsidP="00541124">
      <w:pPr>
        <w:spacing w:after="0"/>
      </w:pPr>
      <w:r>
        <w:continuationSeparator/>
      </w:r>
    </w:p>
  </w:footnote>
  <w:footnote w:type="continuationNotice" w:id="1">
    <w:p w14:paraId="62062DBD" w14:textId="77777777" w:rsidR="007934FC" w:rsidRDefault="007934FC">
      <w:pPr>
        <w:spacing w:after="0"/>
      </w:pPr>
    </w:p>
  </w:footnote>
  <w:footnote w:id="2">
    <w:p w14:paraId="64D30604" w14:textId="6357CBE0" w:rsidR="00A37221" w:rsidRPr="0044332A" w:rsidRDefault="00A37221" w:rsidP="0044332A">
      <w:pPr>
        <w:pStyle w:val="FootnoteText"/>
        <w:ind w:left="142" w:hanging="142"/>
        <w:rPr>
          <w:rFonts w:ascii="Times New Roman" w:hAnsi="Times New Roman" w:cs="Times New Roman"/>
        </w:rPr>
      </w:pPr>
      <w:r w:rsidRPr="0044332A">
        <w:rPr>
          <w:rStyle w:val="FootnoteReference"/>
          <w:rFonts w:ascii="Times New Roman" w:hAnsi="Times New Roman" w:cs="Times New Roman"/>
        </w:rPr>
        <w:footnoteRef/>
      </w:r>
      <w:r w:rsidRPr="0044332A">
        <w:rPr>
          <w:rFonts w:ascii="Times New Roman" w:hAnsi="Times New Roman" w:cs="Times New Roman"/>
        </w:rPr>
        <w:t xml:space="preserve"> Better Regulation Toolbox – Tool # 5 – Legal basis, subsidiarity and proportionality (</w:t>
      </w:r>
      <w:hyperlink r:id="rId1" w:history="1">
        <w:r w:rsidRPr="0044332A">
          <w:rPr>
            <w:rStyle w:val="Hyperlink"/>
            <w:rFonts w:ascii="Times New Roman" w:hAnsi="Times New Roman" w:cs="Times New Roman"/>
          </w:rPr>
          <w:t>Better regulation toolbox - European Commission</w:t>
        </w:r>
      </w:hyperlink>
      <w:r w:rsidRPr="0044332A">
        <w:rPr>
          <w:rFonts w:ascii="Times New Roman" w:hAnsi="Times New Roman" w:cs="Times New Roman"/>
        </w:rPr>
        <w:t>)</w:t>
      </w:r>
    </w:p>
  </w:footnote>
  <w:footnote w:id="3">
    <w:p w14:paraId="11865A2F" w14:textId="5DE376AD" w:rsidR="00494AB2" w:rsidRPr="0044332A" w:rsidRDefault="00494AB2" w:rsidP="0044332A">
      <w:pPr>
        <w:pStyle w:val="FootnoteText"/>
        <w:ind w:left="142" w:hanging="142"/>
        <w:rPr>
          <w:rFonts w:ascii="Times New Roman" w:hAnsi="Times New Roman" w:cs="Times New Roman"/>
        </w:rPr>
      </w:pPr>
      <w:r w:rsidRPr="0044332A">
        <w:rPr>
          <w:rStyle w:val="FootnoteReference"/>
          <w:rFonts w:ascii="Times New Roman" w:hAnsi="Times New Roman" w:cs="Times New Roman"/>
        </w:rPr>
        <w:footnoteRef/>
      </w:r>
      <w:r w:rsidRPr="0044332A">
        <w:rPr>
          <w:rFonts w:ascii="Times New Roman" w:hAnsi="Times New Roman" w:cs="Times New Roman"/>
        </w:rPr>
        <w:t xml:space="preserve"> </w:t>
      </w:r>
      <w:r w:rsidR="00E657DA" w:rsidRPr="0044332A">
        <w:rPr>
          <w:rFonts w:ascii="Times New Roman" w:hAnsi="Times New Roman" w:cs="Times New Roman"/>
        </w:rPr>
        <w:t>o</w:t>
      </w:r>
      <w:r w:rsidRPr="0044332A">
        <w:rPr>
          <w:rFonts w:ascii="Times New Roman" w:hAnsi="Times New Roman" w:cs="Times New Roman"/>
        </w:rPr>
        <w:t>r a Staff Working Document replacing an impact assessment in case of urgency</w:t>
      </w:r>
      <w:r w:rsidR="00E657DA" w:rsidRPr="0044332A">
        <w:rPr>
          <w:rFonts w:ascii="Times New Roman" w:hAnsi="Times New Roman" w:cs="Times New Roman"/>
        </w:rPr>
        <w:t>.</w:t>
      </w:r>
    </w:p>
  </w:footnote>
  <w:footnote w:id="4">
    <w:p w14:paraId="57F09FBC" w14:textId="7813ABB3" w:rsidR="00541124" w:rsidRPr="00D707A7" w:rsidRDefault="00541124" w:rsidP="0044332A">
      <w:pPr>
        <w:pStyle w:val="FootnoteText"/>
        <w:ind w:left="142" w:hanging="142"/>
        <w:rPr>
          <w:rFonts w:ascii="Times New Roman" w:hAnsi="Times New Roman" w:cs="Times New Roman"/>
        </w:rPr>
      </w:pPr>
      <w:r w:rsidRPr="0044332A">
        <w:rPr>
          <w:rStyle w:val="FootnoteReference"/>
          <w:rFonts w:ascii="Times New Roman" w:hAnsi="Times New Roman" w:cs="Times New Roman"/>
        </w:rPr>
        <w:footnoteRef/>
      </w:r>
      <w:r w:rsidRPr="00D707A7">
        <w:rPr>
          <w:rFonts w:ascii="Times New Roman" w:hAnsi="Times New Roman" w:cs="Times New Roman"/>
        </w:rPr>
        <w:t xml:space="preserve"> </w:t>
      </w:r>
      <w:hyperlink r:id="rId2" w:history="1">
        <w:r w:rsidR="00BE446A" w:rsidRPr="00BE446A">
          <w:rPr>
            <w:rStyle w:val="Hyperlink"/>
            <w:rFonts w:ascii="Times New Roman" w:hAnsi="Times New Roman" w:cs="Times New Roman"/>
          </w:rPr>
          <w:t>NPO - National Parliament opinions and Commission replies</w:t>
        </w:r>
      </w:hyperlink>
      <w:r w:rsidR="00BE446A" w:rsidRPr="00D707A7">
        <w:rPr>
          <w:rFonts w:ascii="Times New Roman" w:hAnsi="Times New Roman" w:cs="Times New Roman"/>
        </w:rPr>
        <w:t>.</w:t>
      </w:r>
    </w:p>
  </w:footnote>
  <w:footnote w:id="5">
    <w:p w14:paraId="46DDE8AE" w14:textId="37D9C9F8" w:rsidR="00E90F15" w:rsidRPr="0044332A" w:rsidRDefault="00E90F15" w:rsidP="0044332A">
      <w:pPr>
        <w:pStyle w:val="FootnoteText"/>
        <w:widowControl w:val="0"/>
        <w:ind w:left="142" w:hanging="142"/>
        <w:jc w:val="both"/>
        <w:rPr>
          <w:rFonts w:ascii="Times New Roman" w:hAnsi="Times New Roman" w:cs="Times New Roman"/>
          <w:lang w:val="fr-BE"/>
        </w:rPr>
      </w:pPr>
      <w:r w:rsidRPr="0044332A">
        <w:rPr>
          <w:rStyle w:val="FootnoteReference"/>
          <w:rFonts w:ascii="Times New Roman" w:hAnsi="Times New Roman" w:cs="Times New Roman"/>
        </w:rPr>
        <w:footnoteRef/>
      </w:r>
      <w:r w:rsidRPr="00BE446A">
        <w:rPr>
          <w:rFonts w:ascii="Times New Roman" w:hAnsi="Times New Roman" w:cs="Times New Roman"/>
        </w:rPr>
        <w:t xml:space="preserve"> </w:t>
      </w:r>
      <w:hyperlink r:id="rId3" w:history="1">
        <w:r w:rsidRPr="00BE446A">
          <w:rPr>
            <w:rStyle w:val="Hyperlink"/>
            <w:rFonts w:ascii="Times New Roman" w:hAnsi="Times New Roman" w:cs="Times New Roman"/>
          </w:rPr>
          <w:t>Implementation Dialogues - European Commission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3D32"/>
    <w:multiLevelType w:val="hybridMultilevel"/>
    <w:tmpl w:val="FFFFFFFF"/>
    <w:lvl w:ilvl="0" w:tplc="88E68606">
      <w:start w:val="1"/>
      <w:numFmt w:val="bullet"/>
      <w:lvlText w:val="·"/>
      <w:lvlJc w:val="left"/>
      <w:pPr>
        <w:ind w:left="720" w:hanging="360"/>
      </w:pPr>
      <w:rPr>
        <w:rFonts w:ascii="Symbol" w:hAnsi="Symbol" w:hint="default"/>
      </w:rPr>
    </w:lvl>
    <w:lvl w:ilvl="1" w:tplc="3C82D7AA">
      <w:start w:val="1"/>
      <w:numFmt w:val="bullet"/>
      <w:lvlText w:val="o"/>
      <w:lvlJc w:val="left"/>
      <w:pPr>
        <w:ind w:left="1440" w:hanging="360"/>
      </w:pPr>
      <w:rPr>
        <w:rFonts w:ascii="Courier New" w:hAnsi="Courier New" w:hint="default"/>
      </w:rPr>
    </w:lvl>
    <w:lvl w:ilvl="2" w:tplc="1BA63118">
      <w:start w:val="1"/>
      <w:numFmt w:val="bullet"/>
      <w:lvlText w:val=""/>
      <w:lvlJc w:val="left"/>
      <w:pPr>
        <w:ind w:left="2160" w:hanging="360"/>
      </w:pPr>
      <w:rPr>
        <w:rFonts w:ascii="Wingdings" w:hAnsi="Wingdings" w:hint="default"/>
      </w:rPr>
    </w:lvl>
    <w:lvl w:ilvl="3" w:tplc="B9F69494">
      <w:start w:val="1"/>
      <w:numFmt w:val="bullet"/>
      <w:lvlText w:val=""/>
      <w:lvlJc w:val="left"/>
      <w:pPr>
        <w:ind w:left="2880" w:hanging="360"/>
      </w:pPr>
      <w:rPr>
        <w:rFonts w:ascii="Symbol" w:hAnsi="Symbol" w:hint="default"/>
      </w:rPr>
    </w:lvl>
    <w:lvl w:ilvl="4" w:tplc="7EFE6CC4">
      <w:start w:val="1"/>
      <w:numFmt w:val="bullet"/>
      <w:lvlText w:val="o"/>
      <w:lvlJc w:val="left"/>
      <w:pPr>
        <w:ind w:left="3600" w:hanging="360"/>
      </w:pPr>
      <w:rPr>
        <w:rFonts w:ascii="Courier New" w:hAnsi="Courier New" w:hint="default"/>
      </w:rPr>
    </w:lvl>
    <w:lvl w:ilvl="5" w:tplc="1F88029E">
      <w:start w:val="1"/>
      <w:numFmt w:val="bullet"/>
      <w:lvlText w:val=""/>
      <w:lvlJc w:val="left"/>
      <w:pPr>
        <w:ind w:left="4320" w:hanging="360"/>
      </w:pPr>
      <w:rPr>
        <w:rFonts w:ascii="Wingdings" w:hAnsi="Wingdings" w:hint="default"/>
      </w:rPr>
    </w:lvl>
    <w:lvl w:ilvl="6" w:tplc="E5F21C08">
      <w:start w:val="1"/>
      <w:numFmt w:val="bullet"/>
      <w:lvlText w:val=""/>
      <w:lvlJc w:val="left"/>
      <w:pPr>
        <w:ind w:left="5040" w:hanging="360"/>
      </w:pPr>
      <w:rPr>
        <w:rFonts w:ascii="Symbol" w:hAnsi="Symbol" w:hint="default"/>
      </w:rPr>
    </w:lvl>
    <w:lvl w:ilvl="7" w:tplc="AB520AE8">
      <w:start w:val="1"/>
      <w:numFmt w:val="bullet"/>
      <w:lvlText w:val="o"/>
      <w:lvlJc w:val="left"/>
      <w:pPr>
        <w:ind w:left="5760" w:hanging="360"/>
      </w:pPr>
      <w:rPr>
        <w:rFonts w:ascii="Courier New" w:hAnsi="Courier New" w:hint="default"/>
      </w:rPr>
    </w:lvl>
    <w:lvl w:ilvl="8" w:tplc="C1FED8C8">
      <w:start w:val="1"/>
      <w:numFmt w:val="bullet"/>
      <w:lvlText w:val=""/>
      <w:lvlJc w:val="left"/>
      <w:pPr>
        <w:ind w:left="6480" w:hanging="360"/>
      </w:pPr>
      <w:rPr>
        <w:rFonts w:ascii="Wingdings" w:hAnsi="Wingdings" w:hint="default"/>
      </w:rPr>
    </w:lvl>
  </w:abstractNum>
  <w:abstractNum w:abstractNumId="1" w15:restartNumberingAfterBreak="0">
    <w:nsid w:val="397F79C0"/>
    <w:multiLevelType w:val="hybridMultilevel"/>
    <w:tmpl w:val="9DF09A94"/>
    <w:lvl w:ilvl="0" w:tplc="FFFFFFFF">
      <w:start w:val="1"/>
      <w:numFmt w:val="decimal"/>
      <w:lvlText w:val="%1."/>
      <w:lvlJc w:val="left"/>
      <w:pPr>
        <w:ind w:left="1429" w:hanging="360"/>
      </w:pPr>
      <w:rPr>
        <w:b/>
        <w:i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6451141B"/>
    <w:multiLevelType w:val="hybridMultilevel"/>
    <w:tmpl w:val="FFFFFFFF"/>
    <w:lvl w:ilvl="0" w:tplc="8DFEF0C0">
      <w:start w:val="1"/>
      <w:numFmt w:val="bullet"/>
      <w:lvlText w:val="·"/>
      <w:lvlJc w:val="left"/>
      <w:pPr>
        <w:ind w:left="720" w:hanging="360"/>
      </w:pPr>
      <w:rPr>
        <w:rFonts w:ascii="Symbol" w:hAnsi="Symbol" w:hint="default"/>
      </w:rPr>
    </w:lvl>
    <w:lvl w:ilvl="1" w:tplc="9452ACE2">
      <w:start w:val="1"/>
      <w:numFmt w:val="bullet"/>
      <w:lvlText w:val="o"/>
      <w:lvlJc w:val="left"/>
      <w:pPr>
        <w:ind w:left="1440" w:hanging="360"/>
      </w:pPr>
      <w:rPr>
        <w:rFonts w:ascii="Courier New" w:hAnsi="Courier New" w:hint="default"/>
      </w:rPr>
    </w:lvl>
    <w:lvl w:ilvl="2" w:tplc="0C3829FE">
      <w:start w:val="1"/>
      <w:numFmt w:val="bullet"/>
      <w:lvlText w:val=""/>
      <w:lvlJc w:val="left"/>
      <w:pPr>
        <w:ind w:left="2160" w:hanging="360"/>
      </w:pPr>
      <w:rPr>
        <w:rFonts w:ascii="Wingdings" w:hAnsi="Wingdings" w:hint="default"/>
      </w:rPr>
    </w:lvl>
    <w:lvl w:ilvl="3" w:tplc="81F4E0F6">
      <w:start w:val="1"/>
      <w:numFmt w:val="bullet"/>
      <w:lvlText w:val=""/>
      <w:lvlJc w:val="left"/>
      <w:pPr>
        <w:ind w:left="2880" w:hanging="360"/>
      </w:pPr>
      <w:rPr>
        <w:rFonts w:ascii="Symbol" w:hAnsi="Symbol" w:hint="default"/>
      </w:rPr>
    </w:lvl>
    <w:lvl w:ilvl="4" w:tplc="F08CF2B2">
      <w:start w:val="1"/>
      <w:numFmt w:val="bullet"/>
      <w:lvlText w:val="o"/>
      <w:lvlJc w:val="left"/>
      <w:pPr>
        <w:ind w:left="3600" w:hanging="360"/>
      </w:pPr>
      <w:rPr>
        <w:rFonts w:ascii="Courier New" w:hAnsi="Courier New" w:hint="default"/>
      </w:rPr>
    </w:lvl>
    <w:lvl w:ilvl="5" w:tplc="54F0CADA">
      <w:start w:val="1"/>
      <w:numFmt w:val="bullet"/>
      <w:lvlText w:val=""/>
      <w:lvlJc w:val="left"/>
      <w:pPr>
        <w:ind w:left="4320" w:hanging="360"/>
      </w:pPr>
      <w:rPr>
        <w:rFonts w:ascii="Wingdings" w:hAnsi="Wingdings" w:hint="default"/>
      </w:rPr>
    </w:lvl>
    <w:lvl w:ilvl="6" w:tplc="8B62B410">
      <w:start w:val="1"/>
      <w:numFmt w:val="bullet"/>
      <w:lvlText w:val=""/>
      <w:lvlJc w:val="left"/>
      <w:pPr>
        <w:ind w:left="5040" w:hanging="360"/>
      </w:pPr>
      <w:rPr>
        <w:rFonts w:ascii="Symbol" w:hAnsi="Symbol" w:hint="default"/>
      </w:rPr>
    </w:lvl>
    <w:lvl w:ilvl="7" w:tplc="5B7E7E80">
      <w:start w:val="1"/>
      <w:numFmt w:val="bullet"/>
      <w:lvlText w:val="o"/>
      <w:lvlJc w:val="left"/>
      <w:pPr>
        <w:ind w:left="5760" w:hanging="360"/>
      </w:pPr>
      <w:rPr>
        <w:rFonts w:ascii="Courier New" w:hAnsi="Courier New" w:hint="default"/>
      </w:rPr>
    </w:lvl>
    <w:lvl w:ilvl="8" w:tplc="95F6A27E">
      <w:start w:val="1"/>
      <w:numFmt w:val="bullet"/>
      <w:lvlText w:val=""/>
      <w:lvlJc w:val="left"/>
      <w:pPr>
        <w:ind w:left="6480" w:hanging="360"/>
      </w:pPr>
      <w:rPr>
        <w:rFonts w:ascii="Wingdings" w:hAnsi="Wingdings" w:hint="default"/>
      </w:rPr>
    </w:lvl>
  </w:abstractNum>
  <w:abstractNum w:abstractNumId="3" w15:restartNumberingAfterBreak="0">
    <w:nsid w:val="728406C6"/>
    <w:multiLevelType w:val="hybridMultilevel"/>
    <w:tmpl w:val="228CDEFE"/>
    <w:lvl w:ilvl="0" w:tplc="3228B35C">
      <w:start w:val="1"/>
      <w:numFmt w:val="bullet"/>
      <w:lvlText w:val="-"/>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25327695">
    <w:abstractNumId w:val="3"/>
  </w:num>
  <w:num w:numId="2" w16cid:durableId="241305644">
    <w:abstractNumId w:val="1"/>
  </w:num>
  <w:num w:numId="3" w16cid:durableId="226114798">
    <w:abstractNumId w:val="2"/>
  </w:num>
  <w:num w:numId="4" w16cid:durableId="83121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B67759"/>
    <w:rsid w:val="00000091"/>
    <w:rsid w:val="00002E66"/>
    <w:rsid w:val="00002EC7"/>
    <w:rsid w:val="00003163"/>
    <w:rsid w:val="00003D6D"/>
    <w:rsid w:val="00004F8B"/>
    <w:rsid w:val="0000593B"/>
    <w:rsid w:val="0000612B"/>
    <w:rsid w:val="000111AB"/>
    <w:rsid w:val="0001187C"/>
    <w:rsid w:val="00012613"/>
    <w:rsid w:val="0001328E"/>
    <w:rsid w:val="000135FF"/>
    <w:rsid w:val="00013EE1"/>
    <w:rsid w:val="00014344"/>
    <w:rsid w:val="00015DC2"/>
    <w:rsid w:val="00020B29"/>
    <w:rsid w:val="000227CA"/>
    <w:rsid w:val="00023BA1"/>
    <w:rsid w:val="0002689E"/>
    <w:rsid w:val="00026FC9"/>
    <w:rsid w:val="00027C38"/>
    <w:rsid w:val="00031DFF"/>
    <w:rsid w:val="0003229B"/>
    <w:rsid w:val="00032A33"/>
    <w:rsid w:val="00032EF7"/>
    <w:rsid w:val="00036460"/>
    <w:rsid w:val="00037398"/>
    <w:rsid w:val="00037D38"/>
    <w:rsid w:val="00037E3E"/>
    <w:rsid w:val="00041932"/>
    <w:rsid w:val="00042660"/>
    <w:rsid w:val="00045EEF"/>
    <w:rsid w:val="00046CAD"/>
    <w:rsid w:val="0004752C"/>
    <w:rsid w:val="00051256"/>
    <w:rsid w:val="000513CF"/>
    <w:rsid w:val="000516B7"/>
    <w:rsid w:val="00051A1F"/>
    <w:rsid w:val="000536FE"/>
    <w:rsid w:val="0006094F"/>
    <w:rsid w:val="00060C9B"/>
    <w:rsid w:val="00060E26"/>
    <w:rsid w:val="00064B63"/>
    <w:rsid w:val="0006567E"/>
    <w:rsid w:val="00066BE5"/>
    <w:rsid w:val="0007224A"/>
    <w:rsid w:val="000749CD"/>
    <w:rsid w:val="00075965"/>
    <w:rsid w:val="00076036"/>
    <w:rsid w:val="0007771E"/>
    <w:rsid w:val="00077931"/>
    <w:rsid w:val="00082421"/>
    <w:rsid w:val="000826F1"/>
    <w:rsid w:val="00082A4E"/>
    <w:rsid w:val="000842F0"/>
    <w:rsid w:val="0008508F"/>
    <w:rsid w:val="00085688"/>
    <w:rsid w:val="00086F6C"/>
    <w:rsid w:val="00087C8A"/>
    <w:rsid w:val="00091999"/>
    <w:rsid w:val="00092EC9"/>
    <w:rsid w:val="000933FB"/>
    <w:rsid w:val="00093E79"/>
    <w:rsid w:val="0009492D"/>
    <w:rsid w:val="0009504A"/>
    <w:rsid w:val="00095294"/>
    <w:rsid w:val="00095529"/>
    <w:rsid w:val="0009656F"/>
    <w:rsid w:val="0009739A"/>
    <w:rsid w:val="00097C07"/>
    <w:rsid w:val="000A14A8"/>
    <w:rsid w:val="000A15A8"/>
    <w:rsid w:val="000A2D0C"/>
    <w:rsid w:val="000B1491"/>
    <w:rsid w:val="000B30B5"/>
    <w:rsid w:val="000B3AB2"/>
    <w:rsid w:val="000B6DB9"/>
    <w:rsid w:val="000B7E14"/>
    <w:rsid w:val="000C11AF"/>
    <w:rsid w:val="000C1E78"/>
    <w:rsid w:val="000C31A0"/>
    <w:rsid w:val="000C5AD2"/>
    <w:rsid w:val="000C6123"/>
    <w:rsid w:val="000C762A"/>
    <w:rsid w:val="000D3E3F"/>
    <w:rsid w:val="000D68AC"/>
    <w:rsid w:val="000D6AF8"/>
    <w:rsid w:val="000E034A"/>
    <w:rsid w:val="000E0FD0"/>
    <w:rsid w:val="000E1CF1"/>
    <w:rsid w:val="000E3B48"/>
    <w:rsid w:val="000E41C5"/>
    <w:rsid w:val="000E5798"/>
    <w:rsid w:val="000F357C"/>
    <w:rsid w:val="000F3A44"/>
    <w:rsid w:val="000F44F3"/>
    <w:rsid w:val="000F5AE7"/>
    <w:rsid w:val="000F5FD2"/>
    <w:rsid w:val="000F623F"/>
    <w:rsid w:val="000F725C"/>
    <w:rsid w:val="001013A6"/>
    <w:rsid w:val="001022BE"/>
    <w:rsid w:val="00102993"/>
    <w:rsid w:val="00102DFF"/>
    <w:rsid w:val="00103C07"/>
    <w:rsid w:val="00105E43"/>
    <w:rsid w:val="00105F5D"/>
    <w:rsid w:val="00111FDE"/>
    <w:rsid w:val="00112504"/>
    <w:rsid w:val="001127F6"/>
    <w:rsid w:val="00112955"/>
    <w:rsid w:val="00115A7D"/>
    <w:rsid w:val="00115D7D"/>
    <w:rsid w:val="00117D7B"/>
    <w:rsid w:val="00117F11"/>
    <w:rsid w:val="00120556"/>
    <w:rsid w:val="001219B7"/>
    <w:rsid w:val="001254D5"/>
    <w:rsid w:val="001264E6"/>
    <w:rsid w:val="00127357"/>
    <w:rsid w:val="0012778E"/>
    <w:rsid w:val="00130E87"/>
    <w:rsid w:val="00131091"/>
    <w:rsid w:val="00133232"/>
    <w:rsid w:val="001355A4"/>
    <w:rsid w:val="00135C14"/>
    <w:rsid w:val="00141460"/>
    <w:rsid w:val="00141851"/>
    <w:rsid w:val="00145D49"/>
    <w:rsid w:val="00147E5E"/>
    <w:rsid w:val="0015093D"/>
    <w:rsid w:val="00151619"/>
    <w:rsid w:val="001522A4"/>
    <w:rsid w:val="0015309F"/>
    <w:rsid w:val="00155E0E"/>
    <w:rsid w:val="00156FB6"/>
    <w:rsid w:val="00157886"/>
    <w:rsid w:val="00157CA5"/>
    <w:rsid w:val="001667A7"/>
    <w:rsid w:val="00172E00"/>
    <w:rsid w:val="001736CF"/>
    <w:rsid w:val="00174663"/>
    <w:rsid w:val="00175A37"/>
    <w:rsid w:val="00180D3E"/>
    <w:rsid w:val="00185A46"/>
    <w:rsid w:val="00186561"/>
    <w:rsid w:val="00190912"/>
    <w:rsid w:val="00190BA4"/>
    <w:rsid w:val="00192AD4"/>
    <w:rsid w:val="0019359D"/>
    <w:rsid w:val="00195A10"/>
    <w:rsid w:val="001A0AC3"/>
    <w:rsid w:val="001A3191"/>
    <w:rsid w:val="001A433C"/>
    <w:rsid w:val="001A5630"/>
    <w:rsid w:val="001A7285"/>
    <w:rsid w:val="001B19C8"/>
    <w:rsid w:val="001B41C6"/>
    <w:rsid w:val="001B4F91"/>
    <w:rsid w:val="001B5CD8"/>
    <w:rsid w:val="001B774A"/>
    <w:rsid w:val="001C2716"/>
    <w:rsid w:val="001C28DC"/>
    <w:rsid w:val="001C456F"/>
    <w:rsid w:val="001C7041"/>
    <w:rsid w:val="001D1785"/>
    <w:rsid w:val="001D3AB7"/>
    <w:rsid w:val="001D3CB7"/>
    <w:rsid w:val="001D7948"/>
    <w:rsid w:val="001E0BF7"/>
    <w:rsid w:val="001E4432"/>
    <w:rsid w:val="001E5001"/>
    <w:rsid w:val="001E54BD"/>
    <w:rsid w:val="001E5722"/>
    <w:rsid w:val="001E6F54"/>
    <w:rsid w:val="001E7F4A"/>
    <w:rsid w:val="001F1D26"/>
    <w:rsid w:val="001F2D1E"/>
    <w:rsid w:val="001F5A27"/>
    <w:rsid w:val="001F5FE9"/>
    <w:rsid w:val="001F65D3"/>
    <w:rsid w:val="001F7AE7"/>
    <w:rsid w:val="0020201C"/>
    <w:rsid w:val="00203193"/>
    <w:rsid w:val="0020523E"/>
    <w:rsid w:val="002058C6"/>
    <w:rsid w:val="00205907"/>
    <w:rsid w:val="0021149C"/>
    <w:rsid w:val="002117A2"/>
    <w:rsid w:val="00213227"/>
    <w:rsid w:val="00213DBC"/>
    <w:rsid w:val="00215114"/>
    <w:rsid w:val="00221712"/>
    <w:rsid w:val="0022184B"/>
    <w:rsid w:val="002239FC"/>
    <w:rsid w:val="002240FC"/>
    <w:rsid w:val="00231DA5"/>
    <w:rsid w:val="0023288C"/>
    <w:rsid w:val="00232FDD"/>
    <w:rsid w:val="002347B8"/>
    <w:rsid w:val="002372F1"/>
    <w:rsid w:val="00237B64"/>
    <w:rsid w:val="00240656"/>
    <w:rsid w:val="00240CAD"/>
    <w:rsid w:val="002425B3"/>
    <w:rsid w:val="002434AA"/>
    <w:rsid w:val="00246631"/>
    <w:rsid w:val="00246FC3"/>
    <w:rsid w:val="00250566"/>
    <w:rsid w:val="00250814"/>
    <w:rsid w:val="002513B0"/>
    <w:rsid w:val="002522D3"/>
    <w:rsid w:val="00254FAE"/>
    <w:rsid w:val="00255DCD"/>
    <w:rsid w:val="0026272B"/>
    <w:rsid w:val="002635EA"/>
    <w:rsid w:val="00263632"/>
    <w:rsid w:val="002656F1"/>
    <w:rsid w:val="002662D3"/>
    <w:rsid w:val="00266F78"/>
    <w:rsid w:val="00267BCC"/>
    <w:rsid w:val="00270346"/>
    <w:rsid w:val="00271967"/>
    <w:rsid w:val="002720E1"/>
    <w:rsid w:val="00273108"/>
    <w:rsid w:val="00274386"/>
    <w:rsid w:val="002755D8"/>
    <w:rsid w:val="00276405"/>
    <w:rsid w:val="0027738A"/>
    <w:rsid w:val="00280F4C"/>
    <w:rsid w:val="00281484"/>
    <w:rsid w:val="00281A44"/>
    <w:rsid w:val="00290643"/>
    <w:rsid w:val="00291735"/>
    <w:rsid w:val="002922E2"/>
    <w:rsid w:val="00292878"/>
    <w:rsid w:val="0029392A"/>
    <w:rsid w:val="002940EA"/>
    <w:rsid w:val="002944FA"/>
    <w:rsid w:val="00295503"/>
    <w:rsid w:val="00297D78"/>
    <w:rsid w:val="002A1586"/>
    <w:rsid w:val="002A3312"/>
    <w:rsid w:val="002A4444"/>
    <w:rsid w:val="002A478D"/>
    <w:rsid w:val="002A6E60"/>
    <w:rsid w:val="002B0C65"/>
    <w:rsid w:val="002B27E4"/>
    <w:rsid w:val="002B33B6"/>
    <w:rsid w:val="002B3B62"/>
    <w:rsid w:val="002B41E9"/>
    <w:rsid w:val="002B4ADF"/>
    <w:rsid w:val="002B54F0"/>
    <w:rsid w:val="002B54FE"/>
    <w:rsid w:val="002B5810"/>
    <w:rsid w:val="002B5F00"/>
    <w:rsid w:val="002B6836"/>
    <w:rsid w:val="002B718E"/>
    <w:rsid w:val="002B7919"/>
    <w:rsid w:val="002C0809"/>
    <w:rsid w:val="002C0E08"/>
    <w:rsid w:val="002C1298"/>
    <w:rsid w:val="002C7587"/>
    <w:rsid w:val="002C77E7"/>
    <w:rsid w:val="002C784F"/>
    <w:rsid w:val="002C7E45"/>
    <w:rsid w:val="002D197D"/>
    <w:rsid w:val="002D2BE6"/>
    <w:rsid w:val="002D2EB4"/>
    <w:rsid w:val="002D3469"/>
    <w:rsid w:val="002D5600"/>
    <w:rsid w:val="002D5A78"/>
    <w:rsid w:val="002E1FBC"/>
    <w:rsid w:val="002E3A35"/>
    <w:rsid w:val="002E52E9"/>
    <w:rsid w:val="002E7A54"/>
    <w:rsid w:val="002F1470"/>
    <w:rsid w:val="002F2311"/>
    <w:rsid w:val="002F4412"/>
    <w:rsid w:val="002F526D"/>
    <w:rsid w:val="003017EA"/>
    <w:rsid w:val="00304FE4"/>
    <w:rsid w:val="003060E9"/>
    <w:rsid w:val="003065D8"/>
    <w:rsid w:val="0030672D"/>
    <w:rsid w:val="00306736"/>
    <w:rsid w:val="00307D9B"/>
    <w:rsid w:val="00311D19"/>
    <w:rsid w:val="0031370B"/>
    <w:rsid w:val="00314C58"/>
    <w:rsid w:val="00314E65"/>
    <w:rsid w:val="00316800"/>
    <w:rsid w:val="00316C12"/>
    <w:rsid w:val="00320AD8"/>
    <w:rsid w:val="00320F15"/>
    <w:rsid w:val="00322003"/>
    <w:rsid w:val="00322FB3"/>
    <w:rsid w:val="00323DBD"/>
    <w:rsid w:val="003240E4"/>
    <w:rsid w:val="00327C59"/>
    <w:rsid w:val="00331F8D"/>
    <w:rsid w:val="00333D74"/>
    <w:rsid w:val="00336CB3"/>
    <w:rsid w:val="003378B3"/>
    <w:rsid w:val="00340C1B"/>
    <w:rsid w:val="00341754"/>
    <w:rsid w:val="00341D7D"/>
    <w:rsid w:val="00342446"/>
    <w:rsid w:val="00343A4C"/>
    <w:rsid w:val="0034561E"/>
    <w:rsid w:val="00351DB5"/>
    <w:rsid w:val="00353246"/>
    <w:rsid w:val="00353DF1"/>
    <w:rsid w:val="00355E42"/>
    <w:rsid w:val="003564FF"/>
    <w:rsid w:val="003571CD"/>
    <w:rsid w:val="00357F5B"/>
    <w:rsid w:val="003604E2"/>
    <w:rsid w:val="00361389"/>
    <w:rsid w:val="00361A7D"/>
    <w:rsid w:val="0036369D"/>
    <w:rsid w:val="003639F1"/>
    <w:rsid w:val="00364756"/>
    <w:rsid w:val="00364E14"/>
    <w:rsid w:val="003655FF"/>
    <w:rsid w:val="0036563E"/>
    <w:rsid w:val="00365BA0"/>
    <w:rsid w:val="003703D3"/>
    <w:rsid w:val="0037187A"/>
    <w:rsid w:val="00371ABB"/>
    <w:rsid w:val="003724BB"/>
    <w:rsid w:val="00373CA6"/>
    <w:rsid w:val="0038172F"/>
    <w:rsid w:val="00381AC2"/>
    <w:rsid w:val="00383455"/>
    <w:rsid w:val="00383495"/>
    <w:rsid w:val="003849AC"/>
    <w:rsid w:val="0038578C"/>
    <w:rsid w:val="00394D86"/>
    <w:rsid w:val="003974F4"/>
    <w:rsid w:val="003A2A88"/>
    <w:rsid w:val="003A3F7D"/>
    <w:rsid w:val="003A6604"/>
    <w:rsid w:val="003A70B8"/>
    <w:rsid w:val="003B2E55"/>
    <w:rsid w:val="003B317E"/>
    <w:rsid w:val="003B4AB5"/>
    <w:rsid w:val="003C3EA7"/>
    <w:rsid w:val="003C4713"/>
    <w:rsid w:val="003C4D8E"/>
    <w:rsid w:val="003C54BC"/>
    <w:rsid w:val="003C653A"/>
    <w:rsid w:val="003D19CA"/>
    <w:rsid w:val="003D1E86"/>
    <w:rsid w:val="003D1F49"/>
    <w:rsid w:val="003D267B"/>
    <w:rsid w:val="003D365F"/>
    <w:rsid w:val="003D3CA5"/>
    <w:rsid w:val="003D4767"/>
    <w:rsid w:val="003D5A8B"/>
    <w:rsid w:val="003D7601"/>
    <w:rsid w:val="003D7C59"/>
    <w:rsid w:val="003D7ECE"/>
    <w:rsid w:val="003E01D7"/>
    <w:rsid w:val="003E1C97"/>
    <w:rsid w:val="003E369C"/>
    <w:rsid w:val="003E51BC"/>
    <w:rsid w:val="003E5EC4"/>
    <w:rsid w:val="003E6ADC"/>
    <w:rsid w:val="003E76C5"/>
    <w:rsid w:val="003E7D40"/>
    <w:rsid w:val="003F1F6C"/>
    <w:rsid w:val="003F255B"/>
    <w:rsid w:val="003F2FDB"/>
    <w:rsid w:val="003F42A1"/>
    <w:rsid w:val="003F7776"/>
    <w:rsid w:val="00400ABF"/>
    <w:rsid w:val="0040120B"/>
    <w:rsid w:val="0040324A"/>
    <w:rsid w:val="00411A88"/>
    <w:rsid w:val="00411E35"/>
    <w:rsid w:val="0041219E"/>
    <w:rsid w:val="00412E08"/>
    <w:rsid w:val="0041532C"/>
    <w:rsid w:val="0041699E"/>
    <w:rsid w:val="00417E9C"/>
    <w:rsid w:val="004200EC"/>
    <w:rsid w:val="004201B0"/>
    <w:rsid w:val="00420214"/>
    <w:rsid w:val="00420327"/>
    <w:rsid w:val="00421679"/>
    <w:rsid w:val="004316B3"/>
    <w:rsid w:val="004319EE"/>
    <w:rsid w:val="00431B3D"/>
    <w:rsid w:val="00431D10"/>
    <w:rsid w:val="00431EDD"/>
    <w:rsid w:val="004334DC"/>
    <w:rsid w:val="004341E5"/>
    <w:rsid w:val="004342CB"/>
    <w:rsid w:val="0043489D"/>
    <w:rsid w:val="004348D0"/>
    <w:rsid w:val="00434E84"/>
    <w:rsid w:val="00435EAC"/>
    <w:rsid w:val="00436DEB"/>
    <w:rsid w:val="00441CCF"/>
    <w:rsid w:val="00441D24"/>
    <w:rsid w:val="004424CF"/>
    <w:rsid w:val="0044332A"/>
    <w:rsid w:val="00445128"/>
    <w:rsid w:val="00445691"/>
    <w:rsid w:val="00446D35"/>
    <w:rsid w:val="00450DBA"/>
    <w:rsid w:val="00452DF2"/>
    <w:rsid w:val="004546A9"/>
    <w:rsid w:val="00454D9C"/>
    <w:rsid w:val="0045529D"/>
    <w:rsid w:val="00456754"/>
    <w:rsid w:val="004575E8"/>
    <w:rsid w:val="00457A26"/>
    <w:rsid w:val="00463922"/>
    <w:rsid w:val="004700AE"/>
    <w:rsid w:val="00470521"/>
    <w:rsid w:val="0047070C"/>
    <w:rsid w:val="00471B3E"/>
    <w:rsid w:val="004725AC"/>
    <w:rsid w:val="004731A8"/>
    <w:rsid w:val="004735DC"/>
    <w:rsid w:val="0047413D"/>
    <w:rsid w:val="00474286"/>
    <w:rsid w:val="0047436F"/>
    <w:rsid w:val="0047536C"/>
    <w:rsid w:val="00476EE5"/>
    <w:rsid w:val="00477FD6"/>
    <w:rsid w:val="004813E1"/>
    <w:rsid w:val="004860B7"/>
    <w:rsid w:val="00486A3D"/>
    <w:rsid w:val="004872A8"/>
    <w:rsid w:val="00490302"/>
    <w:rsid w:val="0049497C"/>
    <w:rsid w:val="00494AB2"/>
    <w:rsid w:val="00496586"/>
    <w:rsid w:val="004975BE"/>
    <w:rsid w:val="004A2BA1"/>
    <w:rsid w:val="004A2CB0"/>
    <w:rsid w:val="004A2F97"/>
    <w:rsid w:val="004A46D5"/>
    <w:rsid w:val="004A4BC3"/>
    <w:rsid w:val="004A5295"/>
    <w:rsid w:val="004A5620"/>
    <w:rsid w:val="004A5E3E"/>
    <w:rsid w:val="004A7C5C"/>
    <w:rsid w:val="004B04D0"/>
    <w:rsid w:val="004B1343"/>
    <w:rsid w:val="004B1EFD"/>
    <w:rsid w:val="004B2246"/>
    <w:rsid w:val="004B3A0E"/>
    <w:rsid w:val="004C069D"/>
    <w:rsid w:val="004C2013"/>
    <w:rsid w:val="004C290C"/>
    <w:rsid w:val="004C35A0"/>
    <w:rsid w:val="004C5DFB"/>
    <w:rsid w:val="004C7F8A"/>
    <w:rsid w:val="004D24F1"/>
    <w:rsid w:val="004D4BFA"/>
    <w:rsid w:val="004D750E"/>
    <w:rsid w:val="004E20DD"/>
    <w:rsid w:val="004E45EA"/>
    <w:rsid w:val="004E5C08"/>
    <w:rsid w:val="004E702F"/>
    <w:rsid w:val="004F0213"/>
    <w:rsid w:val="004F0C8E"/>
    <w:rsid w:val="004F3413"/>
    <w:rsid w:val="004F52F8"/>
    <w:rsid w:val="004F6E78"/>
    <w:rsid w:val="0050189C"/>
    <w:rsid w:val="00501A5E"/>
    <w:rsid w:val="005021D4"/>
    <w:rsid w:val="00502F50"/>
    <w:rsid w:val="00503234"/>
    <w:rsid w:val="00503940"/>
    <w:rsid w:val="0050517E"/>
    <w:rsid w:val="0051230B"/>
    <w:rsid w:val="00512BEE"/>
    <w:rsid w:val="005135A6"/>
    <w:rsid w:val="00515DBE"/>
    <w:rsid w:val="005203C1"/>
    <w:rsid w:val="00521162"/>
    <w:rsid w:val="00521BCB"/>
    <w:rsid w:val="00524ED4"/>
    <w:rsid w:val="00525B20"/>
    <w:rsid w:val="00525DB2"/>
    <w:rsid w:val="00525EB9"/>
    <w:rsid w:val="00527363"/>
    <w:rsid w:val="00527BE4"/>
    <w:rsid w:val="00527D6E"/>
    <w:rsid w:val="00531795"/>
    <w:rsid w:val="00531B44"/>
    <w:rsid w:val="0053269C"/>
    <w:rsid w:val="005335CC"/>
    <w:rsid w:val="0053450C"/>
    <w:rsid w:val="005353D3"/>
    <w:rsid w:val="005355AB"/>
    <w:rsid w:val="00536480"/>
    <w:rsid w:val="00536CF8"/>
    <w:rsid w:val="005375B4"/>
    <w:rsid w:val="0053768E"/>
    <w:rsid w:val="00537E3B"/>
    <w:rsid w:val="00541124"/>
    <w:rsid w:val="005412BC"/>
    <w:rsid w:val="005445F5"/>
    <w:rsid w:val="00546421"/>
    <w:rsid w:val="00546EAD"/>
    <w:rsid w:val="00550E2C"/>
    <w:rsid w:val="00551C86"/>
    <w:rsid w:val="00552869"/>
    <w:rsid w:val="00554445"/>
    <w:rsid w:val="005553F7"/>
    <w:rsid w:val="00556677"/>
    <w:rsid w:val="00556AEA"/>
    <w:rsid w:val="0056045E"/>
    <w:rsid w:val="00560734"/>
    <w:rsid w:val="005613C9"/>
    <w:rsid w:val="00561788"/>
    <w:rsid w:val="0056451C"/>
    <w:rsid w:val="00564F57"/>
    <w:rsid w:val="00566424"/>
    <w:rsid w:val="005711F2"/>
    <w:rsid w:val="00574618"/>
    <w:rsid w:val="00574EA1"/>
    <w:rsid w:val="00575563"/>
    <w:rsid w:val="005755A4"/>
    <w:rsid w:val="00575B0D"/>
    <w:rsid w:val="00577B89"/>
    <w:rsid w:val="00583835"/>
    <w:rsid w:val="005843F7"/>
    <w:rsid w:val="00584B0A"/>
    <w:rsid w:val="00586249"/>
    <w:rsid w:val="00592AE4"/>
    <w:rsid w:val="00595B95"/>
    <w:rsid w:val="00596520"/>
    <w:rsid w:val="005972B2"/>
    <w:rsid w:val="005A0581"/>
    <w:rsid w:val="005A05BA"/>
    <w:rsid w:val="005A12D4"/>
    <w:rsid w:val="005A195C"/>
    <w:rsid w:val="005A217C"/>
    <w:rsid w:val="005A2368"/>
    <w:rsid w:val="005A24EA"/>
    <w:rsid w:val="005A3489"/>
    <w:rsid w:val="005A3C63"/>
    <w:rsid w:val="005A4FB4"/>
    <w:rsid w:val="005A515B"/>
    <w:rsid w:val="005A5677"/>
    <w:rsid w:val="005A5A34"/>
    <w:rsid w:val="005A6515"/>
    <w:rsid w:val="005A7356"/>
    <w:rsid w:val="005A7599"/>
    <w:rsid w:val="005B0C4C"/>
    <w:rsid w:val="005B0E0D"/>
    <w:rsid w:val="005B2687"/>
    <w:rsid w:val="005B283A"/>
    <w:rsid w:val="005B5CF7"/>
    <w:rsid w:val="005B6A39"/>
    <w:rsid w:val="005B7B3B"/>
    <w:rsid w:val="005C1D0B"/>
    <w:rsid w:val="005C6669"/>
    <w:rsid w:val="005C6CD1"/>
    <w:rsid w:val="005C71D0"/>
    <w:rsid w:val="005C7785"/>
    <w:rsid w:val="005D0DF6"/>
    <w:rsid w:val="005D0FB9"/>
    <w:rsid w:val="005D2CCF"/>
    <w:rsid w:val="005D3EBA"/>
    <w:rsid w:val="005D4967"/>
    <w:rsid w:val="005D4B6D"/>
    <w:rsid w:val="005D4EF8"/>
    <w:rsid w:val="005D5C52"/>
    <w:rsid w:val="005D6EF0"/>
    <w:rsid w:val="005E0163"/>
    <w:rsid w:val="005E12E8"/>
    <w:rsid w:val="005E1AB4"/>
    <w:rsid w:val="005E42CD"/>
    <w:rsid w:val="005E766E"/>
    <w:rsid w:val="005F15F9"/>
    <w:rsid w:val="005F3113"/>
    <w:rsid w:val="005F3E92"/>
    <w:rsid w:val="005F610A"/>
    <w:rsid w:val="005F6ADF"/>
    <w:rsid w:val="00600069"/>
    <w:rsid w:val="00600909"/>
    <w:rsid w:val="00605DC7"/>
    <w:rsid w:val="006062D2"/>
    <w:rsid w:val="006069A1"/>
    <w:rsid w:val="00607882"/>
    <w:rsid w:val="0060E72A"/>
    <w:rsid w:val="0061046F"/>
    <w:rsid w:val="00611395"/>
    <w:rsid w:val="00611653"/>
    <w:rsid w:val="00615E4E"/>
    <w:rsid w:val="00621147"/>
    <w:rsid w:val="00621598"/>
    <w:rsid w:val="00622EB4"/>
    <w:rsid w:val="00625894"/>
    <w:rsid w:val="00631C50"/>
    <w:rsid w:val="00633947"/>
    <w:rsid w:val="006339EF"/>
    <w:rsid w:val="00633CA3"/>
    <w:rsid w:val="0063452F"/>
    <w:rsid w:val="00635AC9"/>
    <w:rsid w:val="00640261"/>
    <w:rsid w:val="0064119B"/>
    <w:rsid w:val="00641446"/>
    <w:rsid w:val="00642169"/>
    <w:rsid w:val="00643F3C"/>
    <w:rsid w:val="00647B63"/>
    <w:rsid w:val="00650399"/>
    <w:rsid w:val="00650DF0"/>
    <w:rsid w:val="0065192F"/>
    <w:rsid w:val="00652D2C"/>
    <w:rsid w:val="0065658A"/>
    <w:rsid w:val="006610A6"/>
    <w:rsid w:val="006617B3"/>
    <w:rsid w:val="006628E2"/>
    <w:rsid w:val="00662A8E"/>
    <w:rsid w:val="00663B19"/>
    <w:rsid w:val="00663DF4"/>
    <w:rsid w:val="0066448E"/>
    <w:rsid w:val="00664B26"/>
    <w:rsid w:val="00666227"/>
    <w:rsid w:val="00666991"/>
    <w:rsid w:val="006673F5"/>
    <w:rsid w:val="006711CA"/>
    <w:rsid w:val="00671FDA"/>
    <w:rsid w:val="00677386"/>
    <w:rsid w:val="006774DB"/>
    <w:rsid w:val="006777FF"/>
    <w:rsid w:val="006823A6"/>
    <w:rsid w:val="00682851"/>
    <w:rsid w:val="006841C2"/>
    <w:rsid w:val="00685488"/>
    <w:rsid w:val="00685753"/>
    <w:rsid w:val="00686025"/>
    <w:rsid w:val="00690738"/>
    <w:rsid w:val="00690BE8"/>
    <w:rsid w:val="00691293"/>
    <w:rsid w:val="00691BFF"/>
    <w:rsid w:val="006923E8"/>
    <w:rsid w:val="00692763"/>
    <w:rsid w:val="00694653"/>
    <w:rsid w:val="00694C8B"/>
    <w:rsid w:val="006A02CC"/>
    <w:rsid w:val="006A0BA7"/>
    <w:rsid w:val="006A1A9B"/>
    <w:rsid w:val="006A6E09"/>
    <w:rsid w:val="006A73F1"/>
    <w:rsid w:val="006B7DEE"/>
    <w:rsid w:val="006C0326"/>
    <w:rsid w:val="006C0768"/>
    <w:rsid w:val="006C6561"/>
    <w:rsid w:val="006C7890"/>
    <w:rsid w:val="006D0253"/>
    <w:rsid w:val="006D0670"/>
    <w:rsid w:val="006D191B"/>
    <w:rsid w:val="006D36E4"/>
    <w:rsid w:val="006D6B7B"/>
    <w:rsid w:val="006E03F1"/>
    <w:rsid w:val="006E171C"/>
    <w:rsid w:val="006E4D9A"/>
    <w:rsid w:val="006EB961"/>
    <w:rsid w:val="006F0433"/>
    <w:rsid w:val="006F0A57"/>
    <w:rsid w:val="006F32A2"/>
    <w:rsid w:val="006F5423"/>
    <w:rsid w:val="006F5996"/>
    <w:rsid w:val="006F65BD"/>
    <w:rsid w:val="00701DE0"/>
    <w:rsid w:val="007042C3"/>
    <w:rsid w:val="00705552"/>
    <w:rsid w:val="00706A60"/>
    <w:rsid w:val="0071069C"/>
    <w:rsid w:val="0071089F"/>
    <w:rsid w:val="00710C6E"/>
    <w:rsid w:val="00710FB1"/>
    <w:rsid w:val="00712E3C"/>
    <w:rsid w:val="00713522"/>
    <w:rsid w:val="007149DC"/>
    <w:rsid w:val="00714ED6"/>
    <w:rsid w:val="007155A0"/>
    <w:rsid w:val="00715BD9"/>
    <w:rsid w:val="007233B8"/>
    <w:rsid w:val="007244ED"/>
    <w:rsid w:val="00724805"/>
    <w:rsid w:val="00725320"/>
    <w:rsid w:val="00725BF6"/>
    <w:rsid w:val="00726ACF"/>
    <w:rsid w:val="007274CC"/>
    <w:rsid w:val="007319F1"/>
    <w:rsid w:val="007335E7"/>
    <w:rsid w:val="007352B7"/>
    <w:rsid w:val="007354A4"/>
    <w:rsid w:val="007355A5"/>
    <w:rsid w:val="00735C9C"/>
    <w:rsid w:val="00736386"/>
    <w:rsid w:val="007368F5"/>
    <w:rsid w:val="00736EAD"/>
    <w:rsid w:val="00737AA0"/>
    <w:rsid w:val="007400E0"/>
    <w:rsid w:val="00742556"/>
    <w:rsid w:val="0074369E"/>
    <w:rsid w:val="00743F77"/>
    <w:rsid w:val="0074459C"/>
    <w:rsid w:val="007467A0"/>
    <w:rsid w:val="0074766E"/>
    <w:rsid w:val="00750A24"/>
    <w:rsid w:val="0075278E"/>
    <w:rsid w:val="00752D3B"/>
    <w:rsid w:val="00755004"/>
    <w:rsid w:val="00756B68"/>
    <w:rsid w:val="00760755"/>
    <w:rsid w:val="00761CB3"/>
    <w:rsid w:val="00763796"/>
    <w:rsid w:val="00765F68"/>
    <w:rsid w:val="007671C0"/>
    <w:rsid w:val="00772FCB"/>
    <w:rsid w:val="00773A15"/>
    <w:rsid w:val="00773E89"/>
    <w:rsid w:val="0077570B"/>
    <w:rsid w:val="00780FE6"/>
    <w:rsid w:val="00781F34"/>
    <w:rsid w:val="00782075"/>
    <w:rsid w:val="007828BE"/>
    <w:rsid w:val="0078745E"/>
    <w:rsid w:val="00790089"/>
    <w:rsid w:val="007907C2"/>
    <w:rsid w:val="00790CDA"/>
    <w:rsid w:val="007930A0"/>
    <w:rsid w:val="007934FC"/>
    <w:rsid w:val="007942F2"/>
    <w:rsid w:val="007959A9"/>
    <w:rsid w:val="00796003"/>
    <w:rsid w:val="007960FE"/>
    <w:rsid w:val="00796AE1"/>
    <w:rsid w:val="00797755"/>
    <w:rsid w:val="007A03AF"/>
    <w:rsid w:val="007A185A"/>
    <w:rsid w:val="007A2475"/>
    <w:rsid w:val="007A3A9E"/>
    <w:rsid w:val="007A5839"/>
    <w:rsid w:val="007A5E16"/>
    <w:rsid w:val="007A69A8"/>
    <w:rsid w:val="007B1018"/>
    <w:rsid w:val="007B121F"/>
    <w:rsid w:val="007B3B71"/>
    <w:rsid w:val="007B5648"/>
    <w:rsid w:val="007B57CE"/>
    <w:rsid w:val="007B68FE"/>
    <w:rsid w:val="007B6B99"/>
    <w:rsid w:val="007C0A3D"/>
    <w:rsid w:val="007C1167"/>
    <w:rsid w:val="007C19A4"/>
    <w:rsid w:val="007C1B01"/>
    <w:rsid w:val="007C1E8A"/>
    <w:rsid w:val="007C28BA"/>
    <w:rsid w:val="007C4C7B"/>
    <w:rsid w:val="007C6510"/>
    <w:rsid w:val="007C7544"/>
    <w:rsid w:val="007C772E"/>
    <w:rsid w:val="007D2D84"/>
    <w:rsid w:val="007D2DEB"/>
    <w:rsid w:val="007D3378"/>
    <w:rsid w:val="007D67E6"/>
    <w:rsid w:val="007D73B2"/>
    <w:rsid w:val="007D73BB"/>
    <w:rsid w:val="007D7464"/>
    <w:rsid w:val="007D7551"/>
    <w:rsid w:val="007E275A"/>
    <w:rsid w:val="007E2C0A"/>
    <w:rsid w:val="007E51DD"/>
    <w:rsid w:val="007E5714"/>
    <w:rsid w:val="007E7EDB"/>
    <w:rsid w:val="007F02A4"/>
    <w:rsid w:val="007F1580"/>
    <w:rsid w:val="007F2521"/>
    <w:rsid w:val="007F3DD4"/>
    <w:rsid w:val="007F3F91"/>
    <w:rsid w:val="007F5148"/>
    <w:rsid w:val="007F6FF2"/>
    <w:rsid w:val="007F74F1"/>
    <w:rsid w:val="008015A6"/>
    <w:rsid w:val="00804649"/>
    <w:rsid w:val="00804B74"/>
    <w:rsid w:val="008066A6"/>
    <w:rsid w:val="00807493"/>
    <w:rsid w:val="00812DAC"/>
    <w:rsid w:val="00813FBF"/>
    <w:rsid w:val="008150FD"/>
    <w:rsid w:val="008213FF"/>
    <w:rsid w:val="00823F72"/>
    <w:rsid w:val="008251D5"/>
    <w:rsid w:val="00825A7A"/>
    <w:rsid w:val="00830183"/>
    <w:rsid w:val="008326B8"/>
    <w:rsid w:val="008329D0"/>
    <w:rsid w:val="00833CC7"/>
    <w:rsid w:val="008343D2"/>
    <w:rsid w:val="0083507C"/>
    <w:rsid w:val="00835B31"/>
    <w:rsid w:val="00840480"/>
    <w:rsid w:val="00840B96"/>
    <w:rsid w:val="00846AE8"/>
    <w:rsid w:val="00852434"/>
    <w:rsid w:val="0086056B"/>
    <w:rsid w:val="00862527"/>
    <w:rsid w:val="00862537"/>
    <w:rsid w:val="008665FC"/>
    <w:rsid w:val="0086683D"/>
    <w:rsid w:val="00871C87"/>
    <w:rsid w:val="00874491"/>
    <w:rsid w:val="008766A6"/>
    <w:rsid w:val="00876E6D"/>
    <w:rsid w:val="00880A25"/>
    <w:rsid w:val="00882DB8"/>
    <w:rsid w:val="00883715"/>
    <w:rsid w:val="00885EB4"/>
    <w:rsid w:val="008862D3"/>
    <w:rsid w:val="00886901"/>
    <w:rsid w:val="00887376"/>
    <w:rsid w:val="008873E3"/>
    <w:rsid w:val="008928C4"/>
    <w:rsid w:val="00892C0E"/>
    <w:rsid w:val="00895BEC"/>
    <w:rsid w:val="00896DCD"/>
    <w:rsid w:val="0089754F"/>
    <w:rsid w:val="008A0857"/>
    <w:rsid w:val="008A0D52"/>
    <w:rsid w:val="008A16DE"/>
    <w:rsid w:val="008A4D27"/>
    <w:rsid w:val="008A6830"/>
    <w:rsid w:val="008A6E02"/>
    <w:rsid w:val="008B2DE3"/>
    <w:rsid w:val="008B344F"/>
    <w:rsid w:val="008B4034"/>
    <w:rsid w:val="008B4608"/>
    <w:rsid w:val="008B481C"/>
    <w:rsid w:val="008B6885"/>
    <w:rsid w:val="008C12BC"/>
    <w:rsid w:val="008C13FC"/>
    <w:rsid w:val="008C3DCB"/>
    <w:rsid w:val="008C4274"/>
    <w:rsid w:val="008C52A8"/>
    <w:rsid w:val="008C5A74"/>
    <w:rsid w:val="008C6839"/>
    <w:rsid w:val="008C719C"/>
    <w:rsid w:val="008C7509"/>
    <w:rsid w:val="008D06A1"/>
    <w:rsid w:val="008D1ABC"/>
    <w:rsid w:val="008D2B9B"/>
    <w:rsid w:val="008D32DC"/>
    <w:rsid w:val="008D4370"/>
    <w:rsid w:val="008D5FE8"/>
    <w:rsid w:val="008D6CE7"/>
    <w:rsid w:val="008D6E77"/>
    <w:rsid w:val="008D7B0E"/>
    <w:rsid w:val="008DD5CA"/>
    <w:rsid w:val="008E0A9B"/>
    <w:rsid w:val="008E1218"/>
    <w:rsid w:val="008E2521"/>
    <w:rsid w:val="008E2F6F"/>
    <w:rsid w:val="008E36D6"/>
    <w:rsid w:val="008E6713"/>
    <w:rsid w:val="008E6CB9"/>
    <w:rsid w:val="008E72D8"/>
    <w:rsid w:val="008F04CB"/>
    <w:rsid w:val="008F08FD"/>
    <w:rsid w:val="008F09A1"/>
    <w:rsid w:val="008F17B2"/>
    <w:rsid w:val="008F25B3"/>
    <w:rsid w:val="008F545B"/>
    <w:rsid w:val="008F5F48"/>
    <w:rsid w:val="00901CB2"/>
    <w:rsid w:val="009021A8"/>
    <w:rsid w:val="0090331C"/>
    <w:rsid w:val="00904E41"/>
    <w:rsid w:val="00906804"/>
    <w:rsid w:val="00906B27"/>
    <w:rsid w:val="00907155"/>
    <w:rsid w:val="009105AF"/>
    <w:rsid w:val="00913AB0"/>
    <w:rsid w:val="00914F90"/>
    <w:rsid w:val="009164F8"/>
    <w:rsid w:val="00917E6A"/>
    <w:rsid w:val="00920808"/>
    <w:rsid w:val="0092214E"/>
    <w:rsid w:val="00927100"/>
    <w:rsid w:val="00931FD6"/>
    <w:rsid w:val="009330D2"/>
    <w:rsid w:val="00934336"/>
    <w:rsid w:val="00934A4A"/>
    <w:rsid w:val="00935111"/>
    <w:rsid w:val="0093572A"/>
    <w:rsid w:val="00935CF6"/>
    <w:rsid w:val="00937F1D"/>
    <w:rsid w:val="00943DCF"/>
    <w:rsid w:val="00943F52"/>
    <w:rsid w:val="009453BE"/>
    <w:rsid w:val="00947A2A"/>
    <w:rsid w:val="00947A53"/>
    <w:rsid w:val="009512FB"/>
    <w:rsid w:val="00953FB2"/>
    <w:rsid w:val="0096024F"/>
    <w:rsid w:val="00963AA3"/>
    <w:rsid w:val="00963DE0"/>
    <w:rsid w:val="0096553C"/>
    <w:rsid w:val="00966166"/>
    <w:rsid w:val="00966E2A"/>
    <w:rsid w:val="00970CEE"/>
    <w:rsid w:val="00971CEB"/>
    <w:rsid w:val="00971D5A"/>
    <w:rsid w:val="0097302C"/>
    <w:rsid w:val="0097395A"/>
    <w:rsid w:val="00974760"/>
    <w:rsid w:val="009753C2"/>
    <w:rsid w:val="00976874"/>
    <w:rsid w:val="00977F7F"/>
    <w:rsid w:val="00982993"/>
    <w:rsid w:val="00982C10"/>
    <w:rsid w:val="00982ED4"/>
    <w:rsid w:val="0098754B"/>
    <w:rsid w:val="009909B6"/>
    <w:rsid w:val="009914A8"/>
    <w:rsid w:val="009940BA"/>
    <w:rsid w:val="0099666F"/>
    <w:rsid w:val="009A04E2"/>
    <w:rsid w:val="009A0C8B"/>
    <w:rsid w:val="009A17B0"/>
    <w:rsid w:val="009A4C6E"/>
    <w:rsid w:val="009B0AE6"/>
    <w:rsid w:val="009B13EF"/>
    <w:rsid w:val="009B3F12"/>
    <w:rsid w:val="009B4F17"/>
    <w:rsid w:val="009C0B18"/>
    <w:rsid w:val="009C3D5E"/>
    <w:rsid w:val="009C4C47"/>
    <w:rsid w:val="009C60BE"/>
    <w:rsid w:val="009C6650"/>
    <w:rsid w:val="009C6C64"/>
    <w:rsid w:val="009D0F5C"/>
    <w:rsid w:val="009D640A"/>
    <w:rsid w:val="009D7481"/>
    <w:rsid w:val="009E2BF1"/>
    <w:rsid w:val="009E2C47"/>
    <w:rsid w:val="009E2D5F"/>
    <w:rsid w:val="009E40B5"/>
    <w:rsid w:val="009E4648"/>
    <w:rsid w:val="009E5841"/>
    <w:rsid w:val="009E605C"/>
    <w:rsid w:val="009F0E3C"/>
    <w:rsid w:val="009F18DE"/>
    <w:rsid w:val="009F281F"/>
    <w:rsid w:val="009F33FA"/>
    <w:rsid w:val="009F4B53"/>
    <w:rsid w:val="009F4F6F"/>
    <w:rsid w:val="009F4F72"/>
    <w:rsid w:val="009F525F"/>
    <w:rsid w:val="009F5580"/>
    <w:rsid w:val="009F5749"/>
    <w:rsid w:val="009F6598"/>
    <w:rsid w:val="009F78EB"/>
    <w:rsid w:val="00A012B6"/>
    <w:rsid w:val="00A01C57"/>
    <w:rsid w:val="00A04212"/>
    <w:rsid w:val="00A042C9"/>
    <w:rsid w:val="00A0609D"/>
    <w:rsid w:val="00A0651A"/>
    <w:rsid w:val="00A1225C"/>
    <w:rsid w:val="00A12702"/>
    <w:rsid w:val="00A12FD4"/>
    <w:rsid w:val="00A15A12"/>
    <w:rsid w:val="00A15BD0"/>
    <w:rsid w:val="00A161A0"/>
    <w:rsid w:val="00A17898"/>
    <w:rsid w:val="00A17DFF"/>
    <w:rsid w:val="00A214FD"/>
    <w:rsid w:val="00A223C9"/>
    <w:rsid w:val="00A237B2"/>
    <w:rsid w:val="00A240CB"/>
    <w:rsid w:val="00A2479B"/>
    <w:rsid w:val="00A2482D"/>
    <w:rsid w:val="00A24FA3"/>
    <w:rsid w:val="00A251D7"/>
    <w:rsid w:val="00A2671E"/>
    <w:rsid w:val="00A27098"/>
    <w:rsid w:val="00A30579"/>
    <w:rsid w:val="00A32538"/>
    <w:rsid w:val="00A34E41"/>
    <w:rsid w:val="00A3517D"/>
    <w:rsid w:val="00A351B1"/>
    <w:rsid w:val="00A36335"/>
    <w:rsid w:val="00A37221"/>
    <w:rsid w:val="00A419B4"/>
    <w:rsid w:val="00A4352B"/>
    <w:rsid w:val="00A46BAD"/>
    <w:rsid w:val="00A47140"/>
    <w:rsid w:val="00A506D9"/>
    <w:rsid w:val="00A52500"/>
    <w:rsid w:val="00A53700"/>
    <w:rsid w:val="00A53D6A"/>
    <w:rsid w:val="00A54E8E"/>
    <w:rsid w:val="00A56607"/>
    <w:rsid w:val="00A57236"/>
    <w:rsid w:val="00A57BB7"/>
    <w:rsid w:val="00A60EF7"/>
    <w:rsid w:val="00A62321"/>
    <w:rsid w:val="00A64398"/>
    <w:rsid w:val="00A650B2"/>
    <w:rsid w:val="00A65DB5"/>
    <w:rsid w:val="00A66ACD"/>
    <w:rsid w:val="00A67C90"/>
    <w:rsid w:val="00A70701"/>
    <w:rsid w:val="00A72448"/>
    <w:rsid w:val="00A7276D"/>
    <w:rsid w:val="00A74BF4"/>
    <w:rsid w:val="00A7705D"/>
    <w:rsid w:val="00A7747D"/>
    <w:rsid w:val="00A77D34"/>
    <w:rsid w:val="00A819D0"/>
    <w:rsid w:val="00A835A3"/>
    <w:rsid w:val="00A83750"/>
    <w:rsid w:val="00A83A88"/>
    <w:rsid w:val="00A843FD"/>
    <w:rsid w:val="00A85A52"/>
    <w:rsid w:val="00A85CDC"/>
    <w:rsid w:val="00A86311"/>
    <w:rsid w:val="00A86E86"/>
    <w:rsid w:val="00A8785D"/>
    <w:rsid w:val="00A90E7F"/>
    <w:rsid w:val="00A938A3"/>
    <w:rsid w:val="00A95602"/>
    <w:rsid w:val="00A95C49"/>
    <w:rsid w:val="00A95D88"/>
    <w:rsid w:val="00A97E71"/>
    <w:rsid w:val="00AA2FE4"/>
    <w:rsid w:val="00AA4B31"/>
    <w:rsid w:val="00AA56AA"/>
    <w:rsid w:val="00AA66A0"/>
    <w:rsid w:val="00AA7975"/>
    <w:rsid w:val="00AB0C00"/>
    <w:rsid w:val="00AB1258"/>
    <w:rsid w:val="00AB164C"/>
    <w:rsid w:val="00AB1775"/>
    <w:rsid w:val="00AB3BCE"/>
    <w:rsid w:val="00AB57D5"/>
    <w:rsid w:val="00AB6404"/>
    <w:rsid w:val="00AB7E45"/>
    <w:rsid w:val="00AC0F94"/>
    <w:rsid w:val="00AC140C"/>
    <w:rsid w:val="00AC1867"/>
    <w:rsid w:val="00AC195D"/>
    <w:rsid w:val="00AC3420"/>
    <w:rsid w:val="00AC3515"/>
    <w:rsid w:val="00AC4317"/>
    <w:rsid w:val="00AC44AA"/>
    <w:rsid w:val="00AC6145"/>
    <w:rsid w:val="00AD0857"/>
    <w:rsid w:val="00AD0E52"/>
    <w:rsid w:val="00AD1A07"/>
    <w:rsid w:val="00AD5CF8"/>
    <w:rsid w:val="00AD5E78"/>
    <w:rsid w:val="00AD6427"/>
    <w:rsid w:val="00AD68A2"/>
    <w:rsid w:val="00AD6C17"/>
    <w:rsid w:val="00AD7965"/>
    <w:rsid w:val="00AE03A4"/>
    <w:rsid w:val="00AE066B"/>
    <w:rsid w:val="00AE3AE8"/>
    <w:rsid w:val="00AE40C4"/>
    <w:rsid w:val="00AE503B"/>
    <w:rsid w:val="00AE5B71"/>
    <w:rsid w:val="00AE6ACD"/>
    <w:rsid w:val="00AE76C8"/>
    <w:rsid w:val="00AF0777"/>
    <w:rsid w:val="00AF12BB"/>
    <w:rsid w:val="00AF1FFD"/>
    <w:rsid w:val="00AF30A0"/>
    <w:rsid w:val="00AF3E76"/>
    <w:rsid w:val="00AF48C3"/>
    <w:rsid w:val="00AF4F28"/>
    <w:rsid w:val="00AF6E4E"/>
    <w:rsid w:val="00AF7931"/>
    <w:rsid w:val="00B00416"/>
    <w:rsid w:val="00B00676"/>
    <w:rsid w:val="00B01117"/>
    <w:rsid w:val="00B018DA"/>
    <w:rsid w:val="00B042C1"/>
    <w:rsid w:val="00B045B9"/>
    <w:rsid w:val="00B05B72"/>
    <w:rsid w:val="00B069E8"/>
    <w:rsid w:val="00B10C08"/>
    <w:rsid w:val="00B145E0"/>
    <w:rsid w:val="00B15028"/>
    <w:rsid w:val="00B20831"/>
    <w:rsid w:val="00B20FA0"/>
    <w:rsid w:val="00B229D5"/>
    <w:rsid w:val="00B234E0"/>
    <w:rsid w:val="00B2437F"/>
    <w:rsid w:val="00B25ED6"/>
    <w:rsid w:val="00B26042"/>
    <w:rsid w:val="00B33DF2"/>
    <w:rsid w:val="00B344AC"/>
    <w:rsid w:val="00B3654D"/>
    <w:rsid w:val="00B3657F"/>
    <w:rsid w:val="00B43B4B"/>
    <w:rsid w:val="00B47D1D"/>
    <w:rsid w:val="00B5565A"/>
    <w:rsid w:val="00B56B36"/>
    <w:rsid w:val="00B57737"/>
    <w:rsid w:val="00B60B3E"/>
    <w:rsid w:val="00B62C99"/>
    <w:rsid w:val="00B632F4"/>
    <w:rsid w:val="00B64239"/>
    <w:rsid w:val="00B64314"/>
    <w:rsid w:val="00B658F3"/>
    <w:rsid w:val="00B67759"/>
    <w:rsid w:val="00B70A79"/>
    <w:rsid w:val="00B7140C"/>
    <w:rsid w:val="00B72355"/>
    <w:rsid w:val="00B735F1"/>
    <w:rsid w:val="00B74641"/>
    <w:rsid w:val="00B76E9E"/>
    <w:rsid w:val="00B81965"/>
    <w:rsid w:val="00B83F7C"/>
    <w:rsid w:val="00B85A5E"/>
    <w:rsid w:val="00B85C38"/>
    <w:rsid w:val="00B85EC9"/>
    <w:rsid w:val="00B87080"/>
    <w:rsid w:val="00B87EDE"/>
    <w:rsid w:val="00B96386"/>
    <w:rsid w:val="00B96F4E"/>
    <w:rsid w:val="00BA1FC0"/>
    <w:rsid w:val="00BA2091"/>
    <w:rsid w:val="00BA29D9"/>
    <w:rsid w:val="00BA3272"/>
    <w:rsid w:val="00BA3941"/>
    <w:rsid w:val="00BB0710"/>
    <w:rsid w:val="00BB1176"/>
    <w:rsid w:val="00BB323F"/>
    <w:rsid w:val="00BB458F"/>
    <w:rsid w:val="00BB4C55"/>
    <w:rsid w:val="00BB656C"/>
    <w:rsid w:val="00BC0B0B"/>
    <w:rsid w:val="00BC0F53"/>
    <w:rsid w:val="00BC1619"/>
    <w:rsid w:val="00BC1912"/>
    <w:rsid w:val="00BC33ED"/>
    <w:rsid w:val="00BC42DF"/>
    <w:rsid w:val="00BC4E69"/>
    <w:rsid w:val="00BC583B"/>
    <w:rsid w:val="00BC5F99"/>
    <w:rsid w:val="00BC6B37"/>
    <w:rsid w:val="00BD06D9"/>
    <w:rsid w:val="00BD1B71"/>
    <w:rsid w:val="00BD294E"/>
    <w:rsid w:val="00BD46A3"/>
    <w:rsid w:val="00BD5C52"/>
    <w:rsid w:val="00BD5ECC"/>
    <w:rsid w:val="00BD7332"/>
    <w:rsid w:val="00BD7AD3"/>
    <w:rsid w:val="00BE02B9"/>
    <w:rsid w:val="00BE1006"/>
    <w:rsid w:val="00BE1BF8"/>
    <w:rsid w:val="00BE33C6"/>
    <w:rsid w:val="00BE446A"/>
    <w:rsid w:val="00BE51BC"/>
    <w:rsid w:val="00BE6774"/>
    <w:rsid w:val="00BE7642"/>
    <w:rsid w:val="00BF30FF"/>
    <w:rsid w:val="00BF337E"/>
    <w:rsid w:val="00BF45FF"/>
    <w:rsid w:val="00BF4969"/>
    <w:rsid w:val="00BF49ED"/>
    <w:rsid w:val="00C00837"/>
    <w:rsid w:val="00C01F36"/>
    <w:rsid w:val="00C04C7A"/>
    <w:rsid w:val="00C06384"/>
    <w:rsid w:val="00C16A95"/>
    <w:rsid w:val="00C16B03"/>
    <w:rsid w:val="00C20377"/>
    <w:rsid w:val="00C21054"/>
    <w:rsid w:val="00C21A93"/>
    <w:rsid w:val="00C21D77"/>
    <w:rsid w:val="00C308A2"/>
    <w:rsid w:val="00C3194C"/>
    <w:rsid w:val="00C324C4"/>
    <w:rsid w:val="00C33AA2"/>
    <w:rsid w:val="00C341C1"/>
    <w:rsid w:val="00C349FD"/>
    <w:rsid w:val="00C36827"/>
    <w:rsid w:val="00C36F90"/>
    <w:rsid w:val="00C37078"/>
    <w:rsid w:val="00C377B7"/>
    <w:rsid w:val="00C378A6"/>
    <w:rsid w:val="00C402EE"/>
    <w:rsid w:val="00C444A2"/>
    <w:rsid w:val="00C447F8"/>
    <w:rsid w:val="00C4488E"/>
    <w:rsid w:val="00C5011B"/>
    <w:rsid w:val="00C52BC5"/>
    <w:rsid w:val="00C53824"/>
    <w:rsid w:val="00C53D03"/>
    <w:rsid w:val="00C603AA"/>
    <w:rsid w:val="00C60709"/>
    <w:rsid w:val="00C61A7D"/>
    <w:rsid w:val="00C61E8A"/>
    <w:rsid w:val="00C62490"/>
    <w:rsid w:val="00C63827"/>
    <w:rsid w:val="00C67CF0"/>
    <w:rsid w:val="00C70350"/>
    <w:rsid w:val="00C742B0"/>
    <w:rsid w:val="00C761BF"/>
    <w:rsid w:val="00C76C1E"/>
    <w:rsid w:val="00C774B2"/>
    <w:rsid w:val="00C80179"/>
    <w:rsid w:val="00C912E3"/>
    <w:rsid w:val="00C91C98"/>
    <w:rsid w:val="00C928A1"/>
    <w:rsid w:val="00C947E1"/>
    <w:rsid w:val="00C94D06"/>
    <w:rsid w:val="00C96F07"/>
    <w:rsid w:val="00C97985"/>
    <w:rsid w:val="00CA0FE6"/>
    <w:rsid w:val="00CA2A4B"/>
    <w:rsid w:val="00CA2A6B"/>
    <w:rsid w:val="00CA2B4A"/>
    <w:rsid w:val="00CA2D46"/>
    <w:rsid w:val="00CA422E"/>
    <w:rsid w:val="00CA5514"/>
    <w:rsid w:val="00CA5A31"/>
    <w:rsid w:val="00CA6570"/>
    <w:rsid w:val="00CB0FE3"/>
    <w:rsid w:val="00CB1077"/>
    <w:rsid w:val="00CB1C21"/>
    <w:rsid w:val="00CB4118"/>
    <w:rsid w:val="00CB4A88"/>
    <w:rsid w:val="00CB5517"/>
    <w:rsid w:val="00CC022B"/>
    <w:rsid w:val="00CC0357"/>
    <w:rsid w:val="00CC09A3"/>
    <w:rsid w:val="00CC13BD"/>
    <w:rsid w:val="00CC26BA"/>
    <w:rsid w:val="00CC3AA9"/>
    <w:rsid w:val="00CC45F5"/>
    <w:rsid w:val="00CC4AAF"/>
    <w:rsid w:val="00CD080B"/>
    <w:rsid w:val="00CD3AE6"/>
    <w:rsid w:val="00CD4923"/>
    <w:rsid w:val="00CD4AA1"/>
    <w:rsid w:val="00CD4B3B"/>
    <w:rsid w:val="00CD4CEA"/>
    <w:rsid w:val="00CD5353"/>
    <w:rsid w:val="00CD574D"/>
    <w:rsid w:val="00CD75CC"/>
    <w:rsid w:val="00CE0164"/>
    <w:rsid w:val="00CE0AE0"/>
    <w:rsid w:val="00CE1873"/>
    <w:rsid w:val="00CE2A2B"/>
    <w:rsid w:val="00CE43DD"/>
    <w:rsid w:val="00CE45FA"/>
    <w:rsid w:val="00CE4B5C"/>
    <w:rsid w:val="00CE5C70"/>
    <w:rsid w:val="00CE6591"/>
    <w:rsid w:val="00CE6FD0"/>
    <w:rsid w:val="00CF19F6"/>
    <w:rsid w:val="00CF20BD"/>
    <w:rsid w:val="00CF29F6"/>
    <w:rsid w:val="00CF34C9"/>
    <w:rsid w:val="00CF415B"/>
    <w:rsid w:val="00CF4272"/>
    <w:rsid w:val="00CF4EA5"/>
    <w:rsid w:val="00CF558B"/>
    <w:rsid w:val="00CF7634"/>
    <w:rsid w:val="00D024DF"/>
    <w:rsid w:val="00D06C9B"/>
    <w:rsid w:val="00D07E40"/>
    <w:rsid w:val="00D10B21"/>
    <w:rsid w:val="00D11C0F"/>
    <w:rsid w:val="00D11E9E"/>
    <w:rsid w:val="00D1351F"/>
    <w:rsid w:val="00D1743C"/>
    <w:rsid w:val="00D17F76"/>
    <w:rsid w:val="00D21734"/>
    <w:rsid w:val="00D219BA"/>
    <w:rsid w:val="00D2246F"/>
    <w:rsid w:val="00D25407"/>
    <w:rsid w:val="00D26297"/>
    <w:rsid w:val="00D27C82"/>
    <w:rsid w:val="00D30ECF"/>
    <w:rsid w:val="00D3190E"/>
    <w:rsid w:val="00D33601"/>
    <w:rsid w:val="00D337F8"/>
    <w:rsid w:val="00D34350"/>
    <w:rsid w:val="00D3483F"/>
    <w:rsid w:val="00D37BBB"/>
    <w:rsid w:val="00D40C36"/>
    <w:rsid w:val="00D41AA2"/>
    <w:rsid w:val="00D43A19"/>
    <w:rsid w:val="00D45D12"/>
    <w:rsid w:val="00D4630D"/>
    <w:rsid w:val="00D4818C"/>
    <w:rsid w:val="00D550B7"/>
    <w:rsid w:val="00D5521C"/>
    <w:rsid w:val="00D563DE"/>
    <w:rsid w:val="00D564EC"/>
    <w:rsid w:val="00D6239F"/>
    <w:rsid w:val="00D62D48"/>
    <w:rsid w:val="00D6379C"/>
    <w:rsid w:val="00D66D05"/>
    <w:rsid w:val="00D707A7"/>
    <w:rsid w:val="00D72056"/>
    <w:rsid w:val="00D739D0"/>
    <w:rsid w:val="00D754B2"/>
    <w:rsid w:val="00D75BAF"/>
    <w:rsid w:val="00D765D8"/>
    <w:rsid w:val="00D80B66"/>
    <w:rsid w:val="00D80D7C"/>
    <w:rsid w:val="00D80E7B"/>
    <w:rsid w:val="00D80F8C"/>
    <w:rsid w:val="00D8171D"/>
    <w:rsid w:val="00D829BD"/>
    <w:rsid w:val="00D839A2"/>
    <w:rsid w:val="00D850EA"/>
    <w:rsid w:val="00D855F9"/>
    <w:rsid w:val="00D87935"/>
    <w:rsid w:val="00D927F3"/>
    <w:rsid w:val="00D93649"/>
    <w:rsid w:val="00D93886"/>
    <w:rsid w:val="00D94315"/>
    <w:rsid w:val="00D9590B"/>
    <w:rsid w:val="00DA1330"/>
    <w:rsid w:val="00DA26B6"/>
    <w:rsid w:val="00DA2C7F"/>
    <w:rsid w:val="00DA3F69"/>
    <w:rsid w:val="00DA59AB"/>
    <w:rsid w:val="00DA7418"/>
    <w:rsid w:val="00DA74C6"/>
    <w:rsid w:val="00DB2291"/>
    <w:rsid w:val="00DB2C18"/>
    <w:rsid w:val="00DB5222"/>
    <w:rsid w:val="00DB6534"/>
    <w:rsid w:val="00DB6DF8"/>
    <w:rsid w:val="00DB79E5"/>
    <w:rsid w:val="00DB7BD7"/>
    <w:rsid w:val="00DC0650"/>
    <w:rsid w:val="00DC174A"/>
    <w:rsid w:val="00DC1EEF"/>
    <w:rsid w:val="00DC597C"/>
    <w:rsid w:val="00DC7D4E"/>
    <w:rsid w:val="00DC7FC6"/>
    <w:rsid w:val="00DD2182"/>
    <w:rsid w:val="00DD63A4"/>
    <w:rsid w:val="00DE2971"/>
    <w:rsid w:val="00DE2B30"/>
    <w:rsid w:val="00DE2BBF"/>
    <w:rsid w:val="00DE35BC"/>
    <w:rsid w:val="00DE4618"/>
    <w:rsid w:val="00DE57DA"/>
    <w:rsid w:val="00DE5E57"/>
    <w:rsid w:val="00DF0CA2"/>
    <w:rsid w:val="00DF0E7C"/>
    <w:rsid w:val="00DF14B4"/>
    <w:rsid w:val="00DF2773"/>
    <w:rsid w:val="00E0075F"/>
    <w:rsid w:val="00E00F45"/>
    <w:rsid w:val="00E03CBE"/>
    <w:rsid w:val="00E04B76"/>
    <w:rsid w:val="00E05DCF"/>
    <w:rsid w:val="00E05F25"/>
    <w:rsid w:val="00E06095"/>
    <w:rsid w:val="00E0788C"/>
    <w:rsid w:val="00E10CA1"/>
    <w:rsid w:val="00E1305C"/>
    <w:rsid w:val="00E136E6"/>
    <w:rsid w:val="00E154FA"/>
    <w:rsid w:val="00E15A2E"/>
    <w:rsid w:val="00E16B6E"/>
    <w:rsid w:val="00E16B87"/>
    <w:rsid w:val="00E16C81"/>
    <w:rsid w:val="00E171CF"/>
    <w:rsid w:val="00E2185C"/>
    <w:rsid w:val="00E22FC9"/>
    <w:rsid w:val="00E23A90"/>
    <w:rsid w:val="00E23D00"/>
    <w:rsid w:val="00E24D38"/>
    <w:rsid w:val="00E2642E"/>
    <w:rsid w:val="00E26C2D"/>
    <w:rsid w:val="00E30462"/>
    <w:rsid w:val="00E307DF"/>
    <w:rsid w:val="00E327B1"/>
    <w:rsid w:val="00E356BC"/>
    <w:rsid w:val="00E3589E"/>
    <w:rsid w:val="00E40051"/>
    <w:rsid w:val="00E404FB"/>
    <w:rsid w:val="00E42164"/>
    <w:rsid w:val="00E45022"/>
    <w:rsid w:val="00E4544C"/>
    <w:rsid w:val="00E50B2B"/>
    <w:rsid w:val="00E516AE"/>
    <w:rsid w:val="00E52BD1"/>
    <w:rsid w:val="00E52F74"/>
    <w:rsid w:val="00E531AD"/>
    <w:rsid w:val="00E57A7E"/>
    <w:rsid w:val="00E61858"/>
    <w:rsid w:val="00E62A07"/>
    <w:rsid w:val="00E638C0"/>
    <w:rsid w:val="00E63F39"/>
    <w:rsid w:val="00E64FA1"/>
    <w:rsid w:val="00E657DA"/>
    <w:rsid w:val="00E72031"/>
    <w:rsid w:val="00E7395A"/>
    <w:rsid w:val="00E7500D"/>
    <w:rsid w:val="00E751AD"/>
    <w:rsid w:val="00E77189"/>
    <w:rsid w:val="00E800CF"/>
    <w:rsid w:val="00E81556"/>
    <w:rsid w:val="00E83D62"/>
    <w:rsid w:val="00E8416B"/>
    <w:rsid w:val="00E85A68"/>
    <w:rsid w:val="00E868FD"/>
    <w:rsid w:val="00E872E9"/>
    <w:rsid w:val="00E90187"/>
    <w:rsid w:val="00E903C2"/>
    <w:rsid w:val="00E90F15"/>
    <w:rsid w:val="00E941BB"/>
    <w:rsid w:val="00E94D5F"/>
    <w:rsid w:val="00E95BEA"/>
    <w:rsid w:val="00E96A92"/>
    <w:rsid w:val="00EA179A"/>
    <w:rsid w:val="00EA3545"/>
    <w:rsid w:val="00EA4202"/>
    <w:rsid w:val="00EA72FA"/>
    <w:rsid w:val="00EA7450"/>
    <w:rsid w:val="00EB16BA"/>
    <w:rsid w:val="00EB1EDF"/>
    <w:rsid w:val="00EB1FA1"/>
    <w:rsid w:val="00EB20C8"/>
    <w:rsid w:val="00EB2394"/>
    <w:rsid w:val="00EB2F3A"/>
    <w:rsid w:val="00EB30E3"/>
    <w:rsid w:val="00EB3806"/>
    <w:rsid w:val="00EB3877"/>
    <w:rsid w:val="00EB3D7B"/>
    <w:rsid w:val="00EB4577"/>
    <w:rsid w:val="00EB714F"/>
    <w:rsid w:val="00EB751E"/>
    <w:rsid w:val="00EB7789"/>
    <w:rsid w:val="00EB7A2A"/>
    <w:rsid w:val="00EB7FCE"/>
    <w:rsid w:val="00EBDC3D"/>
    <w:rsid w:val="00EC13EC"/>
    <w:rsid w:val="00EC16A6"/>
    <w:rsid w:val="00EC3E5C"/>
    <w:rsid w:val="00EC424D"/>
    <w:rsid w:val="00EC6078"/>
    <w:rsid w:val="00EC780F"/>
    <w:rsid w:val="00ED0624"/>
    <w:rsid w:val="00ED1E0D"/>
    <w:rsid w:val="00ED6351"/>
    <w:rsid w:val="00ED7A47"/>
    <w:rsid w:val="00EE1286"/>
    <w:rsid w:val="00EE12B4"/>
    <w:rsid w:val="00EE1CAA"/>
    <w:rsid w:val="00EE518F"/>
    <w:rsid w:val="00EE5373"/>
    <w:rsid w:val="00EE69C5"/>
    <w:rsid w:val="00EE6BAD"/>
    <w:rsid w:val="00EF0425"/>
    <w:rsid w:val="00EF18F8"/>
    <w:rsid w:val="00EF1F29"/>
    <w:rsid w:val="00EF3269"/>
    <w:rsid w:val="00F004F9"/>
    <w:rsid w:val="00F012D7"/>
    <w:rsid w:val="00F064A0"/>
    <w:rsid w:val="00F064A7"/>
    <w:rsid w:val="00F0714A"/>
    <w:rsid w:val="00F07F27"/>
    <w:rsid w:val="00F103E9"/>
    <w:rsid w:val="00F10553"/>
    <w:rsid w:val="00F1124F"/>
    <w:rsid w:val="00F114D0"/>
    <w:rsid w:val="00F11D23"/>
    <w:rsid w:val="00F12B83"/>
    <w:rsid w:val="00F1333D"/>
    <w:rsid w:val="00F151D9"/>
    <w:rsid w:val="00F15541"/>
    <w:rsid w:val="00F17442"/>
    <w:rsid w:val="00F17DCE"/>
    <w:rsid w:val="00F202F3"/>
    <w:rsid w:val="00F22285"/>
    <w:rsid w:val="00F2309D"/>
    <w:rsid w:val="00F23A06"/>
    <w:rsid w:val="00F2637B"/>
    <w:rsid w:val="00F26DD3"/>
    <w:rsid w:val="00F30BA2"/>
    <w:rsid w:val="00F31C4F"/>
    <w:rsid w:val="00F31DD6"/>
    <w:rsid w:val="00F32CA2"/>
    <w:rsid w:val="00F345F1"/>
    <w:rsid w:val="00F3647F"/>
    <w:rsid w:val="00F36836"/>
    <w:rsid w:val="00F36C9B"/>
    <w:rsid w:val="00F377CA"/>
    <w:rsid w:val="00F37BEF"/>
    <w:rsid w:val="00F40049"/>
    <w:rsid w:val="00F40FA1"/>
    <w:rsid w:val="00F44B23"/>
    <w:rsid w:val="00F465C3"/>
    <w:rsid w:val="00F47756"/>
    <w:rsid w:val="00F509AB"/>
    <w:rsid w:val="00F513AA"/>
    <w:rsid w:val="00F557F1"/>
    <w:rsid w:val="00F55EE3"/>
    <w:rsid w:val="00F5625F"/>
    <w:rsid w:val="00F56699"/>
    <w:rsid w:val="00F6041F"/>
    <w:rsid w:val="00F60EAA"/>
    <w:rsid w:val="00F61B4E"/>
    <w:rsid w:val="00F629C6"/>
    <w:rsid w:val="00F62A8C"/>
    <w:rsid w:val="00F67137"/>
    <w:rsid w:val="00F671E1"/>
    <w:rsid w:val="00F7032A"/>
    <w:rsid w:val="00F709BD"/>
    <w:rsid w:val="00F70DE9"/>
    <w:rsid w:val="00F71066"/>
    <w:rsid w:val="00F71E1A"/>
    <w:rsid w:val="00F73B8C"/>
    <w:rsid w:val="00F75091"/>
    <w:rsid w:val="00F75CEC"/>
    <w:rsid w:val="00F7723D"/>
    <w:rsid w:val="00F77855"/>
    <w:rsid w:val="00F81972"/>
    <w:rsid w:val="00F83600"/>
    <w:rsid w:val="00F84737"/>
    <w:rsid w:val="00F86CE6"/>
    <w:rsid w:val="00F87D55"/>
    <w:rsid w:val="00F90AE6"/>
    <w:rsid w:val="00F92BC6"/>
    <w:rsid w:val="00F948E4"/>
    <w:rsid w:val="00F94CD1"/>
    <w:rsid w:val="00F9634E"/>
    <w:rsid w:val="00F96E85"/>
    <w:rsid w:val="00F97052"/>
    <w:rsid w:val="00FA0BA6"/>
    <w:rsid w:val="00FA2884"/>
    <w:rsid w:val="00FA3C45"/>
    <w:rsid w:val="00FA72C0"/>
    <w:rsid w:val="00FB181E"/>
    <w:rsid w:val="00FB234B"/>
    <w:rsid w:val="00FB3414"/>
    <w:rsid w:val="00FB4966"/>
    <w:rsid w:val="00FB753E"/>
    <w:rsid w:val="00FB7A6C"/>
    <w:rsid w:val="00FC0F99"/>
    <w:rsid w:val="00FC3E5A"/>
    <w:rsid w:val="00FC52B4"/>
    <w:rsid w:val="00FC56C5"/>
    <w:rsid w:val="00FC5E9B"/>
    <w:rsid w:val="00FD3152"/>
    <w:rsid w:val="00FD5F4E"/>
    <w:rsid w:val="00FD629D"/>
    <w:rsid w:val="00FD787B"/>
    <w:rsid w:val="00FE02B7"/>
    <w:rsid w:val="00FE164D"/>
    <w:rsid w:val="00FE4AA5"/>
    <w:rsid w:val="00FE6BD7"/>
    <w:rsid w:val="00FF234D"/>
    <w:rsid w:val="00FF2385"/>
    <w:rsid w:val="00FF4C56"/>
    <w:rsid w:val="01796DED"/>
    <w:rsid w:val="01988964"/>
    <w:rsid w:val="01EB1A1A"/>
    <w:rsid w:val="02126F52"/>
    <w:rsid w:val="021D393B"/>
    <w:rsid w:val="023C2D08"/>
    <w:rsid w:val="023F4158"/>
    <w:rsid w:val="0241E476"/>
    <w:rsid w:val="02509EB5"/>
    <w:rsid w:val="02573FAE"/>
    <w:rsid w:val="0293A7B0"/>
    <w:rsid w:val="02E52D64"/>
    <w:rsid w:val="035C1B0E"/>
    <w:rsid w:val="036F51CE"/>
    <w:rsid w:val="03D0D40F"/>
    <w:rsid w:val="03FECCD0"/>
    <w:rsid w:val="0450E80F"/>
    <w:rsid w:val="049327EB"/>
    <w:rsid w:val="04F09F19"/>
    <w:rsid w:val="04FA973B"/>
    <w:rsid w:val="051BD5FD"/>
    <w:rsid w:val="05257A75"/>
    <w:rsid w:val="0571A36F"/>
    <w:rsid w:val="05C82C7E"/>
    <w:rsid w:val="060B817D"/>
    <w:rsid w:val="06318D8E"/>
    <w:rsid w:val="063411DB"/>
    <w:rsid w:val="0645F867"/>
    <w:rsid w:val="0658C5F7"/>
    <w:rsid w:val="0666D876"/>
    <w:rsid w:val="06DB4E76"/>
    <w:rsid w:val="06EE43D7"/>
    <w:rsid w:val="079D7993"/>
    <w:rsid w:val="07D19D99"/>
    <w:rsid w:val="08197918"/>
    <w:rsid w:val="081FB678"/>
    <w:rsid w:val="08233FD0"/>
    <w:rsid w:val="082CACE0"/>
    <w:rsid w:val="082EA1C0"/>
    <w:rsid w:val="08335203"/>
    <w:rsid w:val="0904A729"/>
    <w:rsid w:val="097CCD80"/>
    <w:rsid w:val="09D9A3D1"/>
    <w:rsid w:val="0A3411F5"/>
    <w:rsid w:val="0A5A0B0E"/>
    <w:rsid w:val="0A766ECB"/>
    <w:rsid w:val="0A9F3CB0"/>
    <w:rsid w:val="0B24CB9C"/>
    <w:rsid w:val="0B5661B5"/>
    <w:rsid w:val="0B5CE8DB"/>
    <w:rsid w:val="0C1A255B"/>
    <w:rsid w:val="0C4BACCE"/>
    <w:rsid w:val="0CC737D7"/>
    <w:rsid w:val="0CCF8DDB"/>
    <w:rsid w:val="0CD21D44"/>
    <w:rsid w:val="0CF95215"/>
    <w:rsid w:val="0D6DFE15"/>
    <w:rsid w:val="0DB14FC0"/>
    <w:rsid w:val="0DDC1408"/>
    <w:rsid w:val="0DF85CF3"/>
    <w:rsid w:val="0E0A4127"/>
    <w:rsid w:val="0E4CA71E"/>
    <w:rsid w:val="0E70EE02"/>
    <w:rsid w:val="0E84FB81"/>
    <w:rsid w:val="0E861604"/>
    <w:rsid w:val="0ED189DB"/>
    <w:rsid w:val="0EEE1DD9"/>
    <w:rsid w:val="0F74E682"/>
    <w:rsid w:val="0F7E543F"/>
    <w:rsid w:val="0F98B296"/>
    <w:rsid w:val="105FE249"/>
    <w:rsid w:val="109C891F"/>
    <w:rsid w:val="10A056E4"/>
    <w:rsid w:val="10D5AD40"/>
    <w:rsid w:val="111FC975"/>
    <w:rsid w:val="114CEAD2"/>
    <w:rsid w:val="1150D75F"/>
    <w:rsid w:val="11EFB24E"/>
    <w:rsid w:val="120824DE"/>
    <w:rsid w:val="1248BA91"/>
    <w:rsid w:val="125088FD"/>
    <w:rsid w:val="12A923AD"/>
    <w:rsid w:val="12D27EF8"/>
    <w:rsid w:val="12E52AF5"/>
    <w:rsid w:val="13097271"/>
    <w:rsid w:val="1314ED0D"/>
    <w:rsid w:val="132BC815"/>
    <w:rsid w:val="1388AAF4"/>
    <w:rsid w:val="13B3B45B"/>
    <w:rsid w:val="13BD4675"/>
    <w:rsid w:val="13C4C3DE"/>
    <w:rsid w:val="13C574E7"/>
    <w:rsid w:val="13D2897D"/>
    <w:rsid w:val="13F8A9FC"/>
    <w:rsid w:val="14AA3336"/>
    <w:rsid w:val="14EB7FBF"/>
    <w:rsid w:val="151E11B1"/>
    <w:rsid w:val="15355CB9"/>
    <w:rsid w:val="1551A87E"/>
    <w:rsid w:val="157D5780"/>
    <w:rsid w:val="15884209"/>
    <w:rsid w:val="15D1EEB0"/>
    <w:rsid w:val="166E42F3"/>
    <w:rsid w:val="1681E10F"/>
    <w:rsid w:val="16B52FBF"/>
    <w:rsid w:val="16F9BA92"/>
    <w:rsid w:val="17693EEE"/>
    <w:rsid w:val="178D573C"/>
    <w:rsid w:val="17D45C24"/>
    <w:rsid w:val="180BDA7B"/>
    <w:rsid w:val="1822169A"/>
    <w:rsid w:val="1823D587"/>
    <w:rsid w:val="18410F96"/>
    <w:rsid w:val="18451413"/>
    <w:rsid w:val="187CDCEE"/>
    <w:rsid w:val="18D931B8"/>
    <w:rsid w:val="18E2B03F"/>
    <w:rsid w:val="192408D8"/>
    <w:rsid w:val="19745A1E"/>
    <w:rsid w:val="19F53DBB"/>
    <w:rsid w:val="1A5366A5"/>
    <w:rsid w:val="1A8D990B"/>
    <w:rsid w:val="1A9B888D"/>
    <w:rsid w:val="1AD2630E"/>
    <w:rsid w:val="1B3D6D1F"/>
    <w:rsid w:val="1B427C7A"/>
    <w:rsid w:val="1B4DB42C"/>
    <w:rsid w:val="1C07C4BD"/>
    <w:rsid w:val="1C31A75C"/>
    <w:rsid w:val="1C373D97"/>
    <w:rsid w:val="1C3B24C6"/>
    <w:rsid w:val="1C46BC1B"/>
    <w:rsid w:val="1C6747AA"/>
    <w:rsid w:val="1C739F8E"/>
    <w:rsid w:val="1CC2DEAF"/>
    <w:rsid w:val="1D2691C9"/>
    <w:rsid w:val="1D26E472"/>
    <w:rsid w:val="1D2ACEFC"/>
    <w:rsid w:val="1D53ACA8"/>
    <w:rsid w:val="1DDB892F"/>
    <w:rsid w:val="1E18B135"/>
    <w:rsid w:val="1F1A7BE5"/>
    <w:rsid w:val="1F2CF0D3"/>
    <w:rsid w:val="1F7ADCE6"/>
    <w:rsid w:val="1F868D31"/>
    <w:rsid w:val="1FE468B0"/>
    <w:rsid w:val="1FEA4B95"/>
    <w:rsid w:val="203A2BE9"/>
    <w:rsid w:val="2041FA17"/>
    <w:rsid w:val="20554ED1"/>
    <w:rsid w:val="208A9B2F"/>
    <w:rsid w:val="2176B679"/>
    <w:rsid w:val="21FC2E5C"/>
    <w:rsid w:val="22428482"/>
    <w:rsid w:val="22859CAC"/>
    <w:rsid w:val="22A8D08F"/>
    <w:rsid w:val="22CFB3C1"/>
    <w:rsid w:val="22E3CF54"/>
    <w:rsid w:val="22E55CC0"/>
    <w:rsid w:val="23634C12"/>
    <w:rsid w:val="23B0965A"/>
    <w:rsid w:val="23CC421D"/>
    <w:rsid w:val="23D340DA"/>
    <w:rsid w:val="23EBFFDF"/>
    <w:rsid w:val="23FC6E30"/>
    <w:rsid w:val="24043AA6"/>
    <w:rsid w:val="241C8C4D"/>
    <w:rsid w:val="241CB890"/>
    <w:rsid w:val="246CDDFA"/>
    <w:rsid w:val="246DDC9E"/>
    <w:rsid w:val="24768C23"/>
    <w:rsid w:val="24808E11"/>
    <w:rsid w:val="248CABD6"/>
    <w:rsid w:val="24AC4D42"/>
    <w:rsid w:val="24B147EF"/>
    <w:rsid w:val="24B517D8"/>
    <w:rsid w:val="24CE6004"/>
    <w:rsid w:val="25453D00"/>
    <w:rsid w:val="2625332B"/>
    <w:rsid w:val="26295919"/>
    <w:rsid w:val="26743B0A"/>
    <w:rsid w:val="26A5E64F"/>
    <w:rsid w:val="26ADD910"/>
    <w:rsid w:val="26E2E851"/>
    <w:rsid w:val="270B0342"/>
    <w:rsid w:val="271E2E07"/>
    <w:rsid w:val="2726A22D"/>
    <w:rsid w:val="2732404B"/>
    <w:rsid w:val="2774445A"/>
    <w:rsid w:val="2793934B"/>
    <w:rsid w:val="27D6C2CB"/>
    <w:rsid w:val="28230945"/>
    <w:rsid w:val="282C9D69"/>
    <w:rsid w:val="284409F1"/>
    <w:rsid w:val="28A480BF"/>
    <w:rsid w:val="28B2B221"/>
    <w:rsid w:val="28D35EE6"/>
    <w:rsid w:val="28E1712F"/>
    <w:rsid w:val="28ECECE6"/>
    <w:rsid w:val="291EEFEE"/>
    <w:rsid w:val="29AFB04B"/>
    <w:rsid w:val="29B6F133"/>
    <w:rsid w:val="29D72C38"/>
    <w:rsid w:val="2A87C56D"/>
    <w:rsid w:val="2AE5A564"/>
    <w:rsid w:val="2B095A71"/>
    <w:rsid w:val="2B351387"/>
    <w:rsid w:val="2B5A893C"/>
    <w:rsid w:val="2BA654EC"/>
    <w:rsid w:val="2BE768F1"/>
    <w:rsid w:val="2BF5FBE9"/>
    <w:rsid w:val="2C64395F"/>
    <w:rsid w:val="2C7649F4"/>
    <w:rsid w:val="2CAFFBC5"/>
    <w:rsid w:val="2D4BD009"/>
    <w:rsid w:val="2D661792"/>
    <w:rsid w:val="2D790D68"/>
    <w:rsid w:val="2DAFAAB1"/>
    <w:rsid w:val="2DB1E094"/>
    <w:rsid w:val="2E557B63"/>
    <w:rsid w:val="2E5EAD38"/>
    <w:rsid w:val="2E86124E"/>
    <w:rsid w:val="2EF0FD62"/>
    <w:rsid w:val="2F0EDF97"/>
    <w:rsid w:val="2F186915"/>
    <w:rsid w:val="2F86CB12"/>
    <w:rsid w:val="2FA7C179"/>
    <w:rsid w:val="3037934B"/>
    <w:rsid w:val="3046A99A"/>
    <w:rsid w:val="305288B4"/>
    <w:rsid w:val="30A2D1E5"/>
    <w:rsid w:val="30AF7B7F"/>
    <w:rsid w:val="30C3EFAE"/>
    <w:rsid w:val="315D9B61"/>
    <w:rsid w:val="31800FA1"/>
    <w:rsid w:val="31C6AA69"/>
    <w:rsid w:val="322AB74B"/>
    <w:rsid w:val="32A9516F"/>
    <w:rsid w:val="33262948"/>
    <w:rsid w:val="33860641"/>
    <w:rsid w:val="33B82176"/>
    <w:rsid w:val="33C4E92E"/>
    <w:rsid w:val="33C6AADA"/>
    <w:rsid w:val="33DFCC69"/>
    <w:rsid w:val="3473499B"/>
    <w:rsid w:val="3491829A"/>
    <w:rsid w:val="34A56B74"/>
    <w:rsid w:val="34DEB210"/>
    <w:rsid w:val="356EF76E"/>
    <w:rsid w:val="35878E66"/>
    <w:rsid w:val="35918C11"/>
    <w:rsid w:val="35A70217"/>
    <w:rsid w:val="35E88C7F"/>
    <w:rsid w:val="364F4F7C"/>
    <w:rsid w:val="36CFCFB8"/>
    <w:rsid w:val="36F66179"/>
    <w:rsid w:val="37196352"/>
    <w:rsid w:val="3720A5FE"/>
    <w:rsid w:val="374D05ED"/>
    <w:rsid w:val="37BA3FA3"/>
    <w:rsid w:val="37EC78A1"/>
    <w:rsid w:val="381F0D69"/>
    <w:rsid w:val="3835E622"/>
    <w:rsid w:val="3837D64C"/>
    <w:rsid w:val="385FAA5D"/>
    <w:rsid w:val="389E28CF"/>
    <w:rsid w:val="38B39B6F"/>
    <w:rsid w:val="38B634CD"/>
    <w:rsid w:val="38F01C18"/>
    <w:rsid w:val="392F96AA"/>
    <w:rsid w:val="39C48A78"/>
    <w:rsid w:val="39E55299"/>
    <w:rsid w:val="39F94D78"/>
    <w:rsid w:val="3A4EEB06"/>
    <w:rsid w:val="3A771890"/>
    <w:rsid w:val="3A7BAA18"/>
    <w:rsid w:val="3BAD232C"/>
    <w:rsid w:val="3BB883AD"/>
    <w:rsid w:val="3BE826F9"/>
    <w:rsid w:val="3C0D0465"/>
    <w:rsid w:val="3C5E199A"/>
    <w:rsid w:val="3C64F253"/>
    <w:rsid w:val="3C7A2680"/>
    <w:rsid w:val="3CBA329B"/>
    <w:rsid w:val="3CEE43BD"/>
    <w:rsid w:val="3D0BD4B5"/>
    <w:rsid w:val="3D4C33B2"/>
    <w:rsid w:val="3D8271BB"/>
    <w:rsid w:val="3D9B8E5B"/>
    <w:rsid w:val="3DB85656"/>
    <w:rsid w:val="3DC8B9DB"/>
    <w:rsid w:val="3DCBCB04"/>
    <w:rsid w:val="3DE9C7E9"/>
    <w:rsid w:val="3E0AF5ED"/>
    <w:rsid w:val="3E1A8353"/>
    <w:rsid w:val="3E99B5DB"/>
    <w:rsid w:val="3ECAE441"/>
    <w:rsid w:val="3EFCB758"/>
    <w:rsid w:val="3F3D2866"/>
    <w:rsid w:val="3F67F632"/>
    <w:rsid w:val="3FEEBBC6"/>
    <w:rsid w:val="4028885B"/>
    <w:rsid w:val="40A70C84"/>
    <w:rsid w:val="40CE1F5A"/>
    <w:rsid w:val="40D0886D"/>
    <w:rsid w:val="40EA0C8B"/>
    <w:rsid w:val="4107B4AB"/>
    <w:rsid w:val="4110ECEB"/>
    <w:rsid w:val="41435248"/>
    <w:rsid w:val="4193A62A"/>
    <w:rsid w:val="4196D033"/>
    <w:rsid w:val="419B1347"/>
    <w:rsid w:val="41AF784F"/>
    <w:rsid w:val="41B7263B"/>
    <w:rsid w:val="41E8BEEE"/>
    <w:rsid w:val="41F0AFBE"/>
    <w:rsid w:val="4244133E"/>
    <w:rsid w:val="42458FF9"/>
    <w:rsid w:val="4264CDF1"/>
    <w:rsid w:val="426C70B0"/>
    <w:rsid w:val="427E5DA5"/>
    <w:rsid w:val="4292F548"/>
    <w:rsid w:val="42A1A2D5"/>
    <w:rsid w:val="42A3EBA6"/>
    <w:rsid w:val="42B1AFAD"/>
    <w:rsid w:val="42C525A7"/>
    <w:rsid w:val="42F0045D"/>
    <w:rsid w:val="42F0E6B6"/>
    <w:rsid w:val="43464F23"/>
    <w:rsid w:val="437BD72F"/>
    <w:rsid w:val="43914107"/>
    <w:rsid w:val="43A08D1B"/>
    <w:rsid w:val="43DB64DD"/>
    <w:rsid w:val="43F50D22"/>
    <w:rsid w:val="4582F3DD"/>
    <w:rsid w:val="459A0FD8"/>
    <w:rsid w:val="45CA206A"/>
    <w:rsid w:val="45E92B66"/>
    <w:rsid w:val="46F97973"/>
    <w:rsid w:val="4704660E"/>
    <w:rsid w:val="475A88C5"/>
    <w:rsid w:val="47A0AFEE"/>
    <w:rsid w:val="47C1F88B"/>
    <w:rsid w:val="47DDAB0A"/>
    <w:rsid w:val="48514E68"/>
    <w:rsid w:val="48742120"/>
    <w:rsid w:val="48B8C8A2"/>
    <w:rsid w:val="48EBA3F6"/>
    <w:rsid w:val="48FB341D"/>
    <w:rsid w:val="4905C21A"/>
    <w:rsid w:val="4924975E"/>
    <w:rsid w:val="492E0F03"/>
    <w:rsid w:val="496BD42D"/>
    <w:rsid w:val="4A480604"/>
    <w:rsid w:val="4A5AA320"/>
    <w:rsid w:val="4A7AEE95"/>
    <w:rsid w:val="4A853B66"/>
    <w:rsid w:val="4A95D63F"/>
    <w:rsid w:val="4AEA9F10"/>
    <w:rsid w:val="4AEE5FE8"/>
    <w:rsid w:val="4AF72C03"/>
    <w:rsid w:val="4B0243CD"/>
    <w:rsid w:val="4B847333"/>
    <w:rsid w:val="4BE22B5B"/>
    <w:rsid w:val="4C185EB7"/>
    <w:rsid w:val="4C231E6D"/>
    <w:rsid w:val="4C29C96F"/>
    <w:rsid w:val="4C624201"/>
    <w:rsid w:val="4C68344E"/>
    <w:rsid w:val="4D12B7D9"/>
    <w:rsid w:val="4D2094E5"/>
    <w:rsid w:val="4D7F02FA"/>
    <w:rsid w:val="4DC71A50"/>
    <w:rsid w:val="4DD95F92"/>
    <w:rsid w:val="4DF18E9A"/>
    <w:rsid w:val="4DF5F5BF"/>
    <w:rsid w:val="4E171782"/>
    <w:rsid w:val="4E1E1426"/>
    <w:rsid w:val="4E201D0C"/>
    <w:rsid w:val="4E7F83C7"/>
    <w:rsid w:val="4E88ACD2"/>
    <w:rsid w:val="4EC9EFC8"/>
    <w:rsid w:val="4F1B84F1"/>
    <w:rsid w:val="4F30633A"/>
    <w:rsid w:val="4FA595FE"/>
    <w:rsid w:val="4FD58808"/>
    <w:rsid w:val="4FF3A47F"/>
    <w:rsid w:val="5011AC7E"/>
    <w:rsid w:val="506D4C2E"/>
    <w:rsid w:val="51099AEC"/>
    <w:rsid w:val="516C1E77"/>
    <w:rsid w:val="517AC126"/>
    <w:rsid w:val="5198FD5A"/>
    <w:rsid w:val="51EFA6C8"/>
    <w:rsid w:val="52460D6B"/>
    <w:rsid w:val="5252FB92"/>
    <w:rsid w:val="5296EF57"/>
    <w:rsid w:val="52D61E74"/>
    <w:rsid w:val="53687966"/>
    <w:rsid w:val="537B6007"/>
    <w:rsid w:val="5397A37C"/>
    <w:rsid w:val="53D78473"/>
    <w:rsid w:val="53D8EF5B"/>
    <w:rsid w:val="54278904"/>
    <w:rsid w:val="54352192"/>
    <w:rsid w:val="54791616"/>
    <w:rsid w:val="548984CC"/>
    <w:rsid w:val="54990C36"/>
    <w:rsid w:val="552236FF"/>
    <w:rsid w:val="55B92711"/>
    <w:rsid w:val="55C1DB5B"/>
    <w:rsid w:val="55C55812"/>
    <w:rsid w:val="55CD2201"/>
    <w:rsid w:val="55EB241B"/>
    <w:rsid w:val="5675A923"/>
    <w:rsid w:val="56D399A8"/>
    <w:rsid w:val="573E93C1"/>
    <w:rsid w:val="58018509"/>
    <w:rsid w:val="5808C3B1"/>
    <w:rsid w:val="583290C4"/>
    <w:rsid w:val="5874EEE4"/>
    <w:rsid w:val="58A7AC13"/>
    <w:rsid w:val="58BC3E03"/>
    <w:rsid w:val="59086FD1"/>
    <w:rsid w:val="5916B886"/>
    <w:rsid w:val="596BC475"/>
    <w:rsid w:val="59962B2E"/>
    <w:rsid w:val="59AFA996"/>
    <w:rsid w:val="59BF174D"/>
    <w:rsid w:val="59E07910"/>
    <w:rsid w:val="59E4A792"/>
    <w:rsid w:val="5A1CE0F2"/>
    <w:rsid w:val="5A39ADD2"/>
    <w:rsid w:val="5A6A501B"/>
    <w:rsid w:val="5AE68828"/>
    <w:rsid w:val="5B49A9D9"/>
    <w:rsid w:val="5B4F7729"/>
    <w:rsid w:val="5B625645"/>
    <w:rsid w:val="5B63AECF"/>
    <w:rsid w:val="5B6B1B19"/>
    <w:rsid w:val="5C1C952C"/>
    <w:rsid w:val="5C1FA0D3"/>
    <w:rsid w:val="5C2C8467"/>
    <w:rsid w:val="5C332434"/>
    <w:rsid w:val="5D335229"/>
    <w:rsid w:val="5D623DA4"/>
    <w:rsid w:val="5D838F88"/>
    <w:rsid w:val="5DE0829D"/>
    <w:rsid w:val="5DF106E8"/>
    <w:rsid w:val="5E729849"/>
    <w:rsid w:val="5E7AE148"/>
    <w:rsid w:val="5E8882C7"/>
    <w:rsid w:val="5E91ECDE"/>
    <w:rsid w:val="5F6166E6"/>
    <w:rsid w:val="5F99EEA0"/>
    <w:rsid w:val="5FBD48D8"/>
    <w:rsid w:val="5FFB22A6"/>
    <w:rsid w:val="6006C336"/>
    <w:rsid w:val="602109D5"/>
    <w:rsid w:val="60590AC6"/>
    <w:rsid w:val="606FC61D"/>
    <w:rsid w:val="60A1BDD7"/>
    <w:rsid w:val="60F6C436"/>
    <w:rsid w:val="60FED5F8"/>
    <w:rsid w:val="61287C61"/>
    <w:rsid w:val="6130A517"/>
    <w:rsid w:val="613F1E8F"/>
    <w:rsid w:val="61F9F0C1"/>
    <w:rsid w:val="61FB453F"/>
    <w:rsid w:val="625F5AED"/>
    <w:rsid w:val="626EAF26"/>
    <w:rsid w:val="63130C26"/>
    <w:rsid w:val="633A641D"/>
    <w:rsid w:val="633B5691"/>
    <w:rsid w:val="63823E13"/>
    <w:rsid w:val="6431A1A0"/>
    <w:rsid w:val="644596B8"/>
    <w:rsid w:val="646BEB47"/>
    <w:rsid w:val="646C9E8F"/>
    <w:rsid w:val="64958AEC"/>
    <w:rsid w:val="64BF8859"/>
    <w:rsid w:val="654CC71E"/>
    <w:rsid w:val="65522439"/>
    <w:rsid w:val="65994104"/>
    <w:rsid w:val="66116D97"/>
    <w:rsid w:val="6616D1F8"/>
    <w:rsid w:val="6641DC02"/>
    <w:rsid w:val="66AD22A9"/>
    <w:rsid w:val="670C77B7"/>
    <w:rsid w:val="673AE9EB"/>
    <w:rsid w:val="67635157"/>
    <w:rsid w:val="676D1A94"/>
    <w:rsid w:val="6799EEBA"/>
    <w:rsid w:val="67F42C1D"/>
    <w:rsid w:val="681B367C"/>
    <w:rsid w:val="682BED44"/>
    <w:rsid w:val="682CEB73"/>
    <w:rsid w:val="68301E5B"/>
    <w:rsid w:val="6894B79E"/>
    <w:rsid w:val="689A151A"/>
    <w:rsid w:val="689C5557"/>
    <w:rsid w:val="68B62FBF"/>
    <w:rsid w:val="68C2D331"/>
    <w:rsid w:val="68EAF9E9"/>
    <w:rsid w:val="69441287"/>
    <w:rsid w:val="699A911F"/>
    <w:rsid w:val="699E7752"/>
    <w:rsid w:val="6A4B6B71"/>
    <w:rsid w:val="6A625621"/>
    <w:rsid w:val="6A811AB1"/>
    <w:rsid w:val="6AC6EF54"/>
    <w:rsid w:val="6AD176EB"/>
    <w:rsid w:val="6AD41F25"/>
    <w:rsid w:val="6AF811B4"/>
    <w:rsid w:val="6AFE0939"/>
    <w:rsid w:val="6B0206DC"/>
    <w:rsid w:val="6B33EE28"/>
    <w:rsid w:val="6B51B15B"/>
    <w:rsid w:val="6C0880C2"/>
    <w:rsid w:val="6C3AFAC6"/>
    <w:rsid w:val="6CB99D10"/>
    <w:rsid w:val="6CC04248"/>
    <w:rsid w:val="6CD7B0D5"/>
    <w:rsid w:val="6D13312F"/>
    <w:rsid w:val="6D42A5D0"/>
    <w:rsid w:val="6D4911E5"/>
    <w:rsid w:val="6D53D1E8"/>
    <w:rsid w:val="6D6FD899"/>
    <w:rsid w:val="6D75E6B5"/>
    <w:rsid w:val="6D7877BF"/>
    <w:rsid w:val="6DA877EC"/>
    <w:rsid w:val="6DADCD2C"/>
    <w:rsid w:val="6DB5698E"/>
    <w:rsid w:val="6DDA9F26"/>
    <w:rsid w:val="6E03B4DC"/>
    <w:rsid w:val="6E2C14CA"/>
    <w:rsid w:val="6E330EEB"/>
    <w:rsid w:val="6E46CFB3"/>
    <w:rsid w:val="6E4DE1A0"/>
    <w:rsid w:val="6E5036CE"/>
    <w:rsid w:val="6E6E8DB6"/>
    <w:rsid w:val="6EA0D7FF"/>
    <w:rsid w:val="6EDA8698"/>
    <w:rsid w:val="6EDEA238"/>
    <w:rsid w:val="6EE2136E"/>
    <w:rsid w:val="6F72FE28"/>
    <w:rsid w:val="6F9AF6D7"/>
    <w:rsid w:val="6F9EDA7D"/>
    <w:rsid w:val="6FAEF14B"/>
    <w:rsid w:val="6FC70DCB"/>
    <w:rsid w:val="705189CD"/>
    <w:rsid w:val="70687941"/>
    <w:rsid w:val="70B91BC3"/>
    <w:rsid w:val="70F5DE4C"/>
    <w:rsid w:val="70FBCDEB"/>
    <w:rsid w:val="71121719"/>
    <w:rsid w:val="712F39FC"/>
    <w:rsid w:val="7184A3BE"/>
    <w:rsid w:val="71CD1FE6"/>
    <w:rsid w:val="727D51B1"/>
    <w:rsid w:val="728C6098"/>
    <w:rsid w:val="72BEC138"/>
    <w:rsid w:val="72CDAC2E"/>
    <w:rsid w:val="72FC4098"/>
    <w:rsid w:val="73201BF1"/>
    <w:rsid w:val="73433FD4"/>
    <w:rsid w:val="734CA701"/>
    <w:rsid w:val="7369610A"/>
    <w:rsid w:val="73840985"/>
    <w:rsid w:val="739A1AF0"/>
    <w:rsid w:val="73A93CF0"/>
    <w:rsid w:val="741DDD62"/>
    <w:rsid w:val="74529634"/>
    <w:rsid w:val="748274E1"/>
    <w:rsid w:val="74A3339D"/>
    <w:rsid w:val="74C8DB87"/>
    <w:rsid w:val="752A8455"/>
    <w:rsid w:val="7536C601"/>
    <w:rsid w:val="753DE46D"/>
    <w:rsid w:val="7562C6CB"/>
    <w:rsid w:val="75A3C817"/>
    <w:rsid w:val="75B165DB"/>
    <w:rsid w:val="75DE5E34"/>
    <w:rsid w:val="75DED842"/>
    <w:rsid w:val="75E5BC06"/>
    <w:rsid w:val="75F46D64"/>
    <w:rsid w:val="76366DE3"/>
    <w:rsid w:val="7661EC2F"/>
    <w:rsid w:val="76D13481"/>
    <w:rsid w:val="76EB7123"/>
    <w:rsid w:val="76ECA48D"/>
    <w:rsid w:val="76ECD4AC"/>
    <w:rsid w:val="770449BF"/>
    <w:rsid w:val="7704E52B"/>
    <w:rsid w:val="7741198C"/>
    <w:rsid w:val="774F7444"/>
    <w:rsid w:val="77A90FC7"/>
    <w:rsid w:val="77C701B0"/>
    <w:rsid w:val="78098064"/>
    <w:rsid w:val="78280B60"/>
    <w:rsid w:val="78C9F1FC"/>
    <w:rsid w:val="790ADBAB"/>
    <w:rsid w:val="7916C0F9"/>
    <w:rsid w:val="793B93F9"/>
    <w:rsid w:val="794BCD68"/>
    <w:rsid w:val="79A7D95C"/>
    <w:rsid w:val="79D0753B"/>
    <w:rsid w:val="7A4D36D8"/>
    <w:rsid w:val="7A4F78CB"/>
    <w:rsid w:val="7A9C6BDA"/>
    <w:rsid w:val="7AAA6F6A"/>
    <w:rsid w:val="7AACA01C"/>
    <w:rsid w:val="7AFFFC7E"/>
    <w:rsid w:val="7B0D7383"/>
    <w:rsid w:val="7B229CAE"/>
    <w:rsid w:val="7B2E168A"/>
    <w:rsid w:val="7B7ABA50"/>
    <w:rsid w:val="7BBDF306"/>
    <w:rsid w:val="7BED23AE"/>
    <w:rsid w:val="7C0BCF87"/>
    <w:rsid w:val="7C12342A"/>
    <w:rsid w:val="7CBA7624"/>
    <w:rsid w:val="7D14CD14"/>
    <w:rsid w:val="7D28EEE5"/>
    <w:rsid w:val="7D321C30"/>
    <w:rsid w:val="7D41EBE0"/>
    <w:rsid w:val="7D51AF3A"/>
    <w:rsid w:val="7D7583B4"/>
    <w:rsid w:val="7DE2E2AA"/>
    <w:rsid w:val="7E3274EC"/>
    <w:rsid w:val="7E776C2D"/>
    <w:rsid w:val="7E9444FF"/>
    <w:rsid w:val="7F0D1E25"/>
    <w:rsid w:val="7F425A1B"/>
    <w:rsid w:val="7F78BC65"/>
    <w:rsid w:val="7FF8BB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1ABB"/>
  <w15:chartTrackingRefBased/>
  <w15:docId w15:val="{1B1B9718-9986-4588-A8AC-9BD61887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2CB"/>
    <w:pPr>
      <w:spacing w:after="240" w:line="240" w:lineRule="auto"/>
      <w:jc w:val="both"/>
    </w:pPr>
    <w:rPr>
      <w:rFonts w:ascii="Courier New" w:eastAsia="Times New Roman" w:hAnsi="Courier New" w:cs="Times New Roman"/>
      <w:kern w:val="0"/>
      <w:sz w:val="24"/>
      <w:szCs w:val="20"/>
      <w:lang w:eastAsia="en-GB"/>
      <w14:ligatures w14:val="none"/>
    </w:rPr>
  </w:style>
  <w:style w:type="paragraph" w:styleId="Heading1">
    <w:name w:val="heading 1"/>
    <w:basedOn w:val="Normal"/>
    <w:next w:val="Normal"/>
    <w:link w:val="Heading1Char"/>
    <w:uiPriority w:val="9"/>
    <w:qFormat/>
    <w:rsid w:val="00B6775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6775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775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775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775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7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75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6775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775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775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775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7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759"/>
    <w:rPr>
      <w:rFonts w:eastAsiaTheme="majorEastAsia" w:cstheme="majorBidi"/>
      <w:color w:val="272727" w:themeColor="text1" w:themeTint="D8"/>
    </w:rPr>
  </w:style>
  <w:style w:type="paragraph" w:styleId="Title">
    <w:name w:val="Title"/>
    <w:basedOn w:val="Normal"/>
    <w:next w:val="Normal"/>
    <w:link w:val="TitleChar"/>
    <w:uiPriority w:val="10"/>
    <w:qFormat/>
    <w:rsid w:val="00B677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7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7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7759"/>
    <w:rPr>
      <w:i/>
      <w:iCs/>
      <w:color w:val="404040" w:themeColor="text1" w:themeTint="BF"/>
    </w:rPr>
  </w:style>
  <w:style w:type="paragraph" w:styleId="ListParagraph">
    <w:name w:val="List Paragraph"/>
    <w:basedOn w:val="Normal"/>
    <w:uiPriority w:val="34"/>
    <w:qFormat/>
    <w:rsid w:val="00B67759"/>
    <w:pPr>
      <w:ind w:left="720"/>
      <w:contextualSpacing/>
    </w:pPr>
  </w:style>
  <w:style w:type="character" w:styleId="IntenseEmphasis">
    <w:name w:val="Intense Emphasis"/>
    <w:basedOn w:val="DefaultParagraphFont"/>
    <w:uiPriority w:val="21"/>
    <w:qFormat/>
    <w:rsid w:val="00B67759"/>
    <w:rPr>
      <w:i/>
      <w:iCs/>
      <w:color w:val="365F91" w:themeColor="accent1" w:themeShade="BF"/>
    </w:rPr>
  </w:style>
  <w:style w:type="paragraph" w:styleId="IntenseQuote">
    <w:name w:val="Intense Quote"/>
    <w:basedOn w:val="Normal"/>
    <w:next w:val="Normal"/>
    <w:link w:val="IntenseQuoteChar"/>
    <w:uiPriority w:val="30"/>
    <w:qFormat/>
    <w:rsid w:val="00B6775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7759"/>
    <w:rPr>
      <w:i/>
      <w:iCs/>
      <w:color w:val="365F91" w:themeColor="accent1" w:themeShade="BF"/>
    </w:rPr>
  </w:style>
  <w:style w:type="character" w:styleId="IntenseReference">
    <w:name w:val="Intense Reference"/>
    <w:basedOn w:val="DefaultParagraphFont"/>
    <w:uiPriority w:val="32"/>
    <w:qFormat/>
    <w:rsid w:val="00B67759"/>
    <w:rPr>
      <w:b/>
      <w:bCs/>
      <w:smallCaps/>
      <w:color w:val="365F91" w:themeColor="accent1" w:themeShade="BF"/>
      <w:spacing w:val="5"/>
    </w:rPr>
  </w:style>
  <w:style w:type="paragraph" w:customStyle="1" w:styleId="Default">
    <w:name w:val="Default"/>
    <w:rsid w:val="00B67759"/>
    <w:pPr>
      <w:autoSpaceDE w:val="0"/>
      <w:autoSpaceDN w:val="0"/>
      <w:adjustRightInd w:val="0"/>
      <w:spacing w:after="0" w:line="240" w:lineRule="auto"/>
    </w:pPr>
    <w:rPr>
      <w:rFonts w:ascii="Times New Roman" w:eastAsia="Times New Roman" w:hAnsi="Times New Roman" w:cs="Times New Roman"/>
      <w:color w:val="000000"/>
      <w:kern w:val="0"/>
      <w:sz w:val="24"/>
      <w:szCs w:val="24"/>
      <w:lang w:val="fr-FR" w:eastAsia="fr-FR"/>
      <w14:ligatures w14:val="none"/>
    </w:rPr>
  </w:style>
  <w:style w:type="character" w:styleId="Hyperlink">
    <w:name w:val="Hyperlink"/>
    <w:basedOn w:val="DefaultParagraphFont"/>
    <w:uiPriority w:val="99"/>
    <w:unhideWhenUsed/>
    <w:rsid w:val="00541124"/>
    <w:rPr>
      <w:color w:val="0000FF" w:themeColor="hyperlink"/>
      <w:u w:val="single"/>
    </w:rPr>
  </w:style>
  <w:style w:type="paragraph" w:styleId="FootnoteText">
    <w:name w:val="footnote text"/>
    <w:basedOn w:val="Normal"/>
    <w:link w:val="FootnoteTextChar"/>
    <w:uiPriority w:val="99"/>
    <w:semiHidden/>
    <w:unhideWhenUsed/>
    <w:rsid w:val="00541124"/>
    <w:pPr>
      <w:spacing w:after="0"/>
      <w:jc w:val="left"/>
    </w:pPr>
    <w:rPr>
      <w:rFonts w:asciiTheme="minorHAnsi" w:eastAsiaTheme="minorHAnsi" w:hAnsiTheme="minorHAnsi" w:cstheme="minorBidi"/>
      <w:kern w:val="2"/>
      <w:sz w:val="20"/>
      <w:lang w:eastAsia="en-US"/>
      <w14:ligatures w14:val="standardContextual"/>
    </w:rPr>
  </w:style>
  <w:style w:type="character" w:customStyle="1" w:styleId="FootnoteTextChar">
    <w:name w:val="Footnote Text Char"/>
    <w:basedOn w:val="DefaultParagraphFont"/>
    <w:link w:val="FootnoteText"/>
    <w:uiPriority w:val="99"/>
    <w:semiHidden/>
    <w:rsid w:val="00541124"/>
    <w:rPr>
      <w:sz w:val="20"/>
      <w:szCs w:val="20"/>
    </w:rPr>
  </w:style>
  <w:style w:type="character" w:styleId="FootnoteReference">
    <w:name w:val="footnote reference"/>
    <w:basedOn w:val="DefaultParagraphFont"/>
    <w:uiPriority w:val="99"/>
    <w:semiHidden/>
    <w:unhideWhenUsed/>
    <w:rsid w:val="00541124"/>
    <w:rPr>
      <w:vertAlign w:val="superscript"/>
    </w:rPr>
  </w:style>
  <w:style w:type="paragraph" w:styleId="Header">
    <w:name w:val="header"/>
    <w:basedOn w:val="Normal"/>
    <w:link w:val="HeaderChar"/>
    <w:uiPriority w:val="99"/>
    <w:semiHidden/>
    <w:unhideWhenUsed/>
    <w:rsid w:val="00004F8B"/>
    <w:pPr>
      <w:tabs>
        <w:tab w:val="center" w:pos="4680"/>
        <w:tab w:val="right" w:pos="9360"/>
      </w:tabs>
      <w:spacing w:after="0"/>
    </w:pPr>
  </w:style>
  <w:style w:type="character" w:customStyle="1" w:styleId="HeaderChar">
    <w:name w:val="Header Char"/>
    <w:basedOn w:val="DefaultParagraphFont"/>
    <w:link w:val="Header"/>
    <w:uiPriority w:val="99"/>
    <w:semiHidden/>
    <w:rsid w:val="00633CA3"/>
    <w:rPr>
      <w:rFonts w:ascii="Courier New" w:eastAsia="Times New Roman" w:hAnsi="Courier New" w:cs="Times New Roman"/>
      <w:kern w:val="0"/>
      <w:sz w:val="24"/>
      <w:szCs w:val="20"/>
      <w:lang w:eastAsia="en-GB"/>
      <w14:ligatures w14:val="none"/>
    </w:rPr>
  </w:style>
  <w:style w:type="paragraph" w:styleId="Footer">
    <w:name w:val="footer"/>
    <w:basedOn w:val="Normal"/>
    <w:link w:val="FooterChar"/>
    <w:uiPriority w:val="99"/>
    <w:semiHidden/>
    <w:unhideWhenUsed/>
    <w:rsid w:val="00004F8B"/>
    <w:pPr>
      <w:tabs>
        <w:tab w:val="center" w:pos="4680"/>
        <w:tab w:val="right" w:pos="9360"/>
      </w:tabs>
      <w:spacing w:after="0"/>
    </w:pPr>
  </w:style>
  <w:style w:type="character" w:customStyle="1" w:styleId="FooterChar">
    <w:name w:val="Footer Char"/>
    <w:basedOn w:val="DefaultParagraphFont"/>
    <w:link w:val="Footer"/>
    <w:uiPriority w:val="99"/>
    <w:semiHidden/>
    <w:rsid w:val="00633CA3"/>
    <w:rPr>
      <w:rFonts w:ascii="Courier New" w:eastAsia="Times New Roman" w:hAnsi="Courier New" w:cs="Times New Roman"/>
      <w:kern w:val="0"/>
      <w:sz w:val="24"/>
      <w:szCs w:val="20"/>
      <w:lang w:eastAsia="en-GB"/>
      <w14:ligatures w14:val="none"/>
    </w:rPr>
  </w:style>
  <w:style w:type="paragraph" w:styleId="CommentText">
    <w:name w:val="annotation text"/>
    <w:basedOn w:val="Normal"/>
    <w:link w:val="CommentTextChar"/>
    <w:uiPriority w:val="99"/>
    <w:unhideWhenUsed/>
    <w:rsid w:val="00725320"/>
    <w:rPr>
      <w:sz w:val="20"/>
    </w:rPr>
  </w:style>
  <w:style w:type="character" w:customStyle="1" w:styleId="CommentTextChar">
    <w:name w:val="Comment Text Char"/>
    <w:basedOn w:val="DefaultParagraphFont"/>
    <w:link w:val="CommentText"/>
    <w:uiPriority w:val="99"/>
    <w:rsid w:val="00725320"/>
    <w:rPr>
      <w:rFonts w:ascii="Courier New" w:eastAsia="Times New Roman" w:hAnsi="Courier New"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725320"/>
    <w:rPr>
      <w:sz w:val="16"/>
      <w:szCs w:val="16"/>
    </w:rPr>
  </w:style>
  <w:style w:type="paragraph" w:styleId="CommentSubject">
    <w:name w:val="annotation subject"/>
    <w:basedOn w:val="CommentText"/>
    <w:next w:val="CommentText"/>
    <w:link w:val="CommentSubjectChar"/>
    <w:uiPriority w:val="99"/>
    <w:semiHidden/>
    <w:unhideWhenUsed/>
    <w:rsid w:val="005A217C"/>
    <w:rPr>
      <w:b/>
      <w:bCs/>
    </w:rPr>
  </w:style>
  <w:style w:type="character" w:customStyle="1" w:styleId="CommentSubjectChar">
    <w:name w:val="Comment Subject Char"/>
    <w:basedOn w:val="CommentTextChar"/>
    <w:link w:val="CommentSubject"/>
    <w:uiPriority w:val="99"/>
    <w:semiHidden/>
    <w:rsid w:val="005A217C"/>
    <w:rPr>
      <w:rFonts w:ascii="Courier New" w:eastAsia="Times New Roman" w:hAnsi="Courier New" w:cs="Times New Roman"/>
      <w:b/>
      <w:bCs/>
      <w:kern w:val="0"/>
      <w:sz w:val="20"/>
      <w:szCs w:val="20"/>
      <w:lang w:eastAsia="en-GB"/>
      <w14:ligatures w14:val="none"/>
    </w:rPr>
  </w:style>
  <w:style w:type="paragraph" w:styleId="Revision">
    <w:name w:val="Revision"/>
    <w:hidden/>
    <w:uiPriority w:val="99"/>
    <w:semiHidden/>
    <w:rsid w:val="00CD4CEA"/>
    <w:pPr>
      <w:spacing w:after="0" w:line="240" w:lineRule="auto"/>
    </w:pPr>
    <w:rPr>
      <w:rFonts w:ascii="Courier New" w:eastAsia="Times New Roman" w:hAnsi="Courier New" w:cs="Times New Roman"/>
      <w:kern w:val="0"/>
      <w:sz w:val="24"/>
      <w:szCs w:val="20"/>
      <w:lang w:eastAsia="en-GB"/>
      <w14:ligatures w14:val="none"/>
    </w:rPr>
  </w:style>
  <w:style w:type="character" w:styleId="FollowedHyperlink">
    <w:name w:val="FollowedHyperlink"/>
    <w:basedOn w:val="DefaultParagraphFont"/>
    <w:uiPriority w:val="99"/>
    <w:semiHidden/>
    <w:unhideWhenUsed/>
    <w:rsid w:val="0044332A"/>
    <w:rPr>
      <w:color w:val="800080" w:themeColor="followedHyperlink"/>
      <w:u w:val="single"/>
    </w:rPr>
  </w:style>
  <w:style w:type="character" w:styleId="UnresolvedMention">
    <w:name w:val="Unresolved Mention"/>
    <w:basedOn w:val="DefaultParagraphFont"/>
    <w:uiPriority w:val="99"/>
    <w:semiHidden/>
    <w:unhideWhenUsed/>
    <w:rsid w:val="00BE4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law/law-making-process/better-regulation/simplification-and-implementation/implementation-dialogues_en" TargetMode="External"/><Relationship Id="rId2" Type="http://schemas.openxmlformats.org/officeDocument/2006/relationships/hyperlink" Target="https://national-parliaments-opinions.ec.europa.eu/home" TargetMode="External"/><Relationship Id="rId1" Type="http://schemas.openxmlformats.org/officeDocument/2006/relationships/hyperlink" Target="https://commission.europa.eu/law/law-making-process/better-regulation/better-regulation-guidelines-and-toolbox/better-regulation-toolbox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97CB7-53F4-4773-B49C-72932E1A1EFA}">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E28D9314-1B42-487D-87FC-423AD71E4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8D6B3-7479-480A-A7F7-DBE41DE23B0D}">
  <ds:schemaRefs>
    <ds:schemaRef ds:uri="http://schemas.openxmlformats.org/officeDocument/2006/bibliography"/>
  </ds:schemaRefs>
</ds:datastoreItem>
</file>

<file path=customXml/itemProps4.xml><?xml version="1.0" encoding="utf-8"?>
<ds:datastoreItem xmlns:ds="http://schemas.openxmlformats.org/officeDocument/2006/customXml" ds:itemID="{7F1FA0A9-DDD3-4900-B12F-E745E9BD5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3251</Words>
  <Characters>19251</Characters>
  <Application>Microsoft Office Word</Application>
  <DocSecurity>0</DocSecurity>
  <Lines>291</Lines>
  <Paragraphs>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CHARRAD Kristina (SG)</dc:creator>
  <cp:keywords/>
  <dc:description/>
  <cp:lastModifiedBy>DELBAER Gerda (SG)</cp:lastModifiedBy>
  <cp:revision>2</cp:revision>
  <cp:lastPrinted>2026-01-12T08:27:00Z</cp:lastPrinted>
  <dcterms:created xsi:type="dcterms:W3CDTF">2026-02-18T10:40:00Z</dcterms:created>
  <dcterms:modified xsi:type="dcterms:W3CDTF">2026-02-18T10:40:00Z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2025-12-10T14:06:00Z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78aa33c4-d65a-4ff4-862f-90ff0721fa3c</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0x010100271BB73A879EDE41AFDC9232B9EB1EA9</vt:lpwstr>
  </property>
  <property fmtid="{D5CDD505-2E9C-101B-9397-08002B2CF9AE}" pid="11" name="MediaServiceImageTags">
    <vt:lpwstr/>
  </property>
</Properties>
</file>