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7D7EB5A2"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990900" w:rsidRPr="00990900">
        <w:rPr>
          <w:b/>
          <w:lang w:val="en-IE"/>
        </w:rPr>
        <w:t>on the p</w:t>
      </w:r>
      <w:r w:rsidR="00492571" w:rsidRPr="00492571">
        <w:rPr>
          <w:b/>
          <w:lang w:val="en-IE"/>
        </w:rPr>
        <w:t>roposal for a directive of the European Parliament and of the Council amending Directive 2014/32/EU as regards electric vehicle supply equipment, compressed gas dispensers, and electricity, gas and thermal energy meters</w:t>
      </w:r>
    </w:p>
    <w:p w14:paraId="5481E768" w14:textId="0F471DBD" w:rsidR="002B7441" w:rsidRPr="00671CDD" w:rsidRDefault="002B7441" w:rsidP="00D05171">
      <w:pPr>
        <w:spacing w:after="240"/>
        <w:ind w:left="567" w:hanging="567"/>
      </w:pPr>
      <w:r w:rsidRPr="00671CDD">
        <w:rPr>
          <w:b/>
        </w:rPr>
        <w:t>1.</w:t>
      </w:r>
      <w:r w:rsidRPr="00671CDD">
        <w:rPr>
          <w:b/>
        </w:rPr>
        <w:tab/>
        <w:t>Rapporteur:</w:t>
      </w:r>
      <w:r w:rsidR="00AC6F72" w:rsidRPr="00671CDD">
        <w:rPr>
          <w:b/>
        </w:rPr>
        <w:t xml:space="preserve"> </w:t>
      </w:r>
      <w:r w:rsidR="00492571">
        <w:rPr>
          <w:bCs/>
        </w:rPr>
        <w:t xml:space="preserve">Zala </w:t>
      </w:r>
      <w:r w:rsidR="00492571" w:rsidRPr="00AB7D3D">
        <w:rPr>
          <w:bCs/>
          <w:caps/>
        </w:rPr>
        <w:t>Tomašič</w:t>
      </w:r>
      <w:r w:rsidR="00D6407D" w:rsidRPr="00671CDD">
        <w:rPr>
          <w:bCs/>
        </w:rPr>
        <w:t xml:space="preserve"> </w:t>
      </w:r>
      <w:r w:rsidR="00FF0C02" w:rsidRPr="00671CDD">
        <w:rPr>
          <w:bCs/>
        </w:rPr>
        <w:t>(</w:t>
      </w:r>
      <w:r w:rsidR="00671CDD">
        <w:rPr>
          <w:bCs/>
        </w:rPr>
        <w:t>EPP</w:t>
      </w:r>
      <w:r w:rsidR="009E59A8">
        <w:rPr>
          <w:bCs/>
        </w:rPr>
        <w:t xml:space="preserve"> </w:t>
      </w:r>
      <w:r w:rsidR="00FF0C02" w:rsidRPr="00671CDD">
        <w:rPr>
          <w:bCs/>
        </w:rPr>
        <w:t>/</w:t>
      </w:r>
      <w:r w:rsidR="009E59A8">
        <w:rPr>
          <w:bCs/>
        </w:rPr>
        <w:t xml:space="preserve"> </w:t>
      </w:r>
      <w:r w:rsidR="00492571">
        <w:rPr>
          <w:bCs/>
        </w:rPr>
        <w:t>SI</w:t>
      </w:r>
      <w:r w:rsidR="00153310" w:rsidRPr="00671CDD">
        <w:rPr>
          <w:bCs/>
        </w:rPr>
        <w:t>)</w:t>
      </w:r>
    </w:p>
    <w:p w14:paraId="5E579AB4" w14:textId="7DB96234" w:rsidR="00605133" w:rsidRPr="00B86754" w:rsidRDefault="002B7441" w:rsidP="00606ED3">
      <w:pPr>
        <w:spacing w:after="240"/>
        <w:ind w:left="567" w:hanging="567"/>
        <w:rPr>
          <w:bCs/>
          <w:i/>
          <w:iCs/>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7D49DD">
        <w:rPr>
          <w:lang w:val="en-IE"/>
        </w:rPr>
        <w:t>2024/0311</w:t>
      </w:r>
      <w:r w:rsidR="00492571" w:rsidRPr="00492571">
        <w:rPr>
          <w:lang w:val="en-IE"/>
        </w:rPr>
        <w:t>(COD)</w:t>
      </w:r>
      <w:r w:rsidR="007D49DD">
        <w:rPr>
          <w:lang w:val="en-IE"/>
        </w:rPr>
        <w:t xml:space="preserve"> </w:t>
      </w:r>
      <w:r w:rsidR="00671CDD">
        <w:rPr>
          <w:lang w:val="en-IE"/>
        </w:rPr>
        <w:t xml:space="preserve">/ </w:t>
      </w:r>
      <w:r w:rsidR="00492571" w:rsidRPr="00492571">
        <w:rPr>
          <w:lang w:val="en-IE"/>
        </w:rPr>
        <w:t xml:space="preserve">A10-0173/2025 </w:t>
      </w:r>
      <w:r w:rsidR="0019232D" w:rsidRPr="00D10A5A">
        <w:rPr>
          <w:lang w:val="en-GB"/>
        </w:rPr>
        <w:t xml:space="preserve">/ </w:t>
      </w:r>
      <w:r w:rsidR="00492571" w:rsidRPr="00492571">
        <w:rPr>
          <w:lang w:val="en-IE"/>
        </w:rPr>
        <w:t>P10_TA(2026)29</w:t>
      </w:r>
    </w:p>
    <w:p w14:paraId="474B79A2" w14:textId="1893AC05" w:rsidR="002B7441" w:rsidRPr="00D70C75" w:rsidRDefault="002B7441" w:rsidP="00D05171">
      <w:pPr>
        <w:spacing w:after="240"/>
        <w:ind w:left="567" w:hanging="567"/>
        <w:rPr>
          <w:iCs/>
          <w:lang w:val="en-IE"/>
        </w:rPr>
      </w:pPr>
      <w:r w:rsidRPr="002B7441">
        <w:rPr>
          <w:b/>
          <w:lang w:val="en-GB"/>
        </w:rPr>
        <w:t>3.</w:t>
      </w:r>
      <w:r w:rsidRPr="002B7441">
        <w:rPr>
          <w:b/>
          <w:lang w:val="en-GB"/>
        </w:rPr>
        <w:tab/>
        <w:t>Date of adoption of the resolution:</w:t>
      </w:r>
      <w:r w:rsidRPr="003429A3">
        <w:rPr>
          <w:bCs/>
          <w:lang w:val="en-GB"/>
        </w:rPr>
        <w:t xml:space="preserve"> </w:t>
      </w:r>
      <w:r w:rsidR="00492571" w:rsidRPr="00AB7D3D">
        <w:rPr>
          <w:iCs/>
          <w:szCs w:val="24"/>
          <w:lang w:val="en-IE"/>
        </w:rPr>
        <w:t>10 February</w:t>
      </w:r>
      <w:r w:rsidR="00671CDD" w:rsidRPr="00AB7D3D">
        <w:rPr>
          <w:iCs/>
          <w:szCs w:val="24"/>
          <w:lang w:val="en-IE"/>
        </w:rPr>
        <w:t xml:space="preserve"> 202</w:t>
      </w:r>
      <w:r w:rsidR="00D70C75">
        <w:rPr>
          <w:iCs/>
          <w:szCs w:val="24"/>
          <w:lang w:val="en-IE"/>
        </w:rPr>
        <w:t>6</w:t>
      </w:r>
      <w:r w:rsidR="00671CDD" w:rsidRPr="00AB7D3D">
        <w:rPr>
          <w:iCs/>
          <w:szCs w:val="24"/>
          <w:lang w:val="en-IE"/>
        </w:rPr>
        <w:t xml:space="preserve"> </w:t>
      </w:r>
    </w:p>
    <w:p w14:paraId="35860E93" w14:textId="3F36C99D" w:rsidR="002B7441" w:rsidRPr="002B7441" w:rsidRDefault="002B7441" w:rsidP="00D05171">
      <w:pPr>
        <w:spacing w:after="240"/>
        <w:ind w:left="567" w:hanging="567"/>
        <w:jc w:val="both"/>
        <w:rPr>
          <w:lang w:val="en-GB"/>
        </w:rPr>
      </w:pPr>
      <w:r w:rsidRPr="002B7441">
        <w:rPr>
          <w:b/>
          <w:lang w:val="en-GB"/>
        </w:rPr>
        <w:t>4.</w:t>
      </w:r>
      <w:r w:rsidRPr="002B7441">
        <w:rPr>
          <w:b/>
          <w:lang w:val="en-GB"/>
        </w:rPr>
        <w:tab/>
        <w:t xml:space="preserve">Legal basis: </w:t>
      </w:r>
      <w:r w:rsidR="00B7704B" w:rsidRPr="00AB7D3D">
        <w:rPr>
          <w:bCs/>
          <w:lang w:val="en-GB"/>
        </w:rPr>
        <w:t>Article 114</w:t>
      </w:r>
      <w:r w:rsidR="00671CDD" w:rsidRPr="00AB7D3D">
        <w:rPr>
          <w:bCs/>
          <w:lang w:val="en-GB"/>
        </w:rPr>
        <w:t xml:space="preserve"> of the Treaty on the Functioning of the European Union (TFEU</w:t>
      </w:r>
      <w:r w:rsidR="00B7704B" w:rsidRPr="00AB7D3D">
        <w:rPr>
          <w:bCs/>
          <w:lang w:val="en-GB"/>
        </w:rPr>
        <w:t>)</w:t>
      </w:r>
    </w:p>
    <w:p w14:paraId="5DE3F035" w14:textId="66EE24F4" w:rsidR="00DE04F8" w:rsidRPr="00F9581A"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F9581A">
        <w:rPr>
          <w:b/>
          <w:lang w:val="en-GB"/>
        </w:rPr>
        <w:t>:</w:t>
      </w:r>
      <w:r w:rsidRPr="00F9581A">
        <w:rPr>
          <w:bCs/>
          <w:lang w:val="en-GB"/>
        </w:rPr>
        <w:t xml:space="preserve"> </w:t>
      </w:r>
      <w:r w:rsidR="0019232D" w:rsidRPr="00AB7D3D">
        <w:rPr>
          <w:szCs w:val="24"/>
          <w:lang w:val="en-IE"/>
        </w:rPr>
        <w:t xml:space="preserve">Committee on </w:t>
      </w:r>
      <w:r w:rsidR="00492571" w:rsidRPr="00AB7D3D">
        <w:rPr>
          <w:szCs w:val="24"/>
          <w:lang w:val="en-IE"/>
        </w:rPr>
        <w:t>Internal Market and Consumer Protection (IMCO)</w:t>
      </w:r>
    </w:p>
    <w:p w14:paraId="219C8439" w14:textId="7512C99D" w:rsidR="00862937" w:rsidRPr="00237B56"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7F87" w14:textId="77777777" w:rsidR="004E1F70" w:rsidRDefault="004E1F70">
      <w:pPr>
        <w:spacing w:line="240" w:lineRule="auto"/>
      </w:pPr>
      <w:r>
        <w:separator/>
      </w:r>
    </w:p>
  </w:endnote>
  <w:endnote w:type="continuationSeparator" w:id="0">
    <w:p w14:paraId="33225F06" w14:textId="77777777" w:rsidR="004E1F70" w:rsidRDefault="004E1F70">
      <w:pPr>
        <w:spacing w:line="240" w:lineRule="auto"/>
      </w:pPr>
      <w:r>
        <w:continuationSeparator/>
      </w:r>
    </w:p>
  </w:endnote>
  <w:endnote w:type="continuationNotice" w:id="1">
    <w:p w14:paraId="5D255118" w14:textId="77777777" w:rsidR="004E1F70" w:rsidRDefault="004E1F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7A73" w14:textId="77777777" w:rsidR="004E1F70" w:rsidRDefault="004E1F70">
      <w:pPr>
        <w:spacing w:line="240" w:lineRule="auto"/>
      </w:pPr>
      <w:r>
        <w:separator/>
      </w:r>
    </w:p>
  </w:footnote>
  <w:footnote w:type="continuationSeparator" w:id="0">
    <w:p w14:paraId="475F8159" w14:textId="77777777" w:rsidR="004E1F70" w:rsidRDefault="004E1F70">
      <w:pPr>
        <w:spacing w:line="240" w:lineRule="auto"/>
      </w:pPr>
      <w:r>
        <w:continuationSeparator/>
      </w:r>
    </w:p>
  </w:footnote>
  <w:footnote w:type="continuationNotice" w:id="1">
    <w:p w14:paraId="23D30CEE" w14:textId="77777777" w:rsidR="004E1F70" w:rsidRDefault="004E1F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42F7"/>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2C61"/>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7B56"/>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D2"/>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3EC9"/>
    <w:rsid w:val="00394375"/>
    <w:rsid w:val="00394A88"/>
    <w:rsid w:val="00394BAD"/>
    <w:rsid w:val="00395751"/>
    <w:rsid w:val="003A033C"/>
    <w:rsid w:val="003A1199"/>
    <w:rsid w:val="003A1A82"/>
    <w:rsid w:val="003A27E3"/>
    <w:rsid w:val="003A3D18"/>
    <w:rsid w:val="003A4E05"/>
    <w:rsid w:val="003A59B1"/>
    <w:rsid w:val="003A616A"/>
    <w:rsid w:val="003A63E7"/>
    <w:rsid w:val="003B184A"/>
    <w:rsid w:val="003B4A69"/>
    <w:rsid w:val="003B552D"/>
    <w:rsid w:val="003B55E4"/>
    <w:rsid w:val="003B6145"/>
    <w:rsid w:val="003C04A6"/>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1ECB"/>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571"/>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1F7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CDD"/>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1EC9"/>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49D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7F7B2D"/>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900"/>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59A8"/>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6550"/>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B7D3D"/>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7704B"/>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2EF"/>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61CE"/>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8BC"/>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0C75"/>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69E"/>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B65DA"/>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6E9"/>
    <w:rsid w:val="00F1270E"/>
    <w:rsid w:val="00F1364A"/>
    <w:rsid w:val="00F14F20"/>
    <w:rsid w:val="00F15A52"/>
    <w:rsid w:val="00F15B4C"/>
    <w:rsid w:val="00F249BF"/>
    <w:rsid w:val="00F25852"/>
    <w:rsid w:val="00F2710E"/>
    <w:rsid w:val="00F27E85"/>
    <w:rsid w:val="00F300FD"/>
    <w:rsid w:val="00F3021A"/>
    <w:rsid w:val="00F31F16"/>
    <w:rsid w:val="00F32B88"/>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612A"/>
    <w:rsid w:val="00F861C5"/>
    <w:rsid w:val="00F8699F"/>
    <w:rsid w:val="00F901CE"/>
    <w:rsid w:val="00F912D5"/>
    <w:rsid w:val="00F92944"/>
    <w:rsid w:val="00F92DDD"/>
    <w:rsid w:val="00F94691"/>
    <w:rsid w:val="00F947B4"/>
    <w:rsid w:val="00F9581A"/>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6CC7"/>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1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671CDD"/>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981302316">
      <w:bodyDiv w:val="1"/>
      <w:marLeft w:val="0"/>
      <w:marRight w:val="0"/>
      <w:marTop w:val="0"/>
      <w:marBottom w:val="0"/>
      <w:divBdr>
        <w:top w:val="none" w:sz="0" w:space="0" w:color="auto"/>
        <w:left w:val="none" w:sz="0" w:space="0" w:color="auto"/>
        <w:bottom w:val="none" w:sz="0" w:space="0" w:color="auto"/>
        <w:right w:val="none" w:sz="0" w:space="0" w:color="auto"/>
      </w:divBdr>
    </w:div>
    <w:div w:id="986082731">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11404879">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3433283">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154CDEDC-23BC-44CF-94B8-BA19E6B2A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613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708</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2026-04-14T14:01:00Z</dcterms:created>
  <dcterms:modified xsi:type="dcterms:W3CDTF">2026-04-14T14:01:00Z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