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48C3" w14:textId="77777777" w:rsidR="00630F9E" w:rsidRPr="00CE0938" w:rsidRDefault="00630F9E" w:rsidP="00630F9E">
      <w:pPr>
        <w:spacing w:after="0"/>
        <w:ind w:left="720"/>
        <w:rPr>
          <w:rFonts w:ascii="Times New Roman" w:hAnsi="Times New Roman"/>
          <w:i/>
          <w:lang w:val="en-IE"/>
        </w:rPr>
      </w:pPr>
    </w:p>
    <w:p w14:paraId="58E9F37A" w14:textId="7EF50383" w:rsidR="00963420" w:rsidRPr="00CE0938" w:rsidRDefault="00963420" w:rsidP="0084310E">
      <w:pPr>
        <w:spacing w:after="720"/>
        <w:jc w:val="center"/>
        <w:rPr>
          <w:rFonts w:ascii="Times New Roman" w:hAnsi="Times New Roman"/>
          <w:b/>
          <w:lang w:val="en-IE"/>
        </w:rPr>
      </w:pPr>
      <w:r w:rsidRPr="00CE0938">
        <w:rPr>
          <w:rFonts w:ascii="Times New Roman" w:hAnsi="Times New Roman"/>
          <w:b/>
          <w:lang w:val="en-IE"/>
        </w:rPr>
        <w:t xml:space="preserve">Follow-up to the European Parliament non-legislative resolution </w:t>
      </w:r>
      <w:r w:rsidR="00CE0938" w:rsidRPr="00CE0938">
        <w:rPr>
          <w:rFonts w:ascii="Times New Roman" w:hAnsi="Times New Roman"/>
          <w:b/>
          <w:bCs/>
        </w:rPr>
        <w:t>on the reform of the European Electoral Act – hurdles to ratification and implementation in the Member States </w:t>
      </w:r>
    </w:p>
    <w:p w14:paraId="222E65B7" w14:textId="6ACCBB81" w:rsidR="00963420" w:rsidRPr="00CE0938" w:rsidRDefault="066AE303" w:rsidP="51B0B49D">
      <w:pPr>
        <w:numPr>
          <w:ilvl w:val="0"/>
          <w:numId w:val="34"/>
        </w:numPr>
        <w:ind w:left="567" w:hanging="567"/>
        <w:rPr>
          <w:rFonts w:ascii="Times New Roman" w:hAnsi="Times New Roman"/>
          <w:i/>
          <w:lang w:val="fr-FR"/>
        </w:rPr>
      </w:pPr>
      <w:r w:rsidRPr="00CE0938">
        <w:rPr>
          <w:rFonts w:ascii="Times New Roman" w:hAnsi="Times New Roman"/>
          <w:b/>
          <w:lang w:val="fr-FR"/>
        </w:rPr>
        <w:t>Rapporteur:</w:t>
      </w:r>
      <w:r w:rsidR="006374C5">
        <w:rPr>
          <w:rFonts w:ascii="Times New Roman" w:hAnsi="Times New Roman"/>
          <w:lang w:val="fr-FR"/>
        </w:rPr>
        <w:t xml:space="preserve"> </w:t>
      </w:r>
      <w:r w:rsidR="006374C5" w:rsidRPr="006374C5">
        <w:rPr>
          <w:rFonts w:ascii="Times New Roman" w:hAnsi="Times New Roman"/>
          <w:lang w:val="fr-FR"/>
        </w:rPr>
        <w:t xml:space="preserve">Borja </w:t>
      </w:r>
      <w:r w:rsidR="006374C5" w:rsidRPr="00EA2C11">
        <w:rPr>
          <w:rFonts w:ascii="Times New Roman" w:hAnsi="Times New Roman"/>
          <w:caps/>
          <w:lang w:val="fr-FR"/>
        </w:rPr>
        <w:t>Giménez Larraz</w:t>
      </w:r>
      <w:r w:rsidR="006374C5" w:rsidRPr="006374C5">
        <w:rPr>
          <w:rFonts w:ascii="Times New Roman" w:hAnsi="Times New Roman"/>
          <w:lang w:val="fr-FR"/>
        </w:rPr>
        <w:t xml:space="preserve"> </w:t>
      </w:r>
      <w:r w:rsidR="4C075172" w:rsidRPr="00CE0938">
        <w:rPr>
          <w:rFonts w:ascii="Times New Roman" w:hAnsi="Times New Roman"/>
          <w:lang w:val="fr-FR"/>
        </w:rPr>
        <w:t>(</w:t>
      </w:r>
      <w:r w:rsidR="006374C5">
        <w:rPr>
          <w:rFonts w:ascii="Times New Roman" w:hAnsi="Times New Roman"/>
          <w:lang w:val="fr-FR"/>
        </w:rPr>
        <w:t>EPP</w:t>
      </w:r>
      <w:r w:rsidR="00E4276C">
        <w:rPr>
          <w:rFonts w:ascii="Times New Roman" w:hAnsi="Times New Roman"/>
          <w:lang w:val="fr-FR"/>
        </w:rPr>
        <w:t xml:space="preserve"> </w:t>
      </w:r>
      <w:r w:rsidR="006374C5">
        <w:rPr>
          <w:rFonts w:ascii="Times New Roman" w:hAnsi="Times New Roman"/>
          <w:lang w:val="fr-FR"/>
        </w:rPr>
        <w:t>/</w:t>
      </w:r>
      <w:r w:rsidR="00E4276C">
        <w:rPr>
          <w:rFonts w:ascii="Times New Roman" w:hAnsi="Times New Roman"/>
          <w:lang w:val="fr-FR"/>
        </w:rPr>
        <w:t xml:space="preserve"> </w:t>
      </w:r>
      <w:r w:rsidR="006374C5">
        <w:rPr>
          <w:rFonts w:ascii="Times New Roman" w:hAnsi="Times New Roman"/>
          <w:lang w:val="fr-FR"/>
        </w:rPr>
        <w:t>ES</w:t>
      </w:r>
      <w:r w:rsidR="4C075172" w:rsidRPr="00CE0938">
        <w:rPr>
          <w:rFonts w:ascii="Times New Roman" w:hAnsi="Times New Roman"/>
          <w:lang w:val="fr-FR"/>
        </w:rPr>
        <w:t xml:space="preserve">) </w:t>
      </w:r>
    </w:p>
    <w:p w14:paraId="29C917F7" w14:textId="2465E63E" w:rsidR="00563F16" w:rsidRPr="00D41E17" w:rsidRDefault="00063DCE" w:rsidP="51B0B49D">
      <w:pPr>
        <w:pStyle w:val="Default"/>
        <w:numPr>
          <w:ilvl w:val="0"/>
          <w:numId w:val="34"/>
        </w:numPr>
        <w:spacing w:after="240"/>
        <w:ind w:left="567" w:hanging="567"/>
        <w:jc w:val="both"/>
        <w:rPr>
          <w:color w:val="auto"/>
          <w:lang w:val="fr-BE"/>
        </w:rPr>
      </w:pPr>
      <w:r w:rsidRPr="00D41E17">
        <w:rPr>
          <w:b/>
          <w:bCs/>
          <w:color w:val="auto"/>
          <w:lang w:val="fr-BE"/>
        </w:rPr>
        <w:t>R</w:t>
      </w:r>
      <w:r w:rsidR="00963420" w:rsidRPr="00D41E17">
        <w:rPr>
          <w:b/>
          <w:bCs/>
          <w:color w:val="auto"/>
          <w:lang w:val="fr-BE"/>
        </w:rPr>
        <w:t>eference</w:t>
      </w:r>
      <w:r w:rsidR="00CA777E" w:rsidRPr="00D41E17">
        <w:rPr>
          <w:b/>
          <w:bCs/>
          <w:color w:val="auto"/>
          <w:lang w:val="fr-BE"/>
        </w:rPr>
        <w:t>s</w:t>
      </w:r>
      <w:r w:rsidR="00963420" w:rsidRPr="00D41E17">
        <w:rPr>
          <w:b/>
          <w:bCs/>
          <w:color w:val="auto"/>
          <w:lang w:val="fr-BE"/>
        </w:rPr>
        <w:t xml:space="preserve">: </w:t>
      </w:r>
      <w:r w:rsidR="005205DB" w:rsidRPr="00D41E17">
        <w:rPr>
          <w:lang w:val="fr-BE"/>
        </w:rPr>
        <w:t> </w:t>
      </w:r>
      <w:r w:rsidR="00932DDF" w:rsidRPr="00EA2C11">
        <w:t>2025/2028(INI)</w:t>
      </w:r>
      <w:r w:rsidR="00932DDF">
        <w:rPr>
          <w:lang w:val="fr-BE"/>
        </w:rPr>
        <w:t xml:space="preserve"> /</w:t>
      </w:r>
      <w:r w:rsidR="00345E81">
        <w:rPr>
          <w:lang w:val="fr-BE"/>
        </w:rPr>
        <w:t xml:space="preserve"> </w:t>
      </w:r>
      <w:r w:rsidR="002F7C5B" w:rsidRPr="00D41E17">
        <w:rPr>
          <w:lang w:val="fr-BE"/>
        </w:rPr>
        <w:t xml:space="preserve">A10-0252/2025 </w:t>
      </w:r>
      <w:r w:rsidR="005205DB" w:rsidRPr="00D41E17">
        <w:rPr>
          <w:lang w:val="fr-BE"/>
        </w:rPr>
        <w:t>/</w:t>
      </w:r>
      <w:r w:rsidR="005205DB" w:rsidRPr="00D41E17">
        <w:rPr>
          <w:color w:val="auto"/>
          <w:lang w:val="fr-BE"/>
        </w:rPr>
        <w:t xml:space="preserve"> </w:t>
      </w:r>
      <w:r w:rsidR="002F7C5B" w:rsidRPr="00D41E17">
        <w:rPr>
          <w:lang w:val="fr-BE"/>
        </w:rPr>
        <w:t>P10_TA(2026)0006</w:t>
      </w:r>
    </w:p>
    <w:p w14:paraId="61D85C18" w14:textId="2E982A2B" w:rsidR="001F0B89" w:rsidRPr="00CE0938" w:rsidRDefault="00963420" w:rsidP="0084310E">
      <w:pPr>
        <w:numPr>
          <w:ilvl w:val="0"/>
          <w:numId w:val="34"/>
        </w:numPr>
        <w:ind w:left="567" w:hanging="567"/>
        <w:rPr>
          <w:rFonts w:ascii="Times New Roman" w:hAnsi="Times New Roman"/>
          <w:lang w:val="en-IE"/>
        </w:rPr>
      </w:pPr>
      <w:r w:rsidRPr="00CE0938">
        <w:rPr>
          <w:rFonts w:ascii="Times New Roman" w:hAnsi="Times New Roman"/>
          <w:b/>
          <w:lang w:val="en-IE"/>
        </w:rPr>
        <w:t>Date of adoption of the resolution:</w:t>
      </w:r>
      <w:r w:rsidRPr="00CE0938">
        <w:rPr>
          <w:rFonts w:ascii="Times New Roman" w:hAnsi="Times New Roman"/>
          <w:lang w:val="en-IE"/>
        </w:rPr>
        <w:t xml:space="preserve"> </w:t>
      </w:r>
      <w:r w:rsidR="002F7C5B">
        <w:rPr>
          <w:rFonts w:ascii="Times New Roman" w:hAnsi="Times New Roman"/>
          <w:lang w:val="en-IE"/>
        </w:rPr>
        <w:t>20 January 2026</w:t>
      </w:r>
    </w:p>
    <w:p w14:paraId="4451E813" w14:textId="23B09083" w:rsidR="00963420" w:rsidRPr="00CE0938" w:rsidRDefault="00963420" w:rsidP="0084310E">
      <w:pPr>
        <w:numPr>
          <w:ilvl w:val="0"/>
          <w:numId w:val="34"/>
        </w:numPr>
        <w:ind w:left="567" w:hanging="567"/>
        <w:rPr>
          <w:rFonts w:ascii="Times New Roman" w:hAnsi="Times New Roman"/>
          <w:i/>
          <w:lang w:val="en-IE"/>
        </w:rPr>
      </w:pPr>
      <w:r w:rsidRPr="00CE0938">
        <w:rPr>
          <w:rFonts w:ascii="Times New Roman" w:hAnsi="Times New Roman"/>
          <w:b/>
          <w:lang w:val="en-IE"/>
        </w:rPr>
        <w:t xml:space="preserve">Competent Parliamentary Committee: </w:t>
      </w:r>
      <w:r w:rsidR="00EA2741" w:rsidRPr="00CE0938">
        <w:rPr>
          <w:rFonts w:ascii="Times New Roman" w:hAnsi="Times New Roman"/>
          <w:lang w:val="en-IE"/>
        </w:rPr>
        <w:t>Committee on</w:t>
      </w:r>
      <w:r w:rsidR="005205DB" w:rsidRPr="00CE0938">
        <w:rPr>
          <w:rFonts w:ascii="Times New Roman" w:hAnsi="Times New Roman"/>
          <w:color w:val="1E1E1F"/>
          <w:sz w:val="21"/>
          <w:shd w:val="clear" w:color="auto" w:fill="FFFFFF"/>
          <w:lang w:val="en-IE"/>
        </w:rPr>
        <w:t xml:space="preserve"> </w:t>
      </w:r>
      <w:r w:rsidR="005205DB" w:rsidRPr="00CE0938">
        <w:rPr>
          <w:rFonts w:ascii="Times New Roman" w:hAnsi="Times New Roman"/>
          <w:lang w:val="en-IE"/>
        </w:rPr>
        <w:t>Constitutional Affairs</w:t>
      </w:r>
      <w:r w:rsidR="00EA2741" w:rsidRPr="00CE0938">
        <w:rPr>
          <w:rFonts w:ascii="Times New Roman" w:hAnsi="Times New Roman"/>
          <w:i/>
          <w:lang w:val="en-IE"/>
        </w:rPr>
        <w:t xml:space="preserve"> </w:t>
      </w:r>
      <w:r w:rsidR="00CF437F">
        <w:rPr>
          <w:rFonts w:ascii="Times New Roman" w:hAnsi="Times New Roman"/>
          <w:iCs/>
          <w:lang w:val="en-IE"/>
        </w:rPr>
        <w:t>(AFCO)</w:t>
      </w:r>
    </w:p>
    <w:p w14:paraId="6C7E6DB3" w14:textId="77777777" w:rsidR="005205DB" w:rsidRPr="00CE0938" w:rsidRDefault="00963420" w:rsidP="005205DB">
      <w:pPr>
        <w:widowControl w:val="0"/>
        <w:numPr>
          <w:ilvl w:val="0"/>
          <w:numId w:val="34"/>
        </w:numPr>
        <w:ind w:left="426"/>
        <w:rPr>
          <w:rFonts w:ascii="Times New Roman" w:hAnsi="Times New Roman"/>
          <w:b/>
          <w:lang w:val="en-IE"/>
        </w:rPr>
      </w:pPr>
      <w:r w:rsidRPr="00CE0938">
        <w:rPr>
          <w:rFonts w:ascii="Times New Roman" w:hAnsi="Times New Roman"/>
          <w:b/>
          <w:lang w:val="en-IE"/>
        </w:rPr>
        <w:t>Brief analysis/</w:t>
      </w:r>
      <w:r w:rsidR="00AB3960" w:rsidRPr="00CE0938">
        <w:rPr>
          <w:rFonts w:ascii="Times New Roman" w:hAnsi="Times New Roman"/>
          <w:b/>
          <w:lang w:val="en-IE"/>
        </w:rPr>
        <w:t xml:space="preserve"> </w:t>
      </w:r>
      <w:r w:rsidRPr="00CE0938">
        <w:rPr>
          <w:rFonts w:ascii="Times New Roman" w:hAnsi="Times New Roman"/>
          <w:b/>
          <w:lang w:val="en-IE"/>
        </w:rPr>
        <w:t>assessment of the resolution and requests made in it:</w:t>
      </w:r>
      <w:r w:rsidR="00146971" w:rsidRPr="00CE0938">
        <w:rPr>
          <w:rFonts w:ascii="Times New Roman" w:hAnsi="Times New Roman"/>
          <w:b/>
          <w:lang w:val="en-IE"/>
        </w:rPr>
        <w:t xml:space="preserve"> </w:t>
      </w:r>
    </w:p>
    <w:p w14:paraId="7A43D852" w14:textId="23CBC3A3" w:rsidR="002F7C5B" w:rsidRPr="002F7C5B" w:rsidRDefault="00DF3D24" w:rsidP="002F7C5B">
      <w:pPr>
        <w:widowControl w:val="0"/>
        <w:ind w:left="66"/>
        <w:rPr>
          <w:rFonts w:ascii="Times New Roman" w:hAnsi="Times New Roman"/>
          <w:lang w:val="en-IE"/>
        </w:rPr>
      </w:pPr>
      <w:r w:rsidRPr="00CE0938">
        <w:rPr>
          <w:rFonts w:ascii="Times New Roman" w:hAnsi="Times New Roman"/>
          <w:lang w:val="en-IE"/>
        </w:rPr>
        <w:t xml:space="preserve">The European Parliament’s resolution </w:t>
      </w:r>
      <w:r w:rsidR="002F7C5B">
        <w:rPr>
          <w:rFonts w:ascii="Times New Roman" w:hAnsi="Times New Roman"/>
          <w:lang w:val="en-IE"/>
        </w:rPr>
        <w:t>tackles the ongoing efforts to</w:t>
      </w:r>
      <w:r w:rsidR="002F7C5B" w:rsidRPr="002F7C5B">
        <w:rPr>
          <w:rFonts w:ascii="Times New Roman" w:hAnsi="Times New Roman"/>
          <w:lang w:val="en-IE"/>
        </w:rPr>
        <w:t xml:space="preserve"> reform its electoral procedure under Article 223 TFEU. It </w:t>
      </w:r>
      <w:r w:rsidR="00D41E17">
        <w:rPr>
          <w:rFonts w:ascii="Times New Roman" w:hAnsi="Times New Roman"/>
          <w:lang w:val="en-IE"/>
        </w:rPr>
        <w:t>argues</w:t>
      </w:r>
      <w:r w:rsidR="00D41E17" w:rsidRPr="002F7C5B">
        <w:rPr>
          <w:rFonts w:ascii="Times New Roman" w:hAnsi="Times New Roman"/>
          <w:lang w:val="en-IE"/>
        </w:rPr>
        <w:t xml:space="preserve"> </w:t>
      </w:r>
      <w:r w:rsidR="002F7C5B" w:rsidRPr="002F7C5B">
        <w:rPr>
          <w:rFonts w:ascii="Times New Roman" w:hAnsi="Times New Roman"/>
          <w:lang w:val="en-IE"/>
        </w:rPr>
        <w:t xml:space="preserve">that a truly uniform procedure has not yet been achieved, </w:t>
      </w:r>
      <w:r w:rsidR="002F7C5B">
        <w:rPr>
          <w:rFonts w:ascii="Times New Roman" w:hAnsi="Times New Roman"/>
          <w:lang w:val="en-IE"/>
        </w:rPr>
        <w:t>which has</w:t>
      </w:r>
      <w:r w:rsidR="002F7C5B" w:rsidRPr="002F7C5B">
        <w:rPr>
          <w:rFonts w:ascii="Times New Roman" w:hAnsi="Times New Roman"/>
          <w:lang w:val="en-IE"/>
        </w:rPr>
        <w:t xml:space="preserve"> led to uneven implementation and fragmentation, </w:t>
      </w:r>
      <w:r w:rsidR="00520FAF">
        <w:rPr>
          <w:rFonts w:ascii="Times New Roman" w:hAnsi="Times New Roman"/>
          <w:lang w:val="en-IE"/>
        </w:rPr>
        <w:t>which</w:t>
      </w:r>
      <w:r w:rsidR="002F7C5B">
        <w:rPr>
          <w:rFonts w:ascii="Times New Roman" w:hAnsi="Times New Roman"/>
          <w:lang w:val="en-IE"/>
        </w:rPr>
        <w:t xml:space="preserve"> </w:t>
      </w:r>
      <w:r w:rsidR="00D41E17">
        <w:rPr>
          <w:rFonts w:ascii="Times New Roman" w:hAnsi="Times New Roman"/>
          <w:lang w:val="en-IE"/>
        </w:rPr>
        <w:t xml:space="preserve">would </w:t>
      </w:r>
      <w:r w:rsidR="002F7C5B">
        <w:rPr>
          <w:rFonts w:ascii="Times New Roman" w:hAnsi="Times New Roman"/>
          <w:lang w:val="en-IE"/>
        </w:rPr>
        <w:t xml:space="preserve">not </w:t>
      </w:r>
      <w:r w:rsidR="00520FAF">
        <w:rPr>
          <w:rFonts w:ascii="Times New Roman" w:hAnsi="Times New Roman"/>
          <w:lang w:val="en-IE"/>
        </w:rPr>
        <w:t xml:space="preserve">correspond to </w:t>
      </w:r>
      <w:r w:rsidR="002F7C5B">
        <w:rPr>
          <w:rFonts w:ascii="Times New Roman" w:hAnsi="Times New Roman"/>
          <w:lang w:val="en-IE"/>
        </w:rPr>
        <w:t xml:space="preserve">the </w:t>
      </w:r>
      <w:r w:rsidR="002F7C5B" w:rsidRPr="002F7C5B">
        <w:rPr>
          <w:rFonts w:ascii="Times New Roman" w:hAnsi="Times New Roman"/>
        </w:rPr>
        <w:t>European Parliament’s stronger role since the Lisbon Treaty</w:t>
      </w:r>
      <w:r w:rsidR="002F7C5B" w:rsidRPr="002F7C5B">
        <w:rPr>
          <w:rFonts w:ascii="Times New Roman" w:hAnsi="Times New Roman"/>
          <w:lang w:val="en-IE"/>
        </w:rPr>
        <w:t>.</w:t>
      </w:r>
    </w:p>
    <w:p w14:paraId="5057EE00" w14:textId="556BA3AD" w:rsidR="002F7C5B" w:rsidRDefault="00520FAF" w:rsidP="002F7C5B">
      <w:pPr>
        <w:widowControl w:val="0"/>
        <w:ind w:left="66"/>
        <w:rPr>
          <w:rFonts w:ascii="Times New Roman" w:hAnsi="Times New Roman"/>
          <w:lang w:val="en-IE"/>
        </w:rPr>
      </w:pPr>
      <w:r>
        <w:rPr>
          <w:rFonts w:ascii="Times New Roman" w:hAnsi="Times New Roman"/>
        </w:rPr>
        <w:t>It also notes that w</w:t>
      </w:r>
      <w:r w:rsidR="002F7C5B" w:rsidRPr="002F7C5B">
        <w:rPr>
          <w:rFonts w:ascii="Times New Roman" w:hAnsi="Times New Roman"/>
        </w:rPr>
        <w:t xml:space="preserve">hile some common rules already exist (proportional representation, a maximum 5% threshold, and a ban on dual </w:t>
      </w:r>
      <w:r w:rsidR="002F7C5B">
        <w:rPr>
          <w:rFonts w:ascii="Times New Roman" w:hAnsi="Times New Roman"/>
        </w:rPr>
        <w:t>voting</w:t>
      </w:r>
      <w:r w:rsidR="002F7C5B" w:rsidRPr="002F7C5B">
        <w:rPr>
          <w:rFonts w:ascii="Times New Roman" w:hAnsi="Times New Roman"/>
        </w:rPr>
        <w:t xml:space="preserve">), </w:t>
      </w:r>
      <w:r w:rsidRPr="002F7C5B">
        <w:rPr>
          <w:rFonts w:ascii="Times New Roman" w:hAnsi="Times New Roman"/>
          <w:lang w:val="en-IE"/>
        </w:rPr>
        <w:t xml:space="preserve">elections </w:t>
      </w:r>
      <w:r w:rsidR="00544120">
        <w:rPr>
          <w:rFonts w:ascii="Times New Roman" w:hAnsi="Times New Roman"/>
          <w:lang w:val="en-IE"/>
        </w:rPr>
        <w:t xml:space="preserve">to the European Parliament </w:t>
      </w:r>
      <w:r w:rsidRPr="002F7C5B">
        <w:rPr>
          <w:rFonts w:ascii="Times New Roman" w:hAnsi="Times New Roman"/>
          <w:lang w:val="en-IE"/>
        </w:rPr>
        <w:t xml:space="preserve">are still largely governed by national laws, campaigns remain mostly national, and European </w:t>
      </w:r>
      <w:r>
        <w:rPr>
          <w:rFonts w:ascii="Times New Roman" w:hAnsi="Times New Roman"/>
          <w:lang w:val="en-IE"/>
        </w:rPr>
        <w:t xml:space="preserve">political </w:t>
      </w:r>
      <w:r w:rsidRPr="002F7C5B">
        <w:rPr>
          <w:rFonts w:ascii="Times New Roman" w:hAnsi="Times New Roman"/>
          <w:lang w:val="en-IE"/>
        </w:rPr>
        <w:t xml:space="preserve">parties </w:t>
      </w:r>
      <w:r w:rsidR="00544120">
        <w:rPr>
          <w:rFonts w:ascii="Times New Roman" w:hAnsi="Times New Roman"/>
          <w:lang w:val="en-IE"/>
        </w:rPr>
        <w:t>are unable</w:t>
      </w:r>
      <w:r w:rsidR="00544120" w:rsidRPr="002F7C5B">
        <w:rPr>
          <w:rFonts w:ascii="Times New Roman" w:hAnsi="Times New Roman"/>
          <w:lang w:val="en-IE"/>
        </w:rPr>
        <w:t xml:space="preserve"> </w:t>
      </w:r>
      <w:r w:rsidRPr="002F7C5B">
        <w:rPr>
          <w:rFonts w:ascii="Times New Roman" w:hAnsi="Times New Roman"/>
          <w:lang w:val="en-IE"/>
        </w:rPr>
        <w:t xml:space="preserve">to </w:t>
      </w:r>
      <w:r w:rsidR="00544120">
        <w:rPr>
          <w:rFonts w:ascii="Times New Roman" w:hAnsi="Times New Roman"/>
          <w:lang w:val="en-IE"/>
        </w:rPr>
        <w:t xml:space="preserve">sufficiently </w:t>
      </w:r>
      <w:r w:rsidRPr="002F7C5B">
        <w:rPr>
          <w:rFonts w:ascii="Times New Roman" w:hAnsi="Times New Roman"/>
          <w:lang w:val="en-IE"/>
        </w:rPr>
        <w:t xml:space="preserve">fulfil their mandates </w:t>
      </w:r>
      <w:r w:rsidR="00544120" w:rsidRPr="00544120">
        <w:rPr>
          <w:rFonts w:ascii="Times New Roman" w:hAnsi="Times New Roman"/>
        </w:rPr>
        <w:t xml:space="preserve">and ‘contribute to forming European political awareness and to expressing the will of citizens of the Union’, as required by Article 10(4) </w:t>
      </w:r>
      <w:r w:rsidR="00544120">
        <w:rPr>
          <w:rFonts w:ascii="Times New Roman" w:hAnsi="Times New Roman"/>
        </w:rPr>
        <w:t xml:space="preserve">of the </w:t>
      </w:r>
      <w:r w:rsidR="00544120" w:rsidRPr="00544120">
        <w:rPr>
          <w:rFonts w:ascii="Times New Roman" w:hAnsi="Times New Roman"/>
        </w:rPr>
        <w:t>T</w:t>
      </w:r>
      <w:r w:rsidR="00544120">
        <w:rPr>
          <w:rFonts w:ascii="Times New Roman" w:hAnsi="Times New Roman"/>
        </w:rPr>
        <w:t xml:space="preserve">reaty on </w:t>
      </w:r>
      <w:r w:rsidR="00544120" w:rsidRPr="00544120">
        <w:rPr>
          <w:rFonts w:ascii="Times New Roman" w:hAnsi="Times New Roman"/>
        </w:rPr>
        <w:t>E</w:t>
      </w:r>
      <w:r w:rsidR="00544120">
        <w:rPr>
          <w:rFonts w:ascii="Times New Roman" w:hAnsi="Times New Roman"/>
        </w:rPr>
        <w:t xml:space="preserve">uropean </w:t>
      </w:r>
      <w:r w:rsidR="00544120" w:rsidRPr="00544120">
        <w:rPr>
          <w:rFonts w:ascii="Times New Roman" w:hAnsi="Times New Roman"/>
        </w:rPr>
        <w:t>U</w:t>
      </w:r>
      <w:r w:rsidR="00544120">
        <w:rPr>
          <w:rFonts w:ascii="Times New Roman" w:hAnsi="Times New Roman"/>
        </w:rPr>
        <w:t>nion (TEU).</w:t>
      </w:r>
      <w:r w:rsidR="00544120" w:rsidRPr="00544120" w:rsidDel="00544120">
        <w:rPr>
          <w:rFonts w:ascii="Times New Roman" w:hAnsi="Times New Roman"/>
          <w:lang w:val="en-IE"/>
        </w:rPr>
        <w:t xml:space="preserve"> </w:t>
      </w:r>
    </w:p>
    <w:p w14:paraId="52A3EB4C" w14:textId="59194896" w:rsidR="00073F38" w:rsidRPr="00073F38" w:rsidRDefault="00073F38" w:rsidP="00073F38">
      <w:pPr>
        <w:widowControl w:val="0"/>
        <w:ind w:left="66"/>
        <w:rPr>
          <w:rFonts w:ascii="Times New Roman" w:hAnsi="Times New Roman"/>
          <w:lang w:val="en-IE"/>
        </w:rPr>
      </w:pPr>
      <w:r>
        <w:rPr>
          <w:rFonts w:ascii="Times New Roman" w:hAnsi="Times New Roman"/>
          <w:lang w:val="en-IE"/>
        </w:rPr>
        <w:t>The European Parliament highlights</w:t>
      </w:r>
      <w:r w:rsidRPr="00073F38">
        <w:rPr>
          <w:rFonts w:ascii="Times New Roman" w:hAnsi="Times New Roman"/>
          <w:lang w:val="en-IE"/>
        </w:rPr>
        <w:t xml:space="preserve"> transparency and reliable information as essential for raising European political awareness and achieving </w:t>
      </w:r>
      <w:r>
        <w:rPr>
          <w:rFonts w:ascii="Times New Roman" w:hAnsi="Times New Roman"/>
          <w:lang w:val="en-IE"/>
        </w:rPr>
        <w:t>a high voter</w:t>
      </w:r>
      <w:r w:rsidRPr="00073F38">
        <w:rPr>
          <w:rFonts w:ascii="Times New Roman" w:hAnsi="Times New Roman"/>
          <w:lang w:val="en-IE"/>
        </w:rPr>
        <w:t xml:space="preserve"> turnout. It calls for equal campaign opportunities for candidates and timely information for voters about who is standing in European elections.</w:t>
      </w:r>
    </w:p>
    <w:p w14:paraId="25AD0629" w14:textId="3B46CF98" w:rsidR="00DF3D24" w:rsidRPr="00CE0938" w:rsidRDefault="002F7C5B" w:rsidP="002F7C5B">
      <w:pPr>
        <w:widowControl w:val="0"/>
        <w:ind w:left="66"/>
        <w:rPr>
          <w:rFonts w:ascii="Times New Roman" w:hAnsi="Times New Roman"/>
          <w:lang w:val="en-IE"/>
        </w:rPr>
      </w:pPr>
      <w:r w:rsidRPr="002F7C5B">
        <w:rPr>
          <w:rFonts w:ascii="Times New Roman" w:hAnsi="Times New Roman"/>
          <w:lang w:val="en-IE"/>
        </w:rPr>
        <w:t xml:space="preserve">The </w:t>
      </w:r>
      <w:r>
        <w:rPr>
          <w:rFonts w:ascii="Times New Roman" w:hAnsi="Times New Roman"/>
          <w:lang w:val="en-IE"/>
        </w:rPr>
        <w:t xml:space="preserve">Resolution </w:t>
      </w:r>
      <w:r w:rsidRPr="002F7C5B">
        <w:rPr>
          <w:rFonts w:ascii="Times New Roman" w:hAnsi="Times New Roman"/>
          <w:lang w:val="en-IE"/>
        </w:rPr>
        <w:t>calls</w:t>
      </w:r>
      <w:r w:rsidR="00544120">
        <w:rPr>
          <w:rFonts w:ascii="Times New Roman" w:hAnsi="Times New Roman"/>
          <w:lang w:val="en-IE"/>
        </w:rPr>
        <w:t>, inter alia,</w:t>
      </w:r>
      <w:r w:rsidRPr="002F7C5B">
        <w:rPr>
          <w:rFonts w:ascii="Times New Roman" w:hAnsi="Times New Roman"/>
          <w:lang w:val="en-IE"/>
        </w:rPr>
        <w:t xml:space="preserve"> </w:t>
      </w:r>
      <w:r w:rsidR="00073F38">
        <w:rPr>
          <w:rFonts w:ascii="Times New Roman" w:hAnsi="Times New Roman"/>
          <w:lang w:val="en-IE"/>
        </w:rPr>
        <w:t>on Member States to harmonise</w:t>
      </w:r>
      <w:r w:rsidRPr="002F7C5B">
        <w:rPr>
          <w:rFonts w:ascii="Times New Roman" w:hAnsi="Times New Roman"/>
          <w:lang w:val="en-IE"/>
        </w:rPr>
        <w:t xml:space="preserve"> deadlines for </w:t>
      </w:r>
      <w:r w:rsidR="00073F38">
        <w:rPr>
          <w:rFonts w:ascii="Times New Roman" w:hAnsi="Times New Roman"/>
          <w:lang w:val="en-IE"/>
        </w:rPr>
        <w:t>fielding</w:t>
      </w:r>
      <w:r w:rsidRPr="002F7C5B">
        <w:rPr>
          <w:rFonts w:ascii="Times New Roman" w:hAnsi="Times New Roman"/>
          <w:lang w:val="en-IE"/>
        </w:rPr>
        <w:t xml:space="preserve"> </w:t>
      </w:r>
      <w:r>
        <w:rPr>
          <w:rFonts w:ascii="Times New Roman" w:hAnsi="Times New Roman"/>
          <w:lang w:val="en-IE"/>
        </w:rPr>
        <w:t>candidate</w:t>
      </w:r>
      <w:r w:rsidRPr="002F7C5B">
        <w:rPr>
          <w:rFonts w:ascii="Times New Roman" w:hAnsi="Times New Roman"/>
          <w:lang w:val="en-IE"/>
        </w:rPr>
        <w:t xml:space="preserve"> lists</w:t>
      </w:r>
      <w:r w:rsidR="00520FAF">
        <w:rPr>
          <w:rFonts w:ascii="Times New Roman" w:hAnsi="Times New Roman"/>
          <w:lang w:val="en-IE"/>
        </w:rPr>
        <w:t xml:space="preserve">, </w:t>
      </w:r>
      <w:r w:rsidR="00073F38">
        <w:rPr>
          <w:rFonts w:ascii="Times New Roman" w:hAnsi="Times New Roman"/>
          <w:lang w:val="en-IE"/>
        </w:rPr>
        <w:t xml:space="preserve">and </w:t>
      </w:r>
      <w:r w:rsidR="00520FAF">
        <w:rPr>
          <w:rFonts w:ascii="Times New Roman" w:hAnsi="Times New Roman"/>
          <w:lang w:val="en-IE"/>
        </w:rPr>
        <w:t xml:space="preserve">candidacy requirements, </w:t>
      </w:r>
      <w:r w:rsidRPr="002F7C5B">
        <w:rPr>
          <w:rFonts w:ascii="Times New Roman" w:hAnsi="Times New Roman"/>
          <w:lang w:val="en-IE"/>
        </w:rPr>
        <w:t>enhancing the visibility and role of European parties</w:t>
      </w:r>
      <w:r w:rsidR="00FD02E8">
        <w:rPr>
          <w:rFonts w:ascii="Times New Roman" w:hAnsi="Times New Roman"/>
          <w:lang w:val="en-IE"/>
        </w:rPr>
        <w:t xml:space="preserve">, </w:t>
      </w:r>
      <w:r w:rsidR="00FD02E8" w:rsidRPr="00FD02E8">
        <w:rPr>
          <w:rFonts w:ascii="Times New Roman" w:hAnsi="Times New Roman"/>
        </w:rPr>
        <w:t>making participation more inclusive</w:t>
      </w:r>
      <w:r w:rsidR="00FD02E8">
        <w:rPr>
          <w:rFonts w:ascii="Times New Roman" w:hAnsi="Times New Roman"/>
        </w:rPr>
        <w:t xml:space="preserve"> - </w:t>
      </w:r>
      <w:r w:rsidR="00FD02E8" w:rsidRPr="00FD02E8">
        <w:rPr>
          <w:rFonts w:ascii="Times New Roman" w:hAnsi="Times New Roman"/>
        </w:rPr>
        <w:t>especially by guaranteeing postal voting</w:t>
      </w:r>
      <w:r w:rsidR="00FD02E8">
        <w:rPr>
          <w:rFonts w:ascii="Times New Roman" w:hAnsi="Times New Roman"/>
        </w:rPr>
        <w:t xml:space="preserve"> </w:t>
      </w:r>
      <w:r w:rsidR="00FD02E8" w:rsidRPr="00FD02E8">
        <w:rPr>
          <w:rFonts w:ascii="Times New Roman" w:hAnsi="Times New Roman"/>
        </w:rPr>
        <w:t>and removing barriers for persons with disabilities</w:t>
      </w:r>
      <w:r w:rsidRPr="002F7C5B">
        <w:rPr>
          <w:rFonts w:ascii="Times New Roman" w:hAnsi="Times New Roman"/>
          <w:lang w:val="en-IE"/>
        </w:rPr>
        <w:t xml:space="preserve">. </w:t>
      </w:r>
      <w:r w:rsidR="00FD02E8" w:rsidRPr="00FD02E8">
        <w:rPr>
          <w:rFonts w:ascii="Times New Roman" w:hAnsi="Times New Roman"/>
        </w:rPr>
        <w:t xml:space="preserve">It also urges Member States to </w:t>
      </w:r>
      <w:r w:rsidR="00520FAF">
        <w:rPr>
          <w:rFonts w:ascii="Times New Roman" w:hAnsi="Times New Roman"/>
        </w:rPr>
        <w:t xml:space="preserve">finalise the ratification of </w:t>
      </w:r>
      <w:r w:rsidR="00520FAF" w:rsidRPr="002F7C5B">
        <w:rPr>
          <w:rFonts w:ascii="Times New Roman" w:hAnsi="Times New Roman"/>
        </w:rPr>
        <w:t>Council Decision 2018/994</w:t>
      </w:r>
      <w:r w:rsidR="00520FAF">
        <w:rPr>
          <w:rFonts w:ascii="Times New Roman" w:hAnsi="Times New Roman"/>
        </w:rPr>
        <w:t xml:space="preserve">, </w:t>
      </w:r>
      <w:r w:rsidR="00FD02E8" w:rsidRPr="00FD02E8">
        <w:rPr>
          <w:rFonts w:ascii="Times New Roman" w:hAnsi="Times New Roman"/>
        </w:rPr>
        <w:t xml:space="preserve">implement all optional measures </w:t>
      </w:r>
      <w:r w:rsidR="00520FAF">
        <w:rPr>
          <w:rFonts w:ascii="Times New Roman" w:hAnsi="Times New Roman"/>
        </w:rPr>
        <w:t>set out therein,</w:t>
      </w:r>
      <w:r w:rsidR="00FD02E8" w:rsidRPr="00FD02E8">
        <w:rPr>
          <w:rFonts w:ascii="Times New Roman" w:hAnsi="Times New Roman"/>
        </w:rPr>
        <w:t xml:space="preserve"> and restart </w:t>
      </w:r>
      <w:r w:rsidR="00FD02E8">
        <w:rPr>
          <w:rFonts w:ascii="Times New Roman" w:hAnsi="Times New Roman"/>
        </w:rPr>
        <w:t>discussions</w:t>
      </w:r>
      <w:r w:rsidR="00FD02E8" w:rsidRPr="00FD02E8">
        <w:rPr>
          <w:rFonts w:ascii="Times New Roman" w:hAnsi="Times New Roman"/>
        </w:rPr>
        <w:t xml:space="preserve"> on </w:t>
      </w:r>
      <w:r w:rsidR="00FD02E8">
        <w:rPr>
          <w:rFonts w:ascii="Times New Roman" w:hAnsi="Times New Roman"/>
        </w:rPr>
        <w:t xml:space="preserve">the </w:t>
      </w:r>
      <w:r w:rsidR="00FD02E8" w:rsidRPr="00FD02E8">
        <w:rPr>
          <w:rFonts w:ascii="Times New Roman" w:hAnsi="Times New Roman"/>
        </w:rPr>
        <w:t>Parliament’s 2022 reform proposal without delay.</w:t>
      </w:r>
    </w:p>
    <w:p w14:paraId="780B6643" w14:textId="4C260EA9" w:rsidR="00963420" w:rsidRPr="006C024C" w:rsidRDefault="00963420" w:rsidP="0084310E">
      <w:pPr>
        <w:widowControl w:val="0"/>
        <w:numPr>
          <w:ilvl w:val="0"/>
          <w:numId w:val="34"/>
        </w:numPr>
        <w:ind w:left="567" w:hanging="567"/>
        <w:rPr>
          <w:rFonts w:ascii="Times New Roman" w:hAnsi="Times New Roman"/>
          <w:bCs/>
          <w:lang w:val="en-IE"/>
        </w:rPr>
      </w:pPr>
      <w:r w:rsidRPr="00CE0938">
        <w:rPr>
          <w:rFonts w:ascii="Times New Roman" w:hAnsi="Times New Roman"/>
          <w:b/>
          <w:lang w:val="en-IE"/>
        </w:rPr>
        <w:t>Response to requests and overview of action</w:t>
      </w:r>
      <w:r w:rsidR="001946EE" w:rsidRPr="00CE0938">
        <w:rPr>
          <w:rFonts w:ascii="Times New Roman" w:hAnsi="Times New Roman"/>
          <w:b/>
          <w:lang w:val="en-IE"/>
        </w:rPr>
        <w:t>s</w:t>
      </w:r>
      <w:r w:rsidRPr="00CE0938">
        <w:rPr>
          <w:rFonts w:ascii="Times New Roman" w:hAnsi="Times New Roman"/>
          <w:b/>
          <w:lang w:val="en-IE"/>
        </w:rPr>
        <w:t xml:space="preserve"> taken, or intended to be taken, by </w:t>
      </w:r>
      <w:r w:rsidRPr="006C024C">
        <w:rPr>
          <w:rFonts w:ascii="Times New Roman" w:hAnsi="Times New Roman"/>
          <w:b/>
          <w:lang w:val="en-IE"/>
        </w:rPr>
        <w:t>the Commission:</w:t>
      </w:r>
    </w:p>
    <w:p w14:paraId="1DEB965E" w14:textId="235E2676" w:rsidR="006C024C" w:rsidRPr="006C024C" w:rsidRDefault="006C024C" w:rsidP="2040F1BA">
      <w:pPr>
        <w:widowControl w:val="0"/>
        <w:rPr>
          <w:rFonts w:ascii="Times New Roman" w:hAnsi="Times New Roman"/>
          <w:bCs/>
          <w:lang w:val="en-IE"/>
        </w:rPr>
      </w:pPr>
      <w:r w:rsidRPr="006C024C">
        <w:rPr>
          <w:rFonts w:ascii="Times New Roman" w:hAnsi="Times New Roman"/>
          <w:bCs/>
        </w:rPr>
        <w:t>For elections to the European Parliament, certain common principles and procedures are set out in EU law, including the European Electoral Act</w:t>
      </w:r>
      <w:r w:rsidRPr="006C024C">
        <w:rPr>
          <w:rStyle w:val="FootnoteReference"/>
          <w:rFonts w:ascii="Times New Roman" w:hAnsi="Times New Roman"/>
          <w:bCs/>
        </w:rPr>
        <w:footnoteReference w:id="2"/>
      </w:r>
      <w:r w:rsidRPr="006C024C">
        <w:rPr>
          <w:rFonts w:ascii="Times New Roman" w:hAnsi="Times New Roman"/>
          <w:bCs/>
        </w:rPr>
        <w:t xml:space="preserve"> and the rules </w:t>
      </w:r>
      <w:r w:rsidR="00AD5109">
        <w:rPr>
          <w:rFonts w:ascii="Times New Roman" w:hAnsi="Times New Roman"/>
          <w:bCs/>
        </w:rPr>
        <w:t xml:space="preserve">implementing </w:t>
      </w:r>
      <w:r w:rsidR="00831BCE">
        <w:rPr>
          <w:rFonts w:ascii="Times New Roman" w:hAnsi="Times New Roman"/>
          <w:bCs/>
        </w:rPr>
        <w:t xml:space="preserve">Article 22 </w:t>
      </w:r>
      <w:r w:rsidR="00831BCE" w:rsidRPr="004657D3">
        <w:rPr>
          <w:rFonts w:ascii="Times New Roman" w:hAnsi="Times New Roman"/>
          <w:bCs/>
          <w:u w:val="single"/>
        </w:rPr>
        <w:t>of the Treaty on the Functioning of the European Union</w:t>
      </w:r>
      <w:r w:rsidR="00831BCE" w:rsidRPr="004657D3">
        <w:rPr>
          <w:rFonts w:ascii="Times New Roman" w:hAnsi="Times New Roman"/>
          <w:bCs/>
        </w:rPr>
        <w:t xml:space="preserve"> </w:t>
      </w:r>
      <w:r w:rsidR="00831BCE">
        <w:rPr>
          <w:rFonts w:ascii="Times New Roman" w:hAnsi="Times New Roman"/>
          <w:bCs/>
        </w:rPr>
        <w:t>(TFEU)</w:t>
      </w:r>
      <w:r w:rsidR="00AD5109">
        <w:rPr>
          <w:rFonts w:ascii="Times New Roman" w:hAnsi="Times New Roman"/>
          <w:bCs/>
        </w:rPr>
        <w:t xml:space="preserve">, </w:t>
      </w:r>
      <w:r w:rsidRPr="006C024C">
        <w:rPr>
          <w:rFonts w:ascii="Times New Roman" w:hAnsi="Times New Roman"/>
          <w:bCs/>
        </w:rPr>
        <w:t xml:space="preserve">enabling mobile EU citizens to exercise their right to vote and stand in the elections to the European Parliament </w:t>
      </w:r>
      <w:r w:rsidRPr="006C024C">
        <w:rPr>
          <w:rFonts w:ascii="Times New Roman" w:hAnsi="Times New Roman"/>
          <w:bCs/>
        </w:rPr>
        <w:lastRenderedPageBreak/>
        <w:t xml:space="preserve">in their </w:t>
      </w:r>
      <w:r w:rsidR="00AD5109">
        <w:rPr>
          <w:rFonts w:ascii="Times New Roman" w:hAnsi="Times New Roman"/>
          <w:bCs/>
        </w:rPr>
        <w:t>EU Member State</w:t>
      </w:r>
      <w:r w:rsidR="00AD5109" w:rsidRPr="006C024C">
        <w:rPr>
          <w:rFonts w:ascii="Times New Roman" w:hAnsi="Times New Roman"/>
          <w:bCs/>
        </w:rPr>
        <w:t xml:space="preserve"> </w:t>
      </w:r>
      <w:r w:rsidRPr="006C024C">
        <w:rPr>
          <w:rFonts w:ascii="Times New Roman" w:hAnsi="Times New Roman"/>
          <w:bCs/>
        </w:rPr>
        <w:t>of residence</w:t>
      </w:r>
      <w:r w:rsidR="00831BCE">
        <w:rPr>
          <w:rStyle w:val="FootnoteReference"/>
          <w:rFonts w:ascii="Times New Roman" w:hAnsi="Times New Roman"/>
          <w:bCs/>
        </w:rPr>
        <w:footnoteReference w:id="3"/>
      </w:r>
      <w:r w:rsidRPr="006C024C">
        <w:rPr>
          <w:rFonts w:ascii="Times New Roman" w:hAnsi="Times New Roman"/>
          <w:bCs/>
        </w:rPr>
        <w:t>.</w:t>
      </w:r>
      <w:r w:rsidRPr="006C024C">
        <w:rPr>
          <w:rFonts w:ascii="Times New Roman" w:hAnsi="Times New Roman"/>
          <w:bCs/>
          <w:lang w:val="en-IE"/>
        </w:rPr>
        <w:t xml:space="preserve"> </w:t>
      </w:r>
    </w:p>
    <w:p w14:paraId="643DCA67" w14:textId="196A08FA" w:rsidR="006C024C" w:rsidRPr="006C024C" w:rsidRDefault="006C024C" w:rsidP="2040F1BA">
      <w:pPr>
        <w:widowControl w:val="0"/>
        <w:rPr>
          <w:rFonts w:ascii="Times New Roman" w:hAnsi="Times New Roman"/>
          <w:bCs/>
        </w:rPr>
      </w:pPr>
      <w:r w:rsidRPr="006C024C">
        <w:rPr>
          <w:rFonts w:ascii="Times New Roman" w:hAnsi="Times New Roman"/>
          <w:bCs/>
        </w:rPr>
        <w:t>EU action in support of free, fair and inclusive elections offers important added value</w:t>
      </w:r>
      <w:r w:rsidR="00544120">
        <w:rPr>
          <w:rFonts w:ascii="Times New Roman" w:hAnsi="Times New Roman"/>
          <w:bCs/>
        </w:rPr>
        <w:t xml:space="preserve">, </w:t>
      </w:r>
      <w:r w:rsidR="00831BCE">
        <w:rPr>
          <w:rFonts w:ascii="Times New Roman" w:hAnsi="Times New Roman"/>
          <w:bCs/>
        </w:rPr>
        <w:t>including</w:t>
      </w:r>
      <w:r w:rsidR="00544120">
        <w:rPr>
          <w:rFonts w:ascii="Times New Roman" w:hAnsi="Times New Roman"/>
          <w:bCs/>
        </w:rPr>
        <w:t xml:space="preserve"> </w:t>
      </w:r>
      <w:r w:rsidR="00831BCE">
        <w:rPr>
          <w:rFonts w:ascii="Times New Roman" w:hAnsi="Times New Roman"/>
          <w:bCs/>
        </w:rPr>
        <w:t xml:space="preserve">in the </w:t>
      </w:r>
      <w:r w:rsidR="00544120">
        <w:rPr>
          <w:rFonts w:ascii="Times New Roman" w:hAnsi="Times New Roman"/>
          <w:bCs/>
        </w:rPr>
        <w:t>elections to the European Parliament</w:t>
      </w:r>
      <w:r w:rsidRPr="006C024C">
        <w:rPr>
          <w:rFonts w:ascii="Times New Roman" w:hAnsi="Times New Roman"/>
          <w:bCs/>
        </w:rPr>
        <w:t xml:space="preserve">. Since 2019, as part of a broader effort to promote and strengthen democracy, the EU has reinforced its support to Member States in this field. Initiatives such as those under the 2020 European Democracy Action Plan, the 2021 package of measures to reinforce democracy and protect the integrity of elections in the EU, and the 2023 Defence of Democracy package have provided new tools to reinforce the effectiveness of </w:t>
      </w:r>
      <w:r w:rsidR="00831BCE">
        <w:rPr>
          <w:rFonts w:ascii="Times New Roman" w:hAnsi="Times New Roman"/>
          <w:bCs/>
        </w:rPr>
        <w:t>the</w:t>
      </w:r>
      <w:r w:rsidR="00831BCE" w:rsidRPr="006C024C">
        <w:rPr>
          <w:rFonts w:ascii="Times New Roman" w:hAnsi="Times New Roman"/>
          <w:bCs/>
        </w:rPr>
        <w:t xml:space="preserve"> </w:t>
      </w:r>
      <w:r w:rsidRPr="006C024C">
        <w:rPr>
          <w:rFonts w:ascii="Times New Roman" w:hAnsi="Times New Roman"/>
          <w:bCs/>
        </w:rPr>
        <w:t xml:space="preserve">rights </w:t>
      </w:r>
      <w:r w:rsidR="00831BCE">
        <w:rPr>
          <w:rFonts w:ascii="Times New Roman" w:hAnsi="Times New Roman"/>
          <w:bCs/>
        </w:rPr>
        <w:t xml:space="preserve">related to </w:t>
      </w:r>
      <w:r w:rsidRPr="006C024C">
        <w:rPr>
          <w:rFonts w:ascii="Times New Roman" w:hAnsi="Times New Roman"/>
          <w:bCs/>
        </w:rPr>
        <w:t xml:space="preserve">European Parliament elections. </w:t>
      </w:r>
    </w:p>
    <w:p w14:paraId="6E50BFDF" w14:textId="5D53D325" w:rsidR="2040F1BA" w:rsidRPr="006C024C" w:rsidRDefault="00520FAF" w:rsidP="2040F1BA">
      <w:pPr>
        <w:widowControl w:val="0"/>
        <w:rPr>
          <w:rFonts w:ascii="Times New Roman" w:hAnsi="Times New Roman"/>
          <w:bCs/>
          <w:lang w:val="en-IE"/>
        </w:rPr>
      </w:pPr>
      <w:r w:rsidRPr="006C024C">
        <w:rPr>
          <w:rFonts w:ascii="Times New Roman" w:hAnsi="Times New Roman"/>
          <w:bCs/>
          <w:lang w:val="en-IE"/>
        </w:rPr>
        <w:t xml:space="preserve">The Commission plays no formal role in the Article 223 TFEU procedure. </w:t>
      </w:r>
      <w:r w:rsidR="00831BCE">
        <w:rPr>
          <w:rFonts w:ascii="Times New Roman" w:hAnsi="Times New Roman"/>
          <w:bCs/>
          <w:lang w:val="en-IE"/>
        </w:rPr>
        <w:t>As mentioned in paragraph 11 of the Resolution, i</w:t>
      </w:r>
      <w:r w:rsidR="001032B9" w:rsidRPr="006C024C">
        <w:rPr>
          <w:rFonts w:ascii="Times New Roman" w:hAnsi="Times New Roman"/>
          <w:bCs/>
          <w:lang w:val="en-IE"/>
        </w:rPr>
        <w:t xml:space="preserve">t has been following discussions </w:t>
      </w:r>
      <w:r w:rsidR="00831BCE">
        <w:rPr>
          <w:rFonts w:ascii="Times New Roman" w:hAnsi="Times New Roman"/>
          <w:bCs/>
          <w:lang w:val="en-IE"/>
        </w:rPr>
        <w:t>between</w:t>
      </w:r>
      <w:r w:rsidR="00831BCE" w:rsidRPr="006C024C">
        <w:rPr>
          <w:rFonts w:ascii="Times New Roman" w:hAnsi="Times New Roman"/>
          <w:bCs/>
          <w:lang w:val="en-IE"/>
        </w:rPr>
        <w:t xml:space="preserve"> </w:t>
      </w:r>
      <w:r w:rsidR="001032B9" w:rsidRPr="006C024C">
        <w:rPr>
          <w:rFonts w:ascii="Times New Roman" w:hAnsi="Times New Roman"/>
          <w:bCs/>
          <w:lang w:val="en-IE"/>
        </w:rPr>
        <w:t xml:space="preserve">the Council </w:t>
      </w:r>
      <w:r w:rsidR="00831BCE">
        <w:rPr>
          <w:rFonts w:ascii="Times New Roman" w:hAnsi="Times New Roman"/>
          <w:bCs/>
          <w:lang w:val="en-IE"/>
        </w:rPr>
        <w:t>and</w:t>
      </w:r>
      <w:r w:rsidR="006C024C" w:rsidRPr="006C024C">
        <w:rPr>
          <w:rFonts w:ascii="Times New Roman" w:hAnsi="Times New Roman"/>
          <w:bCs/>
          <w:lang w:val="en-IE"/>
        </w:rPr>
        <w:t xml:space="preserve"> the European Parliament </w:t>
      </w:r>
      <w:r w:rsidR="00D61468" w:rsidRPr="006C024C">
        <w:rPr>
          <w:rFonts w:ascii="Times New Roman" w:hAnsi="Times New Roman"/>
          <w:bCs/>
          <w:lang w:val="en-IE"/>
        </w:rPr>
        <w:t>to reform</w:t>
      </w:r>
      <w:r w:rsidR="001032B9" w:rsidRPr="006C024C">
        <w:rPr>
          <w:rFonts w:ascii="Times New Roman" w:hAnsi="Times New Roman"/>
          <w:bCs/>
          <w:lang w:val="en-IE"/>
        </w:rPr>
        <w:t xml:space="preserve"> the European Electoral Act </w:t>
      </w:r>
      <w:r w:rsidR="00D61468" w:rsidRPr="006C024C">
        <w:rPr>
          <w:rFonts w:ascii="Times New Roman" w:hAnsi="Times New Roman"/>
          <w:bCs/>
          <w:lang w:val="en-IE"/>
        </w:rPr>
        <w:t xml:space="preserve">and further harmonise </w:t>
      </w:r>
      <w:r w:rsidR="006C024C" w:rsidRPr="006C024C">
        <w:rPr>
          <w:rFonts w:ascii="Times New Roman" w:hAnsi="Times New Roman"/>
          <w:bCs/>
          <w:lang w:val="en-IE"/>
        </w:rPr>
        <w:t>electoral</w:t>
      </w:r>
      <w:r w:rsidR="00D61468" w:rsidRPr="006C024C">
        <w:rPr>
          <w:rFonts w:ascii="Times New Roman" w:hAnsi="Times New Roman"/>
          <w:bCs/>
          <w:lang w:val="en-IE"/>
        </w:rPr>
        <w:t xml:space="preserve"> rules</w:t>
      </w:r>
      <w:r w:rsidR="00831BCE">
        <w:rPr>
          <w:rFonts w:ascii="Times New Roman" w:hAnsi="Times New Roman"/>
          <w:bCs/>
          <w:lang w:val="en-IE"/>
        </w:rPr>
        <w:t xml:space="preserve"> </w:t>
      </w:r>
      <w:r w:rsidR="00831BCE" w:rsidRPr="00831BCE">
        <w:rPr>
          <w:rFonts w:ascii="Times New Roman" w:hAnsi="Times New Roman"/>
          <w:bCs/>
        </w:rPr>
        <w:t>concerning the elections to the European Parliament</w:t>
      </w:r>
      <w:r w:rsidRPr="006C024C">
        <w:rPr>
          <w:rFonts w:ascii="Times New Roman" w:hAnsi="Times New Roman"/>
          <w:bCs/>
          <w:lang w:val="en-IE"/>
        </w:rPr>
        <w:t>.</w:t>
      </w:r>
    </w:p>
    <w:p w14:paraId="2DC9F2AE" w14:textId="68F2771C" w:rsidR="00D61468" w:rsidRDefault="008465B0" w:rsidP="00B13F53">
      <w:pPr>
        <w:widowControl w:val="0"/>
        <w:spacing w:after="120"/>
        <w:rPr>
          <w:rFonts w:ascii="Times New Roman" w:hAnsi="Times New Roman"/>
          <w:szCs w:val="24"/>
          <w:shd w:val="clear" w:color="auto" w:fill="FFFFFF"/>
        </w:rPr>
      </w:pPr>
      <w:r w:rsidRPr="00AD0DE7">
        <w:rPr>
          <w:rFonts w:ascii="Times New Roman" w:hAnsi="Times New Roman"/>
          <w:szCs w:val="24"/>
          <w:shd w:val="clear" w:color="auto" w:fill="FFFFFF"/>
        </w:rPr>
        <w:t>The Commission shares the view of</w:t>
      </w:r>
      <w:r w:rsidR="00073F38">
        <w:rPr>
          <w:rFonts w:ascii="Times New Roman" w:hAnsi="Times New Roman"/>
          <w:szCs w:val="24"/>
          <w:shd w:val="clear" w:color="auto" w:fill="FFFFFF"/>
        </w:rPr>
        <w:t xml:space="preserve"> the importance of </w:t>
      </w:r>
      <w:r w:rsidR="00073F38" w:rsidRPr="00073F38">
        <w:rPr>
          <w:rFonts w:ascii="Times New Roman" w:hAnsi="Times New Roman"/>
          <w:b/>
          <w:bCs/>
          <w:szCs w:val="24"/>
          <w:shd w:val="clear" w:color="auto" w:fill="FFFFFF"/>
        </w:rPr>
        <w:t xml:space="preserve">transparency of the electoral process and access to reliable information in securing a high </w:t>
      </w:r>
      <w:r w:rsidRPr="00073F38">
        <w:rPr>
          <w:rFonts w:ascii="Times New Roman" w:hAnsi="Times New Roman"/>
          <w:b/>
          <w:bCs/>
          <w:szCs w:val="24"/>
          <w:shd w:val="clear" w:color="auto" w:fill="FFFFFF"/>
        </w:rPr>
        <w:t>voter tu</w:t>
      </w:r>
      <w:r w:rsidRPr="00AD0DE7">
        <w:rPr>
          <w:rFonts w:ascii="Times New Roman" w:hAnsi="Times New Roman"/>
          <w:b/>
          <w:bCs/>
          <w:szCs w:val="24"/>
          <w:shd w:val="clear" w:color="auto" w:fill="FFFFFF"/>
        </w:rPr>
        <w:t xml:space="preserve">rnout in </w:t>
      </w:r>
      <w:r w:rsidR="00926DC8" w:rsidRPr="00AD0DE7">
        <w:rPr>
          <w:rFonts w:ascii="Times New Roman" w:hAnsi="Times New Roman"/>
          <w:b/>
          <w:bCs/>
          <w:szCs w:val="24"/>
          <w:shd w:val="clear" w:color="auto" w:fill="FFFFFF"/>
        </w:rPr>
        <w:t>the elections</w:t>
      </w:r>
      <w:r w:rsidRPr="00AD0DE7">
        <w:rPr>
          <w:rFonts w:ascii="Times New Roman" w:hAnsi="Times New Roman"/>
          <w:b/>
          <w:bCs/>
          <w:szCs w:val="24"/>
          <w:shd w:val="clear" w:color="auto" w:fill="FFFFFF"/>
        </w:rPr>
        <w:t xml:space="preserve"> to the European Parliament (paragraph 1</w:t>
      </w:r>
      <w:r w:rsidR="0010345A">
        <w:rPr>
          <w:rFonts w:ascii="Times New Roman" w:hAnsi="Times New Roman"/>
          <w:b/>
          <w:bCs/>
          <w:szCs w:val="24"/>
          <w:shd w:val="clear" w:color="auto" w:fill="FFFFFF"/>
        </w:rPr>
        <w:t>2</w:t>
      </w:r>
      <w:r w:rsidRPr="00AD0DE7">
        <w:rPr>
          <w:rFonts w:ascii="Times New Roman" w:hAnsi="Times New Roman"/>
          <w:b/>
          <w:bCs/>
          <w:szCs w:val="24"/>
          <w:shd w:val="clear" w:color="auto" w:fill="FFFFFF"/>
        </w:rPr>
        <w:t>)</w:t>
      </w:r>
      <w:r w:rsidRPr="00AD0DE7">
        <w:rPr>
          <w:rFonts w:ascii="Times New Roman" w:hAnsi="Times New Roman"/>
          <w:szCs w:val="24"/>
          <w:shd w:val="clear" w:color="auto" w:fill="FFFFFF"/>
        </w:rPr>
        <w:t xml:space="preserve">. </w:t>
      </w:r>
      <w:r w:rsidR="00D61468">
        <w:rPr>
          <w:rFonts w:ascii="Times New Roman" w:hAnsi="Times New Roman"/>
          <w:szCs w:val="24"/>
          <w:shd w:val="clear" w:color="auto" w:fill="FFFFFF"/>
        </w:rPr>
        <w:t xml:space="preserve">It also </w:t>
      </w:r>
      <w:r w:rsidR="00D61468" w:rsidRPr="00AD0DE7">
        <w:rPr>
          <w:rFonts w:ascii="Times New Roman" w:hAnsi="Times New Roman"/>
          <w:szCs w:val="24"/>
          <w:shd w:val="clear" w:color="auto" w:fill="FFFFFF"/>
        </w:rPr>
        <w:t xml:space="preserve">supports the emphasis placed by the European Parliament on the need </w:t>
      </w:r>
      <w:r w:rsidR="00D61468" w:rsidRPr="00F0063E">
        <w:rPr>
          <w:rFonts w:ascii="Times New Roman" w:hAnsi="Times New Roman"/>
          <w:szCs w:val="24"/>
          <w:shd w:val="clear" w:color="auto" w:fill="FFFFFF"/>
        </w:rPr>
        <w:t xml:space="preserve">to </w:t>
      </w:r>
      <w:r w:rsidR="00D61468" w:rsidRPr="00073F38">
        <w:rPr>
          <w:rFonts w:ascii="Times New Roman" w:hAnsi="Times New Roman"/>
          <w:b/>
          <w:bCs/>
          <w:szCs w:val="24"/>
          <w:shd w:val="clear" w:color="auto" w:fill="FFFFFF"/>
        </w:rPr>
        <w:t xml:space="preserve">facilitate access to voting in European elections </w:t>
      </w:r>
      <w:r w:rsidR="00D61468">
        <w:rPr>
          <w:rFonts w:ascii="Times New Roman" w:hAnsi="Times New Roman"/>
          <w:b/>
          <w:bCs/>
          <w:szCs w:val="24"/>
          <w:shd w:val="clear" w:color="auto" w:fill="FFFFFF"/>
        </w:rPr>
        <w:t xml:space="preserve">and support inclusive participation of persons with disabilities </w:t>
      </w:r>
      <w:r w:rsidR="00D61468" w:rsidRPr="00AD0DE7">
        <w:rPr>
          <w:rFonts w:ascii="Times New Roman" w:hAnsi="Times New Roman"/>
          <w:b/>
          <w:bCs/>
          <w:szCs w:val="24"/>
          <w:shd w:val="clear" w:color="auto" w:fill="FFFFFF"/>
        </w:rPr>
        <w:t>(paragraph 1</w:t>
      </w:r>
      <w:r w:rsidR="00D61468">
        <w:rPr>
          <w:rFonts w:ascii="Times New Roman" w:hAnsi="Times New Roman"/>
          <w:b/>
          <w:bCs/>
          <w:szCs w:val="24"/>
          <w:shd w:val="clear" w:color="auto" w:fill="FFFFFF"/>
        </w:rPr>
        <w:t>3</w:t>
      </w:r>
      <w:r w:rsidR="00D61468" w:rsidRPr="00AD0DE7">
        <w:rPr>
          <w:rFonts w:ascii="Times New Roman" w:hAnsi="Times New Roman"/>
          <w:b/>
          <w:bCs/>
          <w:szCs w:val="24"/>
          <w:shd w:val="clear" w:color="auto" w:fill="FFFFFF"/>
        </w:rPr>
        <w:t>)</w:t>
      </w:r>
      <w:r w:rsidR="00D61468" w:rsidRPr="00AD0DE7">
        <w:rPr>
          <w:rFonts w:ascii="Times New Roman" w:hAnsi="Times New Roman"/>
          <w:szCs w:val="24"/>
          <w:shd w:val="clear" w:color="auto" w:fill="FFFFFF"/>
        </w:rPr>
        <w:t>.</w:t>
      </w:r>
      <w:r w:rsidR="00D61468">
        <w:rPr>
          <w:rFonts w:ascii="Times New Roman" w:hAnsi="Times New Roman"/>
          <w:szCs w:val="24"/>
          <w:shd w:val="clear" w:color="auto" w:fill="FFFFFF"/>
        </w:rPr>
        <w:t xml:space="preserve"> </w:t>
      </w:r>
      <w:r w:rsidR="00D61468" w:rsidRPr="00AD0DE7">
        <w:rPr>
          <w:rFonts w:ascii="Times New Roman" w:hAnsi="Times New Roman"/>
          <w:szCs w:val="24"/>
          <w:shd w:val="clear" w:color="auto" w:fill="FFFFFF"/>
        </w:rPr>
        <w:t>The Commission</w:t>
      </w:r>
      <w:r w:rsidR="00D61468">
        <w:rPr>
          <w:rFonts w:ascii="Times New Roman" w:hAnsi="Times New Roman"/>
          <w:szCs w:val="24"/>
          <w:shd w:val="clear" w:color="auto" w:fill="FFFFFF"/>
        </w:rPr>
        <w:t xml:space="preserve"> also welcomes the call to Member States </w:t>
      </w:r>
      <w:r w:rsidR="00D61468" w:rsidRPr="00D61468">
        <w:rPr>
          <w:rFonts w:ascii="Times New Roman" w:hAnsi="Times New Roman"/>
          <w:b/>
          <w:bCs/>
          <w:szCs w:val="24"/>
          <w:shd w:val="clear" w:color="auto" w:fill="FFFFFF"/>
        </w:rPr>
        <w:t>to enhance the visibility of electoral alliances in European elections</w:t>
      </w:r>
      <w:r w:rsidR="00D61468">
        <w:rPr>
          <w:rFonts w:ascii="Times New Roman" w:hAnsi="Times New Roman"/>
          <w:szCs w:val="24"/>
          <w:shd w:val="clear" w:color="auto" w:fill="FFFFFF"/>
        </w:rPr>
        <w:t xml:space="preserve"> (paragraph 14).</w:t>
      </w:r>
    </w:p>
    <w:p w14:paraId="558362F5" w14:textId="77777777" w:rsidR="00D61468" w:rsidRDefault="008465B0" w:rsidP="00B13F53">
      <w:pPr>
        <w:widowControl w:val="0"/>
        <w:spacing w:after="120"/>
        <w:rPr>
          <w:rFonts w:ascii="Times New Roman" w:hAnsi="Times New Roman"/>
          <w:szCs w:val="24"/>
          <w:shd w:val="clear" w:color="auto" w:fill="FFFFFF"/>
        </w:rPr>
      </w:pPr>
      <w:r w:rsidRPr="00AD0DE7">
        <w:rPr>
          <w:rFonts w:ascii="Times New Roman" w:hAnsi="Times New Roman"/>
          <w:szCs w:val="24"/>
          <w:shd w:val="clear" w:color="auto" w:fill="FFFFFF"/>
        </w:rPr>
        <w:t xml:space="preserve">Empowering EU citizens and ensuring </w:t>
      </w:r>
      <w:r w:rsidR="00B13F53">
        <w:rPr>
          <w:rFonts w:ascii="Times New Roman" w:hAnsi="Times New Roman"/>
          <w:szCs w:val="24"/>
          <w:shd w:val="clear" w:color="auto" w:fill="FFFFFF"/>
        </w:rPr>
        <w:t xml:space="preserve">broad </w:t>
      </w:r>
      <w:r w:rsidR="00D61468">
        <w:rPr>
          <w:rFonts w:ascii="Times New Roman" w:hAnsi="Times New Roman"/>
          <w:szCs w:val="24"/>
          <w:shd w:val="clear" w:color="auto" w:fill="FFFFFF"/>
        </w:rPr>
        <w:t xml:space="preserve">and inclusive </w:t>
      </w:r>
      <w:r w:rsidR="00B13F53">
        <w:rPr>
          <w:rFonts w:ascii="Times New Roman" w:hAnsi="Times New Roman"/>
          <w:szCs w:val="24"/>
          <w:shd w:val="clear" w:color="auto" w:fill="FFFFFF"/>
        </w:rPr>
        <w:t>participation</w:t>
      </w:r>
      <w:r w:rsidRPr="00AD0DE7">
        <w:rPr>
          <w:rFonts w:ascii="Times New Roman" w:hAnsi="Times New Roman"/>
          <w:szCs w:val="24"/>
          <w:shd w:val="clear" w:color="auto" w:fill="FFFFFF"/>
        </w:rPr>
        <w:t xml:space="preserve"> in elections</w:t>
      </w:r>
      <w:r w:rsidR="00D61468">
        <w:rPr>
          <w:rFonts w:ascii="Times New Roman" w:hAnsi="Times New Roman"/>
          <w:szCs w:val="24"/>
          <w:shd w:val="clear" w:color="auto" w:fill="FFFFFF"/>
        </w:rPr>
        <w:t xml:space="preserve"> to the European Parliament</w:t>
      </w:r>
      <w:r w:rsidRPr="00AD0DE7">
        <w:rPr>
          <w:rFonts w:ascii="Times New Roman" w:hAnsi="Times New Roman"/>
          <w:szCs w:val="24"/>
          <w:shd w:val="clear" w:color="auto" w:fill="FFFFFF"/>
        </w:rPr>
        <w:t xml:space="preserve"> is also essential for the Commission, whose democratic legitimacy is based among others on being accountable to the European Parliament, under Article 17(8) of the Treaty on European Union (TEU).</w:t>
      </w:r>
      <w:r w:rsidR="0010345A">
        <w:rPr>
          <w:rFonts w:ascii="Times New Roman" w:hAnsi="Times New Roman"/>
          <w:szCs w:val="24"/>
          <w:shd w:val="clear" w:color="auto" w:fill="FFFFFF"/>
        </w:rPr>
        <w:t xml:space="preserve"> </w:t>
      </w:r>
    </w:p>
    <w:p w14:paraId="6CBD0315" w14:textId="4B9BFD9F" w:rsidR="00F6244B" w:rsidRDefault="0010345A" w:rsidP="00B13F53">
      <w:pPr>
        <w:widowControl w:val="0"/>
        <w:spacing w:after="120"/>
        <w:rPr>
          <w:rFonts w:ascii="Times New Roman" w:hAnsi="Times New Roman"/>
          <w:szCs w:val="24"/>
          <w:shd w:val="clear" w:color="auto" w:fill="FFFFFF"/>
        </w:rPr>
      </w:pPr>
      <w:r>
        <w:rPr>
          <w:rFonts w:ascii="Times New Roman" w:hAnsi="Times New Roman"/>
          <w:szCs w:val="24"/>
          <w:shd w:val="clear" w:color="auto" w:fill="FFFFFF"/>
        </w:rPr>
        <w:t xml:space="preserve">The </w:t>
      </w:r>
      <w:r w:rsidR="00D61468">
        <w:rPr>
          <w:rFonts w:ascii="Times New Roman" w:hAnsi="Times New Roman"/>
          <w:szCs w:val="24"/>
          <w:shd w:val="clear" w:color="auto" w:fill="FFFFFF"/>
        </w:rPr>
        <w:t>R</w:t>
      </w:r>
      <w:r>
        <w:rPr>
          <w:rFonts w:ascii="Times New Roman" w:hAnsi="Times New Roman"/>
          <w:szCs w:val="24"/>
          <w:shd w:val="clear" w:color="auto" w:fill="FFFFFF"/>
        </w:rPr>
        <w:t>eport on the 2024 elections to the European Parliament</w:t>
      </w:r>
      <w:r>
        <w:rPr>
          <w:rStyle w:val="FootnoteReference"/>
          <w:rFonts w:ascii="Times New Roman" w:hAnsi="Times New Roman"/>
          <w:szCs w:val="24"/>
          <w:shd w:val="clear" w:color="auto" w:fill="FFFFFF"/>
        </w:rPr>
        <w:footnoteReference w:id="4"/>
      </w:r>
      <w:r>
        <w:rPr>
          <w:rFonts w:ascii="Times New Roman" w:hAnsi="Times New Roman"/>
          <w:szCs w:val="24"/>
          <w:shd w:val="clear" w:color="auto" w:fill="FFFFFF"/>
        </w:rPr>
        <w:t xml:space="preserve"> </w:t>
      </w:r>
      <w:r w:rsidR="003344F3">
        <w:rPr>
          <w:rFonts w:ascii="Times New Roman" w:hAnsi="Times New Roman"/>
          <w:szCs w:val="24"/>
          <w:shd w:val="clear" w:color="auto" w:fill="FFFFFF"/>
        </w:rPr>
        <w:t>provides an overview of</w:t>
      </w:r>
      <w:r>
        <w:rPr>
          <w:rFonts w:ascii="Times New Roman" w:hAnsi="Times New Roman"/>
          <w:szCs w:val="24"/>
          <w:shd w:val="clear" w:color="auto" w:fill="FFFFFF"/>
        </w:rPr>
        <w:t xml:space="preserve"> the Commission’s efforts to promote </w:t>
      </w:r>
      <w:r w:rsidR="00D61468">
        <w:rPr>
          <w:rFonts w:ascii="Times New Roman" w:hAnsi="Times New Roman"/>
          <w:szCs w:val="24"/>
          <w:shd w:val="clear" w:color="auto" w:fill="FFFFFF"/>
        </w:rPr>
        <w:t>high voter turnout and participation of different groups</w:t>
      </w:r>
      <w:r>
        <w:rPr>
          <w:rFonts w:ascii="Times New Roman" w:hAnsi="Times New Roman"/>
          <w:szCs w:val="24"/>
          <w:shd w:val="clear" w:color="auto" w:fill="FFFFFF"/>
        </w:rPr>
        <w:t xml:space="preserve">, including </w:t>
      </w:r>
      <w:r w:rsidR="00D61468">
        <w:rPr>
          <w:rFonts w:ascii="Times New Roman" w:hAnsi="Times New Roman"/>
          <w:szCs w:val="24"/>
          <w:shd w:val="clear" w:color="auto" w:fill="FFFFFF"/>
        </w:rPr>
        <w:t>its 2023 Recommendation on elections</w:t>
      </w:r>
      <w:r w:rsidR="00D61468">
        <w:rPr>
          <w:rStyle w:val="FootnoteReference"/>
          <w:rFonts w:ascii="Times New Roman" w:hAnsi="Times New Roman"/>
          <w:szCs w:val="24"/>
          <w:shd w:val="clear" w:color="auto" w:fill="FFFFFF"/>
        </w:rPr>
        <w:footnoteReference w:id="5"/>
      </w:r>
      <w:r w:rsidR="00F0063E">
        <w:rPr>
          <w:rFonts w:ascii="Times New Roman" w:hAnsi="Times New Roman"/>
          <w:szCs w:val="24"/>
          <w:shd w:val="clear" w:color="auto" w:fill="FFFFFF"/>
        </w:rPr>
        <w:t xml:space="preserve"> to Member States</w:t>
      </w:r>
      <w:r w:rsidR="00B13F53">
        <w:rPr>
          <w:rFonts w:ascii="Times New Roman" w:hAnsi="Times New Roman"/>
          <w:szCs w:val="24"/>
          <w:shd w:val="clear" w:color="auto" w:fill="FFFFFF"/>
        </w:rPr>
        <w:t>,</w:t>
      </w:r>
      <w:r w:rsidR="00F0063E">
        <w:rPr>
          <w:rFonts w:ascii="Times New Roman" w:hAnsi="Times New Roman"/>
          <w:szCs w:val="24"/>
          <w:shd w:val="clear" w:color="auto" w:fill="FFFFFF"/>
        </w:rPr>
        <w:t xml:space="preserve"> </w:t>
      </w:r>
      <w:r w:rsidR="00B13F53" w:rsidRPr="00AD0DE7">
        <w:rPr>
          <w:rFonts w:ascii="Times New Roman" w:hAnsi="Times New Roman"/>
          <w:szCs w:val="24"/>
          <w:shd w:val="clear" w:color="auto" w:fill="FFFFFF"/>
        </w:rPr>
        <w:t>European and national political parties, foundations, and campaign organisations</w:t>
      </w:r>
      <w:r>
        <w:rPr>
          <w:rFonts w:ascii="Times New Roman" w:hAnsi="Times New Roman"/>
          <w:szCs w:val="24"/>
          <w:shd w:val="clear" w:color="auto" w:fill="FFFFFF"/>
        </w:rPr>
        <w:t xml:space="preserve">, </w:t>
      </w:r>
      <w:r w:rsidR="003344F3">
        <w:rPr>
          <w:rFonts w:ascii="Times New Roman" w:hAnsi="Times New Roman"/>
          <w:szCs w:val="24"/>
          <w:shd w:val="clear" w:color="auto" w:fill="FFFFFF"/>
        </w:rPr>
        <w:t>awareness raising among Member States,</w:t>
      </w:r>
      <w:r w:rsidR="00F0063E">
        <w:rPr>
          <w:rFonts w:ascii="Times New Roman" w:hAnsi="Times New Roman"/>
          <w:szCs w:val="24"/>
          <w:shd w:val="clear" w:color="auto" w:fill="FFFFFF"/>
        </w:rPr>
        <w:t xml:space="preserve"> notably through the European Cooperation Network on Elections,</w:t>
      </w:r>
      <w:r w:rsidR="003344F3">
        <w:rPr>
          <w:rFonts w:ascii="Times New Roman" w:hAnsi="Times New Roman"/>
          <w:szCs w:val="24"/>
          <w:shd w:val="clear" w:color="auto" w:fill="FFFFFF"/>
        </w:rPr>
        <w:t xml:space="preserve"> </w:t>
      </w:r>
      <w:r w:rsidR="008465B0" w:rsidRPr="00AD0DE7">
        <w:rPr>
          <w:rFonts w:ascii="Times New Roman" w:hAnsi="Times New Roman"/>
          <w:szCs w:val="24"/>
          <w:shd w:val="clear" w:color="auto" w:fill="FFFFFF"/>
        </w:rPr>
        <w:t xml:space="preserve">support to EU-wide </w:t>
      </w:r>
      <w:r w:rsidR="00D05409">
        <w:rPr>
          <w:rFonts w:ascii="Times New Roman" w:hAnsi="Times New Roman"/>
          <w:szCs w:val="24"/>
          <w:shd w:val="clear" w:color="auto" w:fill="FFFFFF"/>
        </w:rPr>
        <w:t>‘</w:t>
      </w:r>
      <w:r w:rsidR="008465B0" w:rsidRPr="00AD0DE7">
        <w:rPr>
          <w:rFonts w:ascii="Times New Roman" w:hAnsi="Times New Roman"/>
          <w:szCs w:val="24"/>
          <w:shd w:val="clear" w:color="auto" w:fill="FFFFFF"/>
        </w:rPr>
        <w:t>get-out-to-vote</w:t>
      </w:r>
      <w:r w:rsidR="00D05409">
        <w:rPr>
          <w:rFonts w:ascii="Times New Roman" w:hAnsi="Times New Roman"/>
          <w:szCs w:val="24"/>
          <w:shd w:val="clear" w:color="auto" w:fill="FFFFFF"/>
        </w:rPr>
        <w:t>’</w:t>
      </w:r>
      <w:r w:rsidR="008465B0" w:rsidRPr="00AD0DE7">
        <w:rPr>
          <w:rFonts w:ascii="Times New Roman" w:hAnsi="Times New Roman"/>
          <w:szCs w:val="24"/>
          <w:shd w:val="clear" w:color="auto" w:fill="FFFFFF"/>
        </w:rPr>
        <w:t xml:space="preserve"> campaigns and common EU channels for informing citizens where and how to register and vote. </w:t>
      </w:r>
      <w:r w:rsidR="00D61468">
        <w:rPr>
          <w:rFonts w:ascii="Times New Roman" w:hAnsi="Times New Roman"/>
          <w:szCs w:val="24"/>
          <w:shd w:val="clear" w:color="auto" w:fill="FFFFFF"/>
        </w:rPr>
        <w:t xml:space="preserve">The Report also notes the steps taken by Member States to </w:t>
      </w:r>
      <w:r w:rsidR="006C024C">
        <w:rPr>
          <w:rFonts w:ascii="Times New Roman" w:hAnsi="Times New Roman"/>
          <w:szCs w:val="24"/>
          <w:shd w:val="clear" w:color="auto" w:fill="FFFFFF"/>
        </w:rPr>
        <w:t xml:space="preserve">inform EU citizens about elections, support participation of persons with disabilities in elections, and </w:t>
      </w:r>
      <w:r w:rsidR="00D61468" w:rsidRPr="00D61468">
        <w:rPr>
          <w:rFonts w:ascii="Times New Roman" w:hAnsi="Times New Roman"/>
          <w:szCs w:val="24"/>
          <w:shd w:val="clear" w:color="auto" w:fill="FFFFFF"/>
        </w:rPr>
        <w:t>enhance transparency regarding affiliations between national and European political parties</w:t>
      </w:r>
      <w:r w:rsidR="006C024C">
        <w:rPr>
          <w:rFonts w:ascii="Times New Roman" w:hAnsi="Times New Roman"/>
          <w:szCs w:val="24"/>
          <w:shd w:val="clear" w:color="auto" w:fill="FFFFFF"/>
        </w:rPr>
        <w:t>.</w:t>
      </w:r>
    </w:p>
    <w:p w14:paraId="3D24D7CA" w14:textId="6612726F" w:rsidR="00B13F53" w:rsidRDefault="00B13F53" w:rsidP="00B13F53">
      <w:pPr>
        <w:widowControl w:val="0"/>
        <w:spacing w:after="120"/>
        <w:rPr>
          <w:rFonts w:ascii="Times New Roman" w:hAnsi="Times New Roman"/>
          <w:szCs w:val="24"/>
          <w:shd w:val="clear" w:color="auto" w:fill="FFFFFF"/>
        </w:rPr>
      </w:pPr>
      <w:r>
        <w:rPr>
          <w:rFonts w:ascii="Times New Roman" w:hAnsi="Times New Roman"/>
          <w:szCs w:val="24"/>
          <w:shd w:val="clear" w:color="auto" w:fill="FFFFFF"/>
        </w:rPr>
        <w:t xml:space="preserve">Equally important, the Commission’s </w:t>
      </w:r>
      <w:r w:rsidRPr="00FC29AF">
        <w:rPr>
          <w:rFonts w:ascii="Times New Roman" w:hAnsi="Times New Roman"/>
          <w:szCs w:val="24"/>
          <w:shd w:val="clear" w:color="auto" w:fill="FFFFFF"/>
          <w:lang w:val="en-IE"/>
        </w:rPr>
        <w:t xml:space="preserve">proposal for a recast of the </w:t>
      </w:r>
      <w:r>
        <w:rPr>
          <w:rFonts w:ascii="Times New Roman" w:hAnsi="Times New Roman"/>
          <w:szCs w:val="24"/>
          <w:shd w:val="clear" w:color="auto" w:fill="FFFFFF"/>
          <w:lang w:val="en-IE"/>
        </w:rPr>
        <w:t>D</w:t>
      </w:r>
      <w:r w:rsidRPr="00FC29AF">
        <w:rPr>
          <w:rFonts w:ascii="Times New Roman" w:hAnsi="Times New Roman"/>
          <w:szCs w:val="24"/>
          <w:shd w:val="clear" w:color="auto" w:fill="FFFFFF"/>
          <w:lang w:val="en-IE"/>
        </w:rPr>
        <w:t xml:space="preserve">irective on </w:t>
      </w:r>
      <w:r>
        <w:rPr>
          <w:rFonts w:ascii="Times New Roman" w:hAnsi="Times New Roman"/>
          <w:szCs w:val="24"/>
          <w:shd w:val="clear" w:color="auto" w:fill="FFFFFF"/>
          <w:lang w:val="en-IE"/>
        </w:rPr>
        <w:t>the voting rights of mobile EU citizens in elections to the European Parliament</w:t>
      </w:r>
      <w:r>
        <w:rPr>
          <w:rStyle w:val="FootnoteReference"/>
          <w:rFonts w:ascii="Times New Roman" w:hAnsi="Times New Roman"/>
          <w:szCs w:val="24"/>
          <w:shd w:val="clear" w:color="auto" w:fill="FFFFFF"/>
          <w:lang w:val="en-IE"/>
        </w:rPr>
        <w:footnoteReference w:id="6"/>
      </w:r>
      <w:r>
        <w:rPr>
          <w:rFonts w:ascii="Times New Roman" w:hAnsi="Times New Roman"/>
          <w:szCs w:val="24"/>
          <w:shd w:val="clear" w:color="auto" w:fill="FFFFFF"/>
          <w:lang w:val="en-IE"/>
        </w:rPr>
        <w:t xml:space="preserve"> </w:t>
      </w:r>
      <w:r w:rsidRPr="00FC29AF">
        <w:rPr>
          <w:rFonts w:ascii="Times New Roman" w:hAnsi="Times New Roman"/>
          <w:szCs w:val="24"/>
          <w:shd w:val="clear" w:color="auto" w:fill="FFFFFF"/>
          <w:lang w:val="en-IE"/>
        </w:rPr>
        <w:t xml:space="preserve">has been adopted by </w:t>
      </w:r>
      <w:r w:rsidRPr="00FC29AF">
        <w:rPr>
          <w:rFonts w:ascii="Times New Roman" w:hAnsi="Times New Roman"/>
          <w:szCs w:val="24"/>
          <w:shd w:val="clear" w:color="auto" w:fill="FFFFFF"/>
          <w:lang w:val="en-IE"/>
        </w:rPr>
        <w:lastRenderedPageBreak/>
        <w:t>the Council in June 2025.</w:t>
      </w:r>
      <w:r>
        <w:rPr>
          <w:rFonts w:ascii="Times New Roman" w:hAnsi="Times New Roman"/>
          <w:szCs w:val="24"/>
          <w:shd w:val="clear" w:color="auto" w:fill="FFFFFF"/>
          <w:lang w:val="en-IE"/>
        </w:rPr>
        <w:t xml:space="preserve"> </w:t>
      </w:r>
      <w:r w:rsidRPr="00FC29AF">
        <w:rPr>
          <w:rFonts w:ascii="Times New Roman" w:hAnsi="Times New Roman"/>
          <w:szCs w:val="24"/>
          <w:shd w:val="clear" w:color="auto" w:fill="FFFFFF"/>
          <w:lang w:val="en-IE"/>
        </w:rPr>
        <w:t>These</w:t>
      </w:r>
      <w:r>
        <w:rPr>
          <w:rFonts w:ascii="Times New Roman" w:hAnsi="Times New Roman"/>
          <w:szCs w:val="24"/>
          <w:shd w:val="clear" w:color="auto" w:fill="FFFFFF"/>
          <w:lang w:val="en-IE"/>
        </w:rPr>
        <w:t xml:space="preserve"> rules</w:t>
      </w:r>
      <w:r w:rsidRPr="00FC29AF">
        <w:rPr>
          <w:rFonts w:ascii="Times New Roman" w:hAnsi="Times New Roman"/>
          <w:szCs w:val="24"/>
          <w:shd w:val="clear" w:color="auto" w:fill="FFFFFF"/>
          <w:lang w:val="en-IE"/>
        </w:rPr>
        <w:t> </w:t>
      </w:r>
      <w:r w:rsidRPr="00AD0DE7">
        <w:rPr>
          <w:rFonts w:ascii="Times New Roman" w:hAnsi="Times New Roman"/>
          <w:szCs w:val="24"/>
          <w:shd w:val="clear" w:color="auto" w:fill="FFFFFF"/>
        </w:rPr>
        <w:t>aim to</w:t>
      </w:r>
      <w:r w:rsidR="00F6244B">
        <w:rPr>
          <w:rFonts w:ascii="Times New Roman" w:hAnsi="Times New Roman"/>
          <w:szCs w:val="24"/>
          <w:shd w:val="clear" w:color="auto" w:fill="FFFFFF"/>
        </w:rPr>
        <w:t xml:space="preserve"> promote</w:t>
      </w:r>
      <w:r w:rsidRPr="00AD0DE7">
        <w:rPr>
          <w:rFonts w:ascii="Times New Roman" w:hAnsi="Times New Roman"/>
          <w:szCs w:val="24"/>
          <w:shd w:val="clear" w:color="auto" w:fill="FFFFFF"/>
        </w:rPr>
        <w:t xml:space="preserve"> broad and inclusive participation</w:t>
      </w:r>
      <w:r w:rsidR="00F6244B">
        <w:rPr>
          <w:rFonts w:ascii="Times New Roman" w:hAnsi="Times New Roman"/>
          <w:szCs w:val="24"/>
          <w:shd w:val="clear" w:color="auto" w:fill="FFFFFF"/>
        </w:rPr>
        <w:t xml:space="preserve"> of mobile EU citizens</w:t>
      </w:r>
      <w:r w:rsidRPr="00AD0DE7">
        <w:rPr>
          <w:rFonts w:ascii="Times New Roman" w:hAnsi="Times New Roman"/>
          <w:szCs w:val="24"/>
          <w:shd w:val="clear" w:color="auto" w:fill="FFFFFF"/>
        </w:rPr>
        <w:t xml:space="preserve"> in elections, </w:t>
      </w:r>
      <w:r>
        <w:rPr>
          <w:rFonts w:ascii="Times New Roman" w:hAnsi="Times New Roman"/>
          <w:szCs w:val="24"/>
          <w:shd w:val="clear" w:color="auto" w:fill="FFFFFF"/>
        </w:rPr>
        <w:t xml:space="preserve">particularly by ensuring that </w:t>
      </w:r>
      <w:r w:rsidR="00F6244B">
        <w:rPr>
          <w:rFonts w:ascii="Times New Roman" w:hAnsi="Times New Roman"/>
          <w:szCs w:val="24"/>
          <w:shd w:val="clear" w:color="auto" w:fill="FFFFFF"/>
        </w:rPr>
        <w:t>they</w:t>
      </w:r>
      <w:r w:rsidRPr="00AD0DE7">
        <w:rPr>
          <w:rFonts w:ascii="Times New Roman" w:hAnsi="Times New Roman"/>
          <w:szCs w:val="24"/>
          <w:shd w:val="clear" w:color="auto" w:fill="FFFFFF"/>
        </w:rPr>
        <w:t xml:space="preserve"> </w:t>
      </w:r>
      <w:r>
        <w:rPr>
          <w:rFonts w:ascii="Times New Roman" w:hAnsi="Times New Roman"/>
          <w:szCs w:val="24"/>
          <w:shd w:val="clear" w:color="auto" w:fill="FFFFFF"/>
        </w:rPr>
        <w:t>receive</w:t>
      </w:r>
      <w:r w:rsidR="00F6244B">
        <w:rPr>
          <w:rFonts w:ascii="Times New Roman" w:hAnsi="Times New Roman"/>
          <w:szCs w:val="24"/>
          <w:shd w:val="clear" w:color="auto" w:fill="FFFFFF"/>
        </w:rPr>
        <w:t xml:space="preserve"> </w:t>
      </w:r>
      <w:r>
        <w:rPr>
          <w:rFonts w:ascii="Times New Roman" w:hAnsi="Times New Roman"/>
          <w:szCs w:val="24"/>
          <w:shd w:val="clear" w:color="auto" w:fill="FFFFFF"/>
        </w:rPr>
        <w:t>detailed information on how to exercise their electoral rights</w:t>
      </w:r>
      <w:r w:rsidR="00F6244B">
        <w:rPr>
          <w:rFonts w:ascii="Times New Roman" w:hAnsi="Times New Roman"/>
          <w:szCs w:val="24"/>
          <w:shd w:val="clear" w:color="auto" w:fill="FFFFFF"/>
        </w:rPr>
        <w:t>.</w:t>
      </w:r>
    </w:p>
    <w:p w14:paraId="54338D4D" w14:textId="6898F9D3" w:rsidR="002854BF" w:rsidRDefault="002854BF" w:rsidP="00B13F53">
      <w:pPr>
        <w:widowControl w:val="0"/>
        <w:spacing w:after="120"/>
        <w:rPr>
          <w:rFonts w:ascii="Times New Roman" w:hAnsi="Times New Roman"/>
          <w:szCs w:val="24"/>
          <w:shd w:val="clear" w:color="auto" w:fill="FFFFFF"/>
        </w:rPr>
      </w:pPr>
      <w:r w:rsidRPr="002854BF">
        <w:rPr>
          <w:rFonts w:ascii="Times New Roman" w:hAnsi="Times New Roman"/>
          <w:szCs w:val="24"/>
          <w:shd w:val="clear" w:color="auto" w:fill="FFFFFF"/>
        </w:rPr>
        <w:t xml:space="preserve">At the same time, the </w:t>
      </w:r>
      <w:r>
        <w:rPr>
          <w:rFonts w:ascii="Times New Roman" w:hAnsi="Times New Roman"/>
          <w:szCs w:val="24"/>
          <w:shd w:val="clear" w:color="auto" w:fill="FFFFFF"/>
        </w:rPr>
        <w:t>Report on the 2024 elections to the European Parliament</w:t>
      </w:r>
      <w:r w:rsidRPr="002854BF">
        <w:rPr>
          <w:rFonts w:ascii="Times New Roman" w:hAnsi="Times New Roman"/>
          <w:szCs w:val="24"/>
          <w:shd w:val="clear" w:color="auto" w:fill="FFFFFF"/>
        </w:rPr>
        <w:t xml:space="preserve"> suggests that further improvements of the inclusiveness of electoral participation and citizens’ engagement are needed. Support </w:t>
      </w:r>
      <w:r>
        <w:rPr>
          <w:rFonts w:ascii="Times New Roman" w:hAnsi="Times New Roman"/>
          <w:szCs w:val="24"/>
          <w:shd w:val="clear" w:color="auto" w:fill="FFFFFF"/>
        </w:rPr>
        <w:t>for</w:t>
      </w:r>
      <w:r w:rsidRPr="002854BF">
        <w:rPr>
          <w:rFonts w:ascii="Times New Roman" w:hAnsi="Times New Roman"/>
          <w:szCs w:val="24"/>
          <w:shd w:val="clear" w:color="auto" w:fill="FFFFFF"/>
        </w:rPr>
        <w:t xml:space="preserve"> high turnout and inclusive participation in European democracy</w:t>
      </w:r>
      <w:r>
        <w:rPr>
          <w:rFonts w:ascii="Times New Roman" w:hAnsi="Times New Roman"/>
          <w:szCs w:val="24"/>
          <w:shd w:val="clear" w:color="auto" w:fill="FFFFFF"/>
        </w:rPr>
        <w:t xml:space="preserve"> </w:t>
      </w:r>
      <w:r w:rsidRPr="002854BF">
        <w:rPr>
          <w:rFonts w:ascii="Times New Roman" w:hAnsi="Times New Roman"/>
          <w:szCs w:val="24"/>
          <w:shd w:val="clear" w:color="auto" w:fill="FFFFFF"/>
        </w:rPr>
        <w:t>remains essential. There is also a need to further support efforts to enhance the European dimension of the elections. To achieve these goals, a wide range of actors</w:t>
      </w:r>
      <w:r>
        <w:rPr>
          <w:rFonts w:ascii="Times New Roman" w:hAnsi="Times New Roman"/>
          <w:szCs w:val="24"/>
          <w:shd w:val="clear" w:color="auto" w:fill="FFFFFF"/>
        </w:rPr>
        <w:t>, particularly Member States,</w:t>
      </w:r>
      <w:r w:rsidRPr="002854BF">
        <w:rPr>
          <w:rFonts w:ascii="Times New Roman" w:hAnsi="Times New Roman"/>
          <w:szCs w:val="24"/>
          <w:shd w:val="clear" w:color="auto" w:fill="FFFFFF"/>
        </w:rPr>
        <w:t xml:space="preserve"> have an important role to play under a whole</w:t>
      </w:r>
      <w:r>
        <w:rPr>
          <w:rFonts w:ascii="Times New Roman" w:hAnsi="Times New Roman"/>
          <w:szCs w:val="24"/>
          <w:shd w:val="clear" w:color="auto" w:fill="FFFFFF"/>
        </w:rPr>
        <w:t>-</w:t>
      </w:r>
      <w:r w:rsidRPr="002854BF">
        <w:rPr>
          <w:rFonts w:ascii="Times New Roman" w:hAnsi="Times New Roman"/>
          <w:szCs w:val="24"/>
          <w:shd w:val="clear" w:color="auto" w:fill="FFFFFF"/>
        </w:rPr>
        <w:t>of-</w:t>
      </w:r>
      <w:r>
        <w:rPr>
          <w:rFonts w:ascii="Times New Roman" w:hAnsi="Times New Roman"/>
          <w:szCs w:val="24"/>
          <w:shd w:val="clear" w:color="auto" w:fill="FFFFFF"/>
        </w:rPr>
        <w:t>cycle</w:t>
      </w:r>
      <w:r w:rsidRPr="002854BF">
        <w:rPr>
          <w:rFonts w:ascii="Times New Roman" w:hAnsi="Times New Roman"/>
          <w:szCs w:val="24"/>
          <w:shd w:val="clear" w:color="auto" w:fill="FFFFFF"/>
        </w:rPr>
        <w:t xml:space="preserve"> approach. </w:t>
      </w:r>
    </w:p>
    <w:p w14:paraId="38F2200A" w14:textId="7896CE5A" w:rsidR="008465B0" w:rsidRPr="00AD0DE7" w:rsidRDefault="008465B0" w:rsidP="008465B0">
      <w:pPr>
        <w:widowControl w:val="0"/>
        <w:spacing w:after="120"/>
        <w:rPr>
          <w:rFonts w:ascii="Times New Roman" w:hAnsi="Times New Roman"/>
          <w:szCs w:val="24"/>
          <w:shd w:val="clear" w:color="auto" w:fill="FFFFFF"/>
        </w:rPr>
      </w:pPr>
    </w:p>
    <w:sectPr w:rsidR="008465B0" w:rsidRPr="00AD0DE7" w:rsidSect="00812321">
      <w:headerReference w:type="default" r:id="rId11"/>
      <w:footerReference w:type="even" r:id="rId12"/>
      <w:footerReference w:type="default" r:id="rId13"/>
      <w:footerReference w:type="first" r:id="rId14"/>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D7859" w14:textId="77777777" w:rsidR="009F14FF" w:rsidRDefault="009F14FF">
      <w:r>
        <w:separator/>
      </w:r>
    </w:p>
  </w:endnote>
  <w:endnote w:type="continuationSeparator" w:id="0">
    <w:p w14:paraId="35C1D77E" w14:textId="77777777" w:rsidR="009F14FF" w:rsidRDefault="009F14FF">
      <w:r>
        <w:continuationSeparator/>
      </w:r>
    </w:p>
  </w:endnote>
  <w:endnote w:type="continuationNotice" w:id="1">
    <w:p w14:paraId="655456F7" w14:textId="77777777" w:rsidR="009F14FF" w:rsidRDefault="009F14F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5A75" w14:textId="77777777" w:rsidR="009F14FF" w:rsidRDefault="009F14FF">
      <w:r>
        <w:separator/>
      </w:r>
    </w:p>
  </w:footnote>
  <w:footnote w:type="continuationSeparator" w:id="0">
    <w:p w14:paraId="54815105" w14:textId="77777777" w:rsidR="009F14FF" w:rsidRDefault="009F14FF">
      <w:r>
        <w:continuationSeparator/>
      </w:r>
    </w:p>
  </w:footnote>
  <w:footnote w:type="continuationNotice" w:id="1">
    <w:p w14:paraId="37ABCF7A" w14:textId="77777777" w:rsidR="009F14FF" w:rsidRDefault="009F14FF">
      <w:pPr>
        <w:spacing w:after="0"/>
      </w:pPr>
    </w:p>
  </w:footnote>
  <w:footnote w:id="2">
    <w:p w14:paraId="522B1505" w14:textId="5E43A405" w:rsidR="006C024C" w:rsidRPr="006C024C" w:rsidRDefault="006C024C">
      <w:pPr>
        <w:pStyle w:val="FootnoteText"/>
        <w:rPr>
          <w:lang w:val="en-IE"/>
        </w:rPr>
      </w:pPr>
      <w:r>
        <w:rPr>
          <w:rStyle w:val="FootnoteReference"/>
        </w:rPr>
        <w:footnoteRef/>
      </w:r>
      <w:r>
        <w:t xml:space="preserve"> </w:t>
      </w:r>
      <w:hyperlink r:id="rId1" w:history="1">
        <w:r w:rsidRPr="008C46DE">
          <w:rPr>
            <w:rStyle w:val="Hyperlink"/>
            <w:rFonts w:ascii="Times New Roman" w:hAnsi="Times New Roman"/>
          </w:rPr>
          <w:t>https://eur-lex.europa.eu/eli/dec/1976/787(2)/2002-09-23/eng</w:t>
        </w:r>
      </w:hyperlink>
    </w:p>
  </w:footnote>
  <w:footnote w:id="3">
    <w:p w14:paraId="1709FB30" w14:textId="1C541C22" w:rsidR="00831BCE" w:rsidRPr="00831BCE" w:rsidRDefault="00831BCE">
      <w:pPr>
        <w:pStyle w:val="FootnoteText"/>
      </w:pPr>
      <w:r>
        <w:rPr>
          <w:rStyle w:val="FootnoteReference"/>
        </w:rPr>
        <w:footnoteRef/>
      </w:r>
      <w:r>
        <w:t xml:space="preserve"> </w:t>
      </w:r>
      <w:hyperlink r:id="rId2" w:history="1">
        <w:r w:rsidRPr="00AD5109">
          <w:rPr>
            <w:rStyle w:val="Hyperlink"/>
            <w:rFonts w:ascii="Times New Roman" w:hAnsi="Times New Roman"/>
          </w:rPr>
          <w:t>Council Directive 93/109/EC of 6 December 1993 laying down detailed arrangements for the exercise of the right to vote and stand as a candidate in elections to the European Parliament for citizens of the Union residing in a Member State of which they are not national</w:t>
        </w:r>
        <w:r w:rsidR="00AD5109" w:rsidRPr="00AD5109">
          <w:rPr>
            <w:rStyle w:val="Hyperlink"/>
            <w:rFonts w:ascii="Times New Roman" w:hAnsi="Times New Roman"/>
          </w:rPr>
          <w:t>s.</w:t>
        </w:r>
      </w:hyperlink>
    </w:p>
  </w:footnote>
  <w:footnote w:id="4">
    <w:p w14:paraId="71251686" w14:textId="086B7010" w:rsidR="0010345A" w:rsidRPr="00FC29AF" w:rsidRDefault="0010345A">
      <w:pPr>
        <w:pStyle w:val="FootnoteText"/>
        <w:rPr>
          <w:rFonts w:ascii="Times New Roman" w:hAnsi="Times New Roman"/>
        </w:rPr>
      </w:pPr>
      <w:r w:rsidRPr="00FC29AF">
        <w:rPr>
          <w:rStyle w:val="FootnoteReference"/>
          <w:rFonts w:ascii="Times New Roman" w:hAnsi="Times New Roman"/>
        </w:rPr>
        <w:footnoteRef/>
      </w:r>
      <w:r w:rsidRPr="00FC29AF">
        <w:rPr>
          <w:rFonts w:ascii="Times New Roman" w:hAnsi="Times New Roman"/>
        </w:rPr>
        <w:t xml:space="preserve"> </w:t>
      </w:r>
      <w:hyperlink r:id="rId3" w:history="1">
        <w:r w:rsidRPr="00FC29AF">
          <w:rPr>
            <w:rStyle w:val="Hyperlink"/>
            <w:rFonts w:ascii="Times New Roman" w:hAnsi="Times New Roman"/>
          </w:rPr>
          <w:t>https://commission.europa.eu/document/download/2a7fddb2-e927-4079-92cc-4bb4279e9a46_en?filename=Report%20on%20the%202024%20elections%20to%20the%20European%20Parliament.pdf</w:t>
        </w:r>
      </w:hyperlink>
      <w:r w:rsidRPr="00FC29AF">
        <w:rPr>
          <w:rFonts w:ascii="Times New Roman" w:hAnsi="Times New Roman"/>
        </w:rPr>
        <w:t xml:space="preserve"> </w:t>
      </w:r>
    </w:p>
  </w:footnote>
  <w:footnote w:id="5">
    <w:p w14:paraId="3E56D922" w14:textId="77777777" w:rsidR="00D61468" w:rsidRPr="00FC29AF" w:rsidRDefault="00D61468" w:rsidP="00D61468">
      <w:pPr>
        <w:pStyle w:val="FootnoteText"/>
        <w:rPr>
          <w:rFonts w:ascii="Times New Roman" w:hAnsi="Times New Roman"/>
        </w:rPr>
      </w:pPr>
      <w:r w:rsidRPr="00FC29AF">
        <w:rPr>
          <w:rStyle w:val="FootnoteReference"/>
          <w:rFonts w:ascii="Times New Roman" w:hAnsi="Times New Roman"/>
        </w:rPr>
        <w:footnoteRef/>
      </w:r>
      <w:r w:rsidRPr="00FC29AF">
        <w:rPr>
          <w:rFonts w:ascii="Times New Roman" w:hAnsi="Times New Roman"/>
        </w:rPr>
        <w:t xml:space="preserve"> </w:t>
      </w:r>
      <w:r>
        <w:rPr>
          <w:rFonts w:ascii="Times New Roman" w:hAnsi="Times New Roman"/>
        </w:rPr>
        <w:t xml:space="preserve">    </w:t>
      </w:r>
      <w:r w:rsidRPr="00BB577D">
        <w:rPr>
          <w:rFonts w:ascii="Times New Roman" w:hAnsi="Times New Roman"/>
        </w:rPr>
        <w:t>Commission Recommendation (EU) 2023/2829 of 12 December 2023 on inclusive and resilient electoral processes in the Union and enhancing the European nature and efficient conduct of the elections to the European Parliament</w:t>
      </w:r>
      <w:r>
        <w:rPr>
          <w:rFonts w:ascii="Times New Roman" w:hAnsi="Times New Roman"/>
        </w:rPr>
        <w:t xml:space="preserve"> </w:t>
      </w:r>
      <w:hyperlink r:id="rId4" w:history="1">
        <w:r w:rsidRPr="008C46DE">
          <w:rPr>
            <w:rStyle w:val="Hyperlink"/>
            <w:rFonts w:ascii="Times New Roman" w:hAnsi="Times New Roman"/>
          </w:rPr>
          <w:t>https://eur-lex.europa.eu/legal-content/EN/TXT/?uri=CELEX:32023H2829</w:t>
        </w:r>
      </w:hyperlink>
      <w:r>
        <w:rPr>
          <w:rFonts w:ascii="Times New Roman" w:hAnsi="Times New Roman"/>
        </w:rPr>
        <w:t xml:space="preserve"> </w:t>
      </w:r>
    </w:p>
  </w:footnote>
  <w:footnote w:id="6">
    <w:p w14:paraId="005620BF" w14:textId="77777777" w:rsidR="00B13F53" w:rsidRPr="00FC29AF" w:rsidRDefault="00B13F53" w:rsidP="00B13F53">
      <w:pPr>
        <w:pStyle w:val="FootnoteText"/>
        <w:rPr>
          <w:rFonts w:ascii="Times New Roman" w:hAnsi="Times New Roman"/>
        </w:rPr>
      </w:pPr>
      <w:r w:rsidRPr="00FC29AF">
        <w:rPr>
          <w:rStyle w:val="FootnoteReference"/>
          <w:rFonts w:ascii="Times New Roman" w:hAnsi="Times New Roman"/>
        </w:rPr>
        <w:footnoteRef/>
      </w:r>
      <w:r w:rsidRPr="00FC29AF">
        <w:rPr>
          <w:rFonts w:ascii="Times New Roman" w:hAnsi="Times New Roman"/>
        </w:rPr>
        <w:t xml:space="preserve"> </w:t>
      </w:r>
      <w:hyperlink r:id="rId5" w:history="1">
        <w:r w:rsidRPr="00FC29AF">
          <w:rPr>
            <w:rStyle w:val="Hyperlink"/>
            <w:rFonts w:ascii="Times New Roman" w:hAnsi="Times New Roman"/>
          </w:rPr>
          <w:t>https://eur-lex.europa.eu/eli/dir/2025/1788/oj</w:t>
        </w:r>
      </w:hyperlink>
      <w:r w:rsidRPr="00FC29AF">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996A" w14:textId="77777777" w:rsidR="00CF2A78" w:rsidRDefault="00CF2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4" w15:restartNumberingAfterBreak="0">
    <w:nsid w:val="2B395FF5"/>
    <w:multiLevelType w:val="multilevel"/>
    <w:tmpl w:val="E5C69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97C0F"/>
    <w:multiLevelType w:val="multilevel"/>
    <w:tmpl w:val="504A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8"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5"/>
  </w:num>
  <w:num w:numId="4" w16cid:durableId="580018736">
    <w:abstractNumId w:val="13"/>
  </w:num>
  <w:num w:numId="5" w16cid:durableId="221647625">
    <w:abstractNumId w:val="31"/>
  </w:num>
  <w:num w:numId="6" w16cid:durableId="298344620">
    <w:abstractNumId w:val="10"/>
  </w:num>
  <w:num w:numId="7" w16cid:durableId="58093387">
    <w:abstractNumId w:val="6"/>
  </w:num>
  <w:num w:numId="8" w16cid:durableId="1122530581">
    <w:abstractNumId w:val="17"/>
  </w:num>
  <w:num w:numId="9" w16cid:durableId="1479684095">
    <w:abstractNumId w:val="34"/>
  </w:num>
  <w:num w:numId="10" w16cid:durableId="340007303">
    <w:abstractNumId w:val="26"/>
  </w:num>
  <w:num w:numId="11" w16cid:durableId="346519941">
    <w:abstractNumId w:val="28"/>
  </w:num>
  <w:num w:numId="12" w16cid:durableId="691036718">
    <w:abstractNumId w:val="12"/>
  </w:num>
  <w:num w:numId="13" w16cid:durableId="1452093781">
    <w:abstractNumId w:val="18"/>
  </w:num>
  <w:num w:numId="14" w16cid:durableId="906961314">
    <w:abstractNumId w:val="32"/>
  </w:num>
  <w:num w:numId="15" w16cid:durableId="1388455259">
    <w:abstractNumId w:val="16"/>
  </w:num>
  <w:num w:numId="16" w16cid:durableId="1677533267">
    <w:abstractNumId w:val="38"/>
  </w:num>
  <w:num w:numId="17" w16cid:durableId="961619330">
    <w:abstractNumId w:val="33"/>
  </w:num>
  <w:num w:numId="18" w16cid:durableId="1095638383">
    <w:abstractNumId w:val="24"/>
  </w:num>
  <w:num w:numId="19" w16cid:durableId="357776219">
    <w:abstractNumId w:val="25"/>
  </w:num>
  <w:num w:numId="20" w16cid:durableId="1481578588">
    <w:abstractNumId w:val="30"/>
  </w:num>
  <w:num w:numId="21" w16cid:durableId="1812137613">
    <w:abstractNumId w:val="3"/>
  </w:num>
  <w:num w:numId="22" w16cid:durableId="370300677">
    <w:abstractNumId w:val="4"/>
  </w:num>
  <w:num w:numId="23" w16cid:durableId="1948660650">
    <w:abstractNumId w:val="5"/>
  </w:num>
  <w:num w:numId="24"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6"/>
  </w:num>
  <w:num w:numId="26" w16cid:durableId="1203983393">
    <w:abstractNumId w:val="27"/>
  </w:num>
  <w:num w:numId="27" w16cid:durableId="1149204463">
    <w:abstractNumId w:val="19"/>
  </w:num>
  <w:num w:numId="28" w16cid:durableId="614867515">
    <w:abstractNumId w:val="37"/>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458842821">
    <w:abstractNumId w:val="15"/>
  </w:num>
  <w:num w:numId="37" w16cid:durableId="480191631">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3D"/>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9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A94"/>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3C2"/>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5B2"/>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38"/>
    <w:rsid w:val="00025341"/>
    <w:rsid w:val="00025501"/>
    <w:rsid w:val="0002551E"/>
    <w:rsid w:val="0002561D"/>
    <w:rsid w:val="00025A02"/>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EA"/>
    <w:rsid w:val="000332FE"/>
    <w:rsid w:val="000337C2"/>
    <w:rsid w:val="00033EA1"/>
    <w:rsid w:val="00033F57"/>
    <w:rsid w:val="000340CA"/>
    <w:rsid w:val="00034589"/>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3F69"/>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0FEE"/>
    <w:rsid w:val="00051333"/>
    <w:rsid w:val="00051874"/>
    <w:rsid w:val="00051BA8"/>
    <w:rsid w:val="00051E3C"/>
    <w:rsid w:val="000520B1"/>
    <w:rsid w:val="00052241"/>
    <w:rsid w:val="00052672"/>
    <w:rsid w:val="00052814"/>
    <w:rsid w:val="000529E9"/>
    <w:rsid w:val="000535BB"/>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2EB"/>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3F0"/>
    <w:rsid w:val="00072D12"/>
    <w:rsid w:val="00072E6E"/>
    <w:rsid w:val="00072F6B"/>
    <w:rsid w:val="00073100"/>
    <w:rsid w:val="00073283"/>
    <w:rsid w:val="000732A8"/>
    <w:rsid w:val="00073445"/>
    <w:rsid w:val="0007349A"/>
    <w:rsid w:val="000735B6"/>
    <w:rsid w:val="000736A0"/>
    <w:rsid w:val="00073D03"/>
    <w:rsid w:val="00073F38"/>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4E"/>
    <w:rsid w:val="00075C60"/>
    <w:rsid w:val="000760D2"/>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7E2"/>
    <w:rsid w:val="00082B1C"/>
    <w:rsid w:val="00083121"/>
    <w:rsid w:val="00083469"/>
    <w:rsid w:val="000834CD"/>
    <w:rsid w:val="000835B0"/>
    <w:rsid w:val="000835F5"/>
    <w:rsid w:val="0008378A"/>
    <w:rsid w:val="00083B96"/>
    <w:rsid w:val="00084044"/>
    <w:rsid w:val="000840C3"/>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746"/>
    <w:rsid w:val="00086911"/>
    <w:rsid w:val="00086C30"/>
    <w:rsid w:val="00086D5D"/>
    <w:rsid w:val="00086DA6"/>
    <w:rsid w:val="00087318"/>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375"/>
    <w:rsid w:val="00092442"/>
    <w:rsid w:val="0009257A"/>
    <w:rsid w:val="00092B44"/>
    <w:rsid w:val="00092C2D"/>
    <w:rsid w:val="00092EB9"/>
    <w:rsid w:val="0009343D"/>
    <w:rsid w:val="00093617"/>
    <w:rsid w:val="00093E98"/>
    <w:rsid w:val="00093FDF"/>
    <w:rsid w:val="0009404A"/>
    <w:rsid w:val="00094051"/>
    <w:rsid w:val="000942B9"/>
    <w:rsid w:val="00094353"/>
    <w:rsid w:val="000945D6"/>
    <w:rsid w:val="00094600"/>
    <w:rsid w:val="000946F6"/>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2E96"/>
    <w:rsid w:val="000C3067"/>
    <w:rsid w:val="000C30DD"/>
    <w:rsid w:val="000C323C"/>
    <w:rsid w:val="000C34F0"/>
    <w:rsid w:val="000C3512"/>
    <w:rsid w:val="000C3534"/>
    <w:rsid w:val="000C3875"/>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59E4"/>
    <w:rsid w:val="000C61AB"/>
    <w:rsid w:val="000C6577"/>
    <w:rsid w:val="000C6610"/>
    <w:rsid w:val="000C6902"/>
    <w:rsid w:val="000C69CA"/>
    <w:rsid w:val="000C6E3E"/>
    <w:rsid w:val="000C71A3"/>
    <w:rsid w:val="000C728E"/>
    <w:rsid w:val="000C741E"/>
    <w:rsid w:val="000C755B"/>
    <w:rsid w:val="000C7646"/>
    <w:rsid w:val="000C7708"/>
    <w:rsid w:val="000C7914"/>
    <w:rsid w:val="000C7A14"/>
    <w:rsid w:val="000C7A75"/>
    <w:rsid w:val="000C7BE4"/>
    <w:rsid w:val="000C7E7C"/>
    <w:rsid w:val="000D02D7"/>
    <w:rsid w:val="000D0536"/>
    <w:rsid w:val="000D057B"/>
    <w:rsid w:val="000D0723"/>
    <w:rsid w:val="000D082B"/>
    <w:rsid w:val="000D0AEE"/>
    <w:rsid w:val="000D0C61"/>
    <w:rsid w:val="000D1461"/>
    <w:rsid w:val="000D1C63"/>
    <w:rsid w:val="000D2024"/>
    <w:rsid w:val="000D20A1"/>
    <w:rsid w:val="000D23CE"/>
    <w:rsid w:val="000D25EF"/>
    <w:rsid w:val="000D2659"/>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783"/>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6E"/>
    <w:rsid w:val="000F4D76"/>
    <w:rsid w:val="000F4E7E"/>
    <w:rsid w:val="000F514F"/>
    <w:rsid w:val="000F52C9"/>
    <w:rsid w:val="000F536B"/>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2B9"/>
    <w:rsid w:val="001033A4"/>
    <w:rsid w:val="00103442"/>
    <w:rsid w:val="0010345A"/>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932"/>
    <w:rsid w:val="00112A1C"/>
    <w:rsid w:val="00112ED5"/>
    <w:rsid w:val="00113072"/>
    <w:rsid w:val="0011325C"/>
    <w:rsid w:val="0011381F"/>
    <w:rsid w:val="00113B42"/>
    <w:rsid w:val="00113E69"/>
    <w:rsid w:val="00113F1A"/>
    <w:rsid w:val="001141A4"/>
    <w:rsid w:val="00114480"/>
    <w:rsid w:val="00114568"/>
    <w:rsid w:val="0011485F"/>
    <w:rsid w:val="001148C2"/>
    <w:rsid w:val="00114954"/>
    <w:rsid w:val="00114C21"/>
    <w:rsid w:val="00115521"/>
    <w:rsid w:val="0011582E"/>
    <w:rsid w:val="001158F2"/>
    <w:rsid w:val="00115B02"/>
    <w:rsid w:val="00115B6A"/>
    <w:rsid w:val="00115E40"/>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8E4"/>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93C"/>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880"/>
    <w:rsid w:val="00136D26"/>
    <w:rsid w:val="001370BE"/>
    <w:rsid w:val="00137319"/>
    <w:rsid w:val="00137470"/>
    <w:rsid w:val="0014010D"/>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61"/>
    <w:rsid w:val="00147197"/>
    <w:rsid w:val="0014776E"/>
    <w:rsid w:val="00147784"/>
    <w:rsid w:val="00147791"/>
    <w:rsid w:val="001477F4"/>
    <w:rsid w:val="00147A1A"/>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2F5F"/>
    <w:rsid w:val="00153005"/>
    <w:rsid w:val="001533A4"/>
    <w:rsid w:val="00153546"/>
    <w:rsid w:val="001538A6"/>
    <w:rsid w:val="00153952"/>
    <w:rsid w:val="00153AD9"/>
    <w:rsid w:val="00153C3E"/>
    <w:rsid w:val="00153F3C"/>
    <w:rsid w:val="001540D4"/>
    <w:rsid w:val="00154153"/>
    <w:rsid w:val="00154223"/>
    <w:rsid w:val="00154492"/>
    <w:rsid w:val="001545E0"/>
    <w:rsid w:val="00154908"/>
    <w:rsid w:val="00154934"/>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99C"/>
    <w:rsid w:val="00161B04"/>
    <w:rsid w:val="00161DD3"/>
    <w:rsid w:val="00162094"/>
    <w:rsid w:val="001623A4"/>
    <w:rsid w:val="001625B7"/>
    <w:rsid w:val="0016261F"/>
    <w:rsid w:val="00162ABF"/>
    <w:rsid w:val="001630F8"/>
    <w:rsid w:val="0016323F"/>
    <w:rsid w:val="001633E4"/>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938"/>
    <w:rsid w:val="00165A0B"/>
    <w:rsid w:val="00165C19"/>
    <w:rsid w:val="00165D60"/>
    <w:rsid w:val="001661B4"/>
    <w:rsid w:val="001661D6"/>
    <w:rsid w:val="00166332"/>
    <w:rsid w:val="001663A4"/>
    <w:rsid w:val="001663DB"/>
    <w:rsid w:val="001664C3"/>
    <w:rsid w:val="001666E5"/>
    <w:rsid w:val="0016679D"/>
    <w:rsid w:val="00166919"/>
    <w:rsid w:val="00166AD7"/>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1"/>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2B8"/>
    <w:rsid w:val="001843EF"/>
    <w:rsid w:val="00184455"/>
    <w:rsid w:val="001844BB"/>
    <w:rsid w:val="001844C3"/>
    <w:rsid w:val="00184870"/>
    <w:rsid w:val="00184950"/>
    <w:rsid w:val="00184FD0"/>
    <w:rsid w:val="00185069"/>
    <w:rsid w:val="001852B6"/>
    <w:rsid w:val="00185546"/>
    <w:rsid w:val="00185816"/>
    <w:rsid w:val="00185CCB"/>
    <w:rsid w:val="00185D07"/>
    <w:rsid w:val="001864D1"/>
    <w:rsid w:val="001864DD"/>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6B"/>
    <w:rsid w:val="001A14A4"/>
    <w:rsid w:val="001A1572"/>
    <w:rsid w:val="001A183D"/>
    <w:rsid w:val="001A1CA7"/>
    <w:rsid w:val="001A1CFE"/>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BBA"/>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676"/>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BF0"/>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2E"/>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753"/>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05"/>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04"/>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109"/>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974"/>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5CE5"/>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735"/>
    <w:rsid w:val="00215821"/>
    <w:rsid w:val="00215A04"/>
    <w:rsid w:val="00215C09"/>
    <w:rsid w:val="00215CD9"/>
    <w:rsid w:val="00215D24"/>
    <w:rsid w:val="00215DA9"/>
    <w:rsid w:val="0021653C"/>
    <w:rsid w:val="00216B1E"/>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0E"/>
    <w:rsid w:val="00225C2F"/>
    <w:rsid w:val="00225FC7"/>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4E"/>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9E8"/>
    <w:rsid w:val="00252CC6"/>
    <w:rsid w:val="00252DC2"/>
    <w:rsid w:val="00252F33"/>
    <w:rsid w:val="00252FE9"/>
    <w:rsid w:val="00253A58"/>
    <w:rsid w:val="00253B9B"/>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E5A"/>
    <w:rsid w:val="00257F05"/>
    <w:rsid w:val="00260320"/>
    <w:rsid w:val="00260441"/>
    <w:rsid w:val="0026086F"/>
    <w:rsid w:val="00260B9E"/>
    <w:rsid w:val="00260BDC"/>
    <w:rsid w:val="00260BE4"/>
    <w:rsid w:val="00260DDA"/>
    <w:rsid w:val="00261102"/>
    <w:rsid w:val="0026146F"/>
    <w:rsid w:val="00261486"/>
    <w:rsid w:val="00261624"/>
    <w:rsid w:val="0026196C"/>
    <w:rsid w:val="00261B14"/>
    <w:rsid w:val="00261C78"/>
    <w:rsid w:val="00261D2F"/>
    <w:rsid w:val="00261DD1"/>
    <w:rsid w:val="00261FEE"/>
    <w:rsid w:val="002625B1"/>
    <w:rsid w:val="002625CD"/>
    <w:rsid w:val="0026269C"/>
    <w:rsid w:val="002628F0"/>
    <w:rsid w:val="00262AC3"/>
    <w:rsid w:val="00262ACD"/>
    <w:rsid w:val="00262DD9"/>
    <w:rsid w:val="002630EB"/>
    <w:rsid w:val="002631AE"/>
    <w:rsid w:val="002633CA"/>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43"/>
    <w:rsid w:val="002656F4"/>
    <w:rsid w:val="002657B1"/>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18"/>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E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6A5"/>
    <w:rsid w:val="00284886"/>
    <w:rsid w:val="00284928"/>
    <w:rsid w:val="00284D1A"/>
    <w:rsid w:val="00284D97"/>
    <w:rsid w:val="00284DD3"/>
    <w:rsid w:val="00284EBE"/>
    <w:rsid w:val="002854BF"/>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55C"/>
    <w:rsid w:val="0029582E"/>
    <w:rsid w:val="00295995"/>
    <w:rsid w:val="00295A12"/>
    <w:rsid w:val="00295A33"/>
    <w:rsid w:val="00295B63"/>
    <w:rsid w:val="00295D26"/>
    <w:rsid w:val="00295E46"/>
    <w:rsid w:val="00296014"/>
    <w:rsid w:val="0029611C"/>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03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1C5C"/>
    <w:rsid w:val="002B2485"/>
    <w:rsid w:val="002B2627"/>
    <w:rsid w:val="002B26A2"/>
    <w:rsid w:val="002B2751"/>
    <w:rsid w:val="002B3151"/>
    <w:rsid w:val="002B3529"/>
    <w:rsid w:val="002B362B"/>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355"/>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77"/>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776"/>
    <w:rsid w:val="002D385E"/>
    <w:rsid w:val="002D387A"/>
    <w:rsid w:val="002D3A30"/>
    <w:rsid w:val="002D3A51"/>
    <w:rsid w:val="002D3BB6"/>
    <w:rsid w:val="002D3BEB"/>
    <w:rsid w:val="002D3F07"/>
    <w:rsid w:val="002D409F"/>
    <w:rsid w:val="002D40F0"/>
    <w:rsid w:val="002D4273"/>
    <w:rsid w:val="002D4719"/>
    <w:rsid w:val="002D5075"/>
    <w:rsid w:val="002D5184"/>
    <w:rsid w:val="002D55EB"/>
    <w:rsid w:val="002D563C"/>
    <w:rsid w:val="002D58F1"/>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AAE"/>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2F7C5B"/>
    <w:rsid w:val="003001EC"/>
    <w:rsid w:val="00300613"/>
    <w:rsid w:val="003008AD"/>
    <w:rsid w:val="003008E3"/>
    <w:rsid w:val="00300C7C"/>
    <w:rsid w:val="00300C85"/>
    <w:rsid w:val="00300EF7"/>
    <w:rsid w:val="0030122E"/>
    <w:rsid w:val="00301354"/>
    <w:rsid w:val="0030179B"/>
    <w:rsid w:val="003018B0"/>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3DC8"/>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BBA"/>
    <w:rsid w:val="00316C4B"/>
    <w:rsid w:val="00316C69"/>
    <w:rsid w:val="003171CB"/>
    <w:rsid w:val="00317261"/>
    <w:rsid w:val="0031736F"/>
    <w:rsid w:val="003175B6"/>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11B"/>
    <w:rsid w:val="0032220B"/>
    <w:rsid w:val="0032238A"/>
    <w:rsid w:val="00322A19"/>
    <w:rsid w:val="00322B6A"/>
    <w:rsid w:val="00322C92"/>
    <w:rsid w:val="00322CD0"/>
    <w:rsid w:val="00322CE8"/>
    <w:rsid w:val="00322ED9"/>
    <w:rsid w:val="00322FA3"/>
    <w:rsid w:val="00323450"/>
    <w:rsid w:val="00323719"/>
    <w:rsid w:val="00323BC5"/>
    <w:rsid w:val="00323BEB"/>
    <w:rsid w:val="00324673"/>
    <w:rsid w:val="00324B9B"/>
    <w:rsid w:val="00324D46"/>
    <w:rsid w:val="00324DE1"/>
    <w:rsid w:val="003250DD"/>
    <w:rsid w:val="003257CD"/>
    <w:rsid w:val="00325B0D"/>
    <w:rsid w:val="00325B56"/>
    <w:rsid w:val="00325DF1"/>
    <w:rsid w:val="003264E9"/>
    <w:rsid w:val="0032655A"/>
    <w:rsid w:val="00326737"/>
    <w:rsid w:val="003268E8"/>
    <w:rsid w:val="00326C01"/>
    <w:rsid w:val="00326D93"/>
    <w:rsid w:val="003273F4"/>
    <w:rsid w:val="0032744B"/>
    <w:rsid w:val="00327607"/>
    <w:rsid w:val="00327618"/>
    <w:rsid w:val="00327764"/>
    <w:rsid w:val="003279D2"/>
    <w:rsid w:val="00327A31"/>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4F3"/>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B18"/>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AFB"/>
    <w:rsid w:val="00342BA1"/>
    <w:rsid w:val="00342BE0"/>
    <w:rsid w:val="00342E28"/>
    <w:rsid w:val="00342FDE"/>
    <w:rsid w:val="0034313B"/>
    <w:rsid w:val="003431AA"/>
    <w:rsid w:val="003431F1"/>
    <w:rsid w:val="00343DE7"/>
    <w:rsid w:val="00343F07"/>
    <w:rsid w:val="003443FB"/>
    <w:rsid w:val="00344488"/>
    <w:rsid w:val="003444CF"/>
    <w:rsid w:val="003445AC"/>
    <w:rsid w:val="00344760"/>
    <w:rsid w:val="00344B24"/>
    <w:rsid w:val="00344E5B"/>
    <w:rsid w:val="0034500C"/>
    <w:rsid w:val="003450B8"/>
    <w:rsid w:val="00345185"/>
    <w:rsid w:val="003458B8"/>
    <w:rsid w:val="00345B6E"/>
    <w:rsid w:val="00345E81"/>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316"/>
    <w:rsid w:val="00355439"/>
    <w:rsid w:val="003555F5"/>
    <w:rsid w:val="00355B3F"/>
    <w:rsid w:val="0035616C"/>
    <w:rsid w:val="00356450"/>
    <w:rsid w:val="00356A2D"/>
    <w:rsid w:val="00356ADE"/>
    <w:rsid w:val="00356DB8"/>
    <w:rsid w:val="00356EF5"/>
    <w:rsid w:val="00357466"/>
    <w:rsid w:val="00357665"/>
    <w:rsid w:val="003576D3"/>
    <w:rsid w:val="0035798B"/>
    <w:rsid w:val="00357999"/>
    <w:rsid w:val="00357A18"/>
    <w:rsid w:val="00357EF9"/>
    <w:rsid w:val="00357F27"/>
    <w:rsid w:val="00357FCD"/>
    <w:rsid w:val="00360101"/>
    <w:rsid w:val="00360125"/>
    <w:rsid w:val="00360258"/>
    <w:rsid w:val="0036088E"/>
    <w:rsid w:val="003608DB"/>
    <w:rsid w:val="00360D85"/>
    <w:rsid w:val="00360F07"/>
    <w:rsid w:val="00361109"/>
    <w:rsid w:val="00361A6B"/>
    <w:rsid w:val="00361BF1"/>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5A6"/>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79"/>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762"/>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A7A"/>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43"/>
    <w:rsid w:val="003A52C4"/>
    <w:rsid w:val="003A5735"/>
    <w:rsid w:val="003A58C7"/>
    <w:rsid w:val="003A5ACF"/>
    <w:rsid w:val="003A618E"/>
    <w:rsid w:val="003A66D7"/>
    <w:rsid w:val="003A6CDC"/>
    <w:rsid w:val="003A7265"/>
    <w:rsid w:val="003A7367"/>
    <w:rsid w:val="003A797C"/>
    <w:rsid w:val="003A7A6F"/>
    <w:rsid w:val="003A7BE9"/>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CD5"/>
    <w:rsid w:val="003B202F"/>
    <w:rsid w:val="003B206D"/>
    <w:rsid w:val="003B209A"/>
    <w:rsid w:val="003B20B8"/>
    <w:rsid w:val="003B2198"/>
    <w:rsid w:val="003B2498"/>
    <w:rsid w:val="003B28BC"/>
    <w:rsid w:val="003B29FE"/>
    <w:rsid w:val="003B327A"/>
    <w:rsid w:val="003B32F5"/>
    <w:rsid w:val="003B38CD"/>
    <w:rsid w:val="003B3A56"/>
    <w:rsid w:val="003B3D10"/>
    <w:rsid w:val="003B3F0A"/>
    <w:rsid w:val="003B44FE"/>
    <w:rsid w:val="003B456D"/>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1DA7"/>
    <w:rsid w:val="003C260C"/>
    <w:rsid w:val="003C277F"/>
    <w:rsid w:val="003C281D"/>
    <w:rsid w:val="003C2897"/>
    <w:rsid w:val="003C29EE"/>
    <w:rsid w:val="003C2C8D"/>
    <w:rsid w:val="003C2E50"/>
    <w:rsid w:val="003C3016"/>
    <w:rsid w:val="003C319E"/>
    <w:rsid w:val="003C33A3"/>
    <w:rsid w:val="003C3557"/>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0E30"/>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973"/>
    <w:rsid w:val="003D5CD5"/>
    <w:rsid w:val="003D6151"/>
    <w:rsid w:val="003D61CE"/>
    <w:rsid w:val="003D6235"/>
    <w:rsid w:val="003D6672"/>
    <w:rsid w:val="003D670E"/>
    <w:rsid w:val="003D684E"/>
    <w:rsid w:val="003D690B"/>
    <w:rsid w:val="003D69FF"/>
    <w:rsid w:val="003D6CA1"/>
    <w:rsid w:val="003D6EE8"/>
    <w:rsid w:val="003D6F6F"/>
    <w:rsid w:val="003D728F"/>
    <w:rsid w:val="003D73A5"/>
    <w:rsid w:val="003D746B"/>
    <w:rsid w:val="003D75A1"/>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88"/>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A01"/>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0FF5"/>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239"/>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B13"/>
    <w:rsid w:val="00427D09"/>
    <w:rsid w:val="00427D9C"/>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03A"/>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BC2"/>
    <w:rsid w:val="00435D10"/>
    <w:rsid w:val="004362BB"/>
    <w:rsid w:val="004368AE"/>
    <w:rsid w:val="004369C6"/>
    <w:rsid w:val="00436CDF"/>
    <w:rsid w:val="00437330"/>
    <w:rsid w:val="004378EC"/>
    <w:rsid w:val="004379D0"/>
    <w:rsid w:val="00437BE7"/>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58A"/>
    <w:rsid w:val="0044680C"/>
    <w:rsid w:val="00446A40"/>
    <w:rsid w:val="00446CE8"/>
    <w:rsid w:val="004477EF"/>
    <w:rsid w:val="00447895"/>
    <w:rsid w:val="00447A38"/>
    <w:rsid w:val="00447BCF"/>
    <w:rsid w:val="00447E84"/>
    <w:rsid w:val="00447E96"/>
    <w:rsid w:val="00450446"/>
    <w:rsid w:val="004504D6"/>
    <w:rsid w:val="004507E5"/>
    <w:rsid w:val="00450AC0"/>
    <w:rsid w:val="00450D71"/>
    <w:rsid w:val="004512E4"/>
    <w:rsid w:val="004516D6"/>
    <w:rsid w:val="004516F2"/>
    <w:rsid w:val="004519F1"/>
    <w:rsid w:val="00451ED2"/>
    <w:rsid w:val="004520DC"/>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DFA"/>
    <w:rsid w:val="00454F63"/>
    <w:rsid w:val="00454F87"/>
    <w:rsid w:val="0045588B"/>
    <w:rsid w:val="00455F9E"/>
    <w:rsid w:val="004563D6"/>
    <w:rsid w:val="00456654"/>
    <w:rsid w:val="00456C43"/>
    <w:rsid w:val="00456DEA"/>
    <w:rsid w:val="00456EC9"/>
    <w:rsid w:val="00456EF5"/>
    <w:rsid w:val="004577BF"/>
    <w:rsid w:val="0045781E"/>
    <w:rsid w:val="00457A26"/>
    <w:rsid w:val="00457AFC"/>
    <w:rsid w:val="00457CFF"/>
    <w:rsid w:val="00457F45"/>
    <w:rsid w:val="004600CC"/>
    <w:rsid w:val="00460494"/>
    <w:rsid w:val="004605BC"/>
    <w:rsid w:val="00460AD1"/>
    <w:rsid w:val="00461003"/>
    <w:rsid w:val="0046101E"/>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7D3"/>
    <w:rsid w:val="0046581F"/>
    <w:rsid w:val="00465877"/>
    <w:rsid w:val="00465A90"/>
    <w:rsid w:val="00465AEB"/>
    <w:rsid w:val="00465CC2"/>
    <w:rsid w:val="00466357"/>
    <w:rsid w:val="004665D2"/>
    <w:rsid w:val="0046689D"/>
    <w:rsid w:val="00466AB7"/>
    <w:rsid w:val="00466B35"/>
    <w:rsid w:val="00466C93"/>
    <w:rsid w:val="00466D14"/>
    <w:rsid w:val="00466DE0"/>
    <w:rsid w:val="0046731C"/>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315"/>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51"/>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A20"/>
    <w:rsid w:val="00490E8E"/>
    <w:rsid w:val="00491088"/>
    <w:rsid w:val="00491432"/>
    <w:rsid w:val="0049143C"/>
    <w:rsid w:val="00491A0A"/>
    <w:rsid w:val="00491E7D"/>
    <w:rsid w:val="00491FDA"/>
    <w:rsid w:val="0049203F"/>
    <w:rsid w:val="00492284"/>
    <w:rsid w:val="004924A9"/>
    <w:rsid w:val="00492788"/>
    <w:rsid w:val="004929C9"/>
    <w:rsid w:val="00492A71"/>
    <w:rsid w:val="00492AA1"/>
    <w:rsid w:val="00492D47"/>
    <w:rsid w:val="00492DA2"/>
    <w:rsid w:val="00492E70"/>
    <w:rsid w:val="00492E75"/>
    <w:rsid w:val="004934CD"/>
    <w:rsid w:val="00493B0F"/>
    <w:rsid w:val="00493B38"/>
    <w:rsid w:val="00493B68"/>
    <w:rsid w:val="00493BA4"/>
    <w:rsid w:val="00493CCF"/>
    <w:rsid w:val="00493DE4"/>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0C93"/>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FF7"/>
    <w:rsid w:val="004A713E"/>
    <w:rsid w:val="004A72C3"/>
    <w:rsid w:val="004A73E9"/>
    <w:rsid w:val="004A763B"/>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5A"/>
    <w:rsid w:val="004B22BC"/>
    <w:rsid w:val="004B277F"/>
    <w:rsid w:val="004B28A2"/>
    <w:rsid w:val="004B2BFD"/>
    <w:rsid w:val="004B33B9"/>
    <w:rsid w:val="004B340E"/>
    <w:rsid w:val="004B3420"/>
    <w:rsid w:val="004B37E4"/>
    <w:rsid w:val="004B399F"/>
    <w:rsid w:val="004B39D5"/>
    <w:rsid w:val="004B39F4"/>
    <w:rsid w:val="004B4049"/>
    <w:rsid w:val="004B438E"/>
    <w:rsid w:val="004B440A"/>
    <w:rsid w:val="004B496B"/>
    <w:rsid w:val="004B4A44"/>
    <w:rsid w:val="004B4BEA"/>
    <w:rsid w:val="004B50E8"/>
    <w:rsid w:val="004B5595"/>
    <w:rsid w:val="004B55C8"/>
    <w:rsid w:val="004B5888"/>
    <w:rsid w:val="004B5CC1"/>
    <w:rsid w:val="004B5DB8"/>
    <w:rsid w:val="004B5F0D"/>
    <w:rsid w:val="004B6060"/>
    <w:rsid w:val="004B60AC"/>
    <w:rsid w:val="004B612F"/>
    <w:rsid w:val="004B6485"/>
    <w:rsid w:val="004B6618"/>
    <w:rsid w:val="004B6819"/>
    <w:rsid w:val="004B6840"/>
    <w:rsid w:val="004B6B02"/>
    <w:rsid w:val="004B6C88"/>
    <w:rsid w:val="004B6D63"/>
    <w:rsid w:val="004B71A4"/>
    <w:rsid w:val="004B7336"/>
    <w:rsid w:val="004C0571"/>
    <w:rsid w:val="004C093C"/>
    <w:rsid w:val="004C0BC9"/>
    <w:rsid w:val="004C0DF1"/>
    <w:rsid w:val="004C0DF8"/>
    <w:rsid w:val="004C0E96"/>
    <w:rsid w:val="004C0EF6"/>
    <w:rsid w:val="004C1479"/>
    <w:rsid w:val="004C14A0"/>
    <w:rsid w:val="004C1697"/>
    <w:rsid w:val="004C1747"/>
    <w:rsid w:val="004C17DD"/>
    <w:rsid w:val="004C1A61"/>
    <w:rsid w:val="004C1BDA"/>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4B9"/>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2891"/>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3F48"/>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3C38"/>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3EF"/>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5DB"/>
    <w:rsid w:val="005207FC"/>
    <w:rsid w:val="00520D7C"/>
    <w:rsid w:val="00520FAF"/>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86D"/>
    <w:rsid w:val="00524C6A"/>
    <w:rsid w:val="00524F60"/>
    <w:rsid w:val="0052544F"/>
    <w:rsid w:val="005256E5"/>
    <w:rsid w:val="00525889"/>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27DDA"/>
    <w:rsid w:val="005300DA"/>
    <w:rsid w:val="00530157"/>
    <w:rsid w:val="00530208"/>
    <w:rsid w:val="00530472"/>
    <w:rsid w:val="005304E0"/>
    <w:rsid w:val="005307AD"/>
    <w:rsid w:val="005308E1"/>
    <w:rsid w:val="00530CAC"/>
    <w:rsid w:val="00531062"/>
    <w:rsid w:val="00531595"/>
    <w:rsid w:val="005317A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3F7"/>
    <w:rsid w:val="005427AE"/>
    <w:rsid w:val="005427D7"/>
    <w:rsid w:val="005428BB"/>
    <w:rsid w:val="00542B93"/>
    <w:rsid w:val="00543466"/>
    <w:rsid w:val="00543717"/>
    <w:rsid w:val="00543A8D"/>
    <w:rsid w:val="00543B2D"/>
    <w:rsid w:val="00543F46"/>
    <w:rsid w:val="00543F92"/>
    <w:rsid w:val="00544082"/>
    <w:rsid w:val="00544120"/>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2E5"/>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4E"/>
    <w:rsid w:val="005569FC"/>
    <w:rsid w:val="00556A21"/>
    <w:rsid w:val="00556C4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4CDB"/>
    <w:rsid w:val="00565272"/>
    <w:rsid w:val="00565921"/>
    <w:rsid w:val="00565C40"/>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01E"/>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0F2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EF9"/>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00F"/>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5C2"/>
    <w:rsid w:val="005A5B14"/>
    <w:rsid w:val="005A5BDE"/>
    <w:rsid w:val="005A602F"/>
    <w:rsid w:val="005A60E0"/>
    <w:rsid w:val="005A633C"/>
    <w:rsid w:val="005A6823"/>
    <w:rsid w:val="005A6E15"/>
    <w:rsid w:val="005A6EFE"/>
    <w:rsid w:val="005A7074"/>
    <w:rsid w:val="005A7121"/>
    <w:rsid w:val="005A71D1"/>
    <w:rsid w:val="005A7276"/>
    <w:rsid w:val="005A74F7"/>
    <w:rsid w:val="005A756C"/>
    <w:rsid w:val="005A7869"/>
    <w:rsid w:val="005A7895"/>
    <w:rsid w:val="005A7B3C"/>
    <w:rsid w:val="005B0135"/>
    <w:rsid w:val="005B0157"/>
    <w:rsid w:val="005B0326"/>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5BD"/>
    <w:rsid w:val="005C1634"/>
    <w:rsid w:val="005C1A0B"/>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10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072"/>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673"/>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B56"/>
    <w:rsid w:val="005D2F3A"/>
    <w:rsid w:val="005D2F76"/>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AEE"/>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6DB7"/>
    <w:rsid w:val="005F73C6"/>
    <w:rsid w:val="005F7421"/>
    <w:rsid w:val="005F7828"/>
    <w:rsid w:val="005F7DB6"/>
    <w:rsid w:val="005F7E7B"/>
    <w:rsid w:val="0060026E"/>
    <w:rsid w:val="00600389"/>
    <w:rsid w:val="0060043C"/>
    <w:rsid w:val="00600815"/>
    <w:rsid w:val="006009AC"/>
    <w:rsid w:val="006009F3"/>
    <w:rsid w:val="00600E99"/>
    <w:rsid w:val="006011BA"/>
    <w:rsid w:val="0060144C"/>
    <w:rsid w:val="00601911"/>
    <w:rsid w:val="00601957"/>
    <w:rsid w:val="00602081"/>
    <w:rsid w:val="00602180"/>
    <w:rsid w:val="00602383"/>
    <w:rsid w:val="006023DB"/>
    <w:rsid w:val="006026AC"/>
    <w:rsid w:val="006026E6"/>
    <w:rsid w:val="00602987"/>
    <w:rsid w:val="00602BEF"/>
    <w:rsid w:val="00602E57"/>
    <w:rsid w:val="00603012"/>
    <w:rsid w:val="006030BB"/>
    <w:rsid w:val="006030BD"/>
    <w:rsid w:val="0060314A"/>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D6B"/>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5FA2"/>
    <w:rsid w:val="00626004"/>
    <w:rsid w:val="006262F3"/>
    <w:rsid w:val="006264E6"/>
    <w:rsid w:val="0062670D"/>
    <w:rsid w:val="006269A8"/>
    <w:rsid w:val="00626A30"/>
    <w:rsid w:val="00626CEC"/>
    <w:rsid w:val="0062703F"/>
    <w:rsid w:val="006270A1"/>
    <w:rsid w:val="006270A7"/>
    <w:rsid w:val="006272A4"/>
    <w:rsid w:val="0062752E"/>
    <w:rsid w:val="00627705"/>
    <w:rsid w:val="0062773E"/>
    <w:rsid w:val="0062796F"/>
    <w:rsid w:val="006279C8"/>
    <w:rsid w:val="00627D4A"/>
    <w:rsid w:val="00627E96"/>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2AB"/>
    <w:rsid w:val="00636542"/>
    <w:rsid w:val="006366DB"/>
    <w:rsid w:val="00636717"/>
    <w:rsid w:val="00636C84"/>
    <w:rsid w:val="00636CAE"/>
    <w:rsid w:val="00636DF1"/>
    <w:rsid w:val="0063717F"/>
    <w:rsid w:val="00637224"/>
    <w:rsid w:val="00637344"/>
    <w:rsid w:val="006374C5"/>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C94"/>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992"/>
    <w:rsid w:val="00647EB2"/>
    <w:rsid w:val="00647FD7"/>
    <w:rsid w:val="0065008E"/>
    <w:rsid w:val="00650092"/>
    <w:rsid w:val="0065045A"/>
    <w:rsid w:val="006506EC"/>
    <w:rsid w:val="0065098C"/>
    <w:rsid w:val="00650D8F"/>
    <w:rsid w:val="00651340"/>
    <w:rsid w:val="0065134E"/>
    <w:rsid w:val="006513A5"/>
    <w:rsid w:val="006513C3"/>
    <w:rsid w:val="00651686"/>
    <w:rsid w:val="0065172C"/>
    <w:rsid w:val="00651740"/>
    <w:rsid w:val="0065180D"/>
    <w:rsid w:val="00651A4F"/>
    <w:rsid w:val="00651C93"/>
    <w:rsid w:val="00651CD7"/>
    <w:rsid w:val="00651E0A"/>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57D"/>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A49"/>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470"/>
    <w:rsid w:val="00674684"/>
    <w:rsid w:val="00674AAE"/>
    <w:rsid w:val="00674B42"/>
    <w:rsid w:val="00674BAF"/>
    <w:rsid w:val="006752F2"/>
    <w:rsid w:val="00675509"/>
    <w:rsid w:val="006757AA"/>
    <w:rsid w:val="006758FD"/>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CAC"/>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108"/>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0E0"/>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0FA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357"/>
    <w:rsid w:val="006B44CB"/>
    <w:rsid w:val="006B46BC"/>
    <w:rsid w:val="006B49B3"/>
    <w:rsid w:val="006B49D2"/>
    <w:rsid w:val="006B4A4F"/>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4C"/>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8F"/>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0BC"/>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1F0D"/>
    <w:rsid w:val="006D2145"/>
    <w:rsid w:val="006D2ED4"/>
    <w:rsid w:val="006D2FF8"/>
    <w:rsid w:val="006D302A"/>
    <w:rsid w:val="006D30B2"/>
    <w:rsid w:val="006D326A"/>
    <w:rsid w:val="006D35FD"/>
    <w:rsid w:val="006D3811"/>
    <w:rsid w:val="006D3872"/>
    <w:rsid w:val="006D3D76"/>
    <w:rsid w:val="006D3F34"/>
    <w:rsid w:val="006D40E7"/>
    <w:rsid w:val="006D421B"/>
    <w:rsid w:val="006D447B"/>
    <w:rsid w:val="006D4954"/>
    <w:rsid w:val="006D496A"/>
    <w:rsid w:val="006D49C4"/>
    <w:rsid w:val="006D4ACE"/>
    <w:rsid w:val="006D4BE1"/>
    <w:rsid w:val="006D4D3F"/>
    <w:rsid w:val="006D4F23"/>
    <w:rsid w:val="006D5154"/>
    <w:rsid w:val="006D517D"/>
    <w:rsid w:val="006D518F"/>
    <w:rsid w:val="006D5268"/>
    <w:rsid w:val="006D5434"/>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D7BB6"/>
    <w:rsid w:val="006E00D5"/>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507"/>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57A"/>
    <w:rsid w:val="0070089D"/>
    <w:rsid w:val="0070116F"/>
    <w:rsid w:val="00701369"/>
    <w:rsid w:val="007013B5"/>
    <w:rsid w:val="00701496"/>
    <w:rsid w:val="00701705"/>
    <w:rsid w:val="0070170E"/>
    <w:rsid w:val="00701A4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51"/>
    <w:rsid w:val="00730C79"/>
    <w:rsid w:val="007312CA"/>
    <w:rsid w:val="007317E5"/>
    <w:rsid w:val="0073183B"/>
    <w:rsid w:val="00731859"/>
    <w:rsid w:val="007318DD"/>
    <w:rsid w:val="00731A4C"/>
    <w:rsid w:val="00731D48"/>
    <w:rsid w:val="00731DB2"/>
    <w:rsid w:val="00732583"/>
    <w:rsid w:val="00732779"/>
    <w:rsid w:val="00732854"/>
    <w:rsid w:val="00732C89"/>
    <w:rsid w:val="00732C99"/>
    <w:rsid w:val="00732DFE"/>
    <w:rsid w:val="00732EC6"/>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B8B"/>
    <w:rsid w:val="00743EFB"/>
    <w:rsid w:val="00743F07"/>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28B"/>
    <w:rsid w:val="007505A5"/>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82E"/>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167"/>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5D8"/>
    <w:rsid w:val="0078476D"/>
    <w:rsid w:val="007847CD"/>
    <w:rsid w:val="00784840"/>
    <w:rsid w:val="00784C02"/>
    <w:rsid w:val="00784C1B"/>
    <w:rsid w:val="00784D76"/>
    <w:rsid w:val="00784E22"/>
    <w:rsid w:val="00784FC2"/>
    <w:rsid w:val="00785393"/>
    <w:rsid w:val="00785562"/>
    <w:rsid w:val="00785A27"/>
    <w:rsid w:val="00785F6D"/>
    <w:rsid w:val="0078660B"/>
    <w:rsid w:val="00786A73"/>
    <w:rsid w:val="00786ACC"/>
    <w:rsid w:val="00786CE9"/>
    <w:rsid w:val="00786D0E"/>
    <w:rsid w:val="00786D77"/>
    <w:rsid w:val="00786F44"/>
    <w:rsid w:val="00787634"/>
    <w:rsid w:val="0078784E"/>
    <w:rsid w:val="00787999"/>
    <w:rsid w:val="0079035A"/>
    <w:rsid w:val="007906A1"/>
    <w:rsid w:val="007906F9"/>
    <w:rsid w:val="007907BA"/>
    <w:rsid w:val="00790A2B"/>
    <w:rsid w:val="00790A2F"/>
    <w:rsid w:val="00790E92"/>
    <w:rsid w:val="007911B6"/>
    <w:rsid w:val="0079139D"/>
    <w:rsid w:val="00791455"/>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AF6"/>
    <w:rsid w:val="00792D38"/>
    <w:rsid w:val="00792D55"/>
    <w:rsid w:val="0079348E"/>
    <w:rsid w:val="007935C4"/>
    <w:rsid w:val="007936A6"/>
    <w:rsid w:val="007936F3"/>
    <w:rsid w:val="00793884"/>
    <w:rsid w:val="00794503"/>
    <w:rsid w:val="007946CE"/>
    <w:rsid w:val="00794740"/>
    <w:rsid w:val="007948B5"/>
    <w:rsid w:val="007949A6"/>
    <w:rsid w:val="007949EC"/>
    <w:rsid w:val="00794BA7"/>
    <w:rsid w:val="00794F8E"/>
    <w:rsid w:val="0079525B"/>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88F"/>
    <w:rsid w:val="007A194E"/>
    <w:rsid w:val="007A19B2"/>
    <w:rsid w:val="007A19E0"/>
    <w:rsid w:val="007A1D46"/>
    <w:rsid w:val="007A2072"/>
    <w:rsid w:val="007A2162"/>
    <w:rsid w:val="007A216C"/>
    <w:rsid w:val="007A242A"/>
    <w:rsid w:val="007A2553"/>
    <w:rsid w:val="007A278F"/>
    <w:rsid w:val="007A2A37"/>
    <w:rsid w:val="007A2E2A"/>
    <w:rsid w:val="007A3364"/>
    <w:rsid w:val="007A3CC4"/>
    <w:rsid w:val="007A3D28"/>
    <w:rsid w:val="007A3FE3"/>
    <w:rsid w:val="007A4074"/>
    <w:rsid w:val="007A41F4"/>
    <w:rsid w:val="007A44F7"/>
    <w:rsid w:val="007A476B"/>
    <w:rsid w:val="007A47DF"/>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8E6"/>
    <w:rsid w:val="007B2E7A"/>
    <w:rsid w:val="007B2FDF"/>
    <w:rsid w:val="007B30EA"/>
    <w:rsid w:val="007B33D2"/>
    <w:rsid w:val="007B354B"/>
    <w:rsid w:val="007B3A11"/>
    <w:rsid w:val="007B3A86"/>
    <w:rsid w:val="007B3DE7"/>
    <w:rsid w:val="007B4246"/>
    <w:rsid w:val="007B43A1"/>
    <w:rsid w:val="007B4499"/>
    <w:rsid w:val="007B473D"/>
    <w:rsid w:val="007B4BFD"/>
    <w:rsid w:val="007B5366"/>
    <w:rsid w:val="007B5419"/>
    <w:rsid w:val="007B544B"/>
    <w:rsid w:val="007B55D0"/>
    <w:rsid w:val="007B57AA"/>
    <w:rsid w:val="007B58B3"/>
    <w:rsid w:val="007B5B06"/>
    <w:rsid w:val="007B5C71"/>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B4B"/>
    <w:rsid w:val="007C0F4F"/>
    <w:rsid w:val="007C1743"/>
    <w:rsid w:val="007C1AA2"/>
    <w:rsid w:val="007C1F3A"/>
    <w:rsid w:val="007C2114"/>
    <w:rsid w:val="007C231D"/>
    <w:rsid w:val="007C23AE"/>
    <w:rsid w:val="007C261E"/>
    <w:rsid w:val="007C2806"/>
    <w:rsid w:val="007C2AEF"/>
    <w:rsid w:val="007C2BFA"/>
    <w:rsid w:val="007C2DEB"/>
    <w:rsid w:val="007C34BA"/>
    <w:rsid w:val="007C3946"/>
    <w:rsid w:val="007C3A53"/>
    <w:rsid w:val="007C3A83"/>
    <w:rsid w:val="007C3C2C"/>
    <w:rsid w:val="007C3D3F"/>
    <w:rsid w:val="007C4201"/>
    <w:rsid w:val="007C463C"/>
    <w:rsid w:val="007C46BA"/>
    <w:rsid w:val="007C4ABD"/>
    <w:rsid w:val="007C4B44"/>
    <w:rsid w:val="007C5273"/>
    <w:rsid w:val="007C59EB"/>
    <w:rsid w:val="007C5A14"/>
    <w:rsid w:val="007C5C83"/>
    <w:rsid w:val="007C5D8A"/>
    <w:rsid w:val="007C5DE6"/>
    <w:rsid w:val="007C6321"/>
    <w:rsid w:val="007C662A"/>
    <w:rsid w:val="007C66AF"/>
    <w:rsid w:val="007C6958"/>
    <w:rsid w:val="007C6A21"/>
    <w:rsid w:val="007C6AAA"/>
    <w:rsid w:val="007C6B19"/>
    <w:rsid w:val="007C708A"/>
    <w:rsid w:val="007C70D1"/>
    <w:rsid w:val="007C7680"/>
    <w:rsid w:val="007C7B0E"/>
    <w:rsid w:val="007C7D92"/>
    <w:rsid w:val="007D00FA"/>
    <w:rsid w:val="007D014E"/>
    <w:rsid w:val="007D022D"/>
    <w:rsid w:val="007D0527"/>
    <w:rsid w:val="007D0846"/>
    <w:rsid w:val="007D0953"/>
    <w:rsid w:val="007D0C47"/>
    <w:rsid w:val="007D0D50"/>
    <w:rsid w:val="007D0DD4"/>
    <w:rsid w:val="007D0EF7"/>
    <w:rsid w:val="007D16FF"/>
    <w:rsid w:val="007D1A42"/>
    <w:rsid w:val="007D1A5A"/>
    <w:rsid w:val="007D1AFC"/>
    <w:rsid w:val="007D1D64"/>
    <w:rsid w:val="007D1DCE"/>
    <w:rsid w:val="007D1DE9"/>
    <w:rsid w:val="007D221D"/>
    <w:rsid w:val="007D269C"/>
    <w:rsid w:val="007D26D0"/>
    <w:rsid w:val="007D2B58"/>
    <w:rsid w:val="007D2B94"/>
    <w:rsid w:val="007D2CAF"/>
    <w:rsid w:val="007D31A0"/>
    <w:rsid w:val="007D34B9"/>
    <w:rsid w:val="007D35B2"/>
    <w:rsid w:val="007D3AEC"/>
    <w:rsid w:val="007D3FD8"/>
    <w:rsid w:val="007D4BCE"/>
    <w:rsid w:val="007D4DC3"/>
    <w:rsid w:val="007D50FE"/>
    <w:rsid w:val="007D5181"/>
    <w:rsid w:val="007D5317"/>
    <w:rsid w:val="007D5450"/>
    <w:rsid w:val="007D573B"/>
    <w:rsid w:val="007D57F6"/>
    <w:rsid w:val="007D5967"/>
    <w:rsid w:val="007D5E26"/>
    <w:rsid w:val="007D5F56"/>
    <w:rsid w:val="007D602B"/>
    <w:rsid w:val="007D60F7"/>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3C57"/>
    <w:rsid w:val="007E4124"/>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0B4"/>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24"/>
    <w:rsid w:val="00814855"/>
    <w:rsid w:val="00814AC5"/>
    <w:rsid w:val="00814AF0"/>
    <w:rsid w:val="00814D42"/>
    <w:rsid w:val="00814F0E"/>
    <w:rsid w:val="00815556"/>
    <w:rsid w:val="00815A27"/>
    <w:rsid w:val="00815A5A"/>
    <w:rsid w:val="00816359"/>
    <w:rsid w:val="00816442"/>
    <w:rsid w:val="008164CF"/>
    <w:rsid w:val="0081656D"/>
    <w:rsid w:val="0081659C"/>
    <w:rsid w:val="00816884"/>
    <w:rsid w:val="00816F05"/>
    <w:rsid w:val="00817166"/>
    <w:rsid w:val="00817469"/>
    <w:rsid w:val="008174E0"/>
    <w:rsid w:val="008177C2"/>
    <w:rsid w:val="00817813"/>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02C"/>
    <w:rsid w:val="00821271"/>
    <w:rsid w:val="00821C68"/>
    <w:rsid w:val="00821C76"/>
    <w:rsid w:val="00821C8D"/>
    <w:rsid w:val="00821CA8"/>
    <w:rsid w:val="00822050"/>
    <w:rsid w:val="0082225E"/>
    <w:rsid w:val="00822425"/>
    <w:rsid w:val="0082242E"/>
    <w:rsid w:val="00822787"/>
    <w:rsid w:val="00822798"/>
    <w:rsid w:val="00822DF8"/>
    <w:rsid w:val="00822E12"/>
    <w:rsid w:val="00822EFA"/>
    <w:rsid w:val="00822F9D"/>
    <w:rsid w:val="00822FEE"/>
    <w:rsid w:val="0082313E"/>
    <w:rsid w:val="008232CC"/>
    <w:rsid w:val="0082343D"/>
    <w:rsid w:val="00823459"/>
    <w:rsid w:val="00823477"/>
    <w:rsid w:val="00823C26"/>
    <w:rsid w:val="00823DF4"/>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19"/>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B46"/>
    <w:rsid w:val="00827F8D"/>
    <w:rsid w:val="00830030"/>
    <w:rsid w:val="008300C9"/>
    <w:rsid w:val="00830447"/>
    <w:rsid w:val="008306D8"/>
    <w:rsid w:val="00830920"/>
    <w:rsid w:val="00830AC8"/>
    <w:rsid w:val="00830C27"/>
    <w:rsid w:val="008313BB"/>
    <w:rsid w:val="008313E6"/>
    <w:rsid w:val="00831943"/>
    <w:rsid w:val="00831B63"/>
    <w:rsid w:val="00831BCE"/>
    <w:rsid w:val="00831BD2"/>
    <w:rsid w:val="00831E69"/>
    <w:rsid w:val="00831EFF"/>
    <w:rsid w:val="00831F0C"/>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79"/>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A3"/>
    <w:rsid w:val="00845AEA"/>
    <w:rsid w:val="00845C2E"/>
    <w:rsid w:val="00845D3D"/>
    <w:rsid w:val="00845F26"/>
    <w:rsid w:val="00846069"/>
    <w:rsid w:val="008460AE"/>
    <w:rsid w:val="008462C7"/>
    <w:rsid w:val="0084644F"/>
    <w:rsid w:val="008464D2"/>
    <w:rsid w:val="008465B0"/>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BE0"/>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0FC2"/>
    <w:rsid w:val="00861272"/>
    <w:rsid w:val="00861477"/>
    <w:rsid w:val="008614CA"/>
    <w:rsid w:val="0086179E"/>
    <w:rsid w:val="00861EDF"/>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977"/>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69"/>
    <w:rsid w:val="008842DF"/>
    <w:rsid w:val="00884346"/>
    <w:rsid w:val="00884465"/>
    <w:rsid w:val="0088477C"/>
    <w:rsid w:val="0088484D"/>
    <w:rsid w:val="00884CE8"/>
    <w:rsid w:val="00884EF2"/>
    <w:rsid w:val="008852AB"/>
    <w:rsid w:val="0088545A"/>
    <w:rsid w:val="00885671"/>
    <w:rsid w:val="008856B9"/>
    <w:rsid w:val="00885BF6"/>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0D07"/>
    <w:rsid w:val="008A1007"/>
    <w:rsid w:val="008A1609"/>
    <w:rsid w:val="008A17CA"/>
    <w:rsid w:val="008A1BAA"/>
    <w:rsid w:val="008A1BC1"/>
    <w:rsid w:val="008A1E72"/>
    <w:rsid w:val="008A2413"/>
    <w:rsid w:val="008A25A6"/>
    <w:rsid w:val="008A26D9"/>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3F93"/>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27C"/>
    <w:rsid w:val="008C65CC"/>
    <w:rsid w:val="008C6796"/>
    <w:rsid w:val="008C6D97"/>
    <w:rsid w:val="008C6FA4"/>
    <w:rsid w:val="008C7015"/>
    <w:rsid w:val="008C7160"/>
    <w:rsid w:val="008C73AC"/>
    <w:rsid w:val="008C7674"/>
    <w:rsid w:val="008C770D"/>
    <w:rsid w:val="008C781A"/>
    <w:rsid w:val="008C7953"/>
    <w:rsid w:val="008C79B9"/>
    <w:rsid w:val="008C7AA1"/>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CB7"/>
    <w:rsid w:val="008D1DA5"/>
    <w:rsid w:val="008D204F"/>
    <w:rsid w:val="008D20E2"/>
    <w:rsid w:val="008D2521"/>
    <w:rsid w:val="008D2C41"/>
    <w:rsid w:val="008D3301"/>
    <w:rsid w:val="008D3347"/>
    <w:rsid w:val="008D394B"/>
    <w:rsid w:val="008D3AC8"/>
    <w:rsid w:val="008D4D4A"/>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B74"/>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D75"/>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69"/>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9C"/>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2BB"/>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83"/>
    <w:rsid w:val="00914DC0"/>
    <w:rsid w:val="00914F65"/>
    <w:rsid w:val="0091541B"/>
    <w:rsid w:val="009154B0"/>
    <w:rsid w:val="009157B2"/>
    <w:rsid w:val="00915A63"/>
    <w:rsid w:val="00915EF3"/>
    <w:rsid w:val="00915FC6"/>
    <w:rsid w:val="009168D4"/>
    <w:rsid w:val="009169D9"/>
    <w:rsid w:val="00916CF7"/>
    <w:rsid w:val="00916EB2"/>
    <w:rsid w:val="00917175"/>
    <w:rsid w:val="0091762D"/>
    <w:rsid w:val="009177D8"/>
    <w:rsid w:val="00917A4F"/>
    <w:rsid w:val="00917B90"/>
    <w:rsid w:val="00917F14"/>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62"/>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6DC8"/>
    <w:rsid w:val="00927126"/>
    <w:rsid w:val="009276B5"/>
    <w:rsid w:val="00927913"/>
    <w:rsid w:val="00927987"/>
    <w:rsid w:val="00927B2F"/>
    <w:rsid w:val="00927C80"/>
    <w:rsid w:val="00927D0B"/>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2DDF"/>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DE7"/>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26"/>
    <w:rsid w:val="009419EE"/>
    <w:rsid w:val="00941D68"/>
    <w:rsid w:val="00941FAC"/>
    <w:rsid w:val="00942270"/>
    <w:rsid w:val="009427AB"/>
    <w:rsid w:val="009429B6"/>
    <w:rsid w:val="00942CF3"/>
    <w:rsid w:val="0094321B"/>
    <w:rsid w:val="009432C8"/>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10"/>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B45"/>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0C8"/>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105"/>
    <w:rsid w:val="00972316"/>
    <w:rsid w:val="0097242F"/>
    <w:rsid w:val="00972E0C"/>
    <w:rsid w:val="00972F5B"/>
    <w:rsid w:val="009733B4"/>
    <w:rsid w:val="009733D4"/>
    <w:rsid w:val="009734B2"/>
    <w:rsid w:val="00973604"/>
    <w:rsid w:val="00973607"/>
    <w:rsid w:val="009739F4"/>
    <w:rsid w:val="00973BDF"/>
    <w:rsid w:val="00973E65"/>
    <w:rsid w:val="00973FF9"/>
    <w:rsid w:val="009740EE"/>
    <w:rsid w:val="00974552"/>
    <w:rsid w:val="009745C3"/>
    <w:rsid w:val="009745F4"/>
    <w:rsid w:val="00974688"/>
    <w:rsid w:val="00974B6E"/>
    <w:rsid w:val="00974C6A"/>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68"/>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D5"/>
    <w:rsid w:val="00993DF8"/>
    <w:rsid w:val="0099414F"/>
    <w:rsid w:val="00994284"/>
    <w:rsid w:val="009945D8"/>
    <w:rsid w:val="0099470F"/>
    <w:rsid w:val="00994959"/>
    <w:rsid w:val="00994B76"/>
    <w:rsid w:val="00994CA4"/>
    <w:rsid w:val="00995104"/>
    <w:rsid w:val="00995135"/>
    <w:rsid w:val="009951D8"/>
    <w:rsid w:val="00995295"/>
    <w:rsid w:val="00995AC7"/>
    <w:rsid w:val="00995D14"/>
    <w:rsid w:val="00995D18"/>
    <w:rsid w:val="00995E52"/>
    <w:rsid w:val="00995E56"/>
    <w:rsid w:val="009960AC"/>
    <w:rsid w:val="009965FE"/>
    <w:rsid w:val="009966ED"/>
    <w:rsid w:val="00996960"/>
    <w:rsid w:val="00996ABB"/>
    <w:rsid w:val="00996C30"/>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52"/>
    <w:rsid w:val="009B018C"/>
    <w:rsid w:val="009B094D"/>
    <w:rsid w:val="009B09D9"/>
    <w:rsid w:val="009B0A3C"/>
    <w:rsid w:val="009B0CA1"/>
    <w:rsid w:val="009B0EB6"/>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2F92"/>
    <w:rsid w:val="009C3222"/>
    <w:rsid w:val="009C33D9"/>
    <w:rsid w:val="009C34D0"/>
    <w:rsid w:val="009C3526"/>
    <w:rsid w:val="009C3623"/>
    <w:rsid w:val="009C3A20"/>
    <w:rsid w:val="009C3CD6"/>
    <w:rsid w:val="009C3E2F"/>
    <w:rsid w:val="009C3E87"/>
    <w:rsid w:val="009C40AA"/>
    <w:rsid w:val="009C40EF"/>
    <w:rsid w:val="009C4677"/>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4FF"/>
    <w:rsid w:val="009F1C9B"/>
    <w:rsid w:val="009F1D06"/>
    <w:rsid w:val="009F216A"/>
    <w:rsid w:val="009F2269"/>
    <w:rsid w:val="009F27B5"/>
    <w:rsid w:val="009F28B5"/>
    <w:rsid w:val="009F2CA0"/>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79E"/>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50B"/>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6EB"/>
    <w:rsid w:val="00A237E3"/>
    <w:rsid w:val="00A23968"/>
    <w:rsid w:val="00A23B78"/>
    <w:rsid w:val="00A23C2D"/>
    <w:rsid w:val="00A23D71"/>
    <w:rsid w:val="00A23D7F"/>
    <w:rsid w:val="00A24255"/>
    <w:rsid w:val="00A243EF"/>
    <w:rsid w:val="00A24401"/>
    <w:rsid w:val="00A244A8"/>
    <w:rsid w:val="00A24CB3"/>
    <w:rsid w:val="00A253A6"/>
    <w:rsid w:val="00A25A78"/>
    <w:rsid w:val="00A25ACB"/>
    <w:rsid w:val="00A25B9E"/>
    <w:rsid w:val="00A2642F"/>
    <w:rsid w:val="00A26A77"/>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3EA7"/>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5D5E"/>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41"/>
    <w:rsid w:val="00A42B71"/>
    <w:rsid w:val="00A42B99"/>
    <w:rsid w:val="00A43042"/>
    <w:rsid w:val="00A4317B"/>
    <w:rsid w:val="00A432B1"/>
    <w:rsid w:val="00A4353D"/>
    <w:rsid w:val="00A437B3"/>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0DA3"/>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11"/>
    <w:rsid w:val="00A55722"/>
    <w:rsid w:val="00A55779"/>
    <w:rsid w:val="00A55A7B"/>
    <w:rsid w:val="00A55ECB"/>
    <w:rsid w:val="00A55FD9"/>
    <w:rsid w:val="00A5668D"/>
    <w:rsid w:val="00A56978"/>
    <w:rsid w:val="00A56B05"/>
    <w:rsid w:val="00A56B33"/>
    <w:rsid w:val="00A57103"/>
    <w:rsid w:val="00A5715D"/>
    <w:rsid w:val="00A57162"/>
    <w:rsid w:val="00A571C1"/>
    <w:rsid w:val="00A57935"/>
    <w:rsid w:val="00A57B78"/>
    <w:rsid w:val="00A57CF9"/>
    <w:rsid w:val="00A602AD"/>
    <w:rsid w:val="00A6055F"/>
    <w:rsid w:val="00A60708"/>
    <w:rsid w:val="00A609B9"/>
    <w:rsid w:val="00A60BFE"/>
    <w:rsid w:val="00A60DF7"/>
    <w:rsid w:val="00A60EEA"/>
    <w:rsid w:val="00A612B7"/>
    <w:rsid w:val="00A61D48"/>
    <w:rsid w:val="00A61F23"/>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6E60"/>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8DB"/>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11"/>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A7E4B"/>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C4C"/>
    <w:rsid w:val="00AB1D8F"/>
    <w:rsid w:val="00AB1DC2"/>
    <w:rsid w:val="00AB1EF6"/>
    <w:rsid w:val="00AB221A"/>
    <w:rsid w:val="00AB2456"/>
    <w:rsid w:val="00AB2569"/>
    <w:rsid w:val="00AB261F"/>
    <w:rsid w:val="00AB289F"/>
    <w:rsid w:val="00AB2DC1"/>
    <w:rsid w:val="00AB2DEB"/>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458"/>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742"/>
    <w:rsid w:val="00AC49CF"/>
    <w:rsid w:val="00AC4A47"/>
    <w:rsid w:val="00AC4B2B"/>
    <w:rsid w:val="00AC527B"/>
    <w:rsid w:val="00AC53F6"/>
    <w:rsid w:val="00AC542C"/>
    <w:rsid w:val="00AC59A7"/>
    <w:rsid w:val="00AC5B6C"/>
    <w:rsid w:val="00AC5BE8"/>
    <w:rsid w:val="00AC5C06"/>
    <w:rsid w:val="00AC5EFE"/>
    <w:rsid w:val="00AC6211"/>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72D"/>
    <w:rsid w:val="00AD1A5D"/>
    <w:rsid w:val="00AD1AC1"/>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09"/>
    <w:rsid w:val="00AD51AB"/>
    <w:rsid w:val="00AD5205"/>
    <w:rsid w:val="00AD5708"/>
    <w:rsid w:val="00AD5852"/>
    <w:rsid w:val="00AD598B"/>
    <w:rsid w:val="00AD5E0C"/>
    <w:rsid w:val="00AD6123"/>
    <w:rsid w:val="00AD6845"/>
    <w:rsid w:val="00AD68C1"/>
    <w:rsid w:val="00AD68D4"/>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B88"/>
    <w:rsid w:val="00AE2EA0"/>
    <w:rsid w:val="00AE368F"/>
    <w:rsid w:val="00AE386E"/>
    <w:rsid w:val="00AE41B1"/>
    <w:rsid w:val="00AE4240"/>
    <w:rsid w:val="00AE43E9"/>
    <w:rsid w:val="00AE45D5"/>
    <w:rsid w:val="00AE46C8"/>
    <w:rsid w:val="00AE4955"/>
    <w:rsid w:val="00AE4C04"/>
    <w:rsid w:val="00AE4D76"/>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AC3"/>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A08"/>
    <w:rsid w:val="00AF4F9C"/>
    <w:rsid w:val="00AF52BC"/>
    <w:rsid w:val="00AF5337"/>
    <w:rsid w:val="00AF540E"/>
    <w:rsid w:val="00AF57F7"/>
    <w:rsid w:val="00AF5C5D"/>
    <w:rsid w:val="00AF618C"/>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A9E"/>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3F53"/>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6F1"/>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A50"/>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420"/>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02C"/>
    <w:rsid w:val="00B352C0"/>
    <w:rsid w:val="00B3533D"/>
    <w:rsid w:val="00B35523"/>
    <w:rsid w:val="00B35BF4"/>
    <w:rsid w:val="00B35E70"/>
    <w:rsid w:val="00B35FA5"/>
    <w:rsid w:val="00B3614B"/>
    <w:rsid w:val="00B36262"/>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A05"/>
    <w:rsid w:val="00B40CD0"/>
    <w:rsid w:val="00B40E39"/>
    <w:rsid w:val="00B4135A"/>
    <w:rsid w:val="00B4141A"/>
    <w:rsid w:val="00B41471"/>
    <w:rsid w:val="00B414BD"/>
    <w:rsid w:val="00B4159C"/>
    <w:rsid w:val="00B41749"/>
    <w:rsid w:val="00B417DF"/>
    <w:rsid w:val="00B417F0"/>
    <w:rsid w:val="00B4197F"/>
    <w:rsid w:val="00B419BA"/>
    <w:rsid w:val="00B41AD3"/>
    <w:rsid w:val="00B42146"/>
    <w:rsid w:val="00B42270"/>
    <w:rsid w:val="00B426F8"/>
    <w:rsid w:val="00B42D23"/>
    <w:rsid w:val="00B42FC1"/>
    <w:rsid w:val="00B432AA"/>
    <w:rsid w:val="00B4361C"/>
    <w:rsid w:val="00B4387A"/>
    <w:rsid w:val="00B43A66"/>
    <w:rsid w:val="00B43B10"/>
    <w:rsid w:val="00B43B2A"/>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89B"/>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D4D"/>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1F4"/>
    <w:rsid w:val="00B546E2"/>
    <w:rsid w:val="00B5548E"/>
    <w:rsid w:val="00B55AC6"/>
    <w:rsid w:val="00B55D56"/>
    <w:rsid w:val="00B55F9E"/>
    <w:rsid w:val="00B55FBA"/>
    <w:rsid w:val="00B560F0"/>
    <w:rsid w:val="00B56134"/>
    <w:rsid w:val="00B566BA"/>
    <w:rsid w:val="00B569A4"/>
    <w:rsid w:val="00B569B8"/>
    <w:rsid w:val="00B570F1"/>
    <w:rsid w:val="00B57266"/>
    <w:rsid w:val="00B57DC9"/>
    <w:rsid w:val="00B57E2F"/>
    <w:rsid w:val="00B60670"/>
    <w:rsid w:val="00B60950"/>
    <w:rsid w:val="00B609BB"/>
    <w:rsid w:val="00B60D86"/>
    <w:rsid w:val="00B60DEB"/>
    <w:rsid w:val="00B6114D"/>
    <w:rsid w:val="00B612DE"/>
    <w:rsid w:val="00B6132E"/>
    <w:rsid w:val="00B613EC"/>
    <w:rsid w:val="00B615D3"/>
    <w:rsid w:val="00B61650"/>
    <w:rsid w:val="00B61D1A"/>
    <w:rsid w:val="00B61D8C"/>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129"/>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2C1"/>
    <w:rsid w:val="00B7439A"/>
    <w:rsid w:val="00B74454"/>
    <w:rsid w:val="00B7465C"/>
    <w:rsid w:val="00B748CC"/>
    <w:rsid w:val="00B74A97"/>
    <w:rsid w:val="00B74B49"/>
    <w:rsid w:val="00B74B4A"/>
    <w:rsid w:val="00B74B7D"/>
    <w:rsid w:val="00B74FAA"/>
    <w:rsid w:val="00B75285"/>
    <w:rsid w:val="00B752C0"/>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6F8F"/>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15D"/>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31"/>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05D"/>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166"/>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1AE"/>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52"/>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77D"/>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89"/>
    <w:rsid w:val="00BC33CF"/>
    <w:rsid w:val="00BC35A6"/>
    <w:rsid w:val="00BC38CE"/>
    <w:rsid w:val="00BC3991"/>
    <w:rsid w:val="00BC3EE5"/>
    <w:rsid w:val="00BC3FD0"/>
    <w:rsid w:val="00BC4609"/>
    <w:rsid w:val="00BC4B45"/>
    <w:rsid w:val="00BC4B70"/>
    <w:rsid w:val="00BC555E"/>
    <w:rsid w:val="00BC575C"/>
    <w:rsid w:val="00BC5923"/>
    <w:rsid w:val="00BC5A95"/>
    <w:rsid w:val="00BC5AD6"/>
    <w:rsid w:val="00BC61C4"/>
    <w:rsid w:val="00BC61E3"/>
    <w:rsid w:val="00BC65D9"/>
    <w:rsid w:val="00BC683D"/>
    <w:rsid w:val="00BC69AA"/>
    <w:rsid w:val="00BC6B48"/>
    <w:rsid w:val="00BC6CC5"/>
    <w:rsid w:val="00BC6D68"/>
    <w:rsid w:val="00BC6DC4"/>
    <w:rsid w:val="00BC7240"/>
    <w:rsid w:val="00BC74D6"/>
    <w:rsid w:val="00BC751F"/>
    <w:rsid w:val="00BC76EA"/>
    <w:rsid w:val="00BC79A6"/>
    <w:rsid w:val="00BC79B3"/>
    <w:rsid w:val="00BC7C7C"/>
    <w:rsid w:val="00BD0322"/>
    <w:rsid w:val="00BD05D8"/>
    <w:rsid w:val="00BD06E7"/>
    <w:rsid w:val="00BD085D"/>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588A"/>
    <w:rsid w:val="00BD5A81"/>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041"/>
    <w:rsid w:val="00BF132A"/>
    <w:rsid w:val="00BF16CF"/>
    <w:rsid w:val="00BF180D"/>
    <w:rsid w:val="00BF198A"/>
    <w:rsid w:val="00BF19BB"/>
    <w:rsid w:val="00BF1AF8"/>
    <w:rsid w:val="00BF24D5"/>
    <w:rsid w:val="00BF2509"/>
    <w:rsid w:val="00BF2632"/>
    <w:rsid w:val="00BF27F2"/>
    <w:rsid w:val="00BF2B0D"/>
    <w:rsid w:val="00BF2C55"/>
    <w:rsid w:val="00BF2CD2"/>
    <w:rsid w:val="00BF2FB9"/>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18E"/>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318"/>
    <w:rsid w:val="00C1249E"/>
    <w:rsid w:val="00C124C9"/>
    <w:rsid w:val="00C12554"/>
    <w:rsid w:val="00C1256A"/>
    <w:rsid w:val="00C127B6"/>
    <w:rsid w:val="00C12A64"/>
    <w:rsid w:val="00C12DD6"/>
    <w:rsid w:val="00C138AF"/>
    <w:rsid w:val="00C13C42"/>
    <w:rsid w:val="00C14596"/>
    <w:rsid w:val="00C14C63"/>
    <w:rsid w:val="00C14F48"/>
    <w:rsid w:val="00C151E3"/>
    <w:rsid w:val="00C15221"/>
    <w:rsid w:val="00C152E3"/>
    <w:rsid w:val="00C154CD"/>
    <w:rsid w:val="00C15507"/>
    <w:rsid w:val="00C15671"/>
    <w:rsid w:val="00C158D3"/>
    <w:rsid w:val="00C158DA"/>
    <w:rsid w:val="00C160CD"/>
    <w:rsid w:val="00C163DE"/>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5F6A"/>
    <w:rsid w:val="00C26040"/>
    <w:rsid w:val="00C267C6"/>
    <w:rsid w:val="00C26CC7"/>
    <w:rsid w:val="00C27030"/>
    <w:rsid w:val="00C271E2"/>
    <w:rsid w:val="00C2739D"/>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5FE"/>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9D9"/>
    <w:rsid w:val="00C36B06"/>
    <w:rsid w:val="00C36C89"/>
    <w:rsid w:val="00C36FA9"/>
    <w:rsid w:val="00C3708F"/>
    <w:rsid w:val="00C3728B"/>
    <w:rsid w:val="00C373CB"/>
    <w:rsid w:val="00C3755E"/>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739"/>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6F8C"/>
    <w:rsid w:val="00C472B8"/>
    <w:rsid w:val="00C472DF"/>
    <w:rsid w:val="00C4730A"/>
    <w:rsid w:val="00C4751E"/>
    <w:rsid w:val="00C4751F"/>
    <w:rsid w:val="00C47594"/>
    <w:rsid w:val="00C47831"/>
    <w:rsid w:val="00C47A2C"/>
    <w:rsid w:val="00C47AA1"/>
    <w:rsid w:val="00C47C2D"/>
    <w:rsid w:val="00C47FEF"/>
    <w:rsid w:val="00C50242"/>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4E03"/>
    <w:rsid w:val="00C55124"/>
    <w:rsid w:val="00C552C8"/>
    <w:rsid w:val="00C5537A"/>
    <w:rsid w:val="00C55395"/>
    <w:rsid w:val="00C55402"/>
    <w:rsid w:val="00C5552B"/>
    <w:rsid w:val="00C5579F"/>
    <w:rsid w:val="00C5599F"/>
    <w:rsid w:val="00C55A42"/>
    <w:rsid w:val="00C55BED"/>
    <w:rsid w:val="00C55BF7"/>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D92"/>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DD3"/>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B7B"/>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189"/>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5EA"/>
    <w:rsid w:val="00C83613"/>
    <w:rsid w:val="00C83958"/>
    <w:rsid w:val="00C83F9A"/>
    <w:rsid w:val="00C84324"/>
    <w:rsid w:val="00C8434D"/>
    <w:rsid w:val="00C84898"/>
    <w:rsid w:val="00C848A0"/>
    <w:rsid w:val="00C84A98"/>
    <w:rsid w:val="00C84AE5"/>
    <w:rsid w:val="00C84D61"/>
    <w:rsid w:val="00C850F8"/>
    <w:rsid w:val="00C85145"/>
    <w:rsid w:val="00C85343"/>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001"/>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4E"/>
    <w:rsid w:val="00C93579"/>
    <w:rsid w:val="00C937E9"/>
    <w:rsid w:val="00C93849"/>
    <w:rsid w:val="00C93A91"/>
    <w:rsid w:val="00C93C21"/>
    <w:rsid w:val="00C93CB0"/>
    <w:rsid w:val="00C941E2"/>
    <w:rsid w:val="00C942CD"/>
    <w:rsid w:val="00C945E1"/>
    <w:rsid w:val="00C95083"/>
    <w:rsid w:val="00C953CB"/>
    <w:rsid w:val="00C95639"/>
    <w:rsid w:val="00C9566D"/>
    <w:rsid w:val="00C95761"/>
    <w:rsid w:val="00C95ED5"/>
    <w:rsid w:val="00C9653E"/>
    <w:rsid w:val="00C966AC"/>
    <w:rsid w:val="00C969DE"/>
    <w:rsid w:val="00C96B91"/>
    <w:rsid w:val="00C96FEF"/>
    <w:rsid w:val="00C976DF"/>
    <w:rsid w:val="00C97969"/>
    <w:rsid w:val="00C97AB4"/>
    <w:rsid w:val="00C97ADC"/>
    <w:rsid w:val="00C97BE8"/>
    <w:rsid w:val="00C97C41"/>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483"/>
    <w:rsid w:val="00CA14FC"/>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E78"/>
    <w:rsid w:val="00CB0F1F"/>
    <w:rsid w:val="00CB0F7E"/>
    <w:rsid w:val="00CB102A"/>
    <w:rsid w:val="00CB1792"/>
    <w:rsid w:val="00CB184E"/>
    <w:rsid w:val="00CB202F"/>
    <w:rsid w:val="00CB2114"/>
    <w:rsid w:val="00CB224B"/>
    <w:rsid w:val="00CB23F7"/>
    <w:rsid w:val="00CB257A"/>
    <w:rsid w:val="00CB2643"/>
    <w:rsid w:val="00CB2775"/>
    <w:rsid w:val="00CB2EB3"/>
    <w:rsid w:val="00CB31D2"/>
    <w:rsid w:val="00CB346D"/>
    <w:rsid w:val="00CB34E4"/>
    <w:rsid w:val="00CB3621"/>
    <w:rsid w:val="00CB373A"/>
    <w:rsid w:val="00CB38DE"/>
    <w:rsid w:val="00CB3AF7"/>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72A"/>
    <w:rsid w:val="00CC7832"/>
    <w:rsid w:val="00CC783C"/>
    <w:rsid w:val="00CC7E1E"/>
    <w:rsid w:val="00CC7E5C"/>
    <w:rsid w:val="00CC7FD7"/>
    <w:rsid w:val="00CD0113"/>
    <w:rsid w:val="00CD0127"/>
    <w:rsid w:val="00CD028A"/>
    <w:rsid w:val="00CD03D1"/>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5B8"/>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4FB9"/>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7CC"/>
    <w:rsid w:val="00CE091F"/>
    <w:rsid w:val="00CE0938"/>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4D2"/>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A78"/>
    <w:rsid w:val="00CF2D06"/>
    <w:rsid w:val="00CF3014"/>
    <w:rsid w:val="00CF36BD"/>
    <w:rsid w:val="00CF3769"/>
    <w:rsid w:val="00CF3C30"/>
    <w:rsid w:val="00CF437F"/>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28"/>
    <w:rsid w:val="00D05038"/>
    <w:rsid w:val="00D050ED"/>
    <w:rsid w:val="00D05236"/>
    <w:rsid w:val="00D05409"/>
    <w:rsid w:val="00D05591"/>
    <w:rsid w:val="00D055A2"/>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3E"/>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1EC"/>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597"/>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E17"/>
    <w:rsid w:val="00D41FF4"/>
    <w:rsid w:val="00D42531"/>
    <w:rsid w:val="00D42928"/>
    <w:rsid w:val="00D42AB7"/>
    <w:rsid w:val="00D42B84"/>
    <w:rsid w:val="00D42D74"/>
    <w:rsid w:val="00D42FF7"/>
    <w:rsid w:val="00D43376"/>
    <w:rsid w:val="00D43385"/>
    <w:rsid w:val="00D4340D"/>
    <w:rsid w:val="00D435F9"/>
    <w:rsid w:val="00D43693"/>
    <w:rsid w:val="00D43856"/>
    <w:rsid w:val="00D438FB"/>
    <w:rsid w:val="00D43EFA"/>
    <w:rsid w:val="00D44230"/>
    <w:rsid w:val="00D442C7"/>
    <w:rsid w:val="00D446BC"/>
    <w:rsid w:val="00D44AAE"/>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405"/>
    <w:rsid w:val="00D6053E"/>
    <w:rsid w:val="00D60564"/>
    <w:rsid w:val="00D6083C"/>
    <w:rsid w:val="00D6088B"/>
    <w:rsid w:val="00D60C5B"/>
    <w:rsid w:val="00D60EED"/>
    <w:rsid w:val="00D60F21"/>
    <w:rsid w:val="00D61468"/>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48"/>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92"/>
    <w:rsid w:val="00D818DD"/>
    <w:rsid w:val="00D81DF1"/>
    <w:rsid w:val="00D820EF"/>
    <w:rsid w:val="00D8231D"/>
    <w:rsid w:val="00D82569"/>
    <w:rsid w:val="00D825DD"/>
    <w:rsid w:val="00D82658"/>
    <w:rsid w:val="00D8297C"/>
    <w:rsid w:val="00D82A80"/>
    <w:rsid w:val="00D82C9C"/>
    <w:rsid w:val="00D831DD"/>
    <w:rsid w:val="00D832A1"/>
    <w:rsid w:val="00D832D6"/>
    <w:rsid w:val="00D83420"/>
    <w:rsid w:val="00D83753"/>
    <w:rsid w:val="00D83BC6"/>
    <w:rsid w:val="00D84463"/>
    <w:rsid w:val="00D8455B"/>
    <w:rsid w:val="00D845B3"/>
    <w:rsid w:val="00D84616"/>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AD7"/>
    <w:rsid w:val="00D87EAA"/>
    <w:rsid w:val="00D900EF"/>
    <w:rsid w:val="00D90555"/>
    <w:rsid w:val="00D907B3"/>
    <w:rsid w:val="00D9089A"/>
    <w:rsid w:val="00D90932"/>
    <w:rsid w:val="00D90C91"/>
    <w:rsid w:val="00D90CD2"/>
    <w:rsid w:val="00D912E6"/>
    <w:rsid w:val="00D913F5"/>
    <w:rsid w:val="00D919C8"/>
    <w:rsid w:val="00D91D74"/>
    <w:rsid w:val="00D91E52"/>
    <w:rsid w:val="00D91E68"/>
    <w:rsid w:val="00D91F15"/>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356"/>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065"/>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AD"/>
    <w:rsid w:val="00DA49CA"/>
    <w:rsid w:val="00DA49CF"/>
    <w:rsid w:val="00DA5281"/>
    <w:rsid w:val="00DA5446"/>
    <w:rsid w:val="00DA5BEF"/>
    <w:rsid w:val="00DA5E4B"/>
    <w:rsid w:val="00DA6189"/>
    <w:rsid w:val="00DA671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686"/>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17"/>
    <w:rsid w:val="00DD70F4"/>
    <w:rsid w:val="00DD786C"/>
    <w:rsid w:val="00DE0556"/>
    <w:rsid w:val="00DE074F"/>
    <w:rsid w:val="00DE0B91"/>
    <w:rsid w:val="00DE0C3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F9A"/>
    <w:rsid w:val="00DE6233"/>
    <w:rsid w:val="00DE6364"/>
    <w:rsid w:val="00DE63B4"/>
    <w:rsid w:val="00DE6412"/>
    <w:rsid w:val="00DE64EE"/>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24"/>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016"/>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0A9"/>
    <w:rsid w:val="00E0712A"/>
    <w:rsid w:val="00E07179"/>
    <w:rsid w:val="00E071ED"/>
    <w:rsid w:val="00E07511"/>
    <w:rsid w:val="00E07955"/>
    <w:rsid w:val="00E07B62"/>
    <w:rsid w:val="00E07CF1"/>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AC5"/>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171"/>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29E"/>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6A4"/>
    <w:rsid w:val="00E36D4D"/>
    <w:rsid w:val="00E36EE5"/>
    <w:rsid w:val="00E36FD9"/>
    <w:rsid w:val="00E3769A"/>
    <w:rsid w:val="00E378C4"/>
    <w:rsid w:val="00E378EC"/>
    <w:rsid w:val="00E379F2"/>
    <w:rsid w:val="00E37B9B"/>
    <w:rsid w:val="00E37BA8"/>
    <w:rsid w:val="00E37F75"/>
    <w:rsid w:val="00E37FD7"/>
    <w:rsid w:val="00E4019B"/>
    <w:rsid w:val="00E403A8"/>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6C"/>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BA"/>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70F"/>
    <w:rsid w:val="00E519CC"/>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1CA"/>
    <w:rsid w:val="00E5640A"/>
    <w:rsid w:val="00E56599"/>
    <w:rsid w:val="00E568A7"/>
    <w:rsid w:val="00E56C87"/>
    <w:rsid w:val="00E56F06"/>
    <w:rsid w:val="00E57AE6"/>
    <w:rsid w:val="00E57B97"/>
    <w:rsid w:val="00E57BD4"/>
    <w:rsid w:val="00E57C9F"/>
    <w:rsid w:val="00E57CA4"/>
    <w:rsid w:val="00E57CB5"/>
    <w:rsid w:val="00E57EEF"/>
    <w:rsid w:val="00E60523"/>
    <w:rsid w:val="00E60648"/>
    <w:rsid w:val="00E608B4"/>
    <w:rsid w:val="00E608D3"/>
    <w:rsid w:val="00E60C56"/>
    <w:rsid w:val="00E60FA3"/>
    <w:rsid w:val="00E610FD"/>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AC6"/>
    <w:rsid w:val="00E66F28"/>
    <w:rsid w:val="00E671A6"/>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28"/>
    <w:rsid w:val="00E7124E"/>
    <w:rsid w:val="00E713B3"/>
    <w:rsid w:val="00E71504"/>
    <w:rsid w:val="00E71567"/>
    <w:rsid w:val="00E716F6"/>
    <w:rsid w:val="00E71914"/>
    <w:rsid w:val="00E71A2A"/>
    <w:rsid w:val="00E71A57"/>
    <w:rsid w:val="00E71ACB"/>
    <w:rsid w:val="00E71AFB"/>
    <w:rsid w:val="00E71CB7"/>
    <w:rsid w:val="00E71DA5"/>
    <w:rsid w:val="00E71F4E"/>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91E"/>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6E7"/>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A77"/>
    <w:rsid w:val="00E97D5E"/>
    <w:rsid w:val="00E97E68"/>
    <w:rsid w:val="00EA0241"/>
    <w:rsid w:val="00EA045F"/>
    <w:rsid w:val="00EA04DA"/>
    <w:rsid w:val="00EA0667"/>
    <w:rsid w:val="00EA0A7A"/>
    <w:rsid w:val="00EA0B1E"/>
    <w:rsid w:val="00EA0B68"/>
    <w:rsid w:val="00EA0D59"/>
    <w:rsid w:val="00EA0E76"/>
    <w:rsid w:val="00EA135B"/>
    <w:rsid w:val="00EA1460"/>
    <w:rsid w:val="00EA16CF"/>
    <w:rsid w:val="00EA196E"/>
    <w:rsid w:val="00EA1A07"/>
    <w:rsid w:val="00EA1A27"/>
    <w:rsid w:val="00EA1A48"/>
    <w:rsid w:val="00EA1B8C"/>
    <w:rsid w:val="00EA1D65"/>
    <w:rsid w:val="00EA2194"/>
    <w:rsid w:val="00EA2267"/>
    <w:rsid w:val="00EA2441"/>
    <w:rsid w:val="00EA2741"/>
    <w:rsid w:val="00EA2903"/>
    <w:rsid w:val="00EA298F"/>
    <w:rsid w:val="00EA2B7A"/>
    <w:rsid w:val="00EA2C11"/>
    <w:rsid w:val="00EA2F75"/>
    <w:rsid w:val="00EA3018"/>
    <w:rsid w:val="00EA3324"/>
    <w:rsid w:val="00EA33A6"/>
    <w:rsid w:val="00EA353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94"/>
    <w:rsid w:val="00EC38B5"/>
    <w:rsid w:val="00EC39C6"/>
    <w:rsid w:val="00EC3A6B"/>
    <w:rsid w:val="00EC3D09"/>
    <w:rsid w:val="00EC3F3C"/>
    <w:rsid w:val="00EC4B5E"/>
    <w:rsid w:val="00EC4F5E"/>
    <w:rsid w:val="00EC4F76"/>
    <w:rsid w:val="00EC4F80"/>
    <w:rsid w:val="00EC4FF8"/>
    <w:rsid w:val="00EC52EE"/>
    <w:rsid w:val="00EC58D5"/>
    <w:rsid w:val="00EC58D8"/>
    <w:rsid w:val="00EC5C76"/>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180"/>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2C2"/>
    <w:rsid w:val="00EE161B"/>
    <w:rsid w:val="00EE1622"/>
    <w:rsid w:val="00EE1951"/>
    <w:rsid w:val="00EE19EE"/>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05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63E"/>
    <w:rsid w:val="00F009AF"/>
    <w:rsid w:val="00F00ABB"/>
    <w:rsid w:val="00F00AD5"/>
    <w:rsid w:val="00F00B17"/>
    <w:rsid w:val="00F00DFD"/>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7A4"/>
    <w:rsid w:val="00F109AA"/>
    <w:rsid w:val="00F110EE"/>
    <w:rsid w:val="00F11159"/>
    <w:rsid w:val="00F11195"/>
    <w:rsid w:val="00F11230"/>
    <w:rsid w:val="00F117BF"/>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6B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EFC"/>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CEE"/>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981"/>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03"/>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68A"/>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271"/>
    <w:rsid w:val="00F603BA"/>
    <w:rsid w:val="00F61505"/>
    <w:rsid w:val="00F619A9"/>
    <w:rsid w:val="00F61CC0"/>
    <w:rsid w:val="00F61DDA"/>
    <w:rsid w:val="00F62114"/>
    <w:rsid w:val="00F623A6"/>
    <w:rsid w:val="00F623D5"/>
    <w:rsid w:val="00F6244B"/>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3D6F"/>
    <w:rsid w:val="00F742FE"/>
    <w:rsid w:val="00F74427"/>
    <w:rsid w:val="00F7480D"/>
    <w:rsid w:val="00F74B21"/>
    <w:rsid w:val="00F74BC8"/>
    <w:rsid w:val="00F7520F"/>
    <w:rsid w:val="00F756D4"/>
    <w:rsid w:val="00F75F2B"/>
    <w:rsid w:val="00F76562"/>
    <w:rsid w:val="00F765D2"/>
    <w:rsid w:val="00F76BDA"/>
    <w:rsid w:val="00F76D01"/>
    <w:rsid w:val="00F770BE"/>
    <w:rsid w:val="00F770D6"/>
    <w:rsid w:val="00F773E1"/>
    <w:rsid w:val="00F776DF"/>
    <w:rsid w:val="00F77EAA"/>
    <w:rsid w:val="00F805B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44"/>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2F5"/>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CAD"/>
    <w:rsid w:val="00F95D78"/>
    <w:rsid w:val="00F96289"/>
    <w:rsid w:val="00F9651A"/>
    <w:rsid w:val="00F96752"/>
    <w:rsid w:val="00F968F9"/>
    <w:rsid w:val="00F96A7E"/>
    <w:rsid w:val="00F96AD5"/>
    <w:rsid w:val="00F96C3F"/>
    <w:rsid w:val="00F96E2C"/>
    <w:rsid w:val="00F97088"/>
    <w:rsid w:val="00F971C4"/>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896"/>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92B"/>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59F"/>
    <w:rsid w:val="00FB27B9"/>
    <w:rsid w:val="00FB27C1"/>
    <w:rsid w:val="00FB2BAD"/>
    <w:rsid w:val="00FB3151"/>
    <w:rsid w:val="00FB36F3"/>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16F"/>
    <w:rsid w:val="00FC13FD"/>
    <w:rsid w:val="00FC143F"/>
    <w:rsid w:val="00FC162E"/>
    <w:rsid w:val="00FC1D70"/>
    <w:rsid w:val="00FC1E5C"/>
    <w:rsid w:val="00FC1E9F"/>
    <w:rsid w:val="00FC1EE3"/>
    <w:rsid w:val="00FC20E6"/>
    <w:rsid w:val="00FC242A"/>
    <w:rsid w:val="00FC2434"/>
    <w:rsid w:val="00FC2537"/>
    <w:rsid w:val="00FC2867"/>
    <w:rsid w:val="00FC2886"/>
    <w:rsid w:val="00FC29AF"/>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2E8"/>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084"/>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6CC"/>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0F"/>
    <w:rsid w:val="00FF24A7"/>
    <w:rsid w:val="00FF26E3"/>
    <w:rsid w:val="00FF28C7"/>
    <w:rsid w:val="00FF2953"/>
    <w:rsid w:val="00FF2AFA"/>
    <w:rsid w:val="00FF30F1"/>
    <w:rsid w:val="00FF3130"/>
    <w:rsid w:val="00FF313B"/>
    <w:rsid w:val="00FF3150"/>
    <w:rsid w:val="00FF31F7"/>
    <w:rsid w:val="00FF359D"/>
    <w:rsid w:val="00FF36E7"/>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22BC1DD"/>
    <w:rsid w:val="04C02CD6"/>
    <w:rsid w:val="066AE303"/>
    <w:rsid w:val="06CDF89B"/>
    <w:rsid w:val="08BC0950"/>
    <w:rsid w:val="0C5443EB"/>
    <w:rsid w:val="10429061"/>
    <w:rsid w:val="1333EE87"/>
    <w:rsid w:val="14431D2B"/>
    <w:rsid w:val="18B3F161"/>
    <w:rsid w:val="1AFF5A53"/>
    <w:rsid w:val="2040F1BA"/>
    <w:rsid w:val="2598DD4D"/>
    <w:rsid w:val="28523BF7"/>
    <w:rsid w:val="28FEE2CB"/>
    <w:rsid w:val="2D5E5232"/>
    <w:rsid w:val="329D6B14"/>
    <w:rsid w:val="37069009"/>
    <w:rsid w:val="395AAC50"/>
    <w:rsid w:val="3B0BF77E"/>
    <w:rsid w:val="3C655289"/>
    <w:rsid w:val="419882D7"/>
    <w:rsid w:val="45A3702E"/>
    <w:rsid w:val="4A000D06"/>
    <w:rsid w:val="4BEB749C"/>
    <w:rsid w:val="4C075172"/>
    <w:rsid w:val="4CBBF2D8"/>
    <w:rsid w:val="51B0B49D"/>
    <w:rsid w:val="54305C86"/>
    <w:rsid w:val="5C03ACBB"/>
    <w:rsid w:val="5C628E2C"/>
    <w:rsid w:val="5EA7F48D"/>
    <w:rsid w:val="6330D0F8"/>
    <w:rsid w:val="66B1F2A2"/>
    <w:rsid w:val="66D34764"/>
    <w:rsid w:val="743F558B"/>
    <w:rsid w:val="77F40CCB"/>
    <w:rsid w:val="7D0C97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47B8B4AF-4012-4E54-A76E-4E165AB0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US" w:eastAsia="en-US"/>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US" w:eastAsia="en-US"/>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rPr>
  </w:style>
  <w:style w:type="paragraph" w:customStyle="1" w:styleId="normal12hanging0">
    <w:name w:val="normal12hanging"/>
    <w:basedOn w:val="Normal"/>
    <w:rsid w:val="00E709A0"/>
    <w:pPr>
      <w:ind w:left="357" w:hanging="357"/>
      <w:jc w:val="left"/>
    </w:pPr>
    <w:rPr>
      <w:rFonts w:ascii="Times New Roman" w:hAnsi="Times New Roman"/>
      <w:szCs w:val="24"/>
    </w:rPr>
  </w:style>
  <w:style w:type="paragraph" w:customStyle="1" w:styleId="CharCharChar">
    <w:name w:val="Char Char Char"/>
    <w:basedOn w:val="Normal"/>
    <w:uiPriority w:val="99"/>
    <w:rsid w:val="0092510C"/>
    <w:pPr>
      <w:spacing w:after="160" w:line="240" w:lineRule="exact"/>
      <w:jc w:val="left"/>
    </w:pPr>
    <w:rPr>
      <w:rFonts w:ascii="Tahoma" w:hAnsi="Tahoma"/>
      <w:sz w:val="20"/>
    </w:rPr>
  </w:style>
  <w:style w:type="paragraph" w:customStyle="1" w:styleId="CharCharChar0">
    <w:name w:val="Char Char Char0"/>
    <w:basedOn w:val="Normal"/>
    <w:uiPriority w:val="99"/>
    <w:rsid w:val="0092510C"/>
    <w:pPr>
      <w:spacing w:after="160" w:line="240" w:lineRule="exact"/>
      <w:jc w:val="left"/>
    </w:pPr>
    <w:rPr>
      <w:rFonts w:ascii="Tahoma" w:hAnsi="Tahoma"/>
      <w:sz w:val="20"/>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rPr>
  </w:style>
  <w:style w:type="paragraph" w:customStyle="1" w:styleId="Char1">
    <w:name w:val="Char1"/>
    <w:basedOn w:val="Normal"/>
    <w:rsid w:val="00F47B73"/>
    <w:pPr>
      <w:spacing w:after="160" w:line="240" w:lineRule="exact"/>
      <w:jc w:val="left"/>
    </w:pPr>
    <w:rPr>
      <w:rFonts w:ascii="Tahoma" w:hAnsi="Tahoma"/>
      <w:sz w:val="20"/>
    </w:rPr>
  </w:style>
  <w:style w:type="paragraph" w:customStyle="1" w:styleId="Char">
    <w:name w:val="Char"/>
    <w:basedOn w:val="Normal"/>
    <w:rsid w:val="00124A7A"/>
    <w:pPr>
      <w:spacing w:after="160" w:line="240" w:lineRule="exact"/>
      <w:jc w:val="left"/>
    </w:pPr>
    <w:rPr>
      <w:rFonts w:ascii="Tahoma" w:hAnsi="Tahoma"/>
      <w:sz w:val="20"/>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rPr>
  </w:style>
  <w:style w:type="paragraph" w:customStyle="1" w:styleId="Car">
    <w:name w:val="Car"/>
    <w:basedOn w:val="Normal"/>
    <w:rsid w:val="00F02465"/>
    <w:pPr>
      <w:spacing w:after="160" w:line="240" w:lineRule="exact"/>
      <w:jc w:val="left"/>
    </w:pPr>
    <w:rPr>
      <w:rFonts w:ascii="Arial" w:hAnsi="Arial" w:cs="Arial"/>
      <w:sz w:val="28"/>
      <w:szCs w:val="28"/>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rPr>
  </w:style>
  <w:style w:type="paragraph" w:customStyle="1" w:styleId="Znak">
    <w:name w:val="Znak"/>
    <w:basedOn w:val="Normal"/>
    <w:rsid w:val="00A76EE9"/>
    <w:pPr>
      <w:spacing w:after="160" w:line="240" w:lineRule="exact"/>
      <w:jc w:val="left"/>
    </w:pPr>
    <w:rPr>
      <w:rFonts w:ascii="Tahoma" w:hAnsi="Tahoma"/>
      <w:sz w:val="20"/>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US"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rPr>
  </w:style>
  <w:style w:type="paragraph" w:customStyle="1" w:styleId="MediumGrid21">
    <w:name w:val="Medium Grid 21"/>
    <w:link w:val="MediumGrid2Char"/>
    <w:uiPriority w:val="1"/>
    <w:qFormat/>
    <w:rsid w:val="007C5D8A"/>
    <w:rPr>
      <w:rFonts w:ascii="Arial" w:hAnsi="Arial"/>
      <w:sz w:val="22"/>
      <w:szCs w:val="22"/>
      <w:lang w:val="en-US"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US" w:eastAsia="en-US"/>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lang w:val="en-US" w:eastAsia="en-US"/>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US"/>
    </w:rPr>
  </w:style>
  <w:style w:type="character" w:styleId="UnresolvedMention">
    <w:name w:val="Unresolved Mention"/>
    <w:uiPriority w:val="99"/>
    <w:semiHidden/>
    <w:unhideWhenUsed/>
    <w:rsid w:val="00520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3654">
      <w:bodyDiv w:val="1"/>
      <w:marLeft w:val="0"/>
      <w:marRight w:val="0"/>
      <w:marTop w:val="0"/>
      <w:marBottom w:val="0"/>
      <w:divBdr>
        <w:top w:val="none" w:sz="0" w:space="0" w:color="auto"/>
        <w:left w:val="none" w:sz="0" w:space="0" w:color="auto"/>
        <w:bottom w:val="none" w:sz="0" w:space="0" w:color="auto"/>
        <w:right w:val="none" w:sz="0" w:space="0" w:color="auto"/>
      </w:divBdr>
    </w:div>
    <w:div w:id="360477678">
      <w:bodyDiv w:val="1"/>
      <w:marLeft w:val="0"/>
      <w:marRight w:val="0"/>
      <w:marTop w:val="0"/>
      <w:marBottom w:val="0"/>
      <w:divBdr>
        <w:top w:val="none" w:sz="0" w:space="0" w:color="auto"/>
        <w:left w:val="none" w:sz="0" w:space="0" w:color="auto"/>
        <w:bottom w:val="none" w:sz="0" w:space="0" w:color="auto"/>
        <w:right w:val="none" w:sz="0" w:space="0" w:color="auto"/>
      </w:divBdr>
    </w:div>
    <w:div w:id="763458321">
      <w:bodyDiv w:val="1"/>
      <w:marLeft w:val="0"/>
      <w:marRight w:val="0"/>
      <w:marTop w:val="0"/>
      <w:marBottom w:val="0"/>
      <w:divBdr>
        <w:top w:val="none" w:sz="0" w:space="0" w:color="auto"/>
        <w:left w:val="none" w:sz="0" w:space="0" w:color="auto"/>
        <w:bottom w:val="none" w:sz="0" w:space="0" w:color="auto"/>
        <w:right w:val="none" w:sz="0" w:space="0" w:color="auto"/>
      </w:divBdr>
    </w:div>
    <w:div w:id="798186047">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33903214">
      <w:bodyDiv w:val="1"/>
      <w:marLeft w:val="0"/>
      <w:marRight w:val="0"/>
      <w:marTop w:val="0"/>
      <w:marBottom w:val="0"/>
      <w:divBdr>
        <w:top w:val="none" w:sz="0" w:space="0" w:color="auto"/>
        <w:left w:val="none" w:sz="0" w:space="0" w:color="auto"/>
        <w:bottom w:val="none" w:sz="0" w:space="0" w:color="auto"/>
        <w:right w:val="none" w:sz="0" w:space="0" w:color="auto"/>
      </w:divBdr>
    </w:div>
    <w:div w:id="1151364011">
      <w:bodyDiv w:val="1"/>
      <w:marLeft w:val="0"/>
      <w:marRight w:val="0"/>
      <w:marTop w:val="0"/>
      <w:marBottom w:val="0"/>
      <w:divBdr>
        <w:top w:val="none" w:sz="0" w:space="0" w:color="auto"/>
        <w:left w:val="none" w:sz="0" w:space="0" w:color="auto"/>
        <w:bottom w:val="none" w:sz="0" w:space="0" w:color="auto"/>
        <w:right w:val="none" w:sz="0" w:space="0" w:color="auto"/>
      </w:divBdr>
    </w:div>
    <w:div w:id="1165708895">
      <w:bodyDiv w:val="1"/>
      <w:marLeft w:val="0"/>
      <w:marRight w:val="0"/>
      <w:marTop w:val="0"/>
      <w:marBottom w:val="0"/>
      <w:divBdr>
        <w:top w:val="none" w:sz="0" w:space="0" w:color="auto"/>
        <w:left w:val="none" w:sz="0" w:space="0" w:color="auto"/>
        <w:bottom w:val="none" w:sz="0" w:space="0" w:color="auto"/>
        <w:right w:val="none" w:sz="0" w:space="0" w:color="auto"/>
      </w:divBdr>
    </w:div>
    <w:div w:id="1206798351">
      <w:bodyDiv w:val="1"/>
      <w:marLeft w:val="0"/>
      <w:marRight w:val="0"/>
      <w:marTop w:val="0"/>
      <w:marBottom w:val="0"/>
      <w:divBdr>
        <w:top w:val="none" w:sz="0" w:space="0" w:color="auto"/>
        <w:left w:val="none" w:sz="0" w:space="0" w:color="auto"/>
        <w:bottom w:val="none" w:sz="0" w:space="0" w:color="auto"/>
        <w:right w:val="none" w:sz="0" w:space="0" w:color="auto"/>
      </w:divBdr>
    </w:div>
    <w:div w:id="1229002665">
      <w:bodyDiv w:val="1"/>
      <w:marLeft w:val="0"/>
      <w:marRight w:val="0"/>
      <w:marTop w:val="0"/>
      <w:marBottom w:val="0"/>
      <w:divBdr>
        <w:top w:val="none" w:sz="0" w:space="0" w:color="auto"/>
        <w:left w:val="none" w:sz="0" w:space="0" w:color="auto"/>
        <w:bottom w:val="none" w:sz="0" w:space="0" w:color="auto"/>
        <w:right w:val="none" w:sz="0" w:space="0" w:color="auto"/>
      </w:divBdr>
    </w:div>
    <w:div w:id="1298342386">
      <w:bodyDiv w:val="1"/>
      <w:marLeft w:val="0"/>
      <w:marRight w:val="0"/>
      <w:marTop w:val="0"/>
      <w:marBottom w:val="0"/>
      <w:divBdr>
        <w:top w:val="none" w:sz="0" w:space="0" w:color="auto"/>
        <w:left w:val="none" w:sz="0" w:space="0" w:color="auto"/>
        <w:bottom w:val="none" w:sz="0" w:space="0" w:color="auto"/>
        <w:right w:val="none" w:sz="0" w:space="0" w:color="auto"/>
      </w:divBdr>
    </w:div>
    <w:div w:id="1390038612">
      <w:bodyDiv w:val="1"/>
      <w:marLeft w:val="0"/>
      <w:marRight w:val="0"/>
      <w:marTop w:val="0"/>
      <w:marBottom w:val="0"/>
      <w:divBdr>
        <w:top w:val="none" w:sz="0" w:space="0" w:color="auto"/>
        <w:left w:val="none" w:sz="0" w:space="0" w:color="auto"/>
        <w:bottom w:val="none" w:sz="0" w:space="0" w:color="auto"/>
        <w:right w:val="none" w:sz="0" w:space="0" w:color="auto"/>
      </w:divBdr>
    </w:div>
    <w:div w:id="1468158200">
      <w:bodyDiv w:val="1"/>
      <w:marLeft w:val="0"/>
      <w:marRight w:val="0"/>
      <w:marTop w:val="0"/>
      <w:marBottom w:val="0"/>
      <w:divBdr>
        <w:top w:val="none" w:sz="0" w:space="0" w:color="auto"/>
        <w:left w:val="none" w:sz="0" w:space="0" w:color="auto"/>
        <w:bottom w:val="none" w:sz="0" w:space="0" w:color="auto"/>
        <w:right w:val="none" w:sz="0" w:space="0" w:color="auto"/>
      </w:divBdr>
    </w:div>
    <w:div w:id="1472286096">
      <w:bodyDiv w:val="1"/>
      <w:marLeft w:val="0"/>
      <w:marRight w:val="0"/>
      <w:marTop w:val="0"/>
      <w:marBottom w:val="0"/>
      <w:divBdr>
        <w:top w:val="none" w:sz="0" w:space="0" w:color="auto"/>
        <w:left w:val="none" w:sz="0" w:space="0" w:color="auto"/>
        <w:bottom w:val="none" w:sz="0" w:space="0" w:color="auto"/>
        <w:right w:val="none" w:sz="0" w:space="0" w:color="auto"/>
      </w:divBdr>
    </w:div>
    <w:div w:id="1567760836">
      <w:bodyDiv w:val="1"/>
      <w:marLeft w:val="0"/>
      <w:marRight w:val="0"/>
      <w:marTop w:val="0"/>
      <w:marBottom w:val="0"/>
      <w:divBdr>
        <w:top w:val="none" w:sz="0" w:space="0" w:color="auto"/>
        <w:left w:val="none" w:sz="0" w:space="0" w:color="auto"/>
        <w:bottom w:val="none" w:sz="0" w:space="0" w:color="auto"/>
        <w:right w:val="none" w:sz="0" w:space="0" w:color="auto"/>
      </w:divBdr>
    </w:div>
    <w:div w:id="1674911620">
      <w:bodyDiv w:val="1"/>
      <w:marLeft w:val="0"/>
      <w:marRight w:val="0"/>
      <w:marTop w:val="0"/>
      <w:marBottom w:val="0"/>
      <w:divBdr>
        <w:top w:val="none" w:sz="0" w:space="0" w:color="auto"/>
        <w:left w:val="none" w:sz="0" w:space="0" w:color="auto"/>
        <w:bottom w:val="none" w:sz="0" w:space="0" w:color="auto"/>
        <w:right w:val="none" w:sz="0" w:space="0" w:color="auto"/>
      </w:divBdr>
    </w:div>
    <w:div w:id="1698459786">
      <w:bodyDiv w:val="1"/>
      <w:marLeft w:val="0"/>
      <w:marRight w:val="0"/>
      <w:marTop w:val="0"/>
      <w:marBottom w:val="0"/>
      <w:divBdr>
        <w:top w:val="none" w:sz="0" w:space="0" w:color="auto"/>
        <w:left w:val="none" w:sz="0" w:space="0" w:color="auto"/>
        <w:bottom w:val="none" w:sz="0" w:space="0" w:color="auto"/>
        <w:right w:val="none" w:sz="0" w:space="0" w:color="auto"/>
      </w:divBdr>
    </w:div>
    <w:div w:id="1845247405">
      <w:bodyDiv w:val="1"/>
      <w:marLeft w:val="0"/>
      <w:marRight w:val="0"/>
      <w:marTop w:val="0"/>
      <w:marBottom w:val="0"/>
      <w:divBdr>
        <w:top w:val="none" w:sz="0" w:space="0" w:color="auto"/>
        <w:left w:val="none" w:sz="0" w:space="0" w:color="auto"/>
        <w:bottom w:val="none" w:sz="0" w:space="0" w:color="auto"/>
        <w:right w:val="none" w:sz="0" w:space="0" w:color="auto"/>
      </w:divBdr>
    </w:div>
    <w:div w:id="2036226809">
      <w:bodyDiv w:val="1"/>
      <w:marLeft w:val="0"/>
      <w:marRight w:val="0"/>
      <w:marTop w:val="0"/>
      <w:marBottom w:val="0"/>
      <w:divBdr>
        <w:top w:val="none" w:sz="0" w:space="0" w:color="auto"/>
        <w:left w:val="none" w:sz="0" w:space="0" w:color="auto"/>
        <w:bottom w:val="none" w:sz="0" w:space="0" w:color="auto"/>
        <w:right w:val="none" w:sz="0" w:space="0" w:color="auto"/>
      </w:divBdr>
    </w:div>
    <w:div w:id="212260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document/download/2a7fddb2-e927-4079-92cc-4bb4279e9a46_en?filename=Report%20on%20the%202024%20elections%20to%20the%20European%20Parliament.pdf" TargetMode="External"/><Relationship Id="rId2" Type="http://schemas.openxmlformats.org/officeDocument/2006/relationships/hyperlink" Target="https://eur-lex.europa.eu/legal-content/EN/TXT/?uri=uriserv%3AOJ.L_.1993.329.01.0034.01.ENG&amp;toc=OJ%3AL%3A1993%3A329%3ATOC" TargetMode="External"/><Relationship Id="rId1" Type="http://schemas.openxmlformats.org/officeDocument/2006/relationships/hyperlink" Target="https://eur-lex.europa.eu/eli/dec/1976/787(2)/2002-09-23/eng" TargetMode="External"/><Relationship Id="rId5" Type="http://schemas.openxmlformats.org/officeDocument/2006/relationships/hyperlink" Target="https://eur-lex.europa.eu/eli/dir/2025/1788/oj" TargetMode="External"/><Relationship Id="rId4" Type="http://schemas.openxmlformats.org/officeDocument/2006/relationships/hyperlink" Target="https://eur-lex.europa.eu/legal-content/EN/TXT/?uri=CELEX:32023H28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8433b63d-ebd4-4e36-9458-d631cf48e1f4"/>
    <ds:schemaRef ds:uri="de5c82c6-d94a-46b4-b86e-d76bd3e938bc"/>
    <ds:schemaRef ds:uri="http://schemas.microsoft.com/sharepoint/v3/field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38EBC970-D710-48F6-9500-86E9EF576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0</TotalTime>
  <Pages>3</Pages>
  <Words>930</Words>
  <Characters>5321</Characters>
  <Application>Microsoft Office Word</Application>
  <DocSecurity>0</DocSecurity>
  <PresentationFormat>Microsoft Word 8.0b</PresentationFormat>
  <Lines>81</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2017-11-23T17:27:00Z</cp:lastPrinted>
  <dcterms:created xsi:type="dcterms:W3CDTF">2026-04-15T08:56:00Z</dcterms:created>
  <dcterms:modified xsi:type="dcterms:W3CDTF">2026-04-15T08:56:00Z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