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12A91A8A" w14:textId="10050149" w:rsidR="004B2644" w:rsidRDefault="009B1FF1" w:rsidP="000A1C78">
      <w:pPr>
        <w:spacing w:after="600" w:line="240" w:lineRule="auto"/>
        <w:rPr>
          <w:b/>
          <w:bCs/>
          <w:lang w:val="en-GB"/>
        </w:rPr>
      </w:pPr>
      <w:r w:rsidRPr="00E377CD">
        <w:rPr>
          <w:b/>
          <w:bCs/>
          <w:szCs w:val="24"/>
          <w:lang w:val="en-GB"/>
        </w:rPr>
        <w:t xml:space="preserve">Follow up to the </w:t>
      </w:r>
      <w:r w:rsidRPr="00E377CD">
        <w:rPr>
          <w:b/>
          <w:szCs w:val="24"/>
          <w:lang w:val="en-GB"/>
        </w:rPr>
        <w:t xml:space="preserve">European Parliament </w:t>
      </w:r>
      <w:r w:rsidR="00520204" w:rsidRPr="00520204">
        <w:rPr>
          <w:b/>
          <w:bCs/>
          <w:lang w:val="en-IE"/>
        </w:rPr>
        <w:t xml:space="preserve">legislative resolution on the </w:t>
      </w:r>
      <w:r w:rsidR="00244012">
        <w:rPr>
          <w:b/>
          <w:bCs/>
          <w:lang w:val="en-IE"/>
        </w:rPr>
        <w:t>p</w:t>
      </w:r>
      <w:r w:rsidR="004B2644" w:rsidRPr="00906FED">
        <w:rPr>
          <w:b/>
          <w:bCs/>
          <w:lang w:val="en-IE"/>
        </w:rPr>
        <w:t>roposal for a regulation of the European Parliament and of the Council amending Regulations (EU)</w:t>
      </w:r>
      <w:r w:rsidR="00E03D57">
        <w:rPr>
          <w:b/>
          <w:bCs/>
          <w:lang w:val="en-IE"/>
        </w:rPr>
        <w:t> </w:t>
      </w:r>
      <w:r w:rsidR="004B2644" w:rsidRPr="00906FED">
        <w:rPr>
          <w:b/>
          <w:bCs/>
          <w:lang w:val="en-IE"/>
        </w:rPr>
        <w:t>No 1308/2013, (EU) 2021/2115 and (EU) No 251/2014 as regards certain market rules and sectoral support measures in the wine sector and for aromatised wine products</w:t>
      </w:r>
    </w:p>
    <w:p w14:paraId="5481E768" w14:textId="320C6FD4" w:rsidR="002B7441" w:rsidRPr="004B2644" w:rsidRDefault="002B7441" w:rsidP="004B2644">
      <w:pPr>
        <w:spacing w:after="240"/>
        <w:ind w:left="567" w:hanging="567"/>
        <w:rPr>
          <w:b/>
          <w:lang w:val="de-DE"/>
        </w:rPr>
      </w:pPr>
      <w:r w:rsidRPr="004B2644">
        <w:rPr>
          <w:b/>
          <w:lang w:val="de-DE"/>
        </w:rPr>
        <w:t>1.</w:t>
      </w:r>
      <w:r w:rsidR="004B2644" w:rsidRPr="004B2644">
        <w:rPr>
          <w:b/>
          <w:lang w:val="de-DE"/>
        </w:rPr>
        <w:tab/>
      </w:r>
      <w:r w:rsidRPr="004B2644">
        <w:rPr>
          <w:b/>
          <w:lang w:val="de-DE"/>
        </w:rPr>
        <w:t>Rapporteur:</w:t>
      </w:r>
      <w:r w:rsidR="00AC6F72" w:rsidRPr="004B2644">
        <w:rPr>
          <w:b/>
          <w:lang w:val="de-DE"/>
        </w:rPr>
        <w:t xml:space="preserve"> </w:t>
      </w:r>
      <w:r w:rsidR="000A1C78" w:rsidRPr="00BE6443">
        <w:rPr>
          <w:bCs/>
          <w:lang w:val="de-DE"/>
        </w:rPr>
        <w:t xml:space="preserve">Esther HERRANZ GARCÍA </w:t>
      </w:r>
      <w:r w:rsidR="00D745DE" w:rsidRPr="00BE6443">
        <w:rPr>
          <w:bCs/>
          <w:lang w:val="de-DE"/>
        </w:rPr>
        <w:t>(</w:t>
      </w:r>
      <w:r w:rsidR="000A1C78" w:rsidRPr="00BE6443">
        <w:rPr>
          <w:bCs/>
          <w:lang w:val="de-DE"/>
        </w:rPr>
        <w:t>EPP</w:t>
      </w:r>
      <w:r w:rsidR="00F7028C">
        <w:rPr>
          <w:bCs/>
          <w:lang w:val="de-DE"/>
        </w:rPr>
        <w:t xml:space="preserve"> </w:t>
      </w:r>
      <w:r w:rsidR="00D745DE" w:rsidRPr="00BE6443">
        <w:rPr>
          <w:bCs/>
          <w:lang w:val="de-DE"/>
        </w:rPr>
        <w:t xml:space="preserve">/ </w:t>
      </w:r>
      <w:r w:rsidR="001D5974">
        <w:rPr>
          <w:bCs/>
          <w:lang w:val="de-DE"/>
        </w:rPr>
        <w:t>E</w:t>
      </w:r>
      <w:r w:rsidR="000A1C78" w:rsidRPr="00BE6443">
        <w:rPr>
          <w:bCs/>
          <w:lang w:val="de-DE"/>
        </w:rPr>
        <w:t>S</w:t>
      </w:r>
      <w:r w:rsidR="00520204" w:rsidRPr="00BE6443">
        <w:rPr>
          <w:bCs/>
          <w:lang w:val="de-DE"/>
        </w:rPr>
        <w:t>)</w:t>
      </w:r>
    </w:p>
    <w:p w14:paraId="5E579AB4" w14:textId="222AF142" w:rsidR="00605133" w:rsidRPr="00B86754" w:rsidRDefault="002B7441" w:rsidP="00606ED3">
      <w:pPr>
        <w:spacing w:after="240"/>
        <w:ind w:left="567" w:hanging="567"/>
        <w:rPr>
          <w:bCs/>
          <w:i/>
          <w:iCs/>
          <w:lang w:val="en-GB"/>
        </w:rPr>
      </w:pPr>
      <w:r w:rsidRPr="004B2644">
        <w:rPr>
          <w:b/>
          <w:lang w:val="en-IE"/>
        </w:rPr>
        <w:t>2.</w:t>
      </w:r>
      <w:r w:rsidRPr="004B2644">
        <w:rPr>
          <w:b/>
          <w:lang w:val="en-IE"/>
        </w:rPr>
        <w:tab/>
        <w:t>Reference</w:t>
      </w:r>
      <w:r w:rsidR="001C1BD4" w:rsidRPr="004B2644">
        <w:rPr>
          <w:b/>
          <w:lang w:val="en-IE"/>
        </w:rPr>
        <w:t>s</w:t>
      </w:r>
      <w:r w:rsidRPr="004B2644">
        <w:rPr>
          <w:b/>
          <w:lang w:val="en-IE"/>
        </w:rPr>
        <w:t>:</w:t>
      </w:r>
      <w:r w:rsidRPr="004B2644">
        <w:rPr>
          <w:lang w:val="en-IE"/>
        </w:rPr>
        <w:t xml:space="preserve"> </w:t>
      </w:r>
      <w:r w:rsidR="000A1C78" w:rsidRPr="00906FED">
        <w:rPr>
          <w:lang w:val="en-IE"/>
        </w:rPr>
        <w:t xml:space="preserve">2025/0071(COD) </w:t>
      </w:r>
      <w:r w:rsidR="004B2644" w:rsidRPr="00906FED">
        <w:rPr>
          <w:lang w:val="en-IE"/>
        </w:rPr>
        <w:t>/</w:t>
      </w:r>
      <w:r w:rsidR="004B2644" w:rsidRPr="00906FED">
        <w:rPr>
          <w:rFonts w:ascii="Open Sans" w:hAnsi="Open Sans" w:cs="Open Sans"/>
          <w:color w:val="303030"/>
          <w:shd w:val="clear" w:color="auto" w:fill="F6F7F9"/>
          <w:lang w:val="en-IE"/>
        </w:rPr>
        <w:t xml:space="preserve"> </w:t>
      </w:r>
      <w:r w:rsidR="004B2644" w:rsidRPr="00906FED">
        <w:rPr>
          <w:lang w:val="en-IE"/>
        </w:rPr>
        <w:t>A10-0220/2025</w:t>
      </w:r>
      <w:r w:rsidR="000F009E">
        <w:rPr>
          <w:lang w:val="en-IE"/>
        </w:rPr>
        <w:t xml:space="preserve"> </w:t>
      </w:r>
      <w:r w:rsidR="0019232D" w:rsidRPr="004B2644">
        <w:rPr>
          <w:lang w:val="en-GB"/>
        </w:rPr>
        <w:t xml:space="preserve">/ </w:t>
      </w:r>
      <w:r w:rsidR="004B2644" w:rsidRPr="00906FED">
        <w:rPr>
          <w:lang w:val="en-IE"/>
        </w:rPr>
        <w:t>P10_TA(2026)28</w:t>
      </w:r>
    </w:p>
    <w:p w14:paraId="474B79A2" w14:textId="31433939" w:rsidR="002B7441" w:rsidRPr="00D745DE"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0A1C78">
        <w:rPr>
          <w:iCs/>
          <w:szCs w:val="24"/>
          <w:lang w:val="en-IE"/>
        </w:rPr>
        <w:t>10 February 2026</w:t>
      </w:r>
    </w:p>
    <w:p w14:paraId="35860E93" w14:textId="488C248A" w:rsidR="002B7441" w:rsidRPr="00FC20C4" w:rsidRDefault="002B7441" w:rsidP="00D05171">
      <w:pPr>
        <w:spacing w:after="240"/>
        <w:ind w:left="567" w:hanging="567"/>
        <w:jc w:val="both"/>
        <w:rPr>
          <w:lang w:val="en-IE"/>
        </w:rPr>
      </w:pPr>
      <w:r w:rsidRPr="002B7441">
        <w:rPr>
          <w:b/>
          <w:lang w:val="en-GB"/>
        </w:rPr>
        <w:t>4.</w:t>
      </w:r>
      <w:r w:rsidRPr="002B7441">
        <w:rPr>
          <w:b/>
          <w:lang w:val="en-GB"/>
        </w:rPr>
        <w:tab/>
        <w:t xml:space="preserve">Legal basis: </w:t>
      </w:r>
      <w:r w:rsidR="00717D75" w:rsidRPr="00BE6443">
        <w:rPr>
          <w:bCs/>
          <w:lang w:val="en-IE"/>
        </w:rPr>
        <w:t>Article 42, first subparagraph, and Article 43(2) of the Treaty on the Functioning of the European Union</w:t>
      </w:r>
      <w:r w:rsidR="009A6218" w:rsidRPr="00BE6443">
        <w:rPr>
          <w:bCs/>
          <w:lang w:val="en-IE"/>
        </w:rPr>
        <w:t xml:space="preserve"> (TFEU)</w:t>
      </w:r>
    </w:p>
    <w:p w14:paraId="5DE3F035" w14:textId="07F7C86C" w:rsidR="00DE04F8" w:rsidRPr="00FC20C4" w:rsidRDefault="002B7441" w:rsidP="00DE04F8">
      <w:pPr>
        <w:spacing w:after="240"/>
        <w:ind w:left="567" w:hanging="567"/>
        <w:jc w:val="both"/>
        <w:rPr>
          <w:iCs/>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19232D" w:rsidRPr="0019232D">
        <w:rPr>
          <w:i/>
          <w:szCs w:val="24"/>
          <w:lang w:val="en-IE"/>
        </w:rPr>
        <w:t xml:space="preserve"> </w:t>
      </w:r>
      <w:r w:rsidR="00FC20C4" w:rsidRPr="00FC20C4">
        <w:rPr>
          <w:iCs/>
          <w:szCs w:val="24"/>
          <w:lang w:val="en-IE"/>
        </w:rPr>
        <w:t>Agriculture and Rural Development</w:t>
      </w:r>
      <w:r w:rsidR="000F009E">
        <w:rPr>
          <w:iCs/>
          <w:szCs w:val="24"/>
          <w:lang w:val="en-IE"/>
        </w:rPr>
        <w:t xml:space="preserve"> (AGRI)</w:t>
      </w:r>
    </w:p>
    <w:p w14:paraId="4C23ED87" w14:textId="016DFDD4"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r w:rsidR="004B2644">
        <w:rPr>
          <w:color w:val="000000"/>
          <w:szCs w:val="24"/>
          <w:lang w:val="en-GB"/>
        </w:rPr>
        <w:t>.</w:t>
      </w:r>
    </w:p>
    <w:p w14:paraId="330B4631" w14:textId="0E57191D" w:rsidR="00906FED" w:rsidRPr="00906FED" w:rsidRDefault="00906FED" w:rsidP="00906FED">
      <w:pPr>
        <w:spacing w:after="240" w:line="240" w:lineRule="auto"/>
        <w:ind w:left="482"/>
        <w:jc w:val="both"/>
        <w:rPr>
          <w:lang w:val="en-GB" w:eastAsia="en-US"/>
        </w:rPr>
      </w:pPr>
      <w:r>
        <w:rPr>
          <w:lang w:val="en-GB" w:eastAsia="en-US"/>
        </w:rPr>
        <w:t xml:space="preserve">European Commission </w:t>
      </w:r>
      <w:r w:rsidRPr="00906FED">
        <w:rPr>
          <w:lang w:val="en-GB" w:eastAsia="en-US"/>
        </w:rPr>
        <w:t xml:space="preserve">statement </w:t>
      </w:r>
      <w:r w:rsidRPr="00906FED">
        <w:rPr>
          <w:bCs/>
          <w:lang w:val="en-GB" w:eastAsia="en-US"/>
        </w:rPr>
        <w:t>on draft Commission acts</w:t>
      </w:r>
      <w:r w:rsidRPr="00906FED">
        <w:rPr>
          <w:lang w:val="en-GB" w:eastAsia="en-US"/>
        </w:rPr>
        <w:t xml:space="preserve"> </w:t>
      </w:r>
      <w:r w:rsidRPr="00906FED">
        <w:rPr>
          <w:bCs/>
          <w:lang w:val="en-GB" w:eastAsia="en-US"/>
        </w:rPr>
        <w:t>in 2026.</w:t>
      </w:r>
      <w:r w:rsidRPr="00906FED">
        <w:rPr>
          <w:lang w:val="en-GB" w:eastAsia="en-US"/>
        </w:rPr>
        <w:t xml:space="preserve"> </w:t>
      </w:r>
    </w:p>
    <w:p w14:paraId="1193E4E4" w14:textId="77777777" w:rsidR="00906FED" w:rsidRPr="00906FED" w:rsidRDefault="00906FED" w:rsidP="00906FED">
      <w:pPr>
        <w:pBdr>
          <w:top w:val="nil"/>
          <w:left w:val="nil"/>
          <w:bottom w:val="nil"/>
          <w:right w:val="nil"/>
          <w:between w:val="nil"/>
          <w:bar w:val="nil"/>
        </w:pBdr>
        <w:spacing w:line="240" w:lineRule="auto"/>
        <w:ind w:left="426"/>
        <w:jc w:val="both"/>
        <w:rPr>
          <w:rFonts w:eastAsia="Arial Unicode MS"/>
          <w:szCs w:val="24"/>
          <w:bdr w:val="nil"/>
          <w:lang w:val="en-GB" w:eastAsia="en-US"/>
        </w:rPr>
      </w:pPr>
      <w:r w:rsidRPr="00906FED">
        <w:rPr>
          <w:rFonts w:eastAsia="Arial Unicode MS"/>
          <w:szCs w:val="24"/>
          <w:bdr w:val="nil"/>
          <w:lang w:val="en-GB" w:eastAsia="en-US"/>
        </w:rPr>
        <w:t xml:space="preserve">The Commission will use its best endeavours to present in the year 2026 to the relevant expert group or committee: </w:t>
      </w:r>
    </w:p>
    <w:p w14:paraId="71C0B9CB" w14:textId="7777777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lang w:val="en-GB" w:eastAsia="en-US"/>
        </w:rPr>
      </w:pPr>
      <w:r w:rsidRPr="00906FED">
        <w:rPr>
          <w:rFonts w:eastAsia="Arial Unicode MS"/>
          <w:szCs w:val="24"/>
          <w:bdr w:val="nil"/>
          <w:lang w:val="en-GB" w:eastAsia="en-US"/>
        </w:rPr>
        <w:t>a draft implementing act amending Regulation (EU) 2018/274 related to the possibility to extend the application of the simplified procedure for granting replanting authorisations laid down in Article 9 of that Regulation.</w:t>
      </w:r>
    </w:p>
    <w:p w14:paraId="09A49F14" w14:textId="34462C4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lang w:val="en-GB" w:eastAsia="en-US"/>
        </w:rPr>
      </w:pPr>
      <w:r w:rsidRPr="00906FED">
        <w:rPr>
          <w:rFonts w:eastAsia="Arial Unicode MS"/>
          <w:szCs w:val="24"/>
          <w:bdr w:val="nil"/>
          <w:lang w:val="en-GB" w:eastAsia="en-US"/>
        </w:rPr>
        <w:t>a draft amendment to Commission Delegated Regulation (EU) 2019/33, to define the Union system for identification on the package or the label of grapevine products of the electronic means referred to in Article 119(4) and (5) of Regulation (EU) 1308/2013.</w:t>
      </w:r>
    </w:p>
    <w:p w14:paraId="0B777F56" w14:textId="77777777" w:rsidR="00906FED" w:rsidRPr="00906FED" w:rsidRDefault="00906FED" w:rsidP="00906FED">
      <w:pPr>
        <w:numPr>
          <w:ilvl w:val="0"/>
          <w:numId w:val="41"/>
        </w:numPr>
        <w:pBdr>
          <w:top w:val="nil"/>
          <w:left w:val="nil"/>
          <w:bottom w:val="nil"/>
          <w:right w:val="nil"/>
          <w:between w:val="nil"/>
          <w:bar w:val="nil"/>
        </w:pBdr>
        <w:spacing w:line="240" w:lineRule="auto"/>
        <w:jc w:val="both"/>
        <w:rPr>
          <w:rFonts w:eastAsia="Arial Unicode MS"/>
          <w:szCs w:val="24"/>
          <w:bdr w:val="nil"/>
          <w:lang w:val="en-GB" w:eastAsia="en-US"/>
        </w:rPr>
      </w:pPr>
      <w:r w:rsidRPr="00906FED">
        <w:rPr>
          <w:rFonts w:eastAsia="Arial Unicode MS"/>
          <w:szCs w:val="24"/>
          <w:bdr w:val="nil"/>
          <w:lang w:val="en-GB" w:eastAsia="en-US"/>
        </w:rPr>
        <w:t>a draft amendment to Commission Delegated Regulation (EU) 2019/934 to include, in the definition of “coupage” (‘blending’) the possibility to blend de-alcoholised or partially de-alcoholised wines with still wines to produce partially de-alcoholised wines.</w:t>
      </w:r>
    </w:p>
    <w:p w14:paraId="7C2407B0" w14:textId="62633D7E" w:rsidR="00906FED" w:rsidRDefault="00906FED" w:rsidP="25B766A0">
      <w:pPr>
        <w:numPr>
          <w:ilvl w:val="0"/>
          <w:numId w:val="41"/>
        </w:numPr>
        <w:pBdr>
          <w:top w:val="nil"/>
          <w:left w:val="nil"/>
          <w:bottom w:val="nil"/>
          <w:right w:val="nil"/>
          <w:between w:val="nil"/>
          <w:bar w:val="nil"/>
        </w:pBdr>
        <w:spacing w:after="240" w:line="240" w:lineRule="auto"/>
        <w:jc w:val="both"/>
        <w:rPr>
          <w:lang w:val="en-GB" w:eastAsia="en-US"/>
        </w:rPr>
      </w:pPr>
      <w:r w:rsidRPr="25B766A0">
        <w:rPr>
          <w:lang w:val="en-GB" w:eastAsia="en-US"/>
        </w:rPr>
        <w:t>a draft delegated act laying down the conditions for the grubbing up of abandoned vineyards referred to in new Article 62(6) of Regulation (EU) 1308/2013.</w:t>
      </w:r>
    </w:p>
    <w:p w14:paraId="219C8439" w14:textId="2E8318A5" w:rsidR="00862937" w:rsidRPr="000A1C78" w:rsidRDefault="00520204" w:rsidP="004B2644">
      <w:pPr>
        <w:tabs>
          <w:tab w:val="left" w:pos="567"/>
        </w:tabs>
        <w:spacing w:after="200" w:line="276" w:lineRule="auto"/>
        <w:rPr>
          <w:color w:val="FF0000"/>
          <w:lang w:val="en-GB"/>
        </w:rPr>
      </w:pPr>
      <w:r w:rsidRPr="00520204">
        <w:rPr>
          <w:iCs/>
          <w:color w:val="000000"/>
          <w:lang w:val="en-GB"/>
        </w:rPr>
        <w:br/>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0033" w14:textId="77777777" w:rsidR="00784193" w:rsidRDefault="00784193">
      <w:pPr>
        <w:spacing w:line="240" w:lineRule="auto"/>
      </w:pPr>
      <w:r>
        <w:separator/>
      </w:r>
    </w:p>
  </w:endnote>
  <w:endnote w:type="continuationSeparator" w:id="0">
    <w:p w14:paraId="161C1FDB" w14:textId="77777777" w:rsidR="00784193" w:rsidRDefault="00784193">
      <w:pPr>
        <w:spacing w:line="240" w:lineRule="auto"/>
      </w:pPr>
      <w:r>
        <w:continuationSeparator/>
      </w:r>
    </w:p>
  </w:endnote>
  <w:endnote w:type="continuationNotice" w:id="1">
    <w:p w14:paraId="7E85F955" w14:textId="77777777" w:rsidR="00784193" w:rsidRDefault="007841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5E61" w14:textId="77777777" w:rsidR="00784193" w:rsidRDefault="00784193">
      <w:pPr>
        <w:spacing w:line="240" w:lineRule="auto"/>
      </w:pPr>
      <w:r>
        <w:separator/>
      </w:r>
    </w:p>
  </w:footnote>
  <w:footnote w:type="continuationSeparator" w:id="0">
    <w:p w14:paraId="018853CD" w14:textId="77777777" w:rsidR="00784193" w:rsidRDefault="00784193">
      <w:pPr>
        <w:spacing w:line="240" w:lineRule="auto"/>
      </w:pPr>
      <w:r>
        <w:continuationSeparator/>
      </w:r>
    </w:p>
  </w:footnote>
  <w:footnote w:type="continuationNotice" w:id="1">
    <w:p w14:paraId="33235AB3" w14:textId="77777777" w:rsidR="00784193" w:rsidRDefault="007841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C990C86"/>
    <w:multiLevelType w:val="hybridMultilevel"/>
    <w:tmpl w:val="B1B4E6F6"/>
    <w:lvl w:ilvl="0" w:tplc="32AC6858">
      <w:start w:val="1"/>
      <w:numFmt w:val="decimal"/>
      <w:lvlText w:val="4)"/>
      <w:lvlJc w:val="left"/>
      <w:pPr>
        <w:ind w:left="720" w:hanging="360"/>
      </w:pPr>
    </w:lvl>
    <w:lvl w:ilvl="1" w:tplc="90A44ED4">
      <w:start w:val="1"/>
      <w:numFmt w:val="lowerLetter"/>
      <w:lvlText w:val="%2."/>
      <w:lvlJc w:val="left"/>
      <w:pPr>
        <w:ind w:left="1440" w:hanging="360"/>
      </w:pPr>
    </w:lvl>
    <w:lvl w:ilvl="2" w:tplc="AA0C311A">
      <w:start w:val="1"/>
      <w:numFmt w:val="lowerRoman"/>
      <w:lvlText w:val="%3."/>
      <w:lvlJc w:val="right"/>
      <w:pPr>
        <w:ind w:left="2160" w:hanging="180"/>
      </w:pPr>
    </w:lvl>
    <w:lvl w:ilvl="3" w:tplc="11EA99CE">
      <w:start w:val="1"/>
      <w:numFmt w:val="decimal"/>
      <w:lvlText w:val="%4."/>
      <w:lvlJc w:val="left"/>
      <w:pPr>
        <w:ind w:left="2880" w:hanging="360"/>
      </w:pPr>
    </w:lvl>
    <w:lvl w:ilvl="4" w:tplc="E30E44CE">
      <w:start w:val="1"/>
      <w:numFmt w:val="lowerLetter"/>
      <w:lvlText w:val="%5."/>
      <w:lvlJc w:val="left"/>
      <w:pPr>
        <w:ind w:left="3600" w:hanging="360"/>
      </w:pPr>
    </w:lvl>
    <w:lvl w:ilvl="5" w:tplc="0D0AB1DC">
      <w:start w:val="1"/>
      <w:numFmt w:val="lowerRoman"/>
      <w:lvlText w:val="%6."/>
      <w:lvlJc w:val="right"/>
      <w:pPr>
        <w:ind w:left="4320" w:hanging="180"/>
      </w:pPr>
    </w:lvl>
    <w:lvl w:ilvl="6" w:tplc="CF881DBE">
      <w:start w:val="1"/>
      <w:numFmt w:val="decimal"/>
      <w:lvlText w:val="%7."/>
      <w:lvlJc w:val="left"/>
      <w:pPr>
        <w:ind w:left="5040" w:hanging="360"/>
      </w:pPr>
    </w:lvl>
    <w:lvl w:ilvl="7" w:tplc="7D189282">
      <w:start w:val="1"/>
      <w:numFmt w:val="lowerLetter"/>
      <w:lvlText w:val="%8."/>
      <w:lvlJc w:val="left"/>
      <w:pPr>
        <w:ind w:left="5760" w:hanging="360"/>
      </w:pPr>
    </w:lvl>
    <w:lvl w:ilvl="8" w:tplc="2D568ADA">
      <w:start w:val="1"/>
      <w:numFmt w:val="lowerRoman"/>
      <w:lvlText w:val="%9."/>
      <w:lvlJc w:val="right"/>
      <w:pPr>
        <w:ind w:left="6480" w:hanging="180"/>
      </w:pPr>
    </w:lvl>
  </w:abstractNum>
  <w:abstractNum w:abstractNumId="12"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D7F45"/>
    <w:multiLevelType w:val="hybridMultilevel"/>
    <w:tmpl w:val="A866019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1"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8D7409"/>
    <w:multiLevelType w:val="hybridMultilevel"/>
    <w:tmpl w:val="0B4CC5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275457">
    <w:abstractNumId w:val="11"/>
  </w:num>
  <w:num w:numId="2" w16cid:durableId="1695811475">
    <w:abstractNumId w:val="3"/>
  </w:num>
  <w:num w:numId="3" w16cid:durableId="743526475">
    <w:abstractNumId w:val="6"/>
  </w:num>
  <w:num w:numId="4" w16cid:durableId="1653021114">
    <w:abstractNumId w:val="13"/>
  </w:num>
  <w:num w:numId="5" w16cid:durableId="1086732846">
    <w:abstractNumId w:val="35"/>
  </w:num>
  <w:num w:numId="6" w16cid:durableId="971406308">
    <w:abstractNumId w:val="28"/>
  </w:num>
  <w:num w:numId="7" w16cid:durableId="273682649">
    <w:abstractNumId w:val="12"/>
  </w:num>
  <w:num w:numId="8" w16cid:durableId="1764909784">
    <w:abstractNumId w:val="33"/>
  </w:num>
  <w:num w:numId="9" w16cid:durableId="1134712123">
    <w:abstractNumId w:val="23"/>
  </w:num>
  <w:num w:numId="10" w16cid:durableId="844704771">
    <w:abstractNumId w:val="10"/>
  </w:num>
  <w:num w:numId="11" w16cid:durableId="276066907">
    <w:abstractNumId w:val="4"/>
  </w:num>
  <w:num w:numId="12" w16cid:durableId="401220151">
    <w:abstractNumId w:val="34"/>
  </w:num>
  <w:num w:numId="13" w16cid:durableId="1453670525">
    <w:abstractNumId w:val="5"/>
  </w:num>
  <w:num w:numId="14" w16cid:durableId="1062292021">
    <w:abstractNumId w:val="21"/>
  </w:num>
  <w:num w:numId="15" w16cid:durableId="777681743">
    <w:abstractNumId w:val="30"/>
  </w:num>
  <w:num w:numId="16" w16cid:durableId="72243590">
    <w:abstractNumId w:val="15"/>
  </w:num>
  <w:num w:numId="17" w16cid:durableId="734745955">
    <w:abstractNumId w:val="1"/>
  </w:num>
  <w:num w:numId="18" w16cid:durableId="642471095">
    <w:abstractNumId w:val="22"/>
  </w:num>
  <w:num w:numId="19" w16cid:durableId="493230448">
    <w:abstractNumId w:val="20"/>
  </w:num>
  <w:num w:numId="20" w16cid:durableId="641010637">
    <w:abstractNumId w:val="36"/>
  </w:num>
  <w:num w:numId="21" w16cid:durableId="1729450954">
    <w:abstractNumId w:val="2"/>
  </w:num>
  <w:num w:numId="22" w16cid:durableId="510028576">
    <w:abstractNumId w:val="37"/>
  </w:num>
  <w:num w:numId="23" w16cid:durableId="1329090570">
    <w:abstractNumId w:val="7"/>
  </w:num>
  <w:num w:numId="24" w16cid:durableId="1754466986">
    <w:abstractNumId w:val="0"/>
  </w:num>
  <w:num w:numId="25" w16cid:durableId="1147356799">
    <w:abstractNumId w:val="17"/>
  </w:num>
  <w:num w:numId="26" w16cid:durableId="1738091807">
    <w:abstractNumId w:val="8"/>
  </w:num>
  <w:num w:numId="27" w16cid:durableId="4401311">
    <w:abstractNumId w:val="18"/>
  </w:num>
  <w:num w:numId="28" w16cid:durableId="736054970">
    <w:abstractNumId w:val="26"/>
  </w:num>
  <w:num w:numId="29" w16cid:durableId="812521163">
    <w:abstractNumId w:val="40"/>
  </w:num>
  <w:num w:numId="30" w16cid:durableId="316959018">
    <w:abstractNumId w:val="31"/>
  </w:num>
  <w:num w:numId="31" w16cid:durableId="355236493">
    <w:abstractNumId w:val="25"/>
  </w:num>
  <w:num w:numId="32" w16cid:durableId="2031299187">
    <w:abstractNumId w:val="39"/>
  </w:num>
  <w:num w:numId="33" w16cid:durableId="1703703904">
    <w:abstractNumId w:val="19"/>
  </w:num>
  <w:num w:numId="34" w16cid:durableId="675380325">
    <w:abstractNumId w:val="14"/>
  </w:num>
  <w:num w:numId="35" w16cid:durableId="1478065102">
    <w:abstractNumId w:val="16"/>
  </w:num>
  <w:num w:numId="36" w16cid:durableId="493645849">
    <w:abstractNumId w:val="38"/>
  </w:num>
  <w:num w:numId="37" w16cid:durableId="148520944">
    <w:abstractNumId w:val="24"/>
  </w:num>
  <w:num w:numId="38" w16cid:durableId="954294422">
    <w:abstractNumId w:val="9"/>
  </w:num>
  <w:num w:numId="39" w16cid:durableId="493381111">
    <w:abstractNumId w:val="27"/>
  </w:num>
  <w:num w:numId="40" w16cid:durableId="1000087105">
    <w:abstractNumId w:val="32"/>
  </w:num>
  <w:num w:numId="41" w16cid:durableId="8510728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6E69"/>
    <w:rsid w:val="000577CD"/>
    <w:rsid w:val="00061954"/>
    <w:rsid w:val="0006264D"/>
    <w:rsid w:val="00065320"/>
    <w:rsid w:val="00065724"/>
    <w:rsid w:val="00067828"/>
    <w:rsid w:val="000712EA"/>
    <w:rsid w:val="000718ED"/>
    <w:rsid w:val="0007573A"/>
    <w:rsid w:val="00076D8B"/>
    <w:rsid w:val="00080078"/>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1C78"/>
    <w:rsid w:val="000A2685"/>
    <w:rsid w:val="000A3724"/>
    <w:rsid w:val="000A4A12"/>
    <w:rsid w:val="000A5B46"/>
    <w:rsid w:val="000A636A"/>
    <w:rsid w:val="000B1035"/>
    <w:rsid w:val="000B14AC"/>
    <w:rsid w:val="000B1691"/>
    <w:rsid w:val="000B3275"/>
    <w:rsid w:val="000B4205"/>
    <w:rsid w:val="000C2FF5"/>
    <w:rsid w:val="000C5636"/>
    <w:rsid w:val="000C603C"/>
    <w:rsid w:val="000C60D6"/>
    <w:rsid w:val="000C6946"/>
    <w:rsid w:val="000C7097"/>
    <w:rsid w:val="000C79B3"/>
    <w:rsid w:val="000D0396"/>
    <w:rsid w:val="000D0DB1"/>
    <w:rsid w:val="000D10D4"/>
    <w:rsid w:val="000D4FA6"/>
    <w:rsid w:val="000D500B"/>
    <w:rsid w:val="000D59CD"/>
    <w:rsid w:val="000D65C2"/>
    <w:rsid w:val="000D6C11"/>
    <w:rsid w:val="000D6FC4"/>
    <w:rsid w:val="000D70B9"/>
    <w:rsid w:val="000E165B"/>
    <w:rsid w:val="000E575F"/>
    <w:rsid w:val="000E6BA2"/>
    <w:rsid w:val="000E79A3"/>
    <w:rsid w:val="000E7C0B"/>
    <w:rsid w:val="000F009E"/>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1CF5"/>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5974"/>
    <w:rsid w:val="001D6416"/>
    <w:rsid w:val="001D65E0"/>
    <w:rsid w:val="001D76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4A7A"/>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4012"/>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2D27"/>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0369"/>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6CF4"/>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3F79"/>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2644"/>
    <w:rsid w:val="004B3570"/>
    <w:rsid w:val="004B3C82"/>
    <w:rsid w:val="004B751B"/>
    <w:rsid w:val="004C02AD"/>
    <w:rsid w:val="004C2708"/>
    <w:rsid w:val="004C3D46"/>
    <w:rsid w:val="004C761D"/>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320E"/>
    <w:rsid w:val="005043DB"/>
    <w:rsid w:val="005068E4"/>
    <w:rsid w:val="0051150A"/>
    <w:rsid w:val="00512582"/>
    <w:rsid w:val="00516755"/>
    <w:rsid w:val="00517385"/>
    <w:rsid w:val="00517B51"/>
    <w:rsid w:val="00517EF1"/>
    <w:rsid w:val="0052009A"/>
    <w:rsid w:val="00520204"/>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24A"/>
    <w:rsid w:val="00552D57"/>
    <w:rsid w:val="00553536"/>
    <w:rsid w:val="00554DBA"/>
    <w:rsid w:val="00556631"/>
    <w:rsid w:val="00556757"/>
    <w:rsid w:val="00557659"/>
    <w:rsid w:val="005602F2"/>
    <w:rsid w:val="00560A4B"/>
    <w:rsid w:val="00560FA9"/>
    <w:rsid w:val="005610DA"/>
    <w:rsid w:val="005615F1"/>
    <w:rsid w:val="00561876"/>
    <w:rsid w:val="00565ED9"/>
    <w:rsid w:val="00566ED7"/>
    <w:rsid w:val="005675C4"/>
    <w:rsid w:val="00567C8D"/>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A0C"/>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A12"/>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302"/>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6D0"/>
    <w:rsid w:val="006C7CE1"/>
    <w:rsid w:val="006D03D1"/>
    <w:rsid w:val="006D0602"/>
    <w:rsid w:val="006D129F"/>
    <w:rsid w:val="006D1FA7"/>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1D81"/>
    <w:rsid w:val="00712D7C"/>
    <w:rsid w:val="00714BDB"/>
    <w:rsid w:val="00714C30"/>
    <w:rsid w:val="007156EA"/>
    <w:rsid w:val="00715A28"/>
    <w:rsid w:val="00715B0B"/>
    <w:rsid w:val="00715D4E"/>
    <w:rsid w:val="0071683A"/>
    <w:rsid w:val="00717483"/>
    <w:rsid w:val="00717534"/>
    <w:rsid w:val="00717D75"/>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30BF"/>
    <w:rsid w:val="007641FC"/>
    <w:rsid w:val="007651E6"/>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193"/>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3821"/>
    <w:rsid w:val="008E4B5B"/>
    <w:rsid w:val="008E75F7"/>
    <w:rsid w:val="008F2389"/>
    <w:rsid w:val="008F503E"/>
    <w:rsid w:val="00900DC1"/>
    <w:rsid w:val="0090155F"/>
    <w:rsid w:val="00901CA8"/>
    <w:rsid w:val="00903EA5"/>
    <w:rsid w:val="0090401E"/>
    <w:rsid w:val="00904C46"/>
    <w:rsid w:val="009053D7"/>
    <w:rsid w:val="00906C9D"/>
    <w:rsid w:val="00906FE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5B"/>
    <w:rsid w:val="009A45E5"/>
    <w:rsid w:val="009A6218"/>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1FF1"/>
    <w:rsid w:val="00A64E90"/>
    <w:rsid w:val="00A6605B"/>
    <w:rsid w:val="00A67C72"/>
    <w:rsid w:val="00A67E25"/>
    <w:rsid w:val="00A70CE1"/>
    <w:rsid w:val="00A7216C"/>
    <w:rsid w:val="00A737A3"/>
    <w:rsid w:val="00A76C9B"/>
    <w:rsid w:val="00A77021"/>
    <w:rsid w:val="00A8048D"/>
    <w:rsid w:val="00A86C93"/>
    <w:rsid w:val="00A904DB"/>
    <w:rsid w:val="00A90F77"/>
    <w:rsid w:val="00A9318F"/>
    <w:rsid w:val="00A93D35"/>
    <w:rsid w:val="00AA5BB7"/>
    <w:rsid w:val="00AA5DF4"/>
    <w:rsid w:val="00AB015D"/>
    <w:rsid w:val="00AB081F"/>
    <w:rsid w:val="00AB0B43"/>
    <w:rsid w:val="00AB0D4C"/>
    <w:rsid w:val="00AB2A2B"/>
    <w:rsid w:val="00AB3592"/>
    <w:rsid w:val="00AB4AC9"/>
    <w:rsid w:val="00AB5DD7"/>
    <w:rsid w:val="00AB67E8"/>
    <w:rsid w:val="00AC0172"/>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CA1"/>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B6D"/>
    <w:rsid w:val="00B15CA1"/>
    <w:rsid w:val="00B15F5B"/>
    <w:rsid w:val="00B16E4D"/>
    <w:rsid w:val="00B2121A"/>
    <w:rsid w:val="00B2212A"/>
    <w:rsid w:val="00B22470"/>
    <w:rsid w:val="00B236F9"/>
    <w:rsid w:val="00B25073"/>
    <w:rsid w:val="00B2607A"/>
    <w:rsid w:val="00B2670F"/>
    <w:rsid w:val="00B27B50"/>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2A03"/>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87B08"/>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128"/>
    <w:rsid w:val="00BB2787"/>
    <w:rsid w:val="00BB2850"/>
    <w:rsid w:val="00BB2B42"/>
    <w:rsid w:val="00BB387D"/>
    <w:rsid w:val="00BB3C09"/>
    <w:rsid w:val="00BB696E"/>
    <w:rsid w:val="00BB71EB"/>
    <w:rsid w:val="00BC11B0"/>
    <w:rsid w:val="00BC1C4D"/>
    <w:rsid w:val="00BC333B"/>
    <w:rsid w:val="00BC33E9"/>
    <w:rsid w:val="00BC4E22"/>
    <w:rsid w:val="00BC5CF2"/>
    <w:rsid w:val="00BC6666"/>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E6443"/>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25BF"/>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5DBA"/>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BD3"/>
    <w:rsid w:val="00D13BD5"/>
    <w:rsid w:val="00D13DCD"/>
    <w:rsid w:val="00D143EF"/>
    <w:rsid w:val="00D14C62"/>
    <w:rsid w:val="00D16557"/>
    <w:rsid w:val="00D1691C"/>
    <w:rsid w:val="00D171CC"/>
    <w:rsid w:val="00D17888"/>
    <w:rsid w:val="00D17961"/>
    <w:rsid w:val="00D2021B"/>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6776C"/>
    <w:rsid w:val="00D710FC"/>
    <w:rsid w:val="00D71146"/>
    <w:rsid w:val="00D725EE"/>
    <w:rsid w:val="00D745D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3D57"/>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8C"/>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0C4"/>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5E6F"/>
    <w:rsid w:val="00FE62DF"/>
    <w:rsid w:val="00FE6C7E"/>
    <w:rsid w:val="00FE7491"/>
    <w:rsid w:val="00FE765B"/>
    <w:rsid w:val="00FE7B00"/>
    <w:rsid w:val="00FE7DBA"/>
    <w:rsid w:val="00FF012B"/>
    <w:rsid w:val="00FF0C02"/>
    <w:rsid w:val="00FF1736"/>
    <w:rsid w:val="00FF3537"/>
    <w:rsid w:val="00FF39C1"/>
    <w:rsid w:val="00FF46C0"/>
    <w:rsid w:val="00FF71DA"/>
    <w:rsid w:val="00FF7AE0"/>
    <w:rsid w:val="00FF7F71"/>
    <w:rsid w:val="02D86B7B"/>
    <w:rsid w:val="073D100E"/>
    <w:rsid w:val="075BF409"/>
    <w:rsid w:val="15B9E2FE"/>
    <w:rsid w:val="24020B9C"/>
    <w:rsid w:val="25B766A0"/>
    <w:rsid w:val="3A2EF6A5"/>
    <w:rsid w:val="3B2A19AD"/>
    <w:rsid w:val="3DF713ED"/>
    <w:rsid w:val="4337917C"/>
    <w:rsid w:val="4A77A29E"/>
    <w:rsid w:val="4BA2F45D"/>
    <w:rsid w:val="62404E0B"/>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4"/>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26720709">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2433994">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865173">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887643766">
      <w:bodyDiv w:val="1"/>
      <w:marLeft w:val="0"/>
      <w:marRight w:val="0"/>
      <w:marTop w:val="0"/>
      <w:marBottom w:val="0"/>
      <w:divBdr>
        <w:top w:val="none" w:sz="0" w:space="0" w:color="auto"/>
        <w:left w:val="none" w:sz="0" w:space="0" w:color="auto"/>
        <w:bottom w:val="none" w:sz="0" w:space="0" w:color="auto"/>
        <w:right w:val="none" w:sz="0" w:space="0" w:color="auto"/>
      </w:divBdr>
    </w:div>
    <w:div w:id="900093770">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1058522">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1331656">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51412811">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551A1B15-85EE-46E2-BB75-23214302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1590</Characters>
  <Application>Microsoft Office Word</Application>
  <DocSecurity>0</DocSecurity>
  <Lines>28</Lines>
  <Paragraphs>16</Paragraphs>
  <ScaleCrop>false</ScaleCrop>
  <Company>European Commission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2026-04-21T08:54:00Z</dcterms:created>
  <dcterms:modified xsi:type="dcterms:W3CDTF">2026-04-29T13:48:00Z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