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6E45B114" w:rsidR="009B1FF1" w:rsidRPr="009B1FF1" w:rsidRDefault="00F92944" w:rsidP="008D59F9">
      <w:pPr>
        <w:spacing w:after="600" w:line="240" w:lineRule="auto"/>
        <w:ind w:left="720"/>
        <w:jc w:val="center"/>
      </w:pPr>
      <w:r>
        <w:rPr>
          <w:b/>
          <w:caps/>
        </w:rPr>
        <w:t xml:space="preserve">Procédure </w:t>
      </w:r>
      <w:r>
        <w:rPr>
          <w:b/>
        </w:rPr>
        <w:t>LÉGISLATIVE ORDINAIRE</w:t>
      </w:r>
    </w:p>
    <w:p w14:paraId="12A91A8A" w14:textId="60FF0269" w:rsidR="004B2644" w:rsidRDefault="009B1FF1" w:rsidP="000A1C78">
      <w:pPr>
        <w:spacing w:after="600" w:line="240" w:lineRule="auto"/>
        <w:rPr>
          <w:b/>
          <w:bCs/>
        </w:rPr>
      </w:pPr>
      <w:r>
        <w:rPr>
          <w:b/>
        </w:rPr>
        <w:t>Suite donnée à la résolution législative du Parlement européen sur la proposition de règlement du Parlement européen et du Conseil modifiant les règlements (UE) nº 1308/2013, (UE) 2021/2115 et (UE) nº 251/2014 en ce qui concerne certaines règles du marché et mesures de soutien sectoriel dans le secteur vitivinicole et pour les produits vinicoles aromatisés</w:t>
      </w:r>
    </w:p>
    <w:p w14:paraId="5481E768" w14:textId="320C6FD4" w:rsidR="002B7441" w:rsidRPr="004B2644" w:rsidRDefault="002B7441" w:rsidP="004B2644">
      <w:pPr>
        <w:spacing w:after="240"/>
        <w:ind w:left="567" w:hanging="567"/>
        <w:rPr>
          <w:b/>
        </w:rPr>
      </w:pPr>
      <w:r>
        <w:rPr>
          <w:b/>
        </w:rPr>
        <w:t>1.</w:t>
      </w:r>
      <w:r>
        <w:tab/>
      </w:r>
      <w:r>
        <w:rPr>
          <w:b/>
        </w:rPr>
        <w:t xml:space="preserve">Rapporteure: </w:t>
      </w:r>
      <w:r>
        <w:t>Esther HERRANZ GARCÍA (PPE / ES)</w:t>
      </w:r>
    </w:p>
    <w:p w14:paraId="5E579AB4" w14:textId="222AF142" w:rsidR="00605133" w:rsidRPr="00B86754" w:rsidRDefault="002B7441" w:rsidP="00606ED3">
      <w:pPr>
        <w:spacing w:after="240"/>
        <w:ind w:left="567" w:hanging="567"/>
        <w:rPr>
          <w:bCs/>
          <w:i/>
          <w:iCs/>
        </w:rPr>
      </w:pPr>
      <w:r>
        <w:rPr>
          <w:b/>
        </w:rPr>
        <w:t>2.</w:t>
      </w:r>
      <w:r>
        <w:tab/>
      </w:r>
      <w:r>
        <w:rPr>
          <w:b/>
        </w:rPr>
        <w:t>Références:</w:t>
      </w:r>
      <w:r>
        <w:t xml:space="preserve"> 2025/0071(COD) /</w:t>
      </w:r>
      <w:r>
        <w:rPr>
          <w:rFonts w:ascii="Open Sans" w:hAnsi="Open Sans"/>
          <w:color w:val="303030"/>
          <w:shd w:val="clear" w:color="auto" w:fill="F6F7F9"/>
        </w:rPr>
        <w:t xml:space="preserve"> </w:t>
      </w:r>
      <w:r>
        <w:t>A10-0220/2025 / P10_TA(2026)28</w:t>
      </w:r>
    </w:p>
    <w:p w14:paraId="474B79A2" w14:textId="31433939" w:rsidR="002B7441" w:rsidRPr="00D745DE" w:rsidRDefault="002B7441" w:rsidP="00D05171">
      <w:pPr>
        <w:spacing w:after="240"/>
        <w:ind w:left="567" w:hanging="567"/>
      </w:pPr>
      <w:r>
        <w:rPr>
          <w:b/>
        </w:rPr>
        <w:t>3.</w:t>
      </w:r>
      <w:r>
        <w:tab/>
      </w:r>
      <w:r>
        <w:rPr>
          <w:b/>
        </w:rPr>
        <w:t>Date d’adoption de la résolution:</w:t>
      </w:r>
      <w:r>
        <w:t xml:space="preserve"> 10 février 2026</w:t>
      </w:r>
    </w:p>
    <w:p w14:paraId="35860E93" w14:textId="488C248A" w:rsidR="002B7441" w:rsidRPr="00FC20C4" w:rsidRDefault="002B7441" w:rsidP="00D05171">
      <w:pPr>
        <w:spacing w:after="240"/>
        <w:ind w:left="567" w:hanging="567"/>
        <w:jc w:val="both"/>
      </w:pPr>
      <w:r>
        <w:rPr>
          <w:b/>
        </w:rPr>
        <w:t>4.</w:t>
      </w:r>
      <w:r>
        <w:tab/>
      </w:r>
      <w:r>
        <w:rPr>
          <w:b/>
        </w:rPr>
        <w:t xml:space="preserve">Base juridique: </w:t>
      </w:r>
      <w:r>
        <w:t>article 42, premier alinéa, et article 43, paragraphe 2, du traité sur le fonctionnement de l’Union européenne (TFUE)</w:t>
      </w:r>
    </w:p>
    <w:p w14:paraId="5DE3F035" w14:textId="07F7C86C" w:rsidR="00DE04F8" w:rsidRPr="00FC20C4" w:rsidRDefault="002B7441" w:rsidP="00DE04F8">
      <w:pPr>
        <w:spacing w:after="240"/>
        <w:ind w:left="567" w:hanging="567"/>
        <w:jc w:val="both"/>
        <w:rPr>
          <w:iCs/>
          <w:szCs w:val="24"/>
        </w:rPr>
      </w:pPr>
      <w:r>
        <w:rPr>
          <w:b/>
        </w:rPr>
        <w:t>5.</w:t>
      </w:r>
      <w:r>
        <w:tab/>
      </w:r>
      <w:r>
        <w:rPr>
          <w:b/>
        </w:rPr>
        <w:t>Commission parlementaire compétente:</w:t>
      </w:r>
      <w:r>
        <w:t xml:space="preserve"> commission de l’agriculture et du développement rural (AGRI)</w:t>
      </w:r>
    </w:p>
    <w:p w14:paraId="4C23ED87" w14:textId="016DFDD4" w:rsidR="001265A9" w:rsidRDefault="002B7441" w:rsidP="00D05171">
      <w:pPr>
        <w:tabs>
          <w:tab w:val="left" w:pos="567"/>
        </w:tabs>
        <w:spacing w:after="200" w:line="276" w:lineRule="auto"/>
        <w:rPr>
          <w:color w:val="000000"/>
          <w:szCs w:val="24"/>
        </w:rPr>
      </w:pPr>
      <w:r>
        <w:rPr>
          <w:b/>
        </w:rPr>
        <w:t>6.</w:t>
      </w:r>
      <w:r>
        <w:tab/>
      </w:r>
      <w:r>
        <w:rPr>
          <w:b/>
        </w:rPr>
        <w:t>Position de la Commission:</w:t>
      </w:r>
      <w:r>
        <w:rPr>
          <w:color w:val="000000"/>
          <w:sz w:val="22"/>
        </w:rPr>
        <w:t xml:space="preserve"> </w:t>
      </w:r>
      <w:r>
        <w:rPr>
          <w:color w:val="000000"/>
        </w:rPr>
        <w:t>la Commission accepte tous les amendements.</w:t>
      </w:r>
    </w:p>
    <w:p w14:paraId="330B4631" w14:textId="0E57191D" w:rsidR="00906FED" w:rsidRPr="00906FED" w:rsidRDefault="00906FED" w:rsidP="00906FED">
      <w:pPr>
        <w:spacing w:after="240" w:line="240" w:lineRule="auto"/>
        <w:ind w:left="482"/>
        <w:jc w:val="both"/>
      </w:pPr>
      <w:r>
        <w:t xml:space="preserve">Déclaration de la Commission européenne sur les projets d’actes qu’elle prévoit de présenter en 2026 </w:t>
      </w:r>
    </w:p>
    <w:p w14:paraId="1193E4E4" w14:textId="77777777" w:rsidR="00906FED" w:rsidRPr="00906FED" w:rsidRDefault="00906FED" w:rsidP="00906FED">
      <w:pPr>
        <w:pBdr>
          <w:top w:val="nil"/>
          <w:left w:val="nil"/>
          <w:bottom w:val="nil"/>
          <w:right w:val="nil"/>
          <w:between w:val="nil"/>
          <w:bar w:val="nil"/>
        </w:pBdr>
        <w:spacing w:line="240" w:lineRule="auto"/>
        <w:ind w:left="426"/>
        <w:jc w:val="both"/>
        <w:rPr>
          <w:rFonts w:eastAsia="Arial Unicode MS"/>
          <w:szCs w:val="24"/>
          <w:bdr w:val="nil"/>
        </w:rPr>
      </w:pPr>
      <w:r>
        <w:rPr>
          <w:bdr w:val="nil"/>
        </w:rPr>
        <w:t xml:space="preserve">La Commission mettra tout en œuvre pour présenter, en 2026, au groupe d’experts ou au comité compétent: </w:t>
      </w:r>
    </w:p>
    <w:p w14:paraId="71C0B9CB" w14:textId="77777777" w:rsidR="00906FED" w:rsidRPr="00906FED" w:rsidRDefault="00906FED" w:rsidP="00906FED">
      <w:pPr>
        <w:numPr>
          <w:ilvl w:val="0"/>
          <w:numId w:val="41"/>
        </w:numPr>
        <w:pBdr>
          <w:top w:val="nil"/>
          <w:left w:val="nil"/>
          <w:bottom w:val="nil"/>
          <w:right w:val="nil"/>
          <w:between w:val="nil"/>
          <w:bar w:val="nil"/>
        </w:pBdr>
        <w:spacing w:line="240" w:lineRule="auto"/>
        <w:jc w:val="both"/>
        <w:rPr>
          <w:rFonts w:eastAsia="Arial Unicode MS"/>
          <w:szCs w:val="24"/>
          <w:bdr w:val="nil"/>
        </w:rPr>
      </w:pPr>
      <w:r>
        <w:rPr>
          <w:bdr w:val="nil"/>
        </w:rPr>
        <w:t>un projet d’acte d’exécution modifiant le règlement (UE) 2018/274 relatif à la possibilité de prolonger l’application de la procédure simplifiée d’octroi des autorisations de replantations prévue à l’article 9 dudit règlement;</w:t>
      </w:r>
    </w:p>
    <w:p w14:paraId="09A49F14" w14:textId="34462C47" w:rsidR="00906FED" w:rsidRPr="00906FED" w:rsidRDefault="00906FED" w:rsidP="00906FED">
      <w:pPr>
        <w:numPr>
          <w:ilvl w:val="0"/>
          <w:numId w:val="41"/>
        </w:numPr>
        <w:pBdr>
          <w:top w:val="nil"/>
          <w:left w:val="nil"/>
          <w:bottom w:val="nil"/>
          <w:right w:val="nil"/>
          <w:between w:val="nil"/>
          <w:bar w:val="nil"/>
        </w:pBdr>
        <w:spacing w:line="240" w:lineRule="auto"/>
        <w:jc w:val="both"/>
        <w:rPr>
          <w:rFonts w:eastAsia="Arial Unicode MS"/>
          <w:szCs w:val="24"/>
          <w:bdr w:val="nil"/>
        </w:rPr>
      </w:pPr>
      <w:r>
        <w:rPr>
          <w:bdr w:val="nil"/>
        </w:rPr>
        <w:t>un projet de modification du règlement délégué (UE) 2019/33 de la Commission en vue de définir le système de l’Union permettant d’identifier, sur l’emballage ou l’étiquette des produits de la vigne, les moyens électroniques visés à l’article 119, paragraphes 4 et 5, du règlement (UE) nº 1308/2013;</w:t>
      </w:r>
    </w:p>
    <w:p w14:paraId="0B777F56" w14:textId="77777777" w:rsidR="00906FED" w:rsidRPr="00906FED" w:rsidRDefault="00906FED" w:rsidP="00906FED">
      <w:pPr>
        <w:numPr>
          <w:ilvl w:val="0"/>
          <w:numId w:val="41"/>
        </w:numPr>
        <w:pBdr>
          <w:top w:val="nil"/>
          <w:left w:val="nil"/>
          <w:bottom w:val="nil"/>
          <w:right w:val="nil"/>
          <w:between w:val="nil"/>
          <w:bar w:val="nil"/>
        </w:pBdr>
        <w:spacing w:line="240" w:lineRule="auto"/>
        <w:jc w:val="both"/>
        <w:rPr>
          <w:rFonts w:eastAsia="Arial Unicode MS"/>
          <w:szCs w:val="24"/>
          <w:bdr w:val="nil"/>
        </w:rPr>
      </w:pPr>
      <w:r>
        <w:rPr>
          <w:bdr w:val="nil"/>
        </w:rPr>
        <w:t>un projet de modification du règlement délégué (UE) 2019/934 de la Commission visant à inclure, dans la définition du «coupage», la possibilité de mélanger des vins désalcoolisés ou partiellement désalcoolisés avec des vins tranquilles afin de produire des vins partiellement désalcoolisés;</w:t>
      </w:r>
    </w:p>
    <w:p w14:paraId="7C2407B0" w14:textId="62633D7E" w:rsidR="00906FED" w:rsidRDefault="00906FED" w:rsidP="25B766A0">
      <w:pPr>
        <w:numPr>
          <w:ilvl w:val="0"/>
          <w:numId w:val="41"/>
        </w:numPr>
        <w:pBdr>
          <w:top w:val="nil"/>
          <w:left w:val="nil"/>
          <w:bottom w:val="nil"/>
          <w:right w:val="nil"/>
          <w:between w:val="nil"/>
          <w:bar w:val="nil"/>
        </w:pBdr>
        <w:spacing w:after="240" w:line="240" w:lineRule="auto"/>
        <w:jc w:val="both"/>
      </w:pPr>
      <w:r>
        <w:t>un projet d’acte délégué établissant les conditions d’arrachage des vignobles abandonnés visées au nouvel article 62, paragraphe 6, du règlement (UE) nº 1308/2013.</w:t>
      </w:r>
    </w:p>
    <w:p w14:paraId="219C8439" w14:textId="2E8318A5" w:rsidR="00862937" w:rsidRPr="000A1C78" w:rsidRDefault="00520204" w:rsidP="004B2644">
      <w:pPr>
        <w:tabs>
          <w:tab w:val="left" w:pos="567"/>
        </w:tabs>
        <w:spacing w:after="200" w:line="276" w:lineRule="auto"/>
        <w:rPr>
          <w:color w:val="FF0000"/>
        </w:rPr>
      </w:pPr>
      <w:r>
        <w:t xml:space="preserve"> </w:t>
      </w:r>
      <w:r>
        <w:br/>
      </w: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170E3" w14:textId="77777777" w:rsidR="00111CF5" w:rsidRDefault="00111CF5">
      <w:pPr>
        <w:spacing w:line="240" w:lineRule="auto"/>
      </w:pPr>
      <w:r>
        <w:separator/>
      </w:r>
    </w:p>
  </w:endnote>
  <w:endnote w:type="continuationSeparator" w:id="0">
    <w:p w14:paraId="392DE64A" w14:textId="77777777" w:rsidR="00111CF5" w:rsidRDefault="00111CF5">
      <w:pPr>
        <w:spacing w:line="240" w:lineRule="auto"/>
      </w:pPr>
      <w:r>
        <w:continuationSeparator/>
      </w:r>
    </w:p>
  </w:endnote>
  <w:endnote w:type="continuationNotice" w:id="1">
    <w:p w14:paraId="63E1DEE7" w14:textId="77777777" w:rsidR="00111CF5" w:rsidRDefault="00111C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1049 Bruxelles – Belgique, téléphone: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96A6" w14:textId="77777777" w:rsidR="00111CF5" w:rsidRDefault="00111CF5">
      <w:pPr>
        <w:spacing w:line="240" w:lineRule="auto"/>
      </w:pPr>
      <w:r>
        <w:separator/>
      </w:r>
    </w:p>
  </w:footnote>
  <w:footnote w:type="continuationSeparator" w:id="0">
    <w:p w14:paraId="7C8692CC" w14:textId="77777777" w:rsidR="00111CF5" w:rsidRDefault="00111CF5">
      <w:pPr>
        <w:spacing w:line="240" w:lineRule="auto"/>
      </w:pPr>
      <w:r>
        <w:continuationSeparator/>
      </w:r>
    </w:p>
  </w:footnote>
  <w:footnote w:type="continuationNotice" w:id="1">
    <w:p w14:paraId="005BCB9C" w14:textId="77777777" w:rsidR="00111CF5" w:rsidRDefault="00111C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C990C86"/>
    <w:multiLevelType w:val="hybridMultilevel"/>
    <w:tmpl w:val="B1B4E6F6"/>
    <w:lvl w:ilvl="0" w:tplc="32AC6858">
      <w:start w:val="1"/>
      <w:numFmt w:val="decimal"/>
      <w:lvlText w:val="4)"/>
      <w:lvlJc w:val="left"/>
      <w:pPr>
        <w:ind w:left="720" w:hanging="360"/>
      </w:pPr>
    </w:lvl>
    <w:lvl w:ilvl="1" w:tplc="90A44ED4">
      <w:start w:val="1"/>
      <w:numFmt w:val="lowerLetter"/>
      <w:lvlText w:val="%2."/>
      <w:lvlJc w:val="left"/>
      <w:pPr>
        <w:ind w:left="1440" w:hanging="360"/>
      </w:pPr>
    </w:lvl>
    <w:lvl w:ilvl="2" w:tplc="AA0C311A">
      <w:start w:val="1"/>
      <w:numFmt w:val="lowerRoman"/>
      <w:lvlText w:val="%3."/>
      <w:lvlJc w:val="right"/>
      <w:pPr>
        <w:ind w:left="2160" w:hanging="180"/>
      </w:pPr>
    </w:lvl>
    <w:lvl w:ilvl="3" w:tplc="11EA99CE">
      <w:start w:val="1"/>
      <w:numFmt w:val="decimal"/>
      <w:lvlText w:val="%4."/>
      <w:lvlJc w:val="left"/>
      <w:pPr>
        <w:ind w:left="2880" w:hanging="360"/>
      </w:pPr>
    </w:lvl>
    <w:lvl w:ilvl="4" w:tplc="E30E44CE">
      <w:start w:val="1"/>
      <w:numFmt w:val="lowerLetter"/>
      <w:lvlText w:val="%5."/>
      <w:lvlJc w:val="left"/>
      <w:pPr>
        <w:ind w:left="3600" w:hanging="360"/>
      </w:pPr>
    </w:lvl>
    <w:lvl w:ilvl="5" w:tplc="0D0AB1DC">
      <w:start w:val="1"/>
      <w:numFmt w:val="lowerRoman"/>
      <w:lvlText w:val="%6."/>
      <w:lvlJc w:val="right"/>
      <w:pPr>
        <w:ind w:left="4320" w:hanging="180"/>
      </w:pPr>
    </w:lvl>
    <w:lvl w:ilvl="6" w:tplc="CF881DBE">
      <w:start w:val="1"/>
      <w:numFmt w:val="decimal"/>
      <w:lvlText w:val="%7."/>
      <w:lvlJc w:val="left"/>
      <w:pPr>
        <w:ind w:left="5040" w:hanging="360"/>
      </w:pPr>
    </w:lvl>
    <w:lvl w:ilvl="7" w:tplc="7D189282">
      <w:start w:val="1"/>
      <w:numFmt w:val="lowerLetter"/>
      <w:lvlText w:val="%8."/>
      <w:lvlJc w:val="left"/>
      <w:pPr>
        <w:ind w:left="5760" w:hanging="360"/>
      </w:pPr>
    </w:lvl>
    <w:lvl w:ilvl="8" w:tplc="2D568ADA">
      <w:start w:val="1"/>
      <w:numFmt w:val="lowerRoman"/>
      <w:lvlText w:val="%9."/>
      <w:lvlJc w:val="right"/>
      <w:pPr>
        <w:ind w:left="6480" w:hanging="180"/>
      </w:pPr>
    </w:lvl>
  </w:abstractNum>
  <w:abstractNum w:abstractNumId="12"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3"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7D7F45"/>
    <w:multiLevelType w:val="hybridMultilevel"/>
    <w:tmpl w:val="A866019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31"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8D7409"/>
    <w:multiLevelType w:val="hybridMultilevel"/>
    <w:tmpl w:val="0B4CC5C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7"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0"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2275457">
    <w:abstractNumId w:val="11"/>
  </w:num>
  <w:num w:numId="2" w16cid:durableId="1695811475">
    <w:abstractNumId w:val="3"/>
  </w:num>
  <w:num w:numId="3" w16cid:durableId="743526475">
    <w:abstractNumId w:val="6"/>
  </w:num>
  <w:num w:numId="4" w16cid:durableId="1653021114">
    <w:abstractNumId w:val="13"/>
  </w:num>
  <w:num w:numId="5" w16cid:durableId="1086732846">
    <w:abstractNumId w:val="35"/>
  </w:num>
  <w:num w:numId="6" w16cid:durableId="971406308">
    <w:abstractNumId w:val="28"/>
  </w:num>
  <w:num w:numId="7" w16cid:durableId="273682649">
    <w:abstractNumId w:val="12"/>
  </w:num>
  <w:num w:numId="8" w16cid:durableId="1764909784">
    <w:abstractNumId w:val="33"/>
  </w:num>
  <w:num w:numId="9" w16cid:durableId="1134712123">
    <w:abstractNumId w:val="23"/>
  </w:num>
  <w:num w:numId="10" w16cid:durableId="844704771">
    <w:abstractNumId w:val="10"/>
  </w:num>
  <w:num w:numId="11" w16cid:durableId="276066907">
    <w:abstractNumId w:val="4"/>
  </w:num>
  <w:num w:numId="12" w16cid:durableId="401220151">
    <w:abstractNumId w:val="34"/>
  </w:num>
  <w:num w:numId="13" w16cid:durableId="1453670525">
    <w:abstractNumId w:val="5"/>
  </w:num>
  <w:num w:numId="14" w16cid:durableId="1062292021">
    <w:abstractNumId w:val="21"/>
  </w:num>
  <w:num w:numId="15" w16cid:durableId="777681743">
    <w:abstractNumId w:val="30"/>
  </w:num>
  <w:num w:numId="16" w16cid:durableId="72243590">
    <w:abstractNumId w:val="15"/>
  </w:num>
  <w:num w:numId="17" w16cid:durableId="734745955">
    <w:abstractNumId w:val="1"/>
  </w:num>
  <w:num w:numId="18" w16cid:durableId="642471095">
    <w:abstractNumId w:val="22"/>
  </w:num>
  <w:num w:numId="19" w16cid:durableId="493230448">
    <w:abstractNumId w:val="20"/>
  </w:num>
  <w:num w:numId="20" w16cid:durableId="641010637">
    <w:abstractNumId w:val="36"/>
  </w:num>
  <w:num w:numId="21" w16cid:durableId="1729450954">
    <w:abstractNumId w:val="2"/>
  </w:num>
  <w:num w:numId="22" w16cid:durableId="510028576">
    <w:abstractNumId w:val="37"/>
  </w:num>
  <w:num w:numId="23" w16cid:durableId="1329090570">
    <w:abstractNumId w:val="7"/>
  </w:num>
  <w:num w:numId="24" w16cid:durableId="1754466986">
    <w:abstractNumId w:val="0"/>
  </w:num>
  <w:num w:numId="25" w16cid:durableId="1147356799">
    <w:abstractNumId w:val="17"/>
  </w:num>
  <w:num w:numId="26" w16cid:durableId="1738091807">
    <w:abstractNumId w:val="8"/>
  </w:num>
  <w:num w:numId="27" w16cid:durableId="4401311">
    <w:abstractNumId w:val="18"/>
  </w:num>
  <w:num w:numId="28" w16cid:durableId="736054970">
    <w:abstractNumId w:val="26"/>
  </w:num>
  <w:num w:numId="29" w16cid:durableId="812521163">
    <w:abstractNumId w:val="40"/>
  </w:num>
  <w:num w:numId="30" w16cid:durableId="316959018">
    <w:abstractNumId w:val="31"/>
  </w:num>
  <w:num w:numId="31" w16cid:durableId="355236493">
    <w:abstractNumId w:val="25"/>
  </w:num>
  <w:num w:numId="32" w16cid:durableId="2031299187">
    <w:abstractNumId w:val="39"/>
  </w:num>
  <w:num w:numId="33" w16cid:durableId="1703703904">
    <w:abstractNumId w:val="19"/>
  </w:num>
  <w:num w:numId="34" w16cid:durableId="675380325">
    <w:abstractNumId w:val="14"/>
  </w:num>
  <w:num w:numId="35" w16cid:durableId="1478065102">
    <w:abstractNumId w:val="16"/>
  </w:num>
  <w:num w:numId="36" w16cid:durableId="493645849">
    <w:abstractNumId w:val="38"/>
  </w:num>
  <w:num w:numId="37" w16cid:durableId="148520944">
    <w:abstractNumId w:val="24"/>
  </w:num>
  <w:num w:numId="38" w16cid:durableId="954294422">
    <w:abstractNumId w:val="9"/>
  </w:num>
  <w:num w:numId="39" w16cid:durableId="493381111">
    <w:abstractNumId w:val="27"/>
  </w:num>
  <w:num w:numId="40" w16cid:durableId="1000087105">
    <w:abstractNumId w:val="32"/>
  </w:num>
  <w:num w:numId="41" w16cid:durableId="8510728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6E69"/>
    <w:rsid w:val="000577CD"/>
    <w:rsid w:val="00061954"/>
    <w:rsid w:val="0006264D"/>
    <w:rsid w:val="00065320"/>
    <w:rsid w:val="00065724"/>
    <w:rsid w:val="00067828"/>
    <w:rsid w:val="000712EA"/>
    <w:rsid w:val="000718ED"/>
    <w:rsid w:val="0007573A"/>
    <w:rsid w:val="00076D8B"/>
    <w:rsid w:val="00080078"/>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1C78"/>
    <w:rsid w:val="000A2685"/>
    <w:rsid w:val="000A3724"/>
    <w:rsid w:val="000A4A12"/>
    <w:rsid w:val="000A5B46"/>
    <w:rsid w:val="000A636A"/>
    <w:rsid w:val="000B1035"/>
    <w:rsid w:val="000B14AC"/>
    <w:rsid w:val="000B1691"/>
    <w:rsid w:val="000B3275"/>
    <w:rsid w:val="000B4205"/>
    <w:rsid w:val="000C2FF5"/>
    <w:rsid w:val="000C5636"/>
    <w:rsid w:val="000C603C"/>
    <w:rsid w:val="000C60D6"/>
    <w:rsid w:val="000C6946"/>
    <w:rsid w:val="000C7097"/>
    <w:rsid w:val="000C79B3"/>
    <w:rsid w:val="000D0396"/>
    <w:rsid w:val="000D0DB1"/>
    <w:rsid w:val="000D10D4"/>
    <w:rsid w:val="000D4FA6"/>
    <w:rsid w:val="000D500B"/>
    <w:rsid w:val="000D59CD"/>
    <w:rsid w:val="000D65C2"/>
    <w:rsid w:val="000D6C11"/>
    <w:rsid w:val="000D6FC4"/>
    <w:rsid w:val="000D70B9"/>
    <w:rsid w:val="000E165B"/>
    <w:rsid w:val="000E575F"/>
    <w:rsid w:val="000E6BA2"/>
    <w:rsid w:val="000E79A3"/>
    <w:rsid w:val="000E7C0B"/>
    <w:rsid w:val="000F009E"/>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1CF5"/>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5974"/>
    <w:rsid w:val="001D6416"/>
    <w:rsid w:val="001D65E0"/>
    <w:rsid w:val="001D76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4012"/>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2D27"/>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0369"/>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419F"/>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6CF4"/>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3F79"/>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2644"/>
    <w:rsid w:val="004B3570"/>
    <w:rsid w:val="004B3C82"/>
    <w:rsid w:val="004B751B"/>
    <w:rsid w:val="004C02AD"/>
    <w:rsid w:val="004C2708"/>
    <w:rsid w:val="004C3D46"/>
    <w:rsid w:val="004C761D"/>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320E"/>
    <w:rsid w:val="005043DB"/>
    <w:rsid w:val="005068E4"/>
    <w:rsid w:val="0051150A"/>
    <w:rsid w:val="00512582"/>
    <w:rsid w:val="00516755"/>
    <w:rsid w:val="00517385"/>
    <w:rsid w:val="00517B51"/>
    <w:rsid w:val="00517EF1"/>
    <w:rsid w:val="0052009A"/>
    <w:rsid w:val="00520204"/>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24A"/>
    <w:rsid w:val="00552D57"/>
    <w:rsid w:val="00553536"/>
    <w:rsid w:val="00554DBA"/>
    <w:rsid w:val="00556757"/>
    <w:rsid w:val="00557659"/>
    <w:rsid w:val="005602F2"/>
    <w:rsid w:val="00560A4B"/>
    <w:rsid w:val="00560FA9"/>
    <w:rsid w:val="005610DA"/>
    <w:rsid w:val="005615F1"/>
    <w:rsid w:val="00561876"/>
    <w:rsid w:val="00565ED9"/>
    <w:rsid w:val="00566ED7"/>
    <w:rsid w:val="005675C4"/>
    <w:rsid w:val="00567C8D"/>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5B88"/>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A0C"/>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A12"/>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302"/>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7CE1"/>
    <w:rsid w:val="006D03D1"/>
    <w:rsid w:val="006D0602"/>
    <w:rsid w:val="006D129F"/>
    <w:rsid w:val="006D1FA7"/>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1D81"/>
    <w:rsid w:val="00712D7C"/>
    <w:rsid w:val="00714BDB"/>
    <w:rsid w:val="00714C30"/>
    <w:rsid w:val="007156EA"/>
    <w:rsid w:val="00715A28"/>
    <w:rsid w:val="00715B0B"/>
    <w:rsid w:val="00715D4E"/>
    <w:rsid w:val="0071683A"/>
    <w:rsid w:val="00717483"/>
    <w:rsid w:val="00717534"/>
    <w:rsid w:val="00717D75"/>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30BF"/>
    <w:rsid w:val="007641FC"/>
    <w:rsid w:val="007651E6"/>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3821"/>
    <w:rsid w:val="008E4B5B"/>
    <w:rsid w:val="008E75F7"/>
    <w:rsid w:val="008F2389"/>
    <w:rsid w:val="008F503E"/>
    <w:rsid w:val="00900DC1"/>
    <w:rsid w:val="0090155F"/>
    <w:rsid w:val="00901CA8"/>
    <w:rsid w:val="00903EA5"/>
    <w:rsid w:val="0090401E"/>
    <w:rsid w:val="00904C46"/>
    <w:rsid w:val="009053D7"/>
    <w:rsid w:val="00906C9D"/>
    <w:rsid w:val="00906FE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5B"/>
    <w:rsid w:val="009A45E5"/>
    <w:rsid w:val="009A6218"/>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1FF1"/>
    <w:rsid w:val="00A64E90"/>
    <w:rsid w:val="00A6605B"/>
    <w:rsid w:val="00A67C72"/>
    <w:rsid w:val="00A67E25"/>
    <w:rsid w:val="00A70CE1"/>
    <w:rsid w:val="00A7216C"/>
    <w:rsid w:val="00A737A3"/>
    <w:rsid w:val="00A76C9B"/>
    <w:rsid w:val="00A77021"/>
    <w:rsid w:val="00A8048D"/>
    <w:rsid w:val="00A86C93"/>
    <w:rsid w:val="00A904DB"/>
    <w:rsid w:val="00A90F77"/>
    <w:rsid w:val="00A9318F"/>
    <w:rsid w:val="00A93D35"/>
    <w:rsid w:val="00AA5BB7"/>
    <w:rsid w:val="00AA5DF4"/>
    <w:rsid w:val="00AB015D"/>
    <w:rsid w:val="00AB081F"/>
    <w:rsid w:val="00AB0B43"/>
    <w:rsid w:val="00AB0D4C"/>
    <w:rsid w:val="00AB2A2B"/>
    <w:rsid w:val="00AB3592"/>
    <w:rsid w:val="00AB4AC9"/>
    <w:rsid w:val="00AB5DD7"/>
    <w:rsid w:val="00AB67E8"/>
    <w:rsid w:val="00AC0172"/>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CA1"/>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B6D"/>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2A03"/>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87B08"/>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128"/>
    <w:rsid w:val="00BB2787"/>
    <w:rsid w:val="00BB2850"/>
    <w:rsid w:val="00BB2B42"/>
    <w:rsid w:val="00BB387D"/>
    <w:rsid w:val="00BB3C09"/>
    <w:rsid w:val="00BB696E"/>
    <w:rsid w:val="00BB71EB"/>
    <w:rsid w:val="00BC11B0"/>
    <w:rsid w:val="00BC1C4D"/>
    <w:rsid w:val="00BC333B"/>
    <w:rsid w:val="00BC33E9"/>
    <w:rsid w:val="00BC4E22"/>
    <w:rsid w:val="00BC5CF2"/>
    <w:rsid w:val="00BC6666"/>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E6443"/>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25BF"/>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5DBA"/>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BD5"/>
    <w:rsid w:val="00D13DCD"/>
    <w:rsid w:val="00D143EF"/>
    <w:rsid w:val="00D14C62"/>
    <w:rsid w:val="00D16557"/>
    <w:rsid w:val="00D1691C"/>
    <w:rsid w:val="00D171CC"/>
    <w:rsid w:val="00D17888"/>
    <w:rsid w:val="00D17961"/>
    <w:rsid w:val="00D2021B"/>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6776C"/>
    <w:rsid w:val="00D710FC"/>
    <w:rsid w:val="00D71146"/>
    <w:rsid w:val="00D725EE"/>
    <w:rsid w:val="00D745D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0993"/>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8C"/>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0C4"/>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5E6F"/>
    <w:rsid w:val="00FE62DF"/>
    <w:rsid w:val="00FE6C7E"/>
    <w:rsid w:val="00FE7491"/>
    <w:rsid w:val="00FE765B"/>
    <w:rsid w:val="00FE7B00"/>
    <w:rsid w:val="00FE7DBA"/>
    <w:rsid w:val="00FF012B"/>
    <w:rsid w:val="00FF0C02"/>
    <w:rsid w:val="00FF1736"/>
    <w:rsid w:val="00FF3537"/>
    <w:rsid w:val="00FF39C1"/>
    <w:rsid w:val="00FF46C0"/>
    <w:rsid w:val="00FF71DA"/>
    <w:rsid w:val="00FF7AE0"/>
    <w:rsid w:val="00FF7F71"/>
    <w:rsid w:val="02D86B7B"/>
    <w:rsid w:val="073D100E"/>
    <w:rsid w:val="075BF409"/>
    <w:rsid w:val="15B9E2FE"/>
    <w:rsid w:val="24020B9C"/>
    <w:rsid w:val="25B766A0"/>
    <w:rsid w:val="3A2EF6A5"/>
    <w:rsid w:val="3B2A19AD"/>
    <w:rsid w:val="3DF713ED"/>
    <w:rsid w:val="4337917C"/>
    <w:rsid w:val="4A77A29E"/>
    <w:rsid w:val="4BA2F45D"/>
    <w:rsid w:val="62404E0B"/>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4"/>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26720709">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2433994">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3865173">
      <w:bodyDiv w:val="1"/>
      <w:marLeft w:val="0"/>
      <w:marRight w:val="0"/>
      <w:marTop w:val="0"/>
      <w:marBottom w:val="0"/>
      <w:divBdr>
        <w:top w:val="none" w:sz="0" w:space="0" w:color="auto"/>
        <w:left w:val="none" w:sz="0" w:space="0" w:color="auto"/>
        <w:bottom w:val="none" w:sz="0" w:space="0" w:color="auto"/>
        <w:right w:val="none" w:sz="0" w:space="0" w:color="auto"/>
      </w:divBdr>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887643766">
      <w:bodyDiv w:val="1"/>
      <w:marLeft w:val="0"/>
      <w:marRight w:val="0"/>
      <w:marTop w:val="0"/>
      <w:marBottom w:val="0"/>
      <w:divBdr>
        <w:top w:val="none" w:sz="0" w:space="0" w:color="auto"/>
        <w:left w:val="none" w:sz="0" w:space="0" w:color="auto"/>
        <w:bottom w:val="none" w:sz="0" w:space="0" w:color="auto"/>
        <w:right w:val="none" w:sz="0" w:space="0" w:color="auto"/>
      </w:divBdr>
    </w:div>
    <w:div w:id="900093770">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1058522">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1331656">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51412811">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551A1B15-85EE-46E2-BB75-23214302A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3.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4.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5dd00967-b3aa-422c-bfd9-c34c22a3a860"/>
    <ds:schemaRef ds:uri="20baec37-742c-4469-a9a4-4cd93cc36545"/>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1757</Characters>
  <Application>Microsoft Office Word</Application>
  <DocSecurity>0</DocSecurity>
  <Lines>33</Lines>
  <Paragraphs>16</Paragraphs>
  <ScaleCrop>false</ScaleCrop>
  <Company>European Commission</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2026-04-22T14:18:00Z</dcterms:created>
  <dcterms:modified xsi:type="dcterms:W3CDTF">2026-04-22T14:18:00Z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