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AD3900F" w:rsidR="00AC3C06" w:rsidRPr="00A15692" w:rsidRDefault="00AC3C06" w:rsidP="006213D6">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renouvelant l’autorisation de mise sur le marché de produits contenant du coton génétiquement modifié T304-40, consistant en ce coton ou produits à partir de celui-ci, en application du règlement (CE) nº 1829/2003 du Parlement européen et du Conseil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11199951" w:rsidR="005125FE" w:rsidRPr="00942D99"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 xml:space="preserve">Références: </w:t>
      </w:r>
      <w:r>
        <w:rPr>
          <w:rFonts w:ascii="Times New Roman" w:hAnsi="Times New Roman"/>
        </w:rPr>
        <w:t>2026/2518(RSP) / B10-0108/2026 / P10_TA(2026)0044</w:t>
      </w:r>
    </w:p>
    <w:p w14:paraId="6B756516" w14:textId="13C5D5AF"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11 février 2026</w:t>
      </w:r>
    </w:p>
    <w:p w14:paraId="11B3DB8E" w14:textId="1325DB66"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1008733F" w:rsidR="00AC3C06" w:rsidRPr="00A15692" w:rsidRDefault="00AC3C06" w:rsidP="2E2B9A21">
      <w:pPr>
        <w:spacing w:after="120"/>
        <w:rPr>
          <w:rFonts w:ascii="Times New Roman" w:eastAsia="Calibri" w:hAnsi="Times New Roman"/>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aux motifs qu’il excède les compétences d’exécution prévues dans le règlement (CE) nº 1829/2003 (</w:t>
      </w:r>
      <w:r>
        <w:rPr>
          <w:rFonts w:ascii="Times New Roman" w:hAnsi="Times New Roman"/>
          <w:b/>
        </w:rPr>
        <w:t>paragraphe 1</w:t>
      </w:r>
      <w:r>
        <w:rPr>
          <w:rFonts w:ascii="Times New Roman" w:hAnsi="Times New Roman"/>
        </w:rPr>
        <w:t>) et qu’il est incompatible avec l’objectif dudit règlement et avec les principes généraux du règlement (CE) nº 178/2002, consistant à garantir la protection de la vie et de la santé humaines, de la santé et du bien-être des animaux, de l’environnement et des intérêts des consommateurs, tout en assurant le bon fonctionnement du marché intérieur (</w:t>
      </w:r>
      <w:r>
        <w:rPr>
          <w:rFonts w:ascii="Times New Roman" w:hAnsi="Times New Roman"/>
          <w:b/>
        </w:rPr>
        <w:t>paragraphe 2</w:t>
      </w:r>
      <w:r>
        <w:rPr>
          <w:rFonts w:ascii="Times New Roman" w:hAnsi="Times New Roman"/>
        </w:rPr>
        <w:t>).</w:t>
      </w:r>
    </w:p>
    <w:p w14:paraId="121636B8" w14:textId="1E1B7E43" w:rsidR="000C55C4" w:rsidRPr="00A15692" w:rsidRDefault="00CC4D64" w:rsidP="00BC2F64">
      <w:pPr>
        <w:pStyle w:val="NoSpacing"/>
        <w:spacing w:after="120"/>
        <w:rPr>
          <w:color w:val="000000" w:themeColor="text1"/>
        </w:rPr>
      </w:pPr>
      <w:r>
        <w:t>Dans sa résolution, le Parlement européen invite la Commission à ne pas renouveler l’autorisation du coton génétiquement modifié en raison des préoccupations liées à l’utilisation accrue d’herbicides complémentaires et des risques présumés pour la biodiversité, la sécurité alimentaire, des moyens de subsistance des agriculteurs et de la santé animale, ainsi que du manque de données permettant d’évaluer les effets cumulés et combinés, les études toxicologiques à long terme ou les conséquences écologiques indirectes de l’utilisation accrue d’herbicides, conformément à l’approche «Une seule santé» (</w:t>
      </w:r>
      <w:r>
        <w:rPr>
          <w:b/>
        </w:rPr>
        <w:t>paragraphe 4</w:t>
      </w:r>
      <w:r>
        <w:t xml:space="preserve">, </w:t>
      </w:r>
      <w:r>
        <w:rPr>
          <w:b/>
        </w:rPr>
        <w:t>considérants E</w:t>
      </w:r>
      <w:r>
        <w:t xml:space="preserve"> à </w:t>
      </w:r>
      <w:r>
        <w:rPr>
          <w:b/>
        </w:rPr>
        <w:t>K</w:t>
      </w:r>
      <w:r>
        <w:t xml:space="preserve"> et </w:t>
      </w:r>
      <w:r>
        <w:rPr>
          <w:b/>
        </w:rPr>
        <w:t>considérant Q</w:t>
      </w:r>
      <w:r>
        <w:t>).</w:t>
      </w:r>
      <w:r>
        <w:rPr>
          <w:color w:val="000000" w:themeColor="text1"/>
        </w:rPr>
        <w:t xml:space="preserve"> </w:t>
      </w:r>
    </w:p>
    <w:p w14:paraId="4CC5E2DF" w14:textId="27BFC52C" w:rsidR="003656FC" w:rsidRPr="00A15692" w:rsidRDefault="003656FC" w:rsidP="00BC2F64">
      <w:pPr>
        <w:pStyle w:val="NoSpacing"/>
        <w:spacing w:after="120"/>
        <w:rPr>
          <w:color w:val="000000" w:themeColor="text1"/>
        </w:rPr>
      </w:pPr>
      <w:r>
        <w:t xml:space="preserve">Le Parlement considère que </w:t>
      </w:r>
      <w:bookmarkStart w:id="1" w:name="_Hlk219199469"/>
      <w:r>
        <w:t>les garanties d’indépendance du suivi et de la surveillance des effets néfastes potentiels</w:t>
      </w:r>
      <w:bookmarkEnd w:id="1"/>
      <w:r>
        <w:t xml:space="preserve"> sur la biodiversité, la santé des sols, les pollinisateurs et les organismes non ciblés restent insuffisantes (</w:t>
      </w:r>
      <w:r>
        <w:rPr>
          <w:b/>
        </w:rPr>
        <w:t>considérant I</w:t>
      </w:r>
      <w:r>
        <w:t>).</w:t>
      </w:r>
      <w:r>
        <w:rPr>
          <w:rFonts w:ascii="Courier New" w:hAnsi="Courier New"/>
          <w:bdr w:val="none" w:sz="0" w:space="0" w:color="auto"/>
        </w:rPr>
        <w:t xml:space="preserve"> </w:t>
      </w:r>
    </w:p>
    <w:p w14:paraId="6A4525AF" w14:textId="1FC78EE8" w:rsidR="00111791" w:rsidRPr="00A15692" w:rsidRDefault="00111791" w:rsidP="00BC2F64">
      <w:pPr>
        <w:pStyle w:val="NoSpacing"/>
        <w:spacing w:after="120"/>
        <w:rPr>
          <w:b/>
          <w:bCs/>
        </w:rPr>
      </w:pPr>
      <w:r>
        <w:t xml:space="preserve">Dans sa résolution, le Parlement demande instamment à la Commission de tenir compte des obligations qui incombent à l’UE en matière de réduction des pesticides en vertu d’accords internationaux, tels que l’accord de Paris sur le climat, la convention des Nations unies sur la diversité biologique et les objectifs de développement durable des Nations unies. Il considère également que l’autorisation d’importer pour l’alimentation humaine ou animale toute plante génétiquement modifiée rendue tolérante aux herbicides interdits dans l’Union est incompatible avec ces engagements et permettrait des importations non conformes aux normes observées par </w:t>
      </w:r>
      <w:r>
        <w:lastRenderedPageBreak/>
        <w:t>les agriculteurs de l’Union, ce qui les placerait dans une situation de désavantage concurrentiel (</w:t>
      </w:r>
      <w:r>
        <w:rPr>
          <w:b/>
        </w:rPr>
        <w:t>considérants L</w:t>
      </w:r>
      <w:r>
        <w:t xml:space="preserve"> et </w:t>
      </w:r>
      <w:r>
        <w:rPr>
          <w:b/>
        </w:rPr>
        <w:t>M</w:t>
      </w:r>
      <w:r>
        <w:t xml:space="preserve"> et </w:t>
      </w:r>
      <w:r>
        <w:rPr>
          <w:b/>
        </w:rPr>
        <w:t>paragraphe 6</w:t>
      </w:r>
      <w:r>
        <w:t>).</w:t>
      </w:r>
      <w:r>
        <w:rPr>
          <w:rFonts w:ascii="Courier New" w:hAnsi="Courier New"/>
          <w:bdr w:val="none" w:sz="0" w:space="0" w:color="auto"/>
        </w:rPr>
        <w:t xml:space="preserve"> </w:t>
      </w:r>
    </w:p>
    <w:p w14:paraId="51154030" w14:textId="150B981C" w:rsidR="003656FC" w:rsidRPr="00A15692" w:rsidRDefault="003656FC" w:rsidP="003656FC">
      <w:pPr>
        <w:pStyle w:val="NoSpacing"/>
        <w:spacing w:after="180"/>
        <w:rPr>
          <w:color w:val="000000" w:themeColor="text1"/>
        </w:rPr>
      </w:pPr>
      <w:r>
        <w:t>La résolution renvoie aux conclusions du dialogue stratégique sur l’avenir de l’agriculture dans l’UE, qui invitent la Commission à reconsidérer son approche de l’accès des importations et des exportations agroalimentaires aux marchés, compte tenu des difficultés découlant de la divergence des normes entre l’Union et ses partenaires commerciaux. Il y est également rappelé que, lors des manifestations de 2023, 2024 et 2025, l’une des principales revendications des agriculteurs concernait l’instauration, à l’échelle mondiale, de relations commerciales plus équitables et compatibles avec les objectifs d’un environnement sain (</w:t>
      </w:r>
      <w:r>
        <w:rPr>
          <w:b/>
        </w:rPr>
        <w:t>considérant N</w:t>
      </w:r>
      <w:r>
        <w:t>).</w:t>
      </w:r>
    </w:p>
    <w:p w14:paraId="11472D2D" w14:textId="04758030" w:rsidR="006A2D96" w:rsidRPr="00A15692" w:rsidRDefault="00494E27" w:rsidP="00BC2F64">
      <w:pPr>
        <w:pStyle w:val="Text1"/>
        <w:spacing w:after="120"/>
        <w:ind w:left="0"/>
        <w:rPr>
          <w:color w:val="000000" w:themeColor="text1"/>
        </w:rPr>
      </w:pPr>
      <w:r>
        <w:rPr>
          <w:color w:val="000000" w:themeColor="text1"/>
        </w:rPr>
        <w:t>Dans sa résolution, le Parlement invite la Commission à présenter sans retard une proposition législative visant à réformer la procédure décisionnelle relative aux organismes génétiquement modifiés (OGM) afin de répondre aux objections constantes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considérants O</w:t>
      </w:r>
      <w:r>
        <w:rPr>
          <w:color w:val="000000" w:themeColor="text1"/>
        </w:rPr>
        <w:t xml:space="preserve"> et </w:t>
      </w:r>
      <w:r>
        <w:rPr>
          <w:b/>
          <w:color w:val="000000" w:themeColor="text1"/>
        </w:rPr>
        <w:t>P</w:t>
      </w:r>
      <w:r>
        <w:rPr>
          <w:color w:val="000000" w:themeColor="text1"/>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353054C2" w:rsidR="005125FE" w:rsidRPr="00A15692" w:rsidRDefault="005125FE" w:rsidP="005125FE">
      <w:pPr>
        <w:spacing w:after="120"/>
        <w:rPr>
          <w:rFonts w:ascii="Times New Roman" w:eastAsia="Calibri" w:hAnsi="Times New Roman"/>
          <w:szCs w:val="24"/>
        </w:rPr>
      </w:pPr>
      <w:r>
        <w:rPr>
          <w:rFonts w:ascii="Times New Roman" w:hAnsi="Times New Roman"/>
        </w:rPr>
        <w:t>La Commission tient à rappeler que le projet de décision d’exécution en question concerne le renouvellement de l’autorisation de mise sur le marché de produits contenant du coton génétiquement modifié T304-40, consistant en ce coton ou produits à partir de celui-ci, mais non la culture de ce coton.</w:t>
      </w:r>
    </w:p>
    <w:p w14:paraId="1325178A" w14:textId="4095E191" w:rsidR="005125FE" w:rsidRPr="00A15692" w:rsidRDefault="005125FE" w:rsidP="53491A1A">
      <w:pPr>
        <w:spacing w:after="120"/>
        <w:rPr>
          <w:rFonts w:ascii="Times New Roman" w:eastAsia="Calibri" w:hAnsi="Times New Roman"/>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 </w:t>
      </w:r>
      <w:r>
        <w:rPr>
          <w:rFonts w:ascii="Times New Roman" w:hAnsi="Times New Roman"/>
          <w:b/>
        </w:rPr>
        <w:t>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C793715" w14:textId="45C22775" w:rsidR="00E73E52" w:rsidRPr="00A15692" w:rsidRDefault="00266E38" w:rsidP="2E2B9A21">
      <w:pPr>
        <w:numPr>
          <w:ilvl w:val="0"/>
          <w:numId w:val="3"/>
        </w:numPr>
        <w:spacing w:after="120"/>
        <w:ind w:left="714" w:hanging="357"/>
        <w:rPr>
          <w:rFonts w:ascii="Times New Roman" w:eastAsia="Calibri" w:hAnsi="Times New Roman"/>
        </w:rPr>
      </w:pPr>
      <w:r>
        <w:rPr>
          <w:rFonts w:ascii="Times New Roman" w:hAnsi="Times New Roman"/>
        </w:rPr>
        <w:t>le 22 mars 2024, BASF SE., au nom de BASF Agricultural Solutions US LLC, basée aux États-Unis, a adressé à la Commission, conformément aux articles 11 et 23 du règlement (CE) nº 1829/2003, une demande de renouvellement de l’autorisation de mise sur le marché de ce coton génétiquement modifié destiné à l’alimentation humaine et animale et à d’autres utilisations, à l’exception de la culture;</w:t>
      </w:r>
    </w:p>
    <w:p w14:paraId="174202C9" w14:textId="4CC7CE74" w:rsidR="00E73E52" w:rsidRPr="00A15692" w:rsidRDefault="00E73E52" w:rsidP="008B79B6">
      <w:pPr>
        <w:numPr>
          <w:ilvl w:val="0"/>
          <w:numId w:val="3"/>
        </w:numPr>
        <w:spacing w:after="120"/>
        <w:ind w:left="714" w:hanging="357"/>
        <w:rPr>
          <w:rFonts w:ascii="Times New Roman" w:eastAsia="Calibri" w:hAnsi="Times New Roman"/>
          <w:szCs w:val="24"/>
        </w:rPr>
      </w:pPr>
      <w:r>
        <w:rPr>
          <w:rFonts w:ascii="Times New Roman" w:hAnsi="Times New Roman"/>
        </w:rPr>
        <w:t>le 22 juillet 2025, l’Autorité européenne de sécurité des aliments (EFSA) a publié, conformément aux articles 6 et 18 du règlement (CE) nº 1829/2003, un avis concluant que ce coton est aussi sûr que le produit conventionnel de référence et les variétés de référence de coton non génétiquement modifié testées en ce qui concerne leurs effets potentiels sur la santé humaine et animale et sur l’environnement;</w:t>
      </w:r>
    </w:p>
    <w:p w14:paraId="7AA7BDAC" w14:textId="77777777" w:rsidR="005B1CB0" w:rsidRPr="00A15692"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242462A2" w:rsidR="005B1CB0" w:rsidRPr="00A15692" w:rsidRDefault="008B79B6" w:rsidP="00FA13BD">
      <w:pPr>
        <w:numPr>
          <w:ilvl w:val="0"/>
          <w:numId w:val="3"/>
        </w:numPr>
        <w:spacing w:after="120"/>
        <w:rPr>
          <w:rFonts w:ascii="Times New Roman" w:eastAsia="Calibri" w:hAnsi="Times New Roman"/>
          <w:szCs w:val="24"/>
        </w:rPr>
      </w:pPr>
      <w:r>
        <w:rPr>
          <w:rFonts w:ascii="Times New Roman" w:hAnsi="Times New Roman"/>
        </w:rPr>
        <w:t>l’avis de l’EFSA a fait l’objet d’une consultation publique et aucune observation n’a été reçue;</w:t>
      </w:r>
    </w:p>
    <w:p w14:paraId="703B8701" w14:textId="575B65D2" w:rsidR="003A1CB2"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lastRenderedPageBreak/>
        <w:t>le projet de décision a fait l’objet d’un vote au sein du comité permanent le 12 décembre 2025 et aucune majorité qualifiée favorable ou défavorable n’a été dégagée;</w:t>
      </w:r>
    </w:p>
    <w:p w14:paraId="366EFE43" w14:textId="797FBC99" w:rsidR="005125FE"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27 janvier 2026 et aucune majorité qualifiée favorable ou défavorable n’a été dégagée;</w:t>
      </w:r>
    </w:p>
    <w:p w14:paraId="15DFE5A1" w14:textId="7B00C492" w:rsidR="00B50812" w:rsidRPr="00A15692"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054E3D18" w:rsidR="003A1CB2" w:rsidRPr="00A15692" w:rsidRDefault="003A1CB2" w:rsidP="53491A1A">
      <w:pPr>
        <w:pStyle w:val="ListParagraph"/>
        <w:numPr>
          <w:ilvl w:val="0"/>
          <w:numId w:val="3"/>
        </w:numPr>
        <w:spacing w:after="120"/>
        <w:contextualSpacing w:val="0"/>
        <w:rPr>
          <w:rFonts w:ascii="Times New Roman" w:eastAsia="Calibri" w:hAnsi="Times New Roman"/>
        </w:rPr>
      </w:pPr>
      <w:r>
        <w:rPr>
          <w:rFonts w:ascii="Times New Roman" w:hAnsi="Times New Roman"/>
        </w:rPr>
        <w:t>conformément aux règles énoncées dans le règlement (UE) nº 182/2011 relatif à la comitologie, il appartient à la Commission d’adopter cette décision;</w:t>
      </w:r>
    </w:p>
    <w:p w14:paraId="7EDC23A1" w14:textId="447090CA" w:rsidR="00DD33EE" w:rsidRPr="00A15692" w:rsidRDefault="00DD33EE" w:rsidP="2E2B9A21">
      <w:pPr>
        <w:pStyle w:val="ListParagraph"/>
        <w:numPr>
          <w:ilvl w:val="0"/>
          <w:numId w:val="3"/>
        </w:numPr>
        <w:spacing w:after="120"/>
        <w:contextualSpacing w:val="0"/>
        <w:rPr>
          <w:rFonts w:ascii="Times New Roman" w:eastAsia="Calibri" w:hAnsi="Times New Roman"/>
        </w:rPr>
      </w:pPr>
      <w:r>
        <w:rPr>
          <w:rFonts w:ascii="Times New Roman" w:hAnsi="Times New Roman"/>
        </w:rPr>
        <w:t>sur cette base, la Commission a adopté cette décision le 10 mars 2026.</w:t>
      </w:r>
    </w:p>
    <w:p w14:paraId="08C850A6" w14:textId="2D6F74B1" w:rsidR="007E0709" w:rsidRDefault="007E0709" w:rsidP="53491A1A">
      <w:pPr>
        <w:spacing w:after="120"/>
        <w:rPr>
          <w:rFonts w:ascii="Times New Roman" w:eastAsia="Calibri" w:hAnsi="Times New Roman"/>
        </w:rPr>
      </w:pPr>
      <w:r>
        <w:rPr>
          <w:rFonts w:ascii="Times New Roman" w:hAnsi="Times New Roman"/>
        </w:rPr>
        <w:t>La Commission estime qu’elle n’a pas excédé ses pouvoirs d’exécution en procédant à l’adoption d’une décision relative à la demande, conformément au règlement nº 1829/2003, et qu’elle a ainsi pleinement respecté les conditions de fond et de procédure fixées par les colégislateurs dans le règlement nº 1829/2003, lu en combinaison avec le règlement (CE) nº 182/2011.</w:t>
      </w:r>
    </w:p>
    <w:p w14:paraId="6F779681" w14:textId="27DC85F1" w:rsidR="005125FE" w:rsidRPr="00A15692" w:rsidRDefault="005125FE" w:rsidP="53491A1A">
      <w:pPr>
        <w:spacing w:after="120"/>
        <w:rPr>
          <w:rFonts w:ascii="Times New Roman" w:eastAsia="Calibri" w:hAnsi="Times New Roman"/>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tient à formuler les observations énoncées ci-après.</w:t>
      </w:r>
    </w:p>
    <w:p w14:paraId="07F484D6" w14:textId="7A1ADCF1" w:rsidR="00607104" w:rsidRPr="00A15692" w:rsidRDefault="00BF04F3" w:rsidP="2E2B9A21">
      <w:pPr>
        <w:rPr>
          <w:rFonts w:ascii="Times New Roman" w:eastAsia="Calibri" w:hAnsi="Times New Roman"/>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Par conséquent, la Commission estime que sa décision est conforme aux objectifs de la législation de l’UE sur les denrées alimentaires et les aliments pour animaux génétiquement modifiés, de la législation alimentaire générale de l’UE, du principe de précaution et de l’approche «Une seule santé» (</w:t>
      </w:r>
      <w:r>
        <w:rPr>
          <w:rFonts w:ascii="Times New Roman" w:hAnsi="Times New Roman"/>
          <w:b/>
          <w:bCs/>
        </w:rPr>
        <w:t>paragraphe 2</w:t>
      </w:r>
      <w:r>
        <w:rPr>
          <w:rFonts w:ascii="Times New Roman" w:hAnsi="Times New Roman"/>
        </w:rPr>
        <w:t xml:space="preserve">). </w:t>
      </w:r>
    </w:p>
    <w:p w14:paraId="3A270FC6" w14:textId="1FDFB4FF" w:rsidR="00CA5CEC" w:rsidRPr="00A15692" w:rsidRDefault="006213D6" w:rsidP="53491A1A">
      <w:pPr>
        <w:spacing w:after="120"/>
        <w:rPr>
          <w:rFonts w:ascii="Times New Roman" w:eastAsia="Calibri" w:hAnsi="Times New Roman"/>
        </w:rPr>
      </w:pPr>
      <w:r>
        <w:rPr>
          <w:rFonts w:ascii="Times New Roman" w:hAnsi="Times New Roman"/>
        </w:rPr>
        <w:t>En ce qui concerne l’invitation faite à la Commission de ne pas renouveler l’autorisation de la culture génétiquement modifiée en raison de l’absence de preuves suffisantes quant à son incidence à long terme sur la biodiversité, la sécurité alimentaire, les moyens de subsistance des agriculteurs, conformément à l’approche «Une seule santé», et des risques associés à l’utilisation d’herbicides (</w:t>
      </w:r>
      <w:r>
        <w:rPr>
          <w:rFonts w:ascii="Times New Roman" w:hAnsi="Times New Roman"/>
          <w:b/>
        </w:rPr>
        <w:t>paragraphe 4</w:t>
      </w:r>
      <w:r>
        <w:rPr>
          <w:rFonts w:ascii="Times New Roman" w:hAnsi="Times New Roman"/>
        </w:rPr>
        <w:t xml:space="preserve"> et </w:t>
      </w:r>
      <w:r>
        <w:rPr>
          <w:rFonts w:ascii="Times New Roman" w:hAnsi="Times New Roman"/>
          <w:b/>
        </w:rPr>
        <w:t>considérants E</w:t>
      </w:r>
      <w:r>
        <w:rPr>
          <w:rFonts w:ascii="Times New Roman" w:hAnsi="Times New Roman"/>
        </w:rPr>
        <w:t xml:space="preserve"> à </w:t>
      </w:r>
      <w:r>
        <w:rPr>
          <w:rFonts w:ascii="Times New Roman" w:hAnsi="Times New Roman"/>
          <w:b/>
        </w:rPr>
        <w:t>K</w:t>
      </w:r>
      <w:r>
        <w:rPr>
          <w:rFonts w:ascii="Times New Roman" w:hAnsi="Times New Roman"/>
        </w:rPr>
        <w:t xml:space="preserve"> et </w:t>
      </w:r>
      <w:r>
        <w:rPr>
          <w:rFonts w:ascii="Times New Roman" w:hAnsi="Times New Roman"/>
          <w:b/>
        </w:rPr>
        <w:t>Q</w:t>
      </w:r>
      <w:r>
        <w:rPr>
          <w:rFonts w:ascii="Times New Roman" w:hAnsi="Times New Roman"/>
        </w:rPr>
        <w:t xml:space="preserve">), l’évaluation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dans les limites des responsabilités de l’EFSA. </w:t>
      </w:r>
    </w:p>
    <w:p w14:paraId="5CBCE35B" w14:textId="665A882D" w:rsidR="00A44DFD" w:rsidRPr="00A15692" w:rsidRDefault="00A44DFD" w:rsidP="00BF04F3">
      <w:pPr>
        <w:spacing w:after="120"/>
        <w:rPr>
          <w:rFonts w:ascii="Times New Roman" w:eastAsia="Calibri" w:hAnsi="Times New Roman"/>
          <w:szCs w:val="24"/>
        </w:rPr>
      </w:pPr>
      <w:r>
        <w:rPr>
          <w:rFonts w:ascii="Times New Roman" w:hAnsi="Times New Roman"/>
        </w:rPr>
        <w:t>La Commission tient à souligner que, bien que l’autorisation des OGM ne soit pas liée à l’autorisation des herbicides, les deux systèmes d’autorisation sont conçus pour assurer un niveau élevé de protection de la santé et de l’environnement.</w:t>
      </w:r>
    </w:p>
    <w:p w14:paraId="1B15134C" w14:textId="06AE21FA" w:rsidR="00A44DFD" w:rsidRDefault="00A44DFD" w:rsidP="2E2B9A21">
      <w:pPr>
        <w:spacing w:after="120"/>
        <w:rPr>
          <w:rFonts w:ascii="Times New Roman" w:eastAsia="Calibri" w:hAnsi="Times New Roman"/>
        </w:rPr>
      </w:pPr>
      <w:r>
        <w:rPr>
          <w:rFonts w:ascii="Times New Roman" w:hAnsi="Times New Roman"/>
        </w:rPr>
        <w:t>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L’évaluation de l’EFSA a abouti à une conclusion positive en ce qui concerne la culture génétiquement modifiée concernée par cette résolution.</w:t>
      </w:r>
    </w:p>
    <w:p w14:paraId="07B01F44" w14:textId="739B0016" w:rsidR="000D4082" w:rsidRPr="000D4082" w:rsidRDefault="000D4082" w:rsidP="000D4082">
      <w:pPr>
        <w:pStyle w:val="NormalHanging12a"/>
        <w:widowControl/>
        <w:spacing w:after="120"/>
        <w:ind w:left="0" w:firstLine="0"/>
        <w:jc w:val="both"/>
        <w:rPr>
          <w:rFonts w:eastAsia="Calibri"/>
        </w:rPr>
      </w:pPr>
      <w:r>
        <w:lastRenderedPageBreak/>
        <w:t>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 et aliments pour animaux concernés, nationaux ou importés, y compris aux produits génétiquement modifiés, et garantissent une protection complète de la santé des consommateurs de l’UE. Le glufosinate, auquel cette culture génétiquement modifiée est tolérante, n’est plus approuvé dans l’UE parce que le demandeur a retiré une demande de renouvellement qu’il avait présentée précédemment. Le glufosinate est classé comme toxique pour la reproduction 1B (</w:t>
      </w:r>
      <w:r>
        <w:rPr>
          <w:b/>
        </w:rPr>
        <w:t>considérant H</w:t>
      </w:r>
      <w:r>
        <w:t xml:space="preserve">) et la Commission réexaminera les LMR existantes dès que l’évaluation des LMR pour le glufosinate actuellement menée par l’EFSA aura été achevée. </w:t>
      </w:r>
    </w:p>
    <w:p w14:paraId="496BF5C0" w14:textId="15180380" w:rsidR="00D33AB5" w:rsidRPr="00A15692" w:rsidRDefault="00BF04F3" w:rsidP="2E2B9A21">
      <w:pPr>
        <w:spacing w:after="120"/>
        <w:rPr>
          <w:rFonts w:ascii="Times New Roman" w:eastAsia="Calibri" w:hAnsi="Times New Roman"/>
        </w:rPr>
      </w:pPr>
      <w:r>
        <w:rPr>
          <w:rFonts w:ascii="Times New Roman" w:hAnsi="Times New Roman"/>
        </w:rPr>
        <w:t>En ce qui concerne les préoccupations relatives à l’insuffisance des garanties d’indépendance du suivi et de la surveillance des effets néfastes potentiels (</w:t>
      </w:r>
      <w:r>
        <w:rPr>
          <w:rFonts w:ascii="Times New Roman" w:hAnsi="Times New Roman"/>
          <w:b/>
        </w:rPr>
        <w:t>considérant I</w:t>
      </w:r>
      <w:r>
        <w:rPr>
          <w:rFonts w:ascii="Times New Roman" w:hAnsi="Times New Roman"/>
        </w:rPr>
        <w:t>), la surveillance environnementale consécutive à la mise sur le marché se compose, conformément à la directive 2001/18/CE, d’une surveillance générale et d’une surveillance au cas par cas lorsque des risques spécifiques ont été détectés au cours de l’évaluation des risques pour l’environnement. Aucun risque spécifique n’a été mis en évidence au cours de l’évaluation des risques pour l’environnement par l’EFSA, que ce soit dans l’évaluation initiale ou dans l’évaluation du renouvellement; et un plan de surveillance environnementale consécutive à la mise sur le marché, consistant en une surveillance générale, a été mis en place. Dans la demande de renouvellement, l’EFSA a évalué, conformément à la législation sur les OGM et à ses lignes directrices pertinentes, les rapports de surveillance environnementale consécutive à la mise sur le marché et a rendu un avis favorable en ce qui concerne la sécurité de la culture génétiquement modifiée pour l’environnement.</w:t>
      </w:r>
    </w:p>
    <w:p w14:paraId="1DBF6BB4" w14:textId="791707E1" w:rsidR="006853C3" w:rsidRPr="00A15692" w:rsidRDefault="006853C3" w:rsidP="00FA2376">
      <w:pPr>
        <w:spacing w:after="120"/>
        <w:rPr>
          <w:rFonts w:ascii="Times New Roman" w:eastAsia="Calibri" w:hAnsi="Times New Roman"/>
          <w:szCs w:val="24"/>
        </w:rPr>
      </w:pPr>
      <w:r>
        <w:rPr>
          <w:rFonts w:ascii="Times New Roman" w:hAnsi="Times New Roman"/>
        </w:rPr>
        <w:t>En ce qui concerne l’argument selon lequel le renouvellement de l’autorisation ne serait pas conforme aux engagements internationaux de l’UE en matière de réduction des pesticides (</w:t>
      </w:r>
      <w:r>
        <w:rPr>
          <w:rFonts w:ascii="Times New Roman" w:hAnsi="Times New Roman"/>
          <w:b/>
        </w:rPr>
        <w:t>considérant L</w:t>
      </w:r>
      <w:r>
        <w:rPr>
          <w:rFonts w:ascii="Times New Roman" w:hAnsi="Times New Roman"/>
        </w:rPr>
        <w:t xml:space="preserve">),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 </w:t>
      </w:r>
    </w:p>
    <w:p w14:paraId="2266EF09" w14:textId="2F3A6C38" w:rsidR="006853C3" w:rsidRDefault="006853C3" w:rsidP="00FA2376">
      <w:pPr>
        <w:spacing w:after="120"/>
        <w:rPr>
          <w:rFonts w:ascii="Times New Roman" w:hAnsi="Times New Roman"/>
        </w:rPr>
      </w:pPr>
      <w:r>
        <w:rPr>
          <w:rFonts w:ascii="Times New Roman" w:hAnsi="Times New Roman"/>
        </w:rPr>
        <w:t>En ce qui concerne la préoccupation selon laquelle l’autorisation d’importer, pour l’alimentation humaine ou animale, toute plante génétiquement modifiée rendue tolérante aux herbicides interdits dans l’Union permettrait des importations qui ne respectent pas les normes appliquées aux agriculteurs de l’Union, et l’invitation faite à la Commission de réévaluer son approche en matière d’accès au marché pour les importations et les exportations agroalimentaires (</w:t>
      </w:r>
      <w:r>
        <w:rPr>
          <w:rFonts w:ascii="Times New Roman" w:hAnsi="Times New Roman"/>
          <w:b/>
        </w:rPr>
        <w:t>considérants M</w:t>
      </w:r>
      <w:r>
        <w:rPr>
          <w:rFonts w:ascii="Times New Roman" w:hAnsi="Times New Roman"/>
        </w:rPr>
        <w:t xml:space="preserve"> et </w:t>
      </w:r>
      <w:r>
        <w:rPr>
          <w:rFonts w:ascii="Times New Roman" w:hAnsi="Times New Roman"/>
          <w:b/>
        </w:rPr>
        <w:t>N</w:t>
      </w:r>
      <w:r>
        <w:rPr>
          <w:rFonts w:ascii="Times New Roman" w:hAnsi="Times New Roman"/>
        </w:rPr>
        <w:t xml:space="preserve"> et </w:t>
      </w:r>
      <w:r>
        <w:rPr>
          <w:rFonts w:ascii="Times New Roman" w:hAnsi="Times New Roman"/>
          <w:b/>
        </w:rPr>
        <w:t>paragraphe 6</w:t>
      </w:r>
      <w:r>
        <w:rPr>
          <w:rFonts w:ascii="Times New Roman" w:hAnsi="Times New Roman"/>
        </w:rPr>
        <w:t xml:space="preserve">), il convient de noter que toutes les denrées alimentaires et tous les aliments pour animaux importés doivent être conformes aux réglementations et normes afférentes de l’Union en matière de sécurité et de santé, qui sont applicables indépendamment du fait que le produit soit produit sur le territoire national ou importé. </w:t>
      </w:r>
    </w:p>
    <w:p w14:paraId="0B10F01E" w14:textId="2C93393E" w:rsidR="000D4082" w:rsidRPr="000D4082" w:rsidRDefault="000D4082" w:rsidP="000D4082">
      <w:pPr>
        <w:pStyle w:val="NormalHanging12a"/>
        <w:widowControl/>
        <w:spacing w:after="120"/>
        <w:ind w:left="0" w:firstLine="0"/>
        <w:jc w:val="both"/>
        <w:rPr>
          <w:bCs/>
          <w:iCs/>
          <w:szCs w:val="24"/>
        </w:rPr>
      </w:pPr>
      <w:r>
        <w:t xml:space="preserve">Dans la vision pour l’agriculture et l’alimentation adoptée le 19 février 2025, la Commission a indiqué qu’elle s’efforcerait, conformément aux règles internationales, de renforcer l’alignement des normes de production appliquées aux produits importés. À cette fin, la Commission a lancé, en novembre 2025, une étude visant à préparer une analyse d’impact qui examinera les incidences sur la position concurrentielle de l’UE et les implications internationales de l’établissement du </w:t>
      </w:r>
      <w:r>
        <w:lastRenderedPageBreak/>
        <w:t xml:space="preserve">principe selon lequel les pesticides les plus dangereux interdits dans l’UE pour des raisons sanitaires et environnementales ne sont pas autorisés à retourner dans l’UE par l’intermédiaire de produits importés. </w:t>
      </w:r>
    </w:p>
    <w:p w14:paraId="3D1678A2" w14:textId="666FECC2" w:rsidR="00A014D0" w:rsidRPr="00A15692" w:rsidRDefault="00A014D0" w:rsidP="53491A1A">
      <w:pPr>
        <w:spacing w:after="120"/>
        <w:rPr>
          <w:rFonts w:ascii="Times New Roman" w:eastAsia="Calibri" w:hAnsi="Times New Roman"/>
        </w:rPr>
      </w:pPr>
      <w:r>
        <w:rPr>
          <w:rFonts w:ascii="Times New Roman" w:hAnsi="Times New Roman"/>
        </w:rPr>
        <w:t>Dans l’intervalle, la Commission a proposé, dans la proposition de train de mesures omnibus sur la simplification de la sécurité des denrées alimentaires et des aliments pour animaux</w:t>
      </w:r>
      <w:r>
        <w:rPr>
          <w:rStyle w:val="FootnoteReference"/>
          <w:rFonts w:ascii="Times New Roman" w:eastAsia="Calibri" w:hAnsi="Times New Roman"/>
          <w:lang w:val="en-IE" w:eastAsia="en-US"/>
        </w:rPr>
        <w:footnoteReference w:id="2"/>
      </w:r>
      <w:r>
        <w:rPr>
          <w:rFonts w:ascii="Times New Roman" w:hAnsi="Times New Roman"/>
        </w:rPr>
        <w:t xml:space="preserve">, récemment adoptée, une modification du règlement concernant les limites maximales applicables aux résidus de pesticides présents dans ou sur les denrées alimentaires et les aliments pour animaux d’origine végétale et animale [règlement (CE) n° 396/2005] afin que, au cas par cas, pour les substances qui ne sont pas approuvées dans l’UE et qui présentent certaines propriétés particulièrement dangereuses, les LMR qui ont été fixées sur la base des bonnes pratiques agricoles dans les pays tiers (également appelées «tolérances à l’importation») ou des limites maximales du Codex puissent être ramenées au niveau technique zéro si cela est jugé approprié à la lumière des résultats d’une analyse d’impact. </w:t>
      </w:r>
    </w:p>
    <w:p w14:paraId="41C8B80E" w14:textId="6DA287F5" w:rsidR="00CA5CEC" w:rsidRPr="001A4E57" w:rsidRDefault="007D2CB4" w:rsidP="00E37DCF">
      <w:pPr>
        <w:spacing w:after="120"/>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constantes du Parlement et à l’absence de soutien d’une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considérants O</w:t>
      </w:r>
      <w:r>
        <w:rPr>
          <w:rFonts w:ascii="Times New Roman" w:hAnsi="Times New Roman"/>
        </w:rPr>
        <w:t xml:space="preserve"> et </w:t>
      </w:r>
      <w:r>
        <w:rPr>
          <w:rFonts w:ascii="Times New Roman" w:hAnsi="Times New Roman"/>
          <w:b/>
        </w:rPr>
        <w:t>P</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le processus décisionnel relatif aux OGM. Cependant, les colégislateurs n’ont pas adopté cette proposition. Compte tenu de cette situation, la Commission a décidé de retirer la proposition le 16 juillet 2025 et le retrait a été publié le 6 octobre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C3E9" w14:textId="77777777" w:rsidR="009F566E" w:rsidRDefault="009F566E" w:rsidP="00FA2376">
      <w:pPr>
        <w:spacing w:after="0"/>
      </w:pPr>
      <w:r>
        <w:separator/>
      </w:r>
    </w:p>
  </w:endnote>
  <w:endnote w:type="continuationSeparator" w:id="0">
    <w:p w14:paraId="700609B0" w14:textId="77777777" w:rsidR="009F566E" w:rsidRDefault="009F566E" w:rsidP="00FA2376">
      <w:pPr>
        <w:spacing w:after="0"/>
      </w:pPr>
      <w:r>
        <w:continuationSeparator/>
      </w:r>
    </w:p>
  </w:endnote>
  <w:endnote w:type="continuationNotice" w:id="1">
    <w:p w14:paraId="70FF5EF4" w14:textId="77777777" w:rsidR="009F566E" w:rsidRDefault="009F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4A2F" w14:textId="77777777" w:rsidR="009F566E" w:rsidRDefault="009F566E" w:rsidP="00FA2376">
      <w:pPr>
        <w:spacing w:after="0"/>
      </w:pPr>
      <w:r>
        <w:separator/>
      </w:r>
    </w:p>
  </w:footnote>
  <w:footnote w:type="continuationSeparator" w:id="0">
    <w:p w14:paraId="1708526C" w14:textId="77777777" w:rsidR="009F566E" w:rsidRDefault="009F566E" w:rsidP="00FA2376">
      <w:pPr>
        <w:spacing w:after="0"/>
      </w:pPr>
      <w:r>
        <w:continuationSeparator/>
      </w:r>
    </w:p>
  </w:footnote>
  <w:footnote w:type="continuationNotice" w:id="1">
    <w:p w14:paraId="288659CC" w14:textId="77777777" w:rsidR="009F566E" w:rsidRDefault="009F566E">
      <w:pPr>
        <w:spacing w:after="0"/>
      </w:pPr>
    </w:p>
  </w:footnote>
  <w:footnote w:id="2">
    <w:p w14:paraId="353653DE" w14:textId="7E603007" w:rsidR="009C6B0C" w:rsidRPr="009C6B0C" w:rsidRDefault="009C6B0C" w:rsidP="009C6B0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COM(2025) 1030 final</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45E"/>
    <w:rsid w:val="00033173"/>
    <w:rsid w:val="00037C1D"/>
    <w:rsid w:val="00046908"/>
    <w:rsid w:val="00052388"/>
    <w:rsid w:val="00055C7C"/>
    <w:rsid w:val="00061376"/>
    <w:rsid w:val="00065711"/>
    <w:rsid w:val="00066E3D"/>
    <w:rsid w:val="000674BC"/>
    <w:rsid w:val="000749BE"/>
    <w:rsid w:val="00082388"/>
    <w:rsid w:val="000849CB"/>
    <w:rsid w:val="00090FA3"/>
    <w:rsid w:val="000A02B6"/>
    <w:rsid w:val="000B23E3"/>
    <w:rsid w:val="000C3A3A"/>
    <w:rsid w:val="000C53F5"/>
    <w:rsid w:val="000C55C4"/>
    <w:rsid w:val="000C5F19"/>
    <w:rsid w:val="000D2A14"/>
    <w:rsid w:val="000D4082"/>
    <w:rsid w:val="000D52C0"/>
    <w:rsid w:val="000E0CE7"/>
    <w:rsid w:val="000F5148"/>
    <w:rsid w:val="000F70B6"/>
    <w:rsid w:val="00105474"/>
    <w:rsid w:val="00110F67"/>
    <w:rsid w:val="00111791"/>
    <w:rsid w:val="00111A6A"/>
    <w:rsid w:val="0011249B"/>
    <w:rsid w:val="00114ADD"/>
    <w:rsid w:val="0012338F"/>
    <w:rsid w:val="0013203A"/>
    <w:rsid w:val="0013721E"/>
    <w:rsid w:val="0015499D"/>
    <w:rsid w:val="001614E4"/>
    <w:rsid w:val="00161EF9"/>
    <w:rsid w:val="0016779E"/>
    <w:rsid w:val="00176356"/>
    <w:rsid w:val="00176E0B"/>
    <w:rsid w:val="00182202"/>
    <w:rsid w:val="00193938"/>
    <w:rsid w:val="001A4E57"/>
    <w:rsid w:val="001A6F48"/>
    <w:rsid w:val="001B4985"/>
    <w:rsid w:val="001C1B7D"/>
    <w:rsid w:val="001C31EB"/>
    <w:rsid w:val="001D5CF8"/>
    <w:rsid w:val="0020086C"/>
    <w:rsid w:val="002058BC"/>
    <w:rsid w:val="002151C7"/>
    <w:rsid w:val="00215350"/>
    <w:rsid w:val="00222494"/>
    <w:rsid w:val="00223FC9"/>
    <w:rsid w:val="0023392E"/>
    <w:rsid w:val="002428B3"/>
    <w:rsid w:val="00242FFF"/>
    <w:rsid w:val="0024548D"/>
    <w:rsid w:val="00247BAC"/>
    <w:rsid w:val="00266E38"/>
    <w:rsid w:val="002702AB"/>
    <w:rsid w:val="002729B3"/>
    <w:rsid w:val="00273D90"/>
    <w:rsid w:val="002758B1"/>
    <w:rsid w:val="00284547"/>
    <w:rsid w:val="0028497B"/>
    <w:rsid w:val="002A1806"/>
    <w:rsid w:val="002A1A7D"/>
    <w:rsid w:val="002A62AF"/>
    <w:rsid w:val="002B024C"/>
    <w:rsid w:val="002B4980"/>
    <w:rsid w:val="002C3542"/>
    <w:rsid w:val="002C4773"/>
    <w:rsid w:val="002E7BED"/>
    <w:rsid w:val="002F3179"/>
    <w:rsid w:val="0030450D"/>
    <w:rsid w:val="0030499C"/>
    <w:rsid w:val="00311EAE"/>
    <w:rsid w:val="00320A81"/>
    <w:rsid w:val="00322673"/>
    <w:rsid w:val="00324C27"/>
    <w:rsid w:val="0032664D"/>
    <w:rsid w:val="0032730E"/>
    <w:rsid w:val="00333EC9"/>
    <w:rsid w:val="00335568"/>
    <w:rsid w:val="00337EFE"/>
    <w:rsid w:val="00342D1A"/>
    <w:rsid w:val="0035287F"/>
    <w:rsid w:val="00356FE3"/>
    <w:rsid w:val="003656FC"/>
    <w:rsid w:val="00373DD7"/>
    <w:rsid w:val="00374B59"/>
    <w:rsid w:val="0037552C"/>
    <w:rsid w:val="00377D28"/>
    <w:rsid w:val="00380751"/>
    <w:rsid w:val="0039002F"/>
    <w:rsid w:val="00390E4D"/>
    <w:rsid w:val="0039253C"/>
    <w:rsid w:val="003941BD"/>
    <w:rsid w:val="003A1CB2"/>
    <w:rsid w:val="003A2B3C"/>
    <w:rsid w:val="003A53B1"/>
    <w:rsid w:val="003A5783"/>
    <w:rsid w:val="003E17AD"/>
    <w:rsid w:val="003E1843"/>
    <w:rsid w:val="003E453F"/>
    <w:rsid w:val="003E77F1"/>
    <w:rsid w:val="003E7CD5"/>
    <w:rsid w:val="00403423"/>
    <w:rsid w:val="004063F1"/>
    <w:rsid w:val="00406717"/>
    <w:rsid w:val="00415462"/>
    <w:rsid w:val="004302C3"/>
    <w:rsid w:val="00430A99"/>
    <w:rsid w:val="00434AD2"/>
    <w:rsid w:val="00446975"/>
    <w:rsid w:val="00450A50"/>
    <w:rsid w:val="00455A55"/>
    <w:rsid w:val="00457E09"/>
    <w:rsid w:val="00466FB6"/>
    <w:rsid w:val="00472BFC"/>
    <w:rsid w:val="00476926"/>
    <w:rsid w:val="00476E16"/>
    <w:rsid w:val="00494E27"/>
    <w:rsid w:val="0049544F"/>
    <w:rsid w:val="00495CC8"/>
    <w:rsid w:val="004965BB"/>
    <w:rsid w:val="004A57EC"/>
    <w:rsid w:val="004A5D3A"/>
    <w:rsid w:val="004A5DCC"/>
    <w:rsid w:val="004B1AE4"/>
    <w:rsid w:val="004B6386"/>
    <w:rsid w:val="004B790A"/>
    <w:rsid w:val="004B7DB8"/>
    <w:rsid w:val="004C6AB6"/>
    <w:rsid w:val="004D0CCB"/>
    <w:rsid w:val="004D14E4"/>
    <w:rsid w:val="004D157F"/>
    <w:rsid w:val="004E5C76"/>
    <w:rsid w:val="004E60E8"/>
    <w:rsid w:val="004F3EEA"/>
    <w:rsid w:val="005110FE"/>
    <w:rsid w:val="00511D76"/>
    <w:rsid w:val="005125FE"/>
    <w:rsid w:val="00521266"/>
    <w:rsid w:val="005255E1"/>
    <w:rsid w:val="00526154"/>
    <w:rsid w:val="005296C3"/>
    <w:rsid w:val="00534DB6"/>
    <w:rsid w:val="0053665D"/>
    <w:rsid w:val="005377ED"/>
    <w:rsid w:val="00545349"/>
    <w:rsid w:val="00551B65"/>
    <w:rsid w:val="005522B6"/>
    <w:rsid w:val="00562C22"/>
    <w:rsid w:val="00564D6E"/>
    <w:rsid w:val="0056564C"/>
    <w:rsid w:val="00566730"/>
    <w:rsid w:val="0058526A"/>
    <w:rsid w:val="00585BF8"/>
    <w:rsid w:val="005875AB"/>
    <w:rsid w:val="00587A12"/>
    <w:rsid w:val="005918C1"/>
    <w:rsid w:val="0059593B"/>
    <w:rsid w:val="005A0033"/>
    <w:rsid w:val="005A1902"/>
    <w:rsid w:val="005A29F3"/>
    <w:rsid w:val="005A7FC2"/>
    <w:rsid w:val="005B1CB0"/>
    <w:rsid w:val="005B2809"/>
    <w:rsid w:val="005C55E9"/>
    <w:rsid w:val="005D4EAC"/>
    <w:rsid w:val="005E12C6"/>
    <w:rsid w:val="005E23BD"/>
    <w:rsid w:val="005F0688"/>
    <w:rsid w:val="005F16F9"/>
    <w:rsid w:val="00605E58"/>
    <w:rsid w:val="00607104"/>
    <w:rsid w:val="00613222"/>
    <w:rsid w:val="00615510"/>
    <w:rsid w:val="006213D6"/>
    <w:rsid w:val="00623358"/>
    <w:rsid w:val="00630C96"/>
    <w:rsid w:val="00632FCE"/>
    <w:rsid w:val="00641422"/>
    <w:rsid w:val="00644846"/>
    <w:rsid w:val="00661591"/>
    <w:rsid w:val="006621D2"/>
    <w:rsid w:val="006653F2"/>
    <w:rsid w:val="00672BF1"/>
    <w:rsid w:val="00674C6D"/>
    <w:rsid w:val="00674D1B"/>
    <w:rsid w:val="006770A2"/>
    <w:rsid w:val="00681D02"/>
    <w:rsid w:val="00684D28"/>
    <w:rsid w:val="00684DB7"/>
    <w:rsid w:val="0068500A"/>
    <w:rsid w:val="006853C3"/>
    <w:rsid w:val="00686B20"/>
    <w:rsid w:val="00690710"/>
    <w:rsid w:val="00691A24"/>
    <w:rsid w:val="00693112"/>
    <w:rsid w:val="0069327E"/>
    <w:rsid w:val="00693538"/>
    <w:rsid w:val="006A2D96"/>
    <w:rsid w:val="006A2E86"/>
    <w:rsid w:val="006A7C58"/>
    <w:rsid w:val="006B200F"/>
    <w:rsid w:val="006B3A26"/>
    <w:rsid w:val="006B3C13"/>
    <w:rsid w:val="006B4A1E"/>
    <w:rsid w:val="006B6ECE"/>
    <w:rsid w:val="006C38BB"/>
    <w:rsid w:val="006D1572"/>
    <w:rsid w:val="006D1B97"/>
    <w:rsid w:val="006E5429"/>
    <w:rsid w:val="006E78DE"/>
    <w:rsid w:val="006E7B26"/>
    <w:rsid w:val="007078DC"/>
    <w:rsid w:val="00715E09"/>
    <w:rsid w:val="00715EE4"/>
    <w:rsid w:val="007165ED"/>
    <w:rsid w:val="0071703D"/>
    <w:rsid w:val="00721D5B"/>
    <w:rsid w:val="00733244"/>
    <w:rsid w:val="00735997"/>
    <w:rsid w:val="00735A61"/>
    <w:rsid w:val="007411E8"/>
    <w:rsid w:val="00747212"/>
    <w:rsid w:val="007472AB"/>
    <w:rsid w:val="007510AF"/>
    <w:rsid w:val="007542EC"/>
    <w:rsid w:val="0076060B"/>
    <w:rsid w:val="00762421"/>
    <w:rsid w:val="007628A7"/>
    <w:rsid w:val="00771662"/>
    <w:rsid w:val="00775040"/>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0709"/>
    <w:rsid w:val="007E20AE"/>
    <w:rsid w:val="007E2984"/>
    <w:rsid w:val="007E47B8"/>
    <w:rsid w:val="007F329E"/>
    <w:rsid w:val="007F4F3C"/>
    <w:rsid w:val="007F5072"/>
    <w:rsid w:val="00800EC9"/>
    <w:rsid w:val="0080223B"/>
    <w:rsid w:val="00812475"/>
    <w:rsid w:val="00815DDA"/>
    <w:rsid w:val="008217B7"/>
    <w:rsid w:val="008344E7"/>
    <w:rsid w:val="00834534"/>
    <w:rsid w:val="00834DDF"/>
    <w:rsid w:val="00840BAE"/>
    <w:rsid w:val="00840C20"/>
    <w:rsid w:val="00841D4D"/>
    <w:rsid w:val="00847AD6"/>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0B1D"/>
    <w:rsid w:val="009156DC"/>
    <w:rsid w:val="009205A5"/>
    <w:rsid w:val="00925B05"/>
    <w:rsid w:val="0093382A"/>
    <w:rsid w:val="00933DD0"/>
    <w:rsid w:val="00942D99"/>
    <w:rsid w:val="00944E7A"/>
    <w:rsid w:val="00960A01"/>
    <w:rsid w:val="00967E68"/>
    <w:rsid w:val="00970E81"/>
    <w:rsid w:val="009718CC"/>
    <w:rsid w:val="009746F2"/>
    <w:rsid w:val="00986BE5"/>
    <w:rsid w:val="0098719F"/>
    <w:rsid w:val="00994FE6"/>
    <w:rsid w:val="00996793"/>
    <w:rsid w:val="00996B44"/>
    <w:rsid w:val="009A0961"/>
    <w:rsid w:val="009A18F5"/>
    <w:rsid w:val="009A7D36"/>
    <w:rsid w:val="009B7C58"/>
    <w:rsid w:val="009C2A67"/>
    <w:rsid w:val="009C6B0C"/>
    <w:rsid w:val="009D29B6"/>
    <w:rsid w:val="009E7EE5"/>
    <w:rsid w:val="009F0062"/>
    <w:rsid w:val="009F566E"/>
    <w:rsid w:val="009F5FC0"/>
    <w:rsid w:val="009F72A6"/>
    <w:rsid w:val="00A014D0"/>
    <w:rsid w:val="00A042C5"/>
    <w:rsid w:val="00A05681"/>
    <w:rsid w:val="00A06D7A"/>
    <w:rsid w:val="00A07553"/>
    <w:rsid w:val="00A103E7"/>
    <w:rsid w:val="00A114D1"/>
    <w:rsid w:val="00A15692"/>
    <w:rsid w:val="00A15CCF"/>
    <w:rsid w:val="00A176B8"/>
    <w:rsid w:val="00A17915"/>
    <w:rsid w:val="00A17C47"/>
    <w:rsid w:val="00A25D6D"/>
    <w:rsid w:val="00A3598F"/>
    <w:rsid w:val="00A44DFD"/>
    <w:rsid w:val="00A5422D"/>
    <w:rsid w:val="00A61FC1"/>
    <w:rsid w:val="00A64BF9"/>
    <w:rsid w:val="00A84C9C"/>
    <w:rsid w:val="00A91F28"/>
    <w:rsid w:val="00AA1589"/>
    <w:rsid w:val="00AA3272"/>
    <w:rsid w:val="00AB4CB5"/>
    <w:rsid w:val="00AB547D"/>
    <w:rsid w:val="00AB5E6D"/>
    <w:rsid w:val="00AC0575"/>
    <w:rsid w:val="00AC1D5D"/>
    <w:rsid w:val="00AC2DE9"/>
    <w:rsid w:val="00AC3C06"/>
    <w:rsid w:val="00AC4457"/>
    <w:rsid w:val="00AC6D28"/>
    <w:rsid w:val="00AD3008"/>
    <w:rsid w:val="00AD31F4"/>
    <w:rsid w:val="00AD5A4B"/>
    <w:rsid w:val="00AE0320"/>
    <w:rsid w:val="00AE72B8"/>
    <w:rsid w:val="00AF6D21"/>
    <w:rsid w:val="00B0530F"/>
    <w:rsid w:val="00B14043"/>
    <w:rsid w:val="00B17FEE"/>
    <w:rsid w:val="00B250D6"/>
    <w:rsid w:val="00B27924"/>
    <w:rsid w:val="00B336FA"/>
    <w:rsid w:val="00B36DB6"/>
    <w:rsid w:val="00B376FE"/>
    <w:rsid w:val="00B434FD"/>
    <w:rsid w:val="00B43F08"/>
    <w:rsid w:val="00B477DF"/>
    <w:rsid w:val="00B50812"/>
    <w:rsid w:val="00B50FEB"/>
    <w:rsid w:val="00B5650A"/>
    <w:rsid w:val="00B657E5"/>
    <w:rsid w:val="00B70771"/>
    <w:rsid w:val="00B74703"/>
    <w:rsid w:val="00B756CF"/>
    <w:rsid w:val="00B75E56"/>
    <w:rsid w:val="00B77967"/>
    <w:rsid w:val="00B83F8B"/>
    <w:rsid w:val="00B92ABA"/>
    <w:rsid w:val="00B967CE"/>
    <w:rsid w:val="00BA39E6"/>
    <w:rsid w:val="00BA6DB4"/>
    <w:rsid w:val="00BC010D"/>
    <w:rsid w:val="00BC195B"/>
    <w:rsid w:val="00BC2F64"/>
    <w:rsid w:val="00BE27EE"/>
    <w:rsid w:val="00BF04F3"/>
    <w:rsid w:val="00BF12FD"/>
    <w:rsid w:val="00C0114E"/>
    <w:rsid w:val="00C043BF"/>
    <w:rsid w:val="00C05549"/>
    <w:rsid w:val="00C0589B"/>
    <w:rsid w:val="00C144EA"/>
    <w:rsid w:val="00C17BC1"/>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3EB3"/>
    <w:rsid w:val="00C94A75"/>
    <w:rsid w:val="00C96289"/>
    <w:rsid w:val="00CA10F5"/>
    <w:rsid w:val="00CA52BF"/>
    <w:rsid w:val="00CA5CEC"/>
    <w:rsid w:val="00CA5F49"/>
    <w:rsid w:val="00CB199C"/>
    <w:rsid w:val="00CB3948"/>
    <w:rsid w:val="00CC2DB5"/>
    <w:rsid w:val="00CC3C74"/>
    <w:rsid w:val="00CC4341"/>
    <w:rsid w:val="00CC4D64"/>
    <w:rsid w:val="00CC7FED"/>
    <w:rsid w:val="00CD3495"/>
    <w:rsid w:val="00CD7779"/>
    <w:rsid w:val="00CE0AE3"/>
    <w:rsid w:val="00D03227"/>
    <w:rsid w:val="00D07372"/>
    <w:rsid w:val="00D10C67"/>
    <w:rsid w:val="00D13BD3"/>
    <w:rsid w:val="00D14993"/>
    <w:rsid w:val="00D33AB5"/>
    <w:rsid w:val="00D35D71"/>
    <w:rsid w:val="00D379D0"/>
    <w:rsid w:val="00D47CFF"/>
    <w:rsid w:val="00D508E2"/>
    <w:rsid w:val="00D53B67"/>
    <w:rsid w:val="00D67731"/>
    <w:rsid w:val="00D749C3"/>
    <w:rsid w:val="00D762A4"/>
    <w:rsid w:val="00D7648D"/>
    <w:rsid w:val="00D82EBB"/>
    <w:rsid w:val="00D85952"/>
    <w:rsid w:val="00D92D7E"/>
    <w:rsid w:val="00DB2BA1"/>
    <w:rsid w:val="00DB7EF5"/>
    <w:rsid w:val="00DD07B3"/>
    <w:rsid w:val="00DD27EB"/>
    <w:rsid w:val="00DD33EE"/>
    <w:rsid w:val="00DD749A"/>
    <w:rsid w:val="00DF0BF9"/>
    <w:rsid w:val="00DF3477"/>
    <w:rsid w:val="00DF4C7C"/>
    <w:rsid w:val="00DF4C98"/>
    <w:rsid w:val="00DF4CA7"/>
    <w:rsid w:val="00DF5F5A"/>
    <w:rsid w:val="00DF75A6"/>
    <w:rsid w:val="00E038A1"/>
    <w:rsid w:val="00E05192"/>
    <w:rsid w:val="00E1410A"/>
    <w:rsid w:val="00E15698"/>
    <w:rsid w:val="00E267C4"/>
    <w:rsid w:val="00E32733"/>
    <w:rsid w:val="00E33C65"/>
    <w:rsid w:val="00E37DCF"/>
    <w:rsid w:val="00E45516"/>
    <w:rsid w:val="00E46255"/>
    <w:rsid w:val="00E60DC7"/>
    <w:rsid w:val="00E633A7"/>
    <w:rsid w:val="00E7098A"/>
    <w:rsid w:val="00E72673"/>
    <w:rsid w:val="00E73E52"/>
    <w:rsid w:val="00E74C75"/>
    <w:rsid w:val="00E75DD3"/>
    <w:rsid w:val="00E7708B"/>
    <w:rsid w:val="00E9170A"/>
    <w:rsid w:val="00E91D3A"/>
    <w:rsid w:val="00E938AE"/>
    <w:rsid w:val="00E94F27"/>
    <w:rsid w:val="00EA64C3"/>
    <w:rsid w:val="00EB0BAD"/>
    <w:rsid w:val="00EB464A"/>
    <w:rsid w:val="00EC10A0"/>
    <w:rsid w:val="00EC13AD"/>
    <w:rsid w:val="00ED5209"/>
    <w:rsid w:val="00EE3715"/>
    <w:rsid w:val="00EE778B"/>
    <w:rsid w:val="00EF06B2"/>
    <w:rsid w:val="00EF1030"/>
    <w:rsid w:val="00EF670A"/>
    <w:rsid w:val="00F02370"/>
    <w:rsid w:val="00F03E4A"/>
    <w:rsid w:val="00F062A0"/>
    <w:rsid w:val="00F12BD7"/>
    <w:rsid w:val="00F13664"/>
    <w:rsid w:val="00F13CD3"/>
    <w:rsid w:val="00F15C12"/>
    <w:rsid w:val="00F215DB"/>
    <w:rsid w:val="00F241D5"/>
    <w:rsid w:val="00F34872"/>
    <w:rsid w:val="00F45AC9"/>
    <w:rsid w:val="00F63DA0"/>
    <w:rsid w:val="00F659DE"/>
    <w:rsid w:val="00F70A44"/>
    <w:rsid w:val="00F713C5"/>
    <w:rsid w:val="00F72B7C"/>
    <w:rsid w:val="00F80A6C"/>
    <w:rsid w:val="00F83145"/>
    <w:rsid w:val="00F949F6"/>
    <w:rsid w:val="00F96419"/>
    <w:rsid w:val="00FA13BD"/>
    <w:rsid w:val="00FA2376"/>
    <w:rsid w:val="00FA663F"/>
    <w:rsid w:val="00FA791E"/>
    <w:rsid w:val="00FB2D7D"/>
    <w:rsid w:val="00FB3F2B"/>
    <w:rsid w:val="00FC5F51"/>
    <w:rsid w:val="00FC6083"/>
    <w:rsid w:val="00FD1DCB"/>
    <w:rsid w:val="00FD71ED"/>
    <w:rsid w:val="00FE318D"/>
    <w:rsid w:val="00FF38A2"/>
    <w:rsid w:val="00FF520A"/>
    <w:rsid w:val="00FF76AD"/>
    <w:rsid w:val="017545F5"/>
    <w:rsid w:val="019FCFCC"/>
    <w:rsid w:val="0462CBF3"/>
    <w:rsid w:val="05A96FD8"/>
    <w:rsid w:val="0811021F"/>
    <w:rsid w:val="08E812AF"/>
    <w:rsid w:val="0AB44F2A"/>
    <w:rsid w:val="0B82D330"/>
    <w:rsid w:val="0B85B467"/>
    <w:rsid w:val="0F7D621A"/>
    <w:rsid w:val="0FC2A1CD"/>
    <w:rsid w:val="1037F539"/>
    <w:rsid w:val="12465A62"/>
    <w:rsid w:val="139D7D2F"/>
    <w:rsid w:val="13C57DA7"/>
    <w:rsid w:val="161B7E16"/>
    <w:rsid w:val="18254128"/>
    <w:rsid w:val="18558B9A"/>
    <w:rsid w:val="18E16552"/>
    <w:rsid w:val="1A1B289C"/>
    <w:rsid w:val="1AF1A9A4"/>
    <w:rsid w:val="22B14A4E"/>
    <w:rsid w:val="25C084D8"/>
    <w:rsid w:val="27366595"/>
    <w:rsid w:val="27891AE9"/>
    <w:rsid w:val="278F67BD"/>
    <w:rsid w:val="2BC007EF"/>
    <w:rsid w:val="2C426503"/>
    <w:rsid w:val="2E2B9A21"/>
    <w:rsid w:val="2F3C2884"/>
    <w:rsid w:val="30EE9A97"/>
    <w:rsid w:val="329E1E77"/>
    <w:rsid w:val="332FA5F7"/>
    <w:rsid w:val="33532D16"/>
    <w:rsid w:val="3355DC68"/>
    <w:rsid w:val="341C3B23"/>
    <w:rsid w:val="344C3687"/>
    <w:rsid w:val="3501FD09"/>
    <w:rsid w:val="365C3748"/>
    <w:rsid w:val="39B24A43"/>
    <w:rsid w:val="3A6206DF"/>
    <w:rsid w:val="3A6E9B77"/>
    <w:rsid w:val="3B7308E5"/>
    <w:rsid w:val="3CC3158C"/>
    <w:rsid w:val="3E8988EB"/>
    <w:rsid w:val="3E8EF163"/>
    <w:rsid w:val="3FBCD4A6"/>
    <w:rsid w:val="404E7646"/>
    <w:rsid w:val="4467B846"/>
    <w:rsid w:val="44EA426B"/>
    <w:rsid w:val="454A0D91"/>
    <w:rsid w:val="4B75DA2E"/>
    <w:rsid w:val="4CF643F8"/>
    <w:rsid w:val="4CFCDE16"/>
    <w:rsid w:val="4DDA34DE"/>
    <w:rsid w:val="4E169BB1"/>
    <w:rsid w:val="4F5A2BC6"/>
    <w:rsid w:val="4F7A17A5"/>
    <w:rsid w:val="53491A1A"/>
    <w:rsid w:val="54BD7829"/>
    <w:rsid w:val="56C342E0"/>
    <w:rsid w:val="5C19B50F"/>
    <w:rsid w:val="5F8F30DF"/>
    <w:rsid w:val="62945771"/>
    <w:rsid w:val="65851B0B"/>
    <w:rsid w:val="68C3F246"/>
    <w:rsid w:val="6E961645"/>
    <w:rsid w:val="71AE0343"/>
    <w:rsid w:val="7446E7AD"/>
    <w:rsid w:val="74AC23DF"/>
    <w:rsid w:val="770D9141"/>
    <w:rsid w:val="7C19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0D4082"/>
    <w:pPr>
      <w:widowControl w:val="0"/>
      <w:ind w:left="567" w:hanging="56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1ABFAEA7-ED01-41A8-9812-F36E8E10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2360</Words>
  <Characters>13456</Characters>
  <Application>Microsoft Office Word</Application>
  <DocSecurity>0</DocSecurity>
  <Lines>186</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2025-12-08T11:28:00Z</cp:lastPrinted>
  <dcterms:created xsi:type="dcterms:W3CDTF">2026-04-29T14:30:00Z</dcterms:created>
  <dcterms:modified xsi:type="dcterms:W3CDTF">2026-04-29T14:30:00Z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