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F434" w14:textId="3D5BBB9A" w:rsidR="00AC3C06" w:rsidRPr="00A15692" w:rsidRDefault="00AC3C06" w:rsidP="006213D6">
      <w:pPr>
        <w:spacing w:after="600" w:line="259" w:lineRule="auto"/>
        <w:ind w:left="720" w:hanging="11"/>
        <w:jc w:val="center"/>
        <w:rPr>
          <w:rFonts w:ascii="Times New Roman" w:eastAsia="Calibri" w:hAnsi="Times New Roman"/>
          <w:b/>
          <w:bCs/>
          <w:szCs w:val="24"/>
          <w:lang w:val="en-IE" w:eastAsia="en-US"/>
        </w:rPr>
      </w:pPr>
      <w:bookmarkStart w:id="0" w:name="Objection"/>
      <w:r w:rsidRPr="00A15692">
        <w:rPr>
          <w:rFonts w:ascii="Times New Roman" w:eastAsia="Calibri" w:hAnsi="Times New Roman"/>
          <w:b/>
          <w:bCs/>
          <w:szCs w:val="24"/>
          <w:lang w:val="en-IE" w:eastAsia="en-US"/>
        </w:rPr>
        <w:t>Follow up to the European Parliament non-legislative resolution on the</w:t>
      </w:r>
      <w:r w:rsidR="006439DE">
        <w:rPr>
          <w:rFonts w:ascii="Times New Roman" w:eastAsia="Calibri" w:hAnsi="Times New Roman"/>
          <w:b/>
          <w:bCs/>
          <w:szCs w:val="24"/>
          <w:lang w:val="en-IE" w:eastAsia="en-US"/>
        </w:rPr>
        <w:t xml:space="preserve"> draft</w:t>
      </w:r>
      <w:r w:rsidRPr="00A15692">
        <w:rPr>
          <w:rFonts w:ascii="Times New Roman" w:eastAsia="Calibri" w:hAnsi="Times New Roman"/>
          <w:b/>
          <w:bCs/>
          <w:szCs w:val="24"/>
          <w:lang w:val="en-IE" w:eastAsia="en-US"/>
        </w:rPr>
        <w:t xml:space="preserve"> Commission implementing decision</w:t>
      </w:r>
      <w:r w:rsidR="006B6ECE" w:rsidRPr="00A15692">
        <w:rPr>
          <w:rFonts w:ascii="Times New Roman" w:eastAsia="Calibri" w:hAnsi="Times New Roman"/>
          <w:b/>
          <w:bCs/>
          <w:szCs w:val="24"/>
          <w:lang w:val="en-IE" w:eastAsia="en-US"/>
        </w:rPr>
        <w:t xml:space="preserve"> </w:t>
      </w:r>
      <w:r w:rsidR="00FD71ED" w:rsidRPr="00A15692">
        <w:rPr>
          <w:rFonts w:ascii="Times New Roman" w:eastAsia="Calibri" w:hAnsi="Times New Roman"/>
          <w:b/>
          <w:bCs/>
          <w:szCs w:val="24"/>
          <w:lang w:val="en-IE" w:eastAsia="en-US"/>
        </w:rPr>
        <w:t xml:space="preserve">renewing the authorisation for </w:t>
      </w:r>
      <w:r w:rsidRPr="00A15692">
        <w:rPr>
          <w:rFonts w:ascii="Times New Roman" w:eastAsia="Calibri" w:hAnsi="Times New Roman"/>
          <w:b/>
          <w:bCs/>
          <w:szCs w:val="24"/>
          <w:lang w:val="en-IE" w:eastAsia="en-US"/>
        </w:rPr>
        <w:t xml:space="preserve">the placing on the market of products containing, consisting of or produced from genetically </w:t>
      </w:r>
      <w:r w:rsidR="00DD27EB" w:rsidRPr="00A15692">
        <w:rPr>
          <w:rFonts w:ascii="Times New Roman" w:eastAsia="Calibri" w:hAnsi="Times New Roman"/>
          <w:b/>
          <w:bCs/>
          <w:szCs w:val="24"/>
          <w:lang w:val="en-IE" w:eastAsia="en-US"/>
        </w:rPr>
        <w:t xml:space="preserve">modified </w:t>
      </w:r>
      <w:r w:rsidR="001614E4">
        <w:rPr>
          <w:rFonts w:ascii="Times New Roman" w:eastAsia="Calibri" w:hAnsi="Times New Roman"/>
          <w:b/>
          <w:bCs/>
          <w:szCs w:val="24"/>
          <w:lang w:val="en-IE" w:eastAsia="en-US"/>
        </w:rPr>
        <w:t xml:space="preserve">cotton </w:t>
      </w:r>
      <w:r w:rsidR="00925A79">
        <w:rPr>
          <w:rFonts w:ascii="Times New Roman" w:eastAsia="Calibri" w:hAnsi="Times New Roman"/>
          <w:b/>
          <w:bCs/>
          <w:szCs w:val="24"/>
          <w:lang w:val="en-IE" w:eastAsia="en-US"/>
        </w:rPr>
        <w:t xml:space="preserve">GHB614 x LLCotton25 </w:t>
      </w:r>
      <w:r w:rsidRPr="00A15692">
        <w:rPr>
          <w:rFonts w:ascii="Times New Roman" w:eastAsia="Calibri" w:hAnsi="Times New Roman"/>
          <w:b/>
          <w:bCs/>
          <w:szCs w:val="24"/>
          <w:lang w:val="en-IE" w:eastAsia="en-US"/>
        </w:rPr>
        <w:t>pursuant to Regulation (EC) No 1829/2003 of the European Parliament and of the Council</w:t>
      </w:r>
    </w:p>
    <w:bookmarkEnd w:id="0"/>
    <w:p w14:paraId="6E468E57" w14:textId="210685AC" w:rsidR="005125FE" w:rsidRPr="00A15692" w:rsidRDefault="005125FE" w:rsidP="005125FE">
      <w:pPr>
        <w:spacing w:line="259" w:lineRule="auto"/>
        <w:ind w:left="720" w:hanging="720"/>
        <w:rPr>
          <w:rFonts w:ascii="Times New Roman" w:eastAsia="Calibri" w:hAnsi="Times New Roman"/>
          <w:szCs w:val="24"/>
          <w:lang w:val="en-IE" w:eastAsia="en-US"/>
        </w:rPr>
      </w:pPr>
      <w:r w:rsidRPr="00A15692">
        <w:rPr>
          <w:rFonts w:ascii="Times New Roman" w:eastAsia="Calibri" w:hAnsi="Times New Roman"/>
          <w:b/>
          <w:bCs/>
          <w:szCs w:val="24"/>
          <w:lang w:val="en-IE" w:eastAsia="en-US"/>
        </w:rPr>
        <w:t>1.</w:t>
      </w:r>
      <w:r w:rsidRPr="00A15692">
        <w:rPr>
          <w:rFonts w:ascii="Times New Roman" w:eastAsia="Calibri" w:hAnsi="Times New Roman"/>
          <w:szCs w:val="24"/>
          <w:lang w:val="en-IE" w:eastAsia="en-US"/>
        </w:rPr>
        <w:tab/>
      </w:r>
      <w:r w:rsidRPr="00A15692">
        <w:rPr>
          <w:rFonts w:ascii="Times New Roman" w:eastAsia="Calibri" w:hAnsi="Times New Roman"/>
          <w:b/>
          <w:bCs/>
          <w:szCs w:val="24"/>
          <w:lang w:val="en-IE" w:eastAsia="en-US"/>
        </w:rPr>
        <w:t>Resolution tabled pursuant to Rules 11</w:t>
      </w:r>
      <w:r w:rsidR="00D92D7E" w:rsidRPr="00A15692">
        <w:rPr>
          <w:rFonts w:ascii="Times New Roman" w:eastAsia="Calibri" w:hAnsi="Times New Roman"/>
          <w:b/>
          <w:bCs/>
          <w:szCs w:val="24"/>
          <w:lang w:val="en-IE" w:eastAsia="en-US"/>
        </w:rPr>
        <w:t>5</w:t>
      </w:r>
      <w:r w:rsidRPr="00A15692">
        <w:rPr>
          <w:rFonts w:ascii="Times New Roman" w:eastAsia="Calibri" w:hAnsi="Times New Roman"/>
          <w:b/>
          <w:bCs/>
          <w:szCs w:val="24"/>
          <w:lang w:val="en-IE" w:eastAsia="en-US"/>
        </w:rPr>
        <w:t>(2) and (3) of the European Parliament’s Rules of procedure</w:t>
      </w:r>
    </w:p>
    <w:p w14:paraId="23CF86DC" w14:textId="39E00144" w:rsidR="005125FE" w:rsidRPr="00A20DB1" w:rsidRDefault="005125FE" w:rsidP="307C91BF">
      <w:pPr>
        <w:spacing w:line="259" w:lineRule="auto"/>
        <w:ind w:left="720" w:hanging="720"/>
        <w:rPr>
          <w:rFonts w:ascii="Times New Roman" w:eastAsia="Calibri" w:hAnsi="Times New Roman"/>
          <w:lang w:val="fr-BE" w:eastAsia="en-US"/>
        </w:rPr>
      </w:pPr>
      <w:r w:rsidRPr="00A20DB1">
        <w:rPr>
          <w:rFonts w:ascii="Times New Roman" w:eastAsia="Calibri" w:hAnsi="Times New Roman"/>
          <w:b/>
          <w:bCs/>
          <w:lang w:val="fr-BE" w:eastAsia="en-US"/>
        </w:rPr>
        <w:t>2.</w:t>
      </w:r>
      <w:r w:rsidR="202F07C7" w:rsidRPr="307C91BF">
        <w:rPr>
          <w:rFonts w:ascii="Times New Roman" w:eastAsia="Calibri" w:hAnsi="Times New Roman"/>
          <w:b/>
          <w:bCs/>
          <w:lang w:val="fr-BE" w:eastAsia="en-US"/>
        </w:rPr>
        <w:t xml:space="preserve"> </w:t>
      </w:r>
      <w:r w:rsidRPr="00A20DB1">
        <w:rPr>
          <w:lang w:val="fr-BE"/>
        </w:rPr>
        <w:tab/>
      </w:r>
      <w:r w:rsidRPr="00A20DB1">
        <w:rPr>
          <w:rFonts w:ascii="Times New Roman" w:eastAsia="Calibri" w:hAnsi="Times New Roman"/>
          <w:b/>
          <w:bCs/>
          <w:lang w:val="fr-BE" w:eastAsia="en-US"/>
        </w:rPr>
        <w:t>Reference</w:t>
      </w:r>
      <w:r w:rsidR="00D92D7E" w:rsidRPr="00A20DB1">
        <w:rPr>
          <w:rFonts w:ascii="Times New Roman" w:eastAsia="Calibri" w:hAnsi="Times New Roman"/>
          <w:b/>
          <w:bCs/>
          <w:lang w:val="fr-BE" w:eastAsia="en-US"/>
        </w:rPr>
        <w:t>s</w:t>
      </w:r>
      <w:r w:rsidRPr="00A20DB1">
        <w:rPr>
          <w:rFonts w:ascii="Times New Roman" w:eastAsia="Calibri" w:hAnsi="Times New Roman"/>
          <w:b/>
          <w:bCs/>
          <w:lang w:val="fr-BE" w:eastAsia="en-US"/>
        </w:rPr>
        <w:t>:</w:t>
      </w:r>
      <w:r w:rsidR="00DB2BA1" w:rsidRPr="00A20DB1">
        <w:rPr>
          <w:rFonts w:ascii="Times New Roman" w:eastAsia="Calibri" w:hAnsi="Times New Roman"/>
          <w:b/>
          <w:bCs/>
          <w:lang w:val="fr-BE" w:eastAsia="en-US"/>
        </w:rPr>
        <w:t xml:space="preserve"> </w:t>
      </w:r>
      <w:r w:rsidR="00C94A75" w:rsidRPr="00A20DB1">
        <w:rPr>
          <w:rFonts w:ascii="Times New Roman" w:eastAsia="Calibri" w:hAnsi="Times New Roman"/>
          <w:lang w:val="fr-BE" w:eastAsia="en-US"/>
        </w:rPr>
        <w:t>202</w:t>
      </w:r>
      <w:r w:rsidR="000D4082" w:rsidRPr="00A20DB1">
        <w:rPr>
          <w:rFonts w:ascii="Times New Roman" w:eastAsia="Calibri" w:hAnsi="Times New Roman"/>
          <w:lang w:val="fr-BE" w:eastAsia="en-US"/>
        </w:rPr>
        <w:t>6</w:t>
      </w:r>
      <w:r w:rsidR="00C94A75" w:rsidRPr="00A20DB1">
        <w:rPr>
          <w:rFonts w:ascii="Times New Roman" w:eastAsia="Calibri" w:hAnsi="Times New Roman"/>
          <w:lang w:val="fr-BE" w:eastAsia="en-US"/>
        </w:rPr>
        <w:t>/2</w:t>
      </w:r>
      <w:r w:rsidR="000D4082" w:rsidRPr="00A20DB1">
        <w:rPr>
          <w:rFonts w:ascii="Times New Roman" w:eastAsia="Calibri" w:hAnsi="Times New Roman"/>
          <w:lang w:val="fr-BE" w:eastAsia="en-US"/>
        </w:rPr>
        <w:t>51</w:t>
      </w:r>
      <w:r w:rsidR="00925A79" w:rsidRPr="00A20DB1">
        <w:rPr>
          <w:rFonts w:ascii="Times New Roman" w:eastAsia="Calibri" w:hAnsi="Times New Roman"/>
          <w:lang w:val="fr-BE" w:eastAsia="en-US"/>
        </w:rPr>
        <w:t>9</w:t>
      </w:r>
      <w:r w:rsidR="00C94A75" w:rsidRPr="00A20DB1">
        <w:rPr>
          <w:rFonts w:ascii="Times New Roman" w:eastAsia="Calibri" w:hAnsi="Times New Roman"/>
          <w:lang w:val="fr-BE" w:eastAsia="en-US"/>
        </w:rPr>
        <w:t>(RSP)</w:t>
      </w:r>
      <w:r w:rsidR="00006A68" w:rsidRPr="307C91BF">
        <w:rPr>
          <w:rFonts w:ascii="Times New Roman" w:eastAsia="Calibri" w:hAnsi="Times New Roman"/>
          <w:lang w:val="fr-BE" w:eastAsia="en-US"/>
        </w:rPr>
        <w:t xml:space="preserve"> </w:t>
      </w:r>
      <w:r w:rsidR="00DB2BA1" w:rsidRPr="00A20DB1">
        <w:rPr>
          <w:rFonts w:ascii="Times New Roman" w:eastAsia="Calibri" w:hAnsi="Times New Roman"/>
          <w:lang w:val="fr-BE" w:eastAsia="en-US"/>
        </w:rPr>
        <w:t xml:space="preserve">/ </w:t>
      </w:r>
      <w:r w:rsidR="007472AB" w:rsidRPr="00A20DB1">
        <w:rPr>
          <w:rFonts w:ascii="Times New Roman" w:eastAsia="Calibri" w:hAnsi="Times New Roman"/>
          <w:lang w:val="fr-BE" w:eastAsia="en-US"/>
        </w:rPr>
        <w:t>B10-</w:t>
      </w:r>
      <w:r w:rsidR="00D2585B" w:rsidRPr="00A20DB1">
        <w:rPr>
          <w:rFonts w:ascii="Times New Roman" w:eastAsia="Calibri" w:hAnsi="Times New Roman"/>
          <w:lang w:val="fr-BE" w:eastAsia="en-US"/>
        </w:rPr>
        <w:t>0109</w:t>
      </w:r>
      <w:r w:rsidR="007472AB" w:rsidRPr="00A20DB1">
        <w:rPr>
          <w:rFonts w:ascii="Times New Roman" w:eastAsia="Calibri" w:hAnsi="Times New Roman"/>
          <w:lang w:val="fr-BE" w:eastAsia="en-US"/>
        </w:rPr>
        <w:t>/202</w:t>
      </w:r>
      <w:r w:rsidR="00D2585B" w:rsidRPr="00A20DB1">
        <w:rPr>
          <w:rFonts w:ascii="Times New Roman" w:eastAsia="Calibri" w:hAnsi="Times New Roman"/>
          <w:lang w:val="fr-BE" w:eastAsia="en-US"/>
        </w:rPr>
        <w:t>6</w:t>
      </w:r>
      <w:r w:rsidR="00006A68" w:rsidRPr="307C91BF">
        <w:rPr>
          <w:rFonts w:ascii="Times New Roman" w:eastAsia="Calibri" w:hAnsi="Times New Roman"/>
          <w:lang w:val="fr-BE" w:eastAsia="en-US"/>
        </w:rPr>
        <w:t xml:space="preserve"> </w:t>
      </w:r>
      <w:r w:rsidR="00BF04F3" w:rsidRPr="00A20DB1">
        <w:rPr>
          <w:rFonts w:ascii="Times New Roman" w:eastAsia="Calibri" w:hAnsi="Times New Roman"/>
          <w:lang w:val="fr-BE" w:eastAsia="en-US"/>
        </w:rPr>
        <w:t>/</w:t>
      </w:r>
      <w:r w:rsidR="00006A68" w:rsidRPr="307C91BF">
        <w:rPr>
          <w:rFonts w:ascii="Times New Roman" w:eastAsia="Calibri" w:hAnsi="Times New Roman"/>
          <w:lang w:val="fr-BE" w:eastAsia="en-US"/>
        </w:rPr>
        <w:t xml:space="preserve"> </w:t>
      </w:r>
      <w:r w:rsidR="00BF04F3" w:rsidRPr="00A20DB1">
        <w:rPr>
          <w:rFonts w:ascii="Times New Roman" w:eastAsia="Calibri" w:hAnsi="Times New Roman"/>
          <w:lang w:val="fr-BE" w:eastAsia="en-US"/>
        </w:rPr>
        <w:t>P10_TA(202</w:t>
      </w:r>
      <w:r w:rsidR="00D2585B" w:rsidRPr="00A20DB1">
        <w:rPr>
          <w:rFonts w:ascii="Times New Roman" w:eastAsia="Calibri" w:hAnsi="Times New Roman"/>
          <w:lang w:val="fr-BE" w:eastAsia="en-US"/>
        </w:rPr>
        <w:t>6</w:t>
      </w:r>
      <w:r w:rsidR="00BF04F3" w:rsidRPr="00A20DB1">
        <w:rPr>
          <w:rFonts w:ascii="Times New Roman" w:eastAsia="Calibri" w:hAnsi="Times New Roman"/>
          <w:lang w:val="fr-BE" w:eastAsia="en-US"/>
        </w:rPr>
        <w:t>)0</w:t>
      </w:r>
      <w:r w:rsidR="00D2585B" w:rsidRPr="00A20DB1">
        <w:rPr>
          <w:rFonts w:ascii="Times New Roman" w:eastAsia="Calibri" w:hAnsi="Times New Roman"/>
          <w:lang w:val="fr-BE" w:eastAsia="en-US"/>
        </w:rPr>
        <w:t>043</w:t>
      </w:r>
    </w:p>
    <w:p w14:paraId="6B756516" w14:textId="2397B543" w:rsidR="005125FE" w:rsidRPr="00A15692" w:rsidRDefault="005125FE" w:rsidP="005125FE">
      <w:pPr>
        <w:spacing w:line="259" w:lineRule="auto"/>
        <w:ind w:left="720" w:hanging="720"/>
        <w:rPr>
          <w:rFonts w:ascii="Times New Roman" w:eastAsia="Calibri" w:hAnsi="Times New Roman"/>
          <w:szCs w:val="24"/>
          <w:lang w:val="en-IE" w:eastAsia="en-US"/>
        </w:rPr>
      </w:pPr>
      <w:r w:rsidRPr="00A15692">
        <w:rPr>
          <w:rFonts w:ascii="Times New Roman" w:eastAsia="Calibri" w:hAnsi="Times New Roman"/>
          <w:b/>
          <w:bCs/>
          <w:szCs w:val="24"/>
          <w:lang w:val="en-IE" w:eastAsia="en-US"/>
        </w:rPr>
        <w:t>3.</w:t>
      </w:r>
      <w:r w:rsidRPr="00A15692">
        <w:rPr>
          <w:rFonts w:ascii="Times New Roman" w:eastAsia="Calibri" w:hAnsi="Times New Roman"/>
          <w:szCs w:val="24"/>
          <w:lang w:val="en-IE" w:eastAsia="en-US"/>
        </w:rPr>
        <w:tab/>
      </w:r>
      <w:r w:rsidRPr="00A15692">
        <w:rPr>
          <w:rFonts w:ascii="Times New Roman" w:eastAsia="Calibri" w:hAnsi="Times New Roman"/>
          <w:b/>
          <w:bCs/>
          <w:szCs w:val="24"/>
          <w:lang w:val="en-IE" w:eastAsia="en-US"/>
        </w:rPr>
        <w:t>Date of adoption of the resolution:</w:t>
      </w:r>
      <w:r w:rsidRPr="00A15692">
        <w:rPr>
          <w:rFonts w:ascii="Times New Roman" w:eastAsia="Calibri" w:hAnsi="Times New Roman"/>
          <w:szCs w:val="24"/>
          <w:lang w:val="en-IE" w:eastAsia="en-US"/>
        </w:rPr>
        <w:t xml:space="preserve"> </w:t>
      </w:r>
      <w:r w:rsidR="00D2585B">
        <w:rPr>
          <w:rFonts w:ascii="Times New Roman" w:eastAsia="Calibri" w:hAnsi="Times New Roman"/>
          <w:szCs w:val="24"/>
          <w:lang w:val="en-IE" w:eastAsia="en-US"/>
        </w:rPr>
        <w:t>11</w:t>
      </w:r>
      <w:r w:rsidR="001614E4">
        <w:rPr>
          <w:rFonts w:ascii="Times New Roman" w:eastAsia="Calibri" w:hAnsi="Times New Roman"/>
          <w:szCs w:val="24"/>
          <w:lang w:val="en-IE" w:eastAsia="en-US"/>
        </w:rPr>
        <w:t xml:space="preserve"> February </w:t>
      </w:r>
      <w:r w:rsidRPr="00A15692">
        <w:rPr>
          <w:rFonts w:ascii="Times New Roman" w:eastAsia="Calibri" w:hAnsi="Times New Roman"/>
          <w:szCs w:val="24"/>
          <w:lang w:val="en-IE" w:eastAsia="en-US"/>
        </w:rPr>
        <w:t>202</w:t>
      </w:r>
      <w:r w:rsidR="001614E4">
        <w:rPr>
          <w:rFonts w:ascii="Times New Roman" w:eastAsia="Calibri" w:hAnsi="Times New Roman"/>
          <w:szCs w:val="24"/>
          <w:lang w:val="en-IE" w:eastAsia="en-US"/>
        </w:rPr>
        <w:t>6</w:t>
      </w:r>
    </w:p>
    <w:p w14:paraId="11B3DB8E" w14:textId="1325DB66" w:rsidR="005125FE" w:rsidRPr="00A15692" w:rsidRDefault="005125FE" w:rsidP="005125FE">
      <w:pPr>
        <w:spacing w:line="259" w:lineRule="auto"/>
        <w:ind w:left="720" w:hanging="720"/>
        <w:rPr>
          <w:rFonts w:ascii="Times New Roman" w:eastAsia="Calibri" w:hAnsi="Times New Roman"/>
          <w:szCs w:val="24"/>
          <w:lang w:val="en-IE" w:eastAsia="en-US"/>
        </w:rPr>
      </w:pPr>
      <w:r w:rsidRPr="00A15692">
        <w:rPr>
          <w:rFonts w:ascii="Times New Roman" w:eastAsia="Calibri" w:hAnsi="Times New Roman"/>
          <w:b/>
          <w:bCs/>
          <w:szCs w:val="24"/>
          <w:lang w:val="en-IE" w:eastAsia="en-US"/>
        </w:rPr>
        <w:t>4.</w:t>
      </w:r>
      <w:r w:rsidRPr="00A15692">
        <w:rPr>
          <w:rFonts w:ascii="Times New Roman" w:eastAsia="Calibri" w:hAnsi="Times New Roman"/>
          <w:b/>
          <w:bCs/>
          <w:szCs w:val="24"/>
          <w:lang w:val="en-IE" w:eastAsia="en-US"/>
        </w:rPr>
        <w:tab/>
        <w:t>Competent Parliamentary Committee:</w:t>
      </w:r>
      <w:r w:rsidRPr="00A15692">
        <w:rPr>
          <w:rFonts w:ascii="Times New Roman" w:eastAsia="Calibri" w:hAnsi="Times New Roman"/>
          <w:szCs w:val="24"/>
          <w:lang w:val="en-IE" w:eastAsia="en-US"/>
        </w:rPr>
        <w:t xml:space="preserve"> Committee on </w:t>
      </w:r>
      <w:r w:rsidR="005522B6" w:rsidRPr="00A15692">
        <w:rPr>
          <w:rFonts w:ascii="Times New Roman" w:eastAsia="Calibri" w:hAnsi="Times New Roman"/>
          <w:szCs w:val="24"/>
          <w:lang w:val="en-IE" w:eastAsia="en-US"/>
        </w:rPr>
        <w:t xml:space="preserve">the Environment, Climate and Food Safety </w:t>
      </w:r>
      <w:r w:rsidRPr="00A15692">
        <w:rPr>
          <w:rFonts w:ascii="Times New Roman" w:eastAsia="Calibri" w:hAnsi="Times New Roman"/>
          <w:szCs w:val="24"/>
          <w:lang w:val="en-IE" w:eastAsia="en-US"/>
        </w:rPr>
        <w:t>(ENVI)</w:t>
      </w:r>
    </w:p>
    <w:p w14:paraId="3BFA930E" w14:textId="77777777" w:rsidR="005125FE" w:rsidRPr="00A15692" w:rsidRDefault="005125FE" w:rsidP="005125FE">
      <w:pPr>
        <w:spacing w:line="259" w:lineRule="auto"/>
        <w:ind w:left="720" w:hanging="720"/>
        <w:rPr>
          <w:rFonts w:ascii="Times New Roman" w:eastAsia="Calibri" w:hAnsi="Times New Roman"/>
          <w:b/>
          <w:bCs/>
          <w:szCs w:val="24"/>
          <w:lang w:val="en-IE" w:eastAsia="en-US"/>
        </w:rPr>
      </w:pPr>
      <w:r w:rsidRPr="00A15692">
        <w:rPr>
          <w:rFonts w:ascii="Times New Roman" w:eastAsia="Calibri" w:hAnsi="Times New Roman"/>
          <w:b/>
          <w:bCs/>
          <w:szCs w:val="24"/>
          <w:lang w:val="en-IE" w:eastAsia="en-US"/>
        </w:rPr>
        <w:t>5.</w:t>
      </w:r>
      <w:r w:rsidRPr="00A15692">
        <w:rPr>
          <w:rFonts w:ascii="Times New Roman" w:eastAsia="Calibri" w:hAnsi="Times New Roman"/>
          <w:b/>
          <w:bCs/>
          <w:szCs w:val="24"/>
          <w:lang w:val="en-IE" w:eastAsia="en-US"/>
        </w:rPr>
        <w:tab/>
        <w:t>Brief analysis/assessment of the resolution and requests made in it:</w:t>
      </w:r>
    </w:p>
    <w:p w14:paraId="2D50AF0B" w14:textId="615701FF" w:rsidR="00AC3C06" w:rsidRPr="00A15692" w:rsidRDefault="00AC3C06" w:rsidP="005125FE">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The resolution calls on the Commission to </w:t>
      </w:r>
      <w:r w:rsidR="00C43B65" w:rsidRPr="00A15692">
        <w:rPr>
          <w:rFonts w:ascii="Times New Roman" w:eastAsia="Calibri" w:hAnsi="Times New Roman"/>
          <w:szCs w:val="24"/>
          <w:lang w:val="en-IE" w:eastAsia="en-US"/>
        </w:rPr>
        <w:t>withdraw</w:t>
      </w:r>
      <w:r w:rsidRPr="00A15692">
        <w:rPr>
          <w:rFonts w:ascii="Times New Roman" w:eastAsia="Calibri" w:hAnsi="Times New Roman"/>
          <w:szCs w:val="24"/>
          <w:lang w:val="en-IE" w:eastAsia="en-US"/>
        </w:rPr>
        <w:t xml:space="preserve"> the Commission </w:t>
      </w:r>
      <w:r w:rsidR="00C43B65" w:rsidRPr="00A15692">
        <w:rPr>
          <w:rFonts w:ascii="Times New Roman" w:eastAsia="Calibri" w:hAnsi="Times New Roman"/>
          <w:szCs w:val="24"/>
          <w:lang w:val="en-IE" w:eastAsia="en-US"/>
        </w:rPr>
        <w:t xml:space="preserve">draft </w:t>
      </w:r>
      <w:r w:rsidRPr="00A15692">
        <w:rPr>
          <w:rFonts w:ascii="Times New Roman" w:eastAsia="Calibri" w:hAnsi="Times New Roman"/>
          <w:szCs w:val="24"/>
          <w:lang w:val="en-IE" w:eastAsia="en-US"/>
        </w:rPr>
        <w:t>implementing decision</w:t>
      </w:r>
      <w:r w:rsidR="00FD71ED" w:rsidRPr="00A15692">
        <w:rPr>
          <w:rFonts w:ascii="Times New Roman" w:eastAsia="Calibri" w:hAnsi="Times New Roman"/>
          <w:szCs w:val="24"/>
          <w:lang w:val="en-IE" w:eastAsia="en-US"/>
        </w:rPr>
        <w:t xml:space="preserve"> (</w:t>
      </w:r>
      <w:r w:rsidR="00FD71ED" w:rsidRPr="00A15692">
        <w:rPr>
          <w:rFonts w:ascii="Times New Roman" w:eastAsia="Calibri" w:hAnsi="Times New Roman"/>
          <w:b/>
          <w:bCs/>
          <w:szCs w:val="24"/>
          <w:lang w:val="en-IE" w:eastAsia="en-US"/>
        </w:rPr>
        <w:t>paragraph 3</w:t>
      </w:r>
      <w:r w:rsidR="00FD71ED" w:rsidRPr="00A15692">
        <w:rPr>
          <w:rFonts w:ascii="Times New Roman" w:eastAsia="Calibri" w:hAnsi="Times New Roman"/>
          <w:szCs w:val="24"/>
          <w:lang w:val="en-IE" w:eastAsia="en-US"/>
        </w:rPr>
        <w:t xml:space="preserve">) </w:t>
      </w:r>
      <w:r w:rsidRPr="00A15692">
        <w:rPr>
          <w:rFonts w:ascii="Times New Roman" w:eastAsia="Calibri" w:hAnsi="Times New Roman"/>
          <w:szCs w:val="24"/>
          <w:lang w:val="en-IE" w:eastAsia="en-US"/>
        </w:rPr>
        <w:t>on the grounds that it exceeds the implementing powers provided for in Regulation (EC) No 1829/2003 (</w:t>
      </w:r>
      <w:r w:rsidRPr="00A15692">
        <w:rPr>
          <w:rFonts w:ascii="Times New Roman" w:eastAsia="Calibri" w:hAnsi="Times New Roman"/>
          <w:b/>
          <w:bCs/>
          <w:szCs w:val="24"/>
          <w:lang w:val="en-IE" w:eastAsia="en-US"/>
        </w:rPr>
        <w:t>paragraph 1</w:t>
      </w:r>
      <w:r w:rsidRPr="00A15692">
        <w:rPr>
          <w:rFonts w:ascii="Times New Roman" w:eastAsia="Calibri" w:hAnsi="Times New Roman"/>
          <w:szCs w:val="24"/>
          <w:lang w:val="en-IE" w:eastAsia="en-US"/>
        </w:rPr>
        <w:t>) and that it is not compatible with the aim of that Regulation and the general principles of Regulation (EC) No 178/2002, i.e. the protection of human life and health, animal health and welfare, the environment and consumer interests</w:t>
      </w:r>
      <w:r w:rsidR="0002645E" w:rsidRPr="00A15692">
        <w:rPr>
          <w:rFonts w:ascii="Times New Roman" w:eastAsia="Calibri" w:hAnsi="Times New Roman"/>
          <w:szCs w:val="24"/>
          <w:lang w:val="en-IE" w:eastAsia="en-US"/>
        </w:rPr>
        <w:t>, whilst ensuring effective functioning of the internal market</w:t>
      </w:r>
      <w:r w:rsidRPr="00A15692">
        <w:rPr>
          <w:rFonts w:ascii="Times New Roman" w:eastAsia="Calibri" w:hAnsi="Times New Roman"/>
          <w:szCs w:val="24"/>
          <w:lang w:val="en-IE" w:eastAsia="en-US"/>
        </w:rPr>
        <w:t xml:space="preserve"> (</w:t>
      </w:r>
      <w:r w:rsidRPr="00A15692">
        <w:rPr>
          <w:rFonts w:ascii="Times New Roman" w:eastAsia="Calibri" w:hAnsi="Times New Roman"/>
          <w:b/>
          <w:bCs/>
          <w:szCs w:val="24"/>
          <w:lang w:val="en-IE" w:eastAsia="en-US"/>
        </w:rPr>
        <w:t>paragraph 2</w:t>
      </w:r>
      <w:r w:rsidRPr="00A15692">
        <w:rPr>
          <w:rFonts w:ascii="Times New Roman" w:eastAsia="Calibri" w:hAnsi="Times New Roman"/>
          <w:szCs w:val="24"/>
          <w:lang w:val="en-IE" w:eastAsia="en-US"/>
        </w:rPr>
        <w:t>).</w:t>
      </w:r>
    </w:p>
    <w:p w14:paraId="121636B8" w14:textId="6CFC8009" w:rsidR="000C55C4" w:rsidRPr="00A15692" w:rsidRDefault="00CC4D64" w:rsidP="00BC2F64">
      <w:pPr>
        <w:pStyle w:val="NoSpacing"/>
        <w:spacing w:after="120"/>
        <w:rPr>
          <w:color w:val="000000" w:themeColor="text1"/>
          <w:lang w:val="en-IE"/>
        </w:rPr>
      </w:pPr>
      <w:r w:rsidRPr="00A15692">
        <w:rPr>
          <w:rFonts w:eastAsia="Calibri"/>
          <w:lang w:val="en-IE"/>
        </w:rPr>
        <w:t xml:space="preserve">The resolution calls on the Commission not to </w:t>
      </w:r>
      <w:r w:rsidR="00FD71ED" w:rsidRPr="00A15692">
        <w:rPr>
          <w:rFonts w:eastAsia="Calibri"/>
          <w:lang w:val="en-IE"/>
        </w:rPr>
        <w:t xml:space="preserve">renew the authorisation of </w:t>
      </w:r>
      <w:r w:rsidR="00511D76" w:rsidRPr="00A15692">
        <w:rPr>
          <w:rFonts w:eastAsia="Calibri"/>
          <w:lang w:val="en-IE"/>
        </w:rPr>
        <w:t>the</w:t>
      </w:r>
      <w:r w:rsidRPr="00A15692">
        <w:rPr>
          <w:rFonts w:eastAsia="Calibri"/>
          <w:lang w:val="en-IE"/>
        </w:rPr>
        <w:t xml:space="preserve"> </w:t>
      </w:r>
      <w:r w:rsidR="00D2585B">
        <w:rPr>
          <w:rFonts w:eastAsia="Calibri"/>
          <w:lang w:val="en-IE"/>
        </w:rPr>
        <w:t>g</w:t>
      </w:r>
      <w:r w:rsidR="00564D6E" w:rsidRPr="00A15692">
        <w:rPr>
          <w:rFonts w:eastAsia="Calibri"/>
          <w:lang w:val="en-IE"/>
        </w:rPr>
        <w:t xml:space="preserve">enetically </w:t>
      </w:r>
      <w:r w:rsidR="00D2585B">
        <w:rPr>
          <w:rFonts w:eastAsia="Calibri"/>
          <w:lang w:val="en-IE"/>
        </w:rPr>
        <w:t>m</w:t>
      </w:r>
      <w:r w:rsidR="00564D6E" w:rsidRPr="00A15692">
        <w:rPr>
          <w:rFonts w:eastAsia="Calibri"/>
          <w:lang w:val="en-IE"/>
        </w:rPr>
        <w:t>odified (</w:t>
      </w:r>
      <w:r w:rsidRPr="00A15692">
        <w:rPr>
          <w:rFonts w:eastAsia="Calibri"/>
          <w:lang w:val="en-IE"/>
        </w:rPr>
        <w:t>GM</w:t>
      </w:r>
      <w:r w:rsidR="00564D6E" w:rsidRPr="00A15692">
        <w:rPr>
          <w:rFonts w:eastAsia="Calibri"/>
          <w:lang w:val="en-IE"/>
        </w:rPr>
        <w:t>)</w:t>
      </w:r>
      <w:r w:rsidR="00793E20">
        <w:rPr>
          <w:rFonts w:eastAsia="Calibri"/>
          <w:lang w:val="en-IE"/>
        </w:rPr>
        <w:t xml:space="preserve"> cotton</w:t>
      </w:r>
      <w:r w:rsidR="00494E27" w:rsidRPr="00A15692">
        <w:rPr>
          <w:rFonts w:eastAsia="Calibri"/>
          <w:lang w:val="en-IE"/>
        </w:rPr>
        <w:t xml:space="preserve"> </w:t>
      </w:r>
      <w:r w:rsidR="00295825" w:rsidRPr="00295825">
        <w:rPr>
          <w:rFonts w:eastAsia="Calibri"/>
          <w:lang w:val="en-IE"/>
        </w:rPr>
        <w:t xml:space="preserve">due to concerns about the increased use of complementary herbicides, and the alleged risks to biodiversity, food safety, farmers’ livelihoods and animal health, and insufficient evidence to address cumulative and combinatorial effects, long-term toxicological studies or indirect ecological consequences of increased herbicide use, in line with the One Health Approach </w:t>
      </w:r>
      <w:r w:rsidR="003656FC" w:rsidRPr="00A15692">
        <w:rPr>
          <w:color w:val="000000" w:themeColor="text1"/>
          <w:lang w:val="en-IE"/>
        </w:rPr>
        <w:t>(</w:t>
      </w:r>
      <w:r w:rsidR="006E7B26" w:rsidRPr="00A15692">
        <w:rPr>
          <w:b/>
          <w:bCs/>
          <w:color w:val="000000" w:themeColor="text1"/>
          <w:lang w:val="en-IE"/>
        </w:rPr>
        <w:t xml:space="preserve">paragraph </w:t>
      </w:r>
      <w:r w:rsidR="000D52C0" w:rsidRPr="00A15692">
        <w:rPr>
          <w:b/>
          <w:bCs/>
          <w:color w:val="000000" w:themeColor="text1"/>
          <w:lang w:val="en-IE"/>
        </w:rPr>
        <w:t>4</w:t>
      </w:r>
      <w:r w:rsidR="007201DE">
        <w:rPr>
          <w:color w:val="000000" w:themeColor="text1"/>
          <w:lang w:val="en-IE"/>
        </w:rPr>
        <w:t>,</w:t>
      </w:r>
      <w:r w:rsidR="009A18F5" w:rsidRPr="00A15692">
        <w:rPr>
          <w:b/>
          <w:bCs/>
          <w:color w:val="000000" w:themeColor="text1"/>
          <w:lang w:val="en-IE"/>
        </w:rPr>
        <w:t xml:space="preserve"> </w:t>
      </w:r>
      <w:r w:rsidR="00D508E2" w:rsidRPr="00A15692">
        <w:rPr>
          <w:rFonts w:eastAsia="Calibri"/>
          <w:b/>
          <w:bCs/>
          <w:lang w:val="en-IE"/>
        </w:rPr>
        <w:t xml:space="preserve">recitals </w:t>
      </w:r>
      <w:r w:rsidR="00BF04F3" w:rsidRPr="00A15692">
        <w:rPr>
          <w:rFonts w:eastAsia="Calibri"/>
          <w:b/>
          <w:bCs/>
          <w:lang w:val="en-IE"/>
        </w:rPr>
        <w:t>E</w:t>
      </w:r>
      <w:r w:rsidR="0002384B" w:rsidRPr="00A15692">
        <w:rPr>
          <w:rFonts w:eastAsia="Calibri"/>
          <w:b/>
          <w:bCs/>
          <w:lang w:val="en-IE"/>
        </w:rPr>
        <w:t xml:space="preserve"> </w:t>
      </w:r>
      <w:r w:rsidR="0002384B" w:rsidRPr="00A15692">
        <w:rPr>
          <w:rFonts w:eastAsia="Calibri"/>
          <w:lang w:val="en-IE"/>
        </w:rPr>
        <w:t xml:space="preserve">to </w:t>
      </w:r>
      <w:r w:rsidR="00925A79">
        <w:rPr>
          <w:rFonts w:eastAsia="Calibri"/>
          <w:b/>
          <w:bCs/>
          <w:lang w:val="en-IE"/>
        </w:rPr>
        <w:t>L</w:t>
      </w:r>
      <w:r w:rsidR="00CC3C74" w:rsidRPr="00A15692">
        <w:rPr>
          <w:rFonts w:eastAsia="Calibri"/>
          <w:lang w:val="en-IE"/>
        </w:rPr>
        <w:t xml:space="preserve"> </w:t>
      </w:r>
      <w:r w:rsidR="006A2D96" w:rsidRPr="00A15692">
        <w:rPr>
          <w:rFonts w:eastAsia="Calibri"/>
          <w:lang w:val="en-IE"/>
        </w:rPr>
        <w:t xml:space="preserve">and </w:t>
      </w:r>
      <w:r w:rsidR="006A2D96" w:rsidRPr="00A15692">
        <w:rPr>
          <w:rFonts w:eastAsia="Calibri"/>
          <w:b/>
          <w:bCs/>
          <w:lang w:val="en-IE"/>
        </w:rPr>
        <w:t xml:space="preserve">recital </w:t>
      </w:r>
      <w:r w:rsidR="00925A79">
        <w:rPr>
          <w:rFonts w:eastAsia="Calibri"/>
          <w:b/>
          <w:bCs/>
          <w:lang w:val="en-IE"/>
        </w:rPr>
        <w:t>R</w:t>
      </w:r>
      <w:r w:rsidR="0002384B" w:rsidRPr="00A15692">
        <w:rPr>
          <w:color w:val="000000" w:themeColor="text1"/>
          <w:lang w:val="en-IE"/>
        </w:rPr>
        <w:t xml:space="preserve">). </w:t>
      </w:r>
    </w:p>
    <w:p w14:paraId="4CC5E2DF" w14:textId="1AB16AEF" w:rsidR="003656FC" w:rsidRPr="00A15692" w:rsidRDefault="003656FC" w:rsidP="00BC2F64">
      <w:pPr>
        <w:pStyle w:val="NoSpacing"/>
        <w:spacing w:after="120"/>
        <w:rPr>
          <w:color w:val="000000" w:themeColor="text1"/>
          <w:lang w:val="en-IE"/>
        </w:rPr>
      </w:pPr>
      <w:r w:rsidRPr="00A15692">
        <w:t xml:space="preserve">The resolution </w:t>
      </w:r>
      <w:r w:rsidR="003A53B1" w:rsidRPr="00A15692">
        <w:t>considers</w:t>
      </w:r>
      <w:r w:rsidR="007E2984" w:rsidRPr="00A15692">
        <w:t xml:space="preserve"> that </w:t>
      </w:r>
      <w:bookmarkStart w:id="1" w:name="_Hlk219199469"/>
      <w:r w:rsidR="007E2984" w:rsidRPr="00A15692">
        <w:t xml:space="preserve">independent monitoring and surveillance of potential adverse effects </w:t>
      </w:r>
      <w:bookmarkEnd w:id="1"/>
      <w:r w:rsidR="007E2984" w:rsidRPr="00A15692">
        <w:t xml:space="preserve">on biodiversity, soil health, pollinators and non-target organisms remain insufficiently guaranteed </w:t>
      </w:r>
      <w:r w:rsidRPr="00A15692">
        <w:t>(</w:t>
      </w:r>
      <w:r w:rsidRPr="00A15692">
        <w:rPr>
          <w:b/>
          <w:bCs/>
        </w:rPr>
        <w:t>recital J</w:t>
      </w:r>
      <w:r w:rsidRPr="00A15692">
        <w:t>).</w:t>
      </w:r>
      <w:r w:rsidR="007E2984" w:rsidRPr="00A15692">
        <w:rPr>
          <w:rFonts w:ascii="Courier New" w:eastAsia="Times New Roman" w:hAnsi="Courier New"/>
          <w:szCs w:val="20"/>
          <w:bdr w:val="none" w:sz="0" w:space="0" w:color="auto"/>
          <w:lang w:eastAsia="en-GB"/>
        </w:rPr>
        <w:t xml:space="preserve"> </w:t>
      </w:r>
    </w:p>
    <w:p w14:paraId="6A4525AF" w14:textId="72795BE2" w:rsidR="00111791" w:rsidRPr="00A15692" w:rsidRDefault="00111791" w:rsidP="00BC2F64">
      <w:pPr>
        <w:pStyle w:val="NoSpacing"/>
        <w:spacing w:after="120"/>
        <w:rPr>
          <w:b/>
          <w:bCs/>
          <w:lang w:val="en-IE"/>
        </w:rPr>
      </w:pPr>
      <w:r w:rsidRPr="00A15692">
        <w:rPr>
          <w:lang w:val="en-IE"/>
        </w:rPr>
        <w:t xml:space="preserve">The resolution </w:t>
      </w:r>
      <w:r w:rsidR="007E2984" w:rsidRPr="00A15692">
        <w:rPr>
          <w:lang w:val="en-IE"/>
        </w:rPr>
        <w:t xml:space="preserve">urges the Commission to consider the EU’s obligations under international agreements, such as the Paris Climate Agreement, the United Nations (UN) Convention on Biological Diversity and the UN Sustainable Development Goals, as regards pesticide reduction and </w:t>
      </w:r>
      <w:r w:rsidRPr="00A15692">
        <w:rPr>
          <w:lang w:val="en-IE"/>
        </w:rPr>
        <w:t xml:space="preserve">considers that </w:t>
      </w:r>
      <w:r w:rsidR="007E2984" w:rsidRPr="00A15692">
        <w:t>authorising the import for food or feed uses of any GM plant which has been made tolerant to herbicides that are banned in the Union</w:t>
      </w:r>
      <w:r w:rsidR="007E2984" w:rsidRPr="00A15692">
        <w:rPr>
          <w:lang w:val="en-IE"/>
        </w:rPr>
        <w:t xml:space="preserve"> is inconsistent with those commitments and </w:t>
      </w:r>
      <w:r w:rsidRPr="00A15692">
        <w:rPr>
          <w:lang w:val="en-IE"/>
        </w:rPr>
        <w:t>would allow imports that do not meet standards applied to the EU farmers, putting them at a competitive disadvantage (</w:t>
      </w:r>
      <w:r w:rsidRPr="00A15692">
        <w:rPr>
          <w:b/>
          <w:bCs/>
          <w:lang w:val="en-IE"/>
        </w:rPr>
        <w:t>recital</w:t>
      </w:r>
      <w:r w:rsidR="007E2984" w:rsidRPr="00A15692">
        <w:rPr>
          <w:b/>
          <w:bCs/>
          <w:lang w:val="en-IE"/>
        </w:rPr>
        <w:t xml:space="preserve">s </w:t>
      </w:r>
      <w:r w:rsidR="00925A79">
        <w:rPr>
          <w:b/>
          <w:bCs/>
          <w:lang w:val="en-IE"/>
        </w:rPr>
        <w:t>M</w:t>
      </w:r>
      <w:r w:rsidR="00D2585B">
        <w:rPr>
          <w:b/>
          <w:bCs/>
          <w:lang w:val="en-IE"/>
        </w:rPr>
        <w:t xml:space="preserve"> </w:t>
      </w:r>
      <w:r w:rsidR="007E2984" w:rsidRPr="00A15692">
        <w:rPr>
          <w:lang w:val="en-IE"/>
        </w:rPr>
        <w:t>and</w:t>
      </w:r>
      <w:r w:rsidRPr="00A15692">
        <w:rPr>
          <w:b/>
          <w:bCs/>
          <w:lang w:val="en-IE"/>
        </w:rPr>
        <w:t xml:space="preserve"> </w:t>
      </w:r>
      <w:r w:rsidR="00925A79">
        <w:rPr>
          <w:b/>
          <w:bCs/>
          <w:lang w:val="en-IE"/>
        </w:rPr>
        <w:t>N</w:t>
      </w:r>
      <w:r w:rsidR="007E2984" w:rsidRPr="00A15692">
        <w:rPr>
          <w:b/>
          <w:bCs/>
          <w:lang w:val="en-IE"/>
        </w:rPr>
        <w:t xml:space="preserve"> </w:t>
      </w:r>
      <w:r w:rsidR="007E2984" w:rsidRPr="00A15692">
        <w:rPr>
          <w:lang w:val="en-IE"/>
        </w:rPr>
        <w:t>and</w:t>
      </w:r>
      <w:r w:rsidR="007E2984" w:rsidRPr="00A15692">
        <w:rPr>
          <w:b/>
          <w:bCs/>
          <w:lang w:val="en-IE"/>
        </w:rPr>
        <w:t xml:space="preserve"> paragraph 6</w:t>
      </w:r>
      <w:r w:rsidR="003656FC" w:rsidRPr="00A15692">
        <w:rPr>
          <w:lang w:val="en-IE"/>
        </w:rPr>
        <w:t>).</w:t>
      </w:r>
      <w:r w:rsidR="007E2984" w:rsidRPr="00A15692">
        <w:rPr>
          <w:rFonts w:ascii="Courier New" w:eastAsia="Times New Roman" w:hAnsi="Courier New"/>
          <w:szCs w:val="20"/>
          <w:bdr w:val="none" w:sz="0" w:space="0" w:color="auto"/>
          <w:lang w:eastAsia="en-GB"/>
        </w:rPr>
        <w:t xml:space="preserve"> </w:t>
      </w:r>
    </w:p>
    <w:p w14:paraId="51154030" w14:textId="19DB2E7D" w:rsidR="003656FC" w:rsidRPr="00A15692" w:rsidRDefault="003656FC" w:rsidP="003656FC">
      <w:pPr>
        <w:pStyle w:val="NoSpacing"/>
        <w:spacing w:after="180"/>
        <w:rPr>
          <w:color w:val="000000" w:themeColor="text1"/>
          <w:lang w:val="en-IE"/>
        </w:rPr>
      </w:pPr>
      <w:r w:rsidRPr="00A15692">
        <w:rPr>
          <w:color w:val="000000" w:themeColor="text1"/>
          <w:lang w:val="en-IE"/>
        </w:rPr>
        <w:t>The</w:t>
      </w:r>
      <w:r w:rsidRPr="00A15692">
        <w:rPr>
          <w:lang w:val="en-IE"/>
        </w:rPr>
        <w:t xml:space="preserve"> resolution </w:t>
      </w:r>
      <w:r w:rsidRPr="00A15692">
        <w:t xml:space="preserve">refers to the conclusions of the Strategic Dialogue on the Future of EU Agriculture which call on the Commission to reassess its approach on market access for agri-food imports and </w:t>
      </w:r>
      <w:r w:rsidRPr="00A15692">
        <w:lastRenderedPageBreak/>
        <w:t xml:space="preserve">exports, given the challenge of diverging standards of the EU and its trading partners. </w:t>
      </w:r>
      <w:r w:rsidR="007E2984" w:rsidRPr="00A15692">
        <w:t>It</w:t>
      </w:r>
      <w:r w:rsidRPr="00A15692">
        <w:t xml:space="preserve"> also recall</w:t>
      </w:r>
      <w:r w:rsidR="007E2984" w:rsidRPr="00A15692">
        <w:t>s</w:t>
      </w:r>
      <w:r w:rsidRPr="00A15692">
        <w:t xml:space="preserve"> that fairer trade relations, at a global level, consistent with goals for a healthy environment, were one of the main demands of farmers during the demonstrations of 2023</w:t>
      </w:r>
      <w:r w:rsidR="000D4082">
        <w:t>, 2024</w:t>
      </w:r>
      <w:r w:rsidRPr="00A15692">
        <w:t xml:space="preserve"> and 202</w:t>
      </w:r>
      <w:r w:rsidR="000D4082">
        <w:t>5</w:t>
      </w:r>
      <w:r w:rsidRPr="00A15692">
        <w:t xml:space="preserve"> (</w:t>
      </w:r>
      <w:r w:rsidRPr="00A15692">
        <w:rPr>
          <w:b/>
          <w:bCs/>
        </w:rPr>
        <w:t xml:space="preserve">recital </w:t>
      </w:r>
      <w:r w:rsidR="00925A79">
        <w:rPr>
          <w:b/>
          <w:bCs/>
        </w:rPr>
        <w:t>O</w:t>
      </w:r>
      <w:r w:rsidRPr="00A15692">
        <w:t>).</w:t>
      </w:r>
    </w:p>
    <w:p w14:paraId="11472D2D" w14:textId="545361F8" w:rsidR="006A2D96" w:rsidRPr="00A15692" w:rsidRDefault="00494E27" w:rsidP="00BC2F64">
      <w:pPr>
        <w:pStyle w:val="Text1"/>
        <w:spacing w:after="120"/>
        <w:ind w:left="0"/>
        <w:rPr>
          <w:color w:val="000000" w:themeColor="text1"/>
          <w:lang w:val="en-IE"/>
        </w:rPr>
      </w:pPr>
      <w:r w:rsidRPr="00A15692">
        <w:rPr>
          <w:color w:val="000000" w:themeColor="text1"/>
          <w:lang w:val="en-IE"/>
        </w:rPr>
        <w:t>The</w:t>
      </w:r>
      <w:r w:rsidR="009A18F5" w:rsidRPr="00A15692">
        <w:rPr>
          <w:color w:val="000000" w:themeColor="text1"/>
          <w:lang w:val="en-IE"/>
        </w:rPr>
        <w:t xml:space="preserve"> </w:t>
      </w:r>
      <w:r w:rsidRPr="00A15692">
        <w:rPr>
          <w:color w:val="000000" w:themeColor="text1"/>
          <w:lang w:val="en-IE"/>
        </w:rPr>
        <w:t>resolution call</w:t>
      </w:r>
      <w:r w:rsidR="00373DD7" w:rsidRPr="00A15692">
        <w:rPr>
          <w:color w:val="000000" w:themeColor="text1"/>
          <w:lang w:val="en-IE"/>
        </w:rPr>
        <w:t>s</w:t>
      </w:r>
      <w:r w:rsidRPr="00A15692">
        <w:rPr>
          <w:color w:val="000000" w:themeColor="text1"/>
          <w:lang w:val="en-IE"/>
        </w:rPr>
        <w:t xml:space="preserve"> on the Commission to submit, without delay, a legislative proposal to reform the decision-making procedure on </w:t>
      </w:r>
      <w:r w:rsidR="00D2585B">
        <w:rPr>
          <w:color w:val="000000" w:themeColor="text1"/>
          <w:lang w:val="en-IE"/>
        </w:rPr>
        <w:t>g</w:t>
      </w:r>
      <w:r w:rsidR="00564D6E" w:rsidRPr="00A15692">
        <w:rPr>
          <w:color w:val="000000" w:themeColor="text1"/>
          <w:lang w:val="en-IE"/>
        </w:rPr>
        <w:t xml:space="preserve">enetically </w:t>
      </w:r>
      <w:r w:rsidR="00D2585B">
        <w:rPr>
          <w:color w:val="000000" w:themeColor="text1"/>
          <w:lang w:val="en-IE"/>
        </w:rPr>
        <w:t>m</w:t>
      </w:r>
      <w:r w:rsidR="00564D6E" w:rsidRPr="00A15692">
        <w:rPr>
          <w:color w:val="000000" w:themeColor="text1"/>
          <w:lang w:val="en-IE"/>
        </w:rPr>
        <w:t xml:space="preserve">odified </w:t>
      </w:r>
      <w:r w:rsidR="00D2585B">
        <w:rPr>
          <w:color w:val="000000" w:themeColor="text1"/>
          <w:lang w:val="en-IE"/>
        </w:rPr>
        <w:t>o</w:t>
      </w:r>
      <w:r w:rsidR="00564D6E" w:rsidRPr="00A15692">
        <w:rPr>
          <w:color w:val="000000" w:themeColor="text1"/>
          <w:lang w:val="en-IE"/>
        </w:rPr>
        <w:t>rganisms (</w:t>
      </w:r>
      <w:r w:rsidRPr="00A15692">
        <w:rPr>
          <w:color w:val="000000" w:themeColor="text1"/>
          <w:lang w:val="en-IE"/>
        </w:rPr>
        <w:t>GMOs</w:t>
      </w:r>
      <w:r w:rsidR="00564D6E" w:rsidRPr="00A15692">
        <w:rPr>
          <w:color w:val="000000" w:themeColor="text1"/>
          <w:lang w:val="en-IE"/>
        </w:rPr>
        <w:t>)</w:t>
      </w:r>
      <w:r w:rsidRPr="00A15692">
        <w:rPr>
          <w:color w:val="000000" w:themeColor="text1"/>
          <w:lang w:val="en-IE"/>
        </w:rPr>
        <w:t xml:space="preserve"> in order to respond to the consistent objections of Parliament and the lack of qualified majority support among Member States (</w:t>
      </w:r>
      <w:r w:rsidRPr="00A15692">
        <w:rPr>
          <w:b/>
          <w:bCs/>
          <w:color w:val="000000" w:themeColor="text1"/>
          <w:lang w:val="en-IE"/>
        </w:rPr>
        <w:t>paragraph 5</w:t>
      </w:r>
      <w:r w:rsidR="0016779E" w:rsidRPr="00A15692">
        <w:rPr>
          <w:b/>
          <w:bCs/>
          <w:color w:val="000000" w:themeColor="text1"/>
          <w:lang w:val="en-IE"/>
        </w:rPr>
        <w:t xml:space="preserve"> </w:t>
      </w:r>
      <w:r w:rsidR="0016779E" w:rsidRPr="00A15692">
        <w:rPr>
          <w:color w:val="000000" w:themeColor="text1"/>
          <w:lang w:val="en-IE"/>
        </w:rPr>
        <w:t xml:space="preserve">and </w:t>
      </w:r>
      <w:r w:rsidR="0016779E" w:rsidRPr="00A15692">
        <w:rPr>
          <w:b/>
          <w:bCs/>
          <w:color w:val="000000" w:themeColor="text1"/>
          <w:lang w:val="en-IE"/>
        </w:rPr>
        <w:t>recital</w:t>
      </w:r>
      <w:r w:rsidR="00111791" w:rsidRPr="00A15692">
        <w:rPr>
          <w:b/>
          <w:bCs/>
          <w:color w:val="000000" w:themeColor="text1"/>
          <w:lang w:val="en-IE"/>
        </w:rPr>
        <w:t>s</w:t>
      </w:r>
      <w:r w:rsidR="0016779E" w:rsidRPr="00A15692">
        <w:rPr>
          <w:b/>
          <w:bCs/>
          <w:color w:val="000000" w:themeColor="text1"/>
          <w:lang w:val="en-IE"/>
        </w:rPr>
        <w:t xml:space="preserve"> </w:t>
      </w:r>
      <w:r w:rsidR="00925A79">
        <w:rPr>
          <w:b/>
          <w:bCs/>
          <w:color w:val="000000" w:themeColor="text1"/>
          <w:lang w:val="en-IE"/>
        </w:rPr>
        <w:t>P</w:t>
      </w:r>
      <w:r w:rsidR="00111791" w:rsidRPr="00A15692">
        <w:rPr>
          <w:color w:val="000000" w:themeColor="text1"/>
          <w:lang w:val="en-IE"/>
        </w:rPr>
        <w:t xml:space="preserve"> and</w:t>
      </w:r>
      <w:r w:rsidR="00111791" w:rsidRPr="00A15692">
        <w:rPr>
          <w:b/>
          <w:bCs/>
          <w:color w:val="000000" w:themeColor="text1"/>
          <w:lang w:val="en-IE"/>
        </w:rPr>
        <w:t xml:space="preserve"> </w:t>
      </w:r>
      <w:r w:rsidR="00925A79">
        <w:rPr>
          <w:b/>
          <w:bCs/>
          <w:color w:val="000000" w:themeColor="text1"/>
          <w:lang w:val="en-IE"/>
        </w:rPr>
        <w:t>Q</w:t>
      </w:r>
      <w:r w:rsidRPr="00A15692">
        <w:rPr>
          <w:color w:val="000000" w:themeColor="text1"/>
          <w:lang w:val="en-IE"/>
        </w:rPr>
        <w:t>)</w:t>
      </w:r>
      <w:r w:rsidR="0016779E" w:rsidRPr="00A15692">
        <w:rPr>
          <w:color w:val="000000" w:themeColor="text1"/>
          <w:lang w:val="en-IE"/>
        </w:rPr>
        <w:t>.</w:t>
      </w:r>
      <w:r w:rsidR="009A18F5" w:rsidRPr="00A15692">
        <w:rPr>
          <w:color w:val="000000" w:themeColor="text1"/>
          <w:lang w:val="en-IE"/>
        </w:rPr>
        <w:t xml:space="preserve"> </w:t>
      </w:r>
    </w:p>
    <w:p w14:paraId="5D717F7D" w14:textId="77777777" w:rsidR="005125FE" w:rsidRPr="00A15692" w:rsidRDefault="005125FE" w:rsidP="00C86C2F">
      <w:pPr>
        <w:keepNext/>
        <w:spacing w:before="240" w:line="259" w:lineRule="auto"/>
        <w:ind w:left="720" w:hanging="720"/>
        <w:rPr>
          <w:rFonts w:ascii="Times New Roman" w:eastAsia="Calibri" w:hAnsi="Times New Roman"/>
          <w:b/>
          <w:bCs/>
          <w:szCs w:val="24"/>
          <w:lang w:val="en-IE" w:eastAsia="en-US"/>
        </w:rPr>
      </w:pPr>
      <w:r w:rsidRPr="00A15692">
        <w:rPr>
          <w:rFonts w:ascii="Times New Roman" w:eastAsia="Calibri" w:hAnsi="Times New Roman"/>
          <w:b/>
          <w:bCs/>
          <w:szCs w:val="24"/>
          <w:lang w:val="en-IE" w:eastAsia="en-US"/>
        </w:rPr>
        <w:t>6.</w:t>
      </w:r>
      <w:r w:rsidRPr="00A15692">
        <w:rPr>
          <w:rFonts w:ascii="Times New Roman" w:eastAsia="Calibri" w:hAnsi="Times New Roman"/>
          <w:b/>
          <w:bCs/>
          <w:szCs w:val="24"/>
          <w:lang w:val="en-IE" w:eastAsia="en-US"/>
        </w:rPr>
        <w:tab/>
        <w:t>Response to the requests and overview of actions taken, or intended to be taken, by the Commission:</w:t>
      </w:r>
    </w:p>
    <w:p w14:paraId="6634D039" w14:textId="5C703976" w:rsidR="005125FE" w:rsidRPr="00A15692" w:rsidRDefault="005125FE" w:rsidP="620AEFA4">
      <w:pPr>
        <w:spacing w:after="120"/>
        <w:rPr>
          <w:rFonts w:ascii="Times New Roman" w:eastAsia="Calibri" w:hAnsi="Times New Roman"/>
          <w:lang w:val="en-IE" w:eastAsia="en-US"/>
        </w:rPr>
      </w:pPr>
      <w:r w:rsidRPr="620AEFA4">
        <w:rPr>
          <w:rFonts w:ascii="Times New Roman" w:eastAsia="Calibri" w:hAnsi="Times New Roman"/>
          <w:lang w:val="en-IE" w:eastAsia="en-US"/>
        </w:rPr>
        <w:t xml:space="preserve">The Commission would like to recall that the </w:t>
      </w:r>
      <w:r w:rsidR="00E72673" w:rsidRPr="620AEFA4">
        <w:rPr>
          <w:rFonts w:ascii="Times New Roman" w:eastAsia="Calibri" w:hAnsi="Times New Roman"/>
          <w:lang w:val="en-IE" w:eastAsia="en-US"/>
        </w:rPr>
        <w:t xml:space="preserve">draft </w:t>
      </w:r>
      <w:r w:rsidRPr="620AEFA4">
        <w:rPr>
          <w:rFonts w:ascii="Times New Roman" w:eastAsia="Calibri" w:hAnsi="Times New Roman"/>
          <w:lang w:val="en-IE" w:eastAsia="en-US"/>
        </w:rPr>
        <w:t xml:space="preserve">implementing decision concerns the </w:t>
      </w:r>
      <w:r w:rsidR="0016779E" w:rsidRPr="620AEFA4">
        <w:rPr>
          <w:rFonts w:ascii="Times New Roman" w:eastAsia="Calibri" w:hAnsi="Times New Roman"/>
          <w:lang w:val="en-IE" w:eastAsia="en-US"/>
        </w:rPr>
        <w:t>renewal</w:t>
      </w:r>
      <w:r w:rsidRPr="620AEFA4">
        <w:rPr>
          <w:rFonts w:ascii="Times New Roman" w:eastAsia="Calibri" w:hAnsi="Times New Roman"/>
          <w:lang w:val="en-IE" w:eastAsia="en-US"/>
        </w:rPr>
        <w:t xml:space="preserve"> </w:t>
      </w:r>
      <w:r w:rsidR="00B70DD1" w:rsidRPr="620AEFA4">
        <w:rPr>
          <w:rFonts w:ascii="Times New Roman" w:eastAsia="Calibri" w:hAnsi="Times New Roman"/>
          <w:lang w:val="en-IE" w:eastAsia="en-US"/>
        </w:rPr>
        <w:t xml:space="preserve">of the authorisation </w:t>
      </w:r>
      <w:r w:rsidRPr="620AEFA4">
        <w:rPr>
          <w:rFonts w:ascii="Times New Roman" w:eastAsia="Calibri" w:hAnsi="Times New Roman"/>
          <w:lang w:val="en-IE" w:eastAsia="en-US"/>
        </w:rPr>
        <w:t xml:space="preserve">for </w:t>
      </w:r>
      <w:r w:rsidR="00E46255" w:rsidRPr="620AEFA4">
        <w:rPr>
          <w:rFonts w:ascii="Times New Roman" w:eastAsia="Calibri" w:hAnsi="Times New Roman"/>
          <w:lang w:val="en-IE" w:eastAsia="en-US"/>
        </w:rPr>
        <w:t xml:space="preserve">the </w:t>
      </w:r>
      <w:r w:rsidRPr="620AEFA4">
        <w:rPr>
          <w:rFonts w:ascii="Times New Roman" w:eastAsia="Calibri" w:hAnsi="Times New Roman"/>
          <w:lang w:val="en-IE" w:eastAsia="en-US"/>
        </w:rPr>
        <w:t>placing on the market of products containing, consisting of or produced from G</w:t>
      </w:r>
      <w:r w:rsidR="0C112FF8" w:rsidRPr="620AEFA4">
        <w:rPr>
          <w:rFonts w:ascii="Times New Roman" w:eastAsia="Calibri" w:hAnsi="Times New Roman"/>
          <w:lang w:val="en-IE" w:eastAsia="en-US"/>
        </w:rPr>
        <w:t xml:space="preserve">enetically </w:t>
      </w:r>
      <w:r w:rsidRPr="620AEFA4">
        <w:rPr>
          <w:rFonts w:ascii="Times New Roman" w:eastAsia="Calibri" w:hAnsi="Times New Roman"/>
          <w:lang w:val="en-IE" w:eastAsia="en-US"/>
        </w:rPr>
        <w:t>M</w:t>
      </w:r>
      <w:r w:rsidR="288D8674" w:rsidRPr="620AEFA4">
        <w:rPr>
          <w:rFonts w:ascii="Times New Roman" w:eastAsia="Calibri" w:hAnsi="Times New Roman"/>
          <w:lang w:val="en-IE" w:eastAsia="en-US"/>
        </w:rPr>
        <w:t>odified (GM)</w:t>
      </w:r>
      <w:r w:rsidR="0071703D" w:rsidRPr="620AEFA4">
        <w:rPr>
          <w:rFonts w:ascii="Times New Roman" w:eastAsia="Calibri" w:hAnsi="Times New Roman"/>
          <w:lang w:val="en-IE" w:eastAsia="en-US"/>
        </w:rPr>
        <w:t xml:space="preserve"> </w:t>
      </w:r>
      <w:r w:rsidR="001614E4" w:rsidRPr="620AEFA4">
        <w:rPr>
          <w:rFonts w:ascii="Times New Roman" w:eastAsia="Calibri" w:hAnsi="Times New Roman"/>
          <w:lang w:val="en-IE" w:eastAsia="en-US"/>
        </w:rPr>
        <w:t xml:space="preserve">cotton </w:t>
      </w:r>
      <w:r w:rsidR="00925A79" w:rsidRPr="620AEFA4">
        <w:rPr>
          <w:rFonts w:ascii="Times New Roman" w:eastAsia="Calibri" w:hAnsi="Times New Roman"/>
          <w:lang w:val="en-IE" w:eastAsia="en-US"/>
        </w:rPr>
        <w:t>GHB614 x LLCotton25</w:t>
      </w:r>
      <w:r w:rsidRPr="620AEFA4">
        <w:rPr>
          <w:rFonts w:ascii="Times New Roman" w:eastAsia="Calibri" w:hAnsi="Times New Roman"/>
          <w:lang w:val="en-IE" w:eastAsia="en-US"/>
        </w:rPr>
        <w:t>, but not the cultivation of this</w:t>
      </w:r>
      <w:r w:rsidR="001614E4" w:rsidRPr="620AEFA4">
        <w:rPr>
          <w:rFonts w:ascii="Times New Roman" w:eastAsia="Calibri" w:hAnsi="Times New Roman"/>
          <w:lang w:val="en-IE" w:eastAsia="en-US"/>
        </w:rPr>
        <w:t xml:space="preserve"> cotton</w:t>
      </w:r>
      <w:r w:rsidRPr="620AEFA4">
        <w:rPr>
          <w:rFonts w:ascii="Times New Roman" w:eastAsia="Calibri" w:hAnsi="Times New Roman"/>
          <w:lang w:val="en-IE" w:eastAsia="en-US"/>
        </w:rPr>
        <w:t>.</w:t>
      </w:r>
    </w:p>
    <w:p w14:paraId="1325178A" w14:textId="442ED979" w:rsidR="005125FE" w:rsidRPr="00A15692" w:rsidRDefault="005125FE" w:rsidP="71ED5ED9">
      <w:pPr>
        <w:spacing w:after="120"/>
        <w:rPr>
          <w:rFonts w:ascii="Times New Roman" w:eastAsia="Calibri" w:hAnsi="Times New Roman"/>
          <w:lang w:val="en-IE" w:eastAsia="en-US"/>
        </w:rPr>
      </w:pPr>
      <w:r w:rsidRPr="2C100EB2">
        <w:rPr>
          <w:rFonts w:ascii="Times New Roman" w:eastAsia="Calibri" w:hAnsi="Times New Roman"/>
          <w:lang w:val="en-IE" w:eastAsia="en-US"/>
        </w:rPr>
        <w:t xml:space="preserve">With respect to </w:t>
      </w:r>
      <w:r w:rsidRPr="2C100EB2">
        <w:rPr>
          <w:rFonts w:ascii="Times New Roman" w:eastAsia="Calibri" w:hAnsi="Times New Roman"/>
          <w:b/>
          <w:bCs/>
          <w:lang w:val="en-IE" w:eastAsia="en-US"/>
        </w:rPr>
        <w:t>paragraphs 1</w:t>
      </w:r>
      <w:r w:rsidR="002B024C" w:rsidRPr="2C100EB2">
        <w:rPr>
          <w:rFonts w:ascii="Times New Roman" w:eastAsia="Calibri" w:hAnsi="Times New Roman"/>
          <w:b/>
          <w:bCs/>
          <w:lang w:val="en-IE" w:eastAsia="en-US"/>
        </w:rPr>
        <w:t xml:space="preserve"> </w:t>
      </w:r>
      <w:r w:rsidR="002B024C" w:rsidRPr="2C100EB2">
        <w:rPr>
          <w:rFonts w:ascii="Times New Roman" w:eastAsia="Calibri" w:hAnsi="Times New Roman"/>
          <w:lang w:val="en-IE" w:eastAsia="en-US"/>
        </w:rPr>
        <w:t>and</w:t>
      </w:r>
      <w:r w:rsidR="002B024C" w:rsidRPr="2C100EB2">
        <w:rPr>
          <w:rFonts w:ascii="Times New Roman" w:eastAsia="Calibri" w:hAnsi="Times New Roman"/>
          <w:b/>
          <w:bCs/>
          <w:lang w:val="en-IE" w:eastAsia="en-US"/>
        </w:rPr>
        <w:t xml:space="preserve"> </w:t>
      </w:r>
      <w:r w:rsidR="00D762A4" w:rsidRPr="2C100EB2">
        <w:rPr>
          <w:rFonts w:ascii="Times New Roman" w:eastAsia="Calibri" w:hAnsi="Times New Roman"/>
          <w:b/>
          <w:bCs/>
          <w:lang w:val="en-IE" w:eastAsia="en-US"/>
        </w:rPr>
        <w:t>3</w:t>
      </w:r>
      <w:r w:rsidR="002B024C" w:rsidRPr="2C100EB2">
        <w:rPr>
          <w:rFonts w:ascii="Times New Roman" w:eastAsia="Calibri" w:hAnsi="Times New Roman"/>
          <w:b/>
          <w:bCs/>
          <w:lang w:val="en-IE" w:eastAsia="en-US"/>
        </w:rPr>
        <w:t xml:space="preserve"> </w:t>
      </w:r>
      <w:r w:rsidRPr="2C100EB2">
        <w:rPr>
          <w:rFonts w:ascii="Times New Roman" w:eastAsia="Calibri" w:hAnsi="Times New Roman"/>
          <w:lang w:val="en-IE" w:eastAsia="en-US"/>
        </w:rPr>
        <w:t xml:space="preserve">of the resolution, the Commission would like to point out that the </w:t>
      </w:r>
      <w:r w:rsidR="00A64BF9" w:rsidRPr="2C100EB2">
        <w:rPr>
          <w:rFonts w:ascii="Times New Roman" w:eastAsia="Calibri" w:hAnsi="Times New Roman"/>
          <w:lang w:val="en-IE" w:eastAsia="en-US"/>
        </w:rPr>
        <w:t xml:space="preserve">draft </w:t>
      </w:r>
      <w:r w:rsidRPr="2C100EB2">
        <w:rPr>
          <w:rFonts w:ascii="Times New Roman" w:eastAsia="Calibri" w:hAnsi="Times New Roman"/>
          <w:lang w:val="en-IE" w:eastAsia="en-US"/>
        </w:rPr>
        <w:t>decision has been prepared in line with and has undergone the procedural steps set out in Regulation (EC) No 1829/2003 on GM food and feed and in Regulation (EU) No 182/2011 on comitology, as illustrated below:</w:t>
      </w:r>
    </w:p>
    <w:p w14:paraId="2C793715" w14:textId="4272DEEC" w:rsidR="00E73E52" w:rsidRPr="00A15692" w:rsidRDefault="00266E38" w:rsidP="0002384B">
      <w:pPr>
        <w:numPr>
          <w:ilvl w:val="0"/>
          <w:numId w:val="3"/>
        </w:numPr>
        <w:spacing w:after="120"/>
        <w:ind w:left="714" w:hanging="357"/>
        <w:rPr>
          <w:rFonts w:ascii="Times New Roman" w:eastAsia="Calibri" w:hAnsi="Times New Roman"/>
          <w:szCs w:val="24"/>
          <w:lang w:val="en-IE" w:eastAsia="en-US"/>
        </w:rPr>
      </w:pPr>
      <w:r w:rsidRPr="00A15692">
        <w:rPr>
          <w:rFonts w:ascii="Times New Roman" w:eastAsia="Calibri" w:hAnsi="Times New Roman"/>
          <w:szCs w:val="24"/>
          <w:lang w:val="en-IE" w:eastAsia="en-US"/>
        </w:rPr>
        <w:t>o</w:t>
      </w:r>
      <w:r w:rsidR="00E9170A" w:rsidRPr="00A15692">
        <w:rPr>
          <w:rFonts w:ascii="Times New Roman" w:eastAsia="Calibri" w:hAnsi="Times New Roman"/>
          <w:szCs w:val="24"/>
          <w:lang w:val="en-IE" w:eastAsia="en-US"/>
        </w:rPr>
        <w:t xml:space="preserve">n </w:t>
      </w:r>
      <w:r w:rsidR="001614E4">
        <w:rPr>
          <w:rFonts w:ascii="Times New Roman" w:eastAsia="Calibri" w:hAnsi="Times New Roman"/>
          <w:szCs w:val="24"/>
          <w:lang w:val="en-IE" w:eastAsia="en-US"/>
        </w:rPr>
        <w:t>22</w:t>
      </w:r>
      <w:r w:rsidR="009A18F5" w:rsidRPr="00A15692">
        <w:rPr>
          <w:rFonts w:ascii="Times New Roman" w:eastAsia="Calibri" w:hAnsi="Times New Roman"/>
          <w:szCs w:val="24"/>
          <w:lang w:val="en-IE" w:eastAsia="en-US"/>
        </w:rPr>
        <w:t xml:space="preserve"> March</w:t>
      </w:r>
      <w:r w:rsidR="0071703D" w:rsidRPr="00A15692">
        <w:rPr>
          <w:rFonts w:ascii="Times New Roman" w:eastAsia="Calibri" w:hAnsi="Times New Roman"/>
          <w:szCs w:val="24"/>
          <w:lang w:val="en-IE" w:eastAsia="en-US"/>
        </w:rPr>
        <w:t xml:space="preserve"> </w:t>
      </w:r>
      <w:r w:rsidR="0016779E" w:rsidRPr="00A15692">
        <w:rPr>
          <w:rFonts w:ascii="Times New Roman" w:eastAsia="Calibri" w:hAnsi="Times New Roman"/>
          <w:szCs w:val="24"/>
          <w:lang w:val="en-IE" w:eastAsia="en-US"/>
        </w:rPr>
        <w:t>2024</w:t>
      </w:r>
      <w:r w:rsidR="00E9170A" w:rsidRPr="00A15692">
        <w:rPr>
          <w:rFonts w:ascii="Times New Roman" w:eastAsia="Calibri" w:hAnsi="Times New Roman"/>
          <w:szCs w:val="24"/>
          <w:lang w:val="en-IE" w:eastAsia="en-US"/>
        </w:rPr>
        <w:t xml:space="preserve">, </w:t>
      </w:r>
      <w:r w:rsidR="00E73E52" w:rsidRPr="00A15692">
        <w:rPr>
          <w:rFonts w:ascii="Times New Roman" w:eastAsia="Calibri" w:hAnsi="Times New Roman"/>
          <w:szCs w:val="24"/>
          <w:lang w:val="en-IE" w:eastAsia="en-US"/>
        </w:rPr>
        <w:t>B</w:t>
      </w:r>
      <w:r w:rsidR="001614E4">
        <w:rPr>
          <w:rFonts w:ascii="Times New Roman" w:eastAsia="Calibri" w:hAnsi="Times New Roman"/>
          <w:szCs w:val="24"/>
          <w:lang w:val="en-IE" w:eastAsia="en-US"/>
        </w:rPr>
        <w:t>ASF SE</w:t>
      </w:r>
      <w:r w:rsidR="00C94A75" w:rsidRPr="00A15692">
        <w:rPr>
          <w:rFonts w:ascii="Times New Roman" w:eastAsia="Calibri" w:hAnsi="Times New Roman"/>
          <w:szCs w:val="24"/>
          <w:lang w:val="en-IE" w:eastAsia="en-US"/>
        </w:rPr>
        <w:t xml:space="preserve">., </w:t>
      </w:r>
      <w:r w:rsidR="00967E68" w:rsidRPr="00A15692">
        <w:rPr>
          <w:rFonts w:ascii="Times New Roman" w:eastAsia="Calibri" w:hAnsi="Times New Roman"/>
          <w:szCs w:val="24"/>
          <w:lang w:val="en-IE" w:eastAsia="en-US"/>
        </w:rPr>
        <w:t xml:space="preserve">on behalf </w:t>
      </w:r>
      <w:r w:rsidR="00E7098A" w:rsidRPr="00A15692">
        <w:rPr>
          <w:rFonts w:ascii="Times New Roman" w:eastAsia="Calibri" w:hAnsi="Times New Roman"/>
          <w:szCs w:val="24"/>
          <w:lang w:val="en-IE" w:eastAsia="en-US"/>
        </w:rPr>
        <w:t xml:space="preserve">of </w:t>
      </w:r>
      <w:r w:rsidR="001614E4">
        <w:rPr>
          <w:rFonts w:ascii="Times New Roman" w:eastAsia="Calibri" w:hAnsi="Times New Roman"/>
          <w:szCs w:val="24"/>
          <w:lang w:val="en-IE" w:eastAsia="en-US"/>
        </w:rPr>
        <w:t>BASF Agricultural Solutions US LLC</w:t>
      </w:r>
      <w:r w:rsidR="000D4082">
        <w:rPr>
          <w:rFonts w:ascii="Times New Roman" w:eastAsia="Calibri" w:hAnsi="Times New Roman"/>
          <w:szCs w:val="24"/>
          <w:lang w:val="en-IE" w:eastAsia="en-US"/>
        </w:rPr>
        <w:t xml:space="preserve"> </w:t>
      </w:r>
      <w:r w:rsidR="00E9170A" w:rsidRPr="00A15692">
        <w:rPr>
          <w:rFonts w:ascii="Times New Roman" w:eastAsia="Calibri" w:hAnsi="Times New Roman"/>
          <w:szCs w:val="24"/>
          <w:lang w:val="en-IE" w:eastAsia="en-US"/>
        </w:rPr>
        <w:t xml:space="preserve">based in the United States, </w:t>
      </w:r>
      <w:r w:rsidR="00E73E52" w:rsidRPr="00A15692">
        <w:rPr>
          <w:rFonts w:ascii="Times New Roman" w:eastAsia="Calibri" w:hAnsi="Times New Roman"/>
          <w:szCs w:val="24"/>
          <w:lang w:val="en-IE" w:eastAsia="en-US"/>
        </w:rPr>
        <w:t xml:space="preserve">submitted an application to the Commission in accordance with Articles 11 and 23 of Regulation (EC) No 1829/2003 </w:t>
      </w:r>
      <w:r w:rsidR="00B70DD1" w:rsidRPr="00A15692">
        <w:rPr>
          <w:rFonts w:ascii="Times New Roman" w:eastAsia="Calibri" w:hAnsi="Times New Roman"/>
          <w:szCs w:val="24"/>
          <w:lang w:val="en-IE" w:eastAsia="en-US"/>
        </w:rPr>
        <w:t xml:space="preserve">for the renewal of that authorisation </w:t>
      </w:r>
      <w:r w:rsidR="002C00FE">
        <w:rPr>
          <w:rFonts w:ascii="Times New Roman" w:eastAsia="Calibri" w:hAnsi="Times New Roman"/>
          <w:szCs w:val="24"/>
          <w:lang w:val="en-IE" w:eastAsia="en-US"/>
        </w:rPr>
        <w:t>of</w:t>
      </w:r>
      <w:r w:rsidR="00E73E52" w:rsidRPr="00A15692">
        <w:rPr>
          <w:rFonts w:ascii="Times New Roman" w:eastAsia="Calibri" w:hAnsi="Times New Roman"/>
          <w:szCs w:val="24"/>
          <w:lang w:val="en-IE" w:eastAsia="en-US"/>
        </w:rPr>
        <w:t xml:space="preserve"> the placing on the market of this GM </w:t>
      </w:r>
      <w:r w:rsidR="000D4082">
        <w:rPr>
          <w:rFonts w:ascii="Times New Roman" w:eastAsia="Calibri" w:hAnsi="Times New Roman"/>
          <w:szCs w:val="24"/>
          <w:lang w:val="en-IE" w:eastAsia="en-US"/>
        </w:rPr>
        <w:t>cotton</w:t>
      </w:r>
      <w:r w:rsidR="00E73E52" w:rsidRPr="00A15692">
        <w:rPr>
          <w:rFonts w:ascii="Times New Roman" w:eastAsia="Calibri" w:hAnsi="Times New Roman"/>
          <w:szCs w:val="24"/>
          <w:lang w:val="en-IE" w:eastAsia="en-US"/>
        </w:rPr>
        <w:t xml:space="preserve"> for food/feed and other uses, with the exception of cultivation;</w:t>
      </w:r>
    </w:p>
    <w:p w14:paraId="174202C9" w14:textId="2DC8CD2F" w:rsidR="00E73E52" w:rsidRPr="00A15692" w:rsidRDefault="00E73E52" w:rsidP="008B79B6">
      <w:pPr>
        <w:numPr>
          <w:ilvl w:val="0"/>
          <w:numId w:val="3"/>
        </w:numPr>
        <w:spacing w:after="120"/>
        <w:ind w:left="714" w:hanging="357"/>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on </w:t>
      </w:r>
      <w:r w:rsidR="00925A79">
        <w:rPr>
          <w:rFonts w:ascii="Times New Roman" w:eastAsia="Calibri" w:hAnsi="Times New Roman"/>
          <w:szCs w:val="24"/>
          <w:lang w:val="en-IE" w:eastAsia="en-US"/>
        </w:rPr>
        <w:t>7 August</w:t>
      </w:r>
      <w:r w:rsidR="001614E4">
        <w:rPr>
          <w:rFonts w:ascii="Times New Roman" w:eastAsia="Calibri" w:hAnsi="Times New Roman"/>
          <w:szCs w:val="24"/>
          <w:lang w:val="en-IE" w:eastAsia="en-US"/>
        </w:rPr>
        <w:t xml:space="preserve"> </w:t>
      </w:r>
      <w:r w:rsidRPr="00A15692">
        <w:rPr>
          <w:rFonts w:ascii="Times New Roman" w:eastAsia="Calibri" w:hAnsi="Times New Roman"/>
          <w:szCs w:val="24"/>
          <w:lang w:val="en-IE" w:eastAsia="en-US"/>
        </w:rPr>
        <w:t xml:space="preserve">2025, </w:t>
      </w:r>
      <w:r w:rsidR="00607104" w:rsidRPr="00A15692">
        <w:rPr>
          <w:rFonts w:ascii="Times New Roman" w:eastAsia="Calibri" w:hAnsi="Times New Roman"/>
          <w:szCs w:val="24"/>
          <w:lang w:val="en-IE" w:eastAsia="en-US"/>
        </w:rPr>
        <w:t xml:space="preserve">the </w:t>
      </w:r>
      <w:r w:rsidR="00E05192" w:rsidRPr="00A15692">
        <w:rPr>
          <w:rFonts w:ascii="Times New Roman" w:eastAsia="Calibri" w:hAnsi="Times New Roman"/>
          <w:szCs w:val="24"/>
          <w:lang w:val="en-IE" w:eastAsia="en-US"/>
        </w:rPr>
        <w:t>European Food Safety Authority (</w:t>
      </w:r>
      <w:r w:rsidRPr="00A15692">
        <w:rPr>
          <w:rFonts w:ascii="Times New Roman" w:eastAsia="Calibri" w:hAnsi="Times New Roman"/>
          <w:szCs w:val="24"/>
          <w:lang w:val="en-IE" w:eastAsia="en-US"/>
        </w:rPr>
        <w:t>EFSA</w:t>
      </w:r>
      <w:r w:rsidR="00E05192" w:rsidRPr="00A15692">
        <w:rPr>
          <w:rFonts w:ascii="Times New Roman" w:eastAsia="Calibri" w:hAnsi="Times New Roman"/>
          <w:szCs w:val="24"/>
          <w:lang w:val="en-IE" w:eastAsia="en-US"/>
        </w:rPr>
        <w:t>)</w:t>
      </w:r>
      <w:r w:rsidRPr="00A15692">
        <w:rPr>
          <w:rFonts w:ascii="Times New Roman" w:eastAsia="Calibri" w:hAnsi="Times New Roman"/>
          <w:szCs w:val="24"/>
          <w:lang w:val="en-IE" w:eastAsia="en-US"/>
        </w:rPr>
        <w:t xml:space="preserve"> published an opinion in accordance with Articles 6 and 18 of Regulation (EC) No 1829/2003 concluding that this </w:t>
      </w:r>
      <w:r w:rsidR="00793E20">
        <w:rPr>
          <w:rFonts w:ascii="Times New Roman" w:eastAsia="Calibri" w:hAnsi="Times New Roman"/>
          <w:szCs w:val="24"/>
          <w:lang w:val="en-IE" w:eastAsia="en-US"/>
        </w:rPr>
        <w:t>cotton</w:t>
      </w:r>
      <w:r w:rsidRPr="00A15692">
        <w:rPr>
          <w:rFonts w:ascii="Times New Roman" w:eastAsia="Calibri" w:hAnsi="Times New Roman"/>
          <w:szCs w:val="24"/>
          <w:lang w:val="en-IE" w:eastAsia="en-US"/>
        </w:rPr>
        <w:t xml:space="preserve"> is as safe as its </w:t>
      </w:r>
      <w:r w:rsidR="00D379D0" w:rsidRPr="00A15692">
        <w:rPr>
          <w:rFonts w:ascii="Times New Roman" w:eastAsia="Calibri" w:hAnsi="Times New Roman"/>
          <w:szCs w:val="24"/>
          <w:lang w:val="en-IE" w:eastAsia="en-US"/>
        </w:rPr>
        <w:t>conventional counterpart</w:t>
      </w:r>
      <w:r w:rsidRPr="00A15692">
        <w:rPr>
          <w:rFonts w:ascii="Times New Roman" w:eastAsia="Calibri" w:hAnsi="Times New Roman"/>
          <w:szCs w:val="24"/>
          <w:lang w:val="en-IE" w:eastAsia="en-US"/>
        </w:rPr>
        <w:t xml:space="preserve"> and the tested non-</w:t>
      </w:r>
      <w:r w:rsidR="00D379D0" w:rsidRPr="00A15692">
        <w:rPr>
          <w:rFonts w:ascii="Times New Roman" w:eastAsia="Calibri" w:hAnsi="Times New Roman"/>
          <w:szCs w:val="24"/>
          <w:lang w:val="en-IE" w:eastAsia="en-US"/>
        </w:rPr>
        <w:t xml:space="preserve">GM </w:t>
      </w:r>
      <w:r w:rsidR="000D4082">
        <w:rPr>
          <w:rFonts w:ascii="Times New Roman" w:eastAsia="Calibri" w:hAnsi="Times New Roman"/>
          <w:szCs w:val="24"/>
          <w:lang w:val="en-IE" w:eastAsia="en-US"/>
        </w:rPr>
        <w:t>cotton</w:t>
      </w:r>
      <w:r w:rsidRPr="00A15692">
        <w:rPr>
          <w:rFonts w:ascii="Times New Roman" w:eastAsia="Calibri" w:hAnsi="Times New Roman"/>
          <w:szCs w:val="24"/>
          <w:lang w:val="en-IE" w:eastAsia="en-US"/>
        </w:rPr>
        <w:t xml:space="preserve"> reference varieties with respect to the potential effects on human and animal health and the environment;</w:t>
      </w:r>
    </w:p>
    <w:p w14:paraId="7AA7BDAC" w14:textId="77777777" w:rsidR="005B1CB0" w:rsidRPr="00A15692" w:rsidRDefault="005B1CB0" w:rsidP="005B1CB0">
      <w:pPr>
        <w:numPr>
          <w:ilvl w:val="0"/>
          <w:numId w:val="3"/>
        </w:num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in its scientific opinion, EFSA considered all the questions and concerns raised by the Member States in the context of the consultation of the national competent authorities as provided for by Article 6(4) and Article 18(4) of Regulation (EC) No 1829/2003;</w:t>
      </w:r>
    </w:p>
    <w:p w14:paraId="0535D192" w14:textId="242462A2" w:rsidR="005B1CB0" w:rsidRPr="00A15692" w:rsidRDefault="008B79B6" w:rsidP="00FA13BD">
      <w:pPr>
        <w:numPr>
          <w:ilvl w:val="0"/>
          <w:numId w:val="3"/>
        </w:num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the EFSA opinion was subject to </w:t>
      </w:r>
      <w:r w:rsidR="008217B7" w:rsidRPr="00A15692">
        <w:rPr>
          <w:rFonts w:ascii="Times New Roman" w:eastAsia="Calibri" w:hAnsi="Times New Roman"/>
          <w:szCs w:val="24"/>
          <w:lang w:val="en-IE" w:eastAsia="en-US"/>
        </w:rPr>
        <w:t xml:space="preserve">a </w:t>
      </w:r>
      <w:r w:rsidRPr="00A15692">
        <w:rPr>
          <w:rFonts w:ascii="Times New Roman" w:eastAsia="Calibri" w:hAnsi="Times New Roman"/>
          <w:szCs w:val="24"/>
          <w:lang w:val="en-IE" w:eastAsia="en-US"/>
        </w:rPr>
        <w:t>public consultation, and no comments were received</w:t>
      </w:r>
      <w:r w:rsidR="008217B7" w:rsidRPr="00A15692">
        <w:rPr>
          <w:rFonts w:ascii="Times New Roman" w:eastAsia="Calibri" w:hAnsi="Times New Roman"/>
          <w:szCs w:val="24"/>
          <w:lang w:val="en-IE" w:eastAsia="en-US"/>
        </w:rPr>
        <w:t>;</w:t>
      </w:r>
    </w:p>
    <w:p w14:paraId="703B8701" w14:textId="575B65D2" w:rsidR="003A1CB2" w:rsidRPr="00A15692" w:rsidRDefault="003A1CB2" w:rsidP="00BF12FD">
      <w:pPr>
        <w:numPr>
          <w:ilvl w:val="0"/>
          <w:numId w:val="3"/>
        </w:num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t</w:t>
      </w:r>
      <w:r w:rsidR="005125FE" w:rsidRPr="00A15692">
        <w:rPr>
          <w:rFonts w:ascii="Times New Roman" w:eastAsia="Calibri" w:hAnsi="Times New Roman"/>
          <w:szCs w:val="24"/>
          <w:lang w:val="en-IE" w:eastAsia="en-US"/>
        </w:rPr>
        <w:t xml:space="preserve">he draft decision was voted in the Standing Committee on </w:t>
      </w:r>
      <w:r w:rsidR="005B1CB0" w:rsidRPr="00A15692">
        <w:rPr>
          <w:rFonts w:ascii="Times New Roman" w:eastAsia="Calibri" w:hAnsi="Times New Roman"/>
          <w:szCs w:val="24"/>
          <w:lang w:val="en-IE" w:eastAsia="en-US"/>
        </w:rPr>
        <w:t>1</w:t>
      </w:r>
      <w:r w:rsidR="001614E4">
        <w:rPr>
          <w:rFonts w:ascii="Times New Roman" w:eastAsia="Calibri" w:hAnsi="Times New Roman"/>
          <w:szCs w:val="24"/>
          <w:lang w:val="en-IE" w:eastAsia="en-US"/>
        </w:rPr>
        <w:t xml:space="preserve">2 December </w:t>
      </w:r>
      <w:r w:rsidR="00266E38" w:rsidRPr="00A15692">
        <w:rPr>
          <w:rFonts w:ascii="Times New Roman" w:eastAsia="Calibri" w:hAnsi="Times New Roman"/>
          <w:szCs w:val="24"/>
          <w:lang w:val="en-IE" w:eastAsia="en-US"/>
        </w:rPr>
        <w:t>202</w:t>
      </w:r>
      <w:r w:rsidR="008B47A6" w:rsidRPr="00A15692">
        <w:rPr>
          <w:rFonts w:ascii="Times New Roman" w:eastAsia="Calibri" w:hAnsi="Times New Roman"/>
          <w:szCs w:val="24"/>
          <w:lang w:val="en-IE" w:eastAsia="en-US"/>
        </w:rPr>
        <w:t>5</w:t>
      </w:r>
      <w:r w:rsidR="00266E38" w:rsidRPr="00A15692">
        <w:rPr>
          <w:rFonts w:ascii="Times New Roman" w:eastAsia="Calibri" w:hAnsi="Times New Roman"/>
          <w:szCs w:val="24"/>
          <w:lang w:val="en-IE" w:eastAsia="en-US"/>
        </w:rPr>
        <w:t xml:space="preserve"> </w:t>
      </w:r>
      <w:r w:rsidR="005125FE" w:rsidRPr="00A15692">
        <w:rPr>
          <w:rFonts w:ascii="Times New Roman" w:eastAsia="Calibri" w:hAnsi="Times New Roman"/>
          <w:szCs w:val="24"/>
          <w:lang w:val="en-IE" w:eastAsia="en-US"/>
        </w:rPr>
        <w:t>with no qualified majority against or in favour;</w:t>
      </w:r>
    </w:p>
    <w:p w14:paraId="366EFE43" w14:textId="797FBC99" w:rsidR="005125FE" w:rsidRPr="00A15692" w:rsidRDefault="003A1CB2" w:rsidP="00BF12FD">
      <w:pPr>
        <w:numPr>
          <w:ilvl w:val="0"/>
          <w:numId w:val="3"/>
        </w:num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t</w:t>
      </w:r>
      <w:r w:rsidR="005125FE" w:rsidRPr="00A15692">
        <w:rPr>
          <w:rFonts w:ascii="Times New Roman" w:eastAsia="Calibri" w:hAnsi="Times New Roman"/>
          <w:szCs w:val="24"/>
          <w:lang w:val="en-IE" w:eastAsia="en-US"/>
        </w:rPr>
        <w:t xml:space="preserve">he draft decision was voted in the Appeal Committee on </w:t>
      </w:r>
      <w:r w:rsidR="00E72673" w:rsidRPr="00A15692">
        <w:rPr>
          <w:rFonts w:ascii="Times New Roman" w:eastAsia="Calibri" w:hAnsi="Times New Roman"/>
          <w:szCs w:val="24"/>
          <w:lang w:val="en-IE" w:eastAsia="en-US"/>
        </w:rPr>
        <w:t>2</w:t>
      </w:r>
      <w:r w:rsidR="001614E4">
        <w:rPr>
          <w:rFonts w:ascii="Times New Roman" w:eastAsia="Calibri" w:hAnsi="Times New Roman"/>
          <w:szCs w:val="24"/>
          <w:lang w:val="en-IE" w:eastAsia="en-US"/>
        </w:rPr>
        <w:t>7 January</w:t>
      </w:r>
      <w:r w:rsidR="00DD33EE" w:rsidRPr="00A15692">
        <w:rPr>
          <w:rFonts w:ascii="Times New Roman" w:eastAsia="Calibri" w:hAnsi="Times New Roman"/>
          <w:szCs w:val="24"/>
          <w:lang w:val="en-IE" w:eastAsia="en-US"/>
        </w:rPr>
        <w:t xml:space="preserve"> </w:t>
      </w:r>
      <w:r w:rsidR="005125FE" w:rsidRPr="00A15692">
        <w:rPr>
          <w:rFonts w:ascii="Times New Roman" w:eastAsia="Calibri" w:hAnsi="Times New Roman"/>
          <w:szCs w:val="24"/>
          <w:lang w:val="en-IE" w:eastAsia="en-US"/>
        </w:rPr>
        <w:t>202</w:t>
      </w:r>
      <w:r w:rsidR="001614E4">
        <w:rPr>
          <w:rFonts w:ascii="Times New Roman" w:eastAsia="Calibri" w:hAnsi="Times New Roman"/>
          <w:szCs w:val="24"/>
          <w:lang w:val="en-IE" w:eastAsia="en-US"/>
        </w:rPr>
        <w:t>6</w:t>
      </w:r>
      <w:r w:rsidR="005125FE" w:rsidRPr="00A15692">
        <w:rPr>
          <w:rFonts w:ascii="Times New Roman" w:eastAsia="Calibri" w:hAnsi="Times New Roman"/>
          <w:szCs w:val="24"/>
          <w:lang w:val="en-IE" w:eastAsia="en-US"/>
        </w:rPr>
        <w:t xml:space="preserve"> with no qualified majority against or in favour;</w:t>
      </w:r>
    </w:p>
    <w:p w14:paraId="15DFE5A1" w14:textId="7B00C492" w:rsidR="00B50812" w:rsidRPr="00A15692" w:rsidRDefault="00B50812" w:rsidP="00BF12FD">
      <w:pPr>
        <w:numPr>
          <w:ilvl w:val="0"/>
          <w:numId w:val="3"/>
        </w:num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in accordance with the rules set out in Regulation (EC)</w:t>
      </w:r>
      <w:r w:rsidR="004B6386" w:rsidRPr="00A15692">
        <w:rPr>
          <w:rFonts w:ascii="Times New Roman" w:eastAsia="Calibri" w:hAnsi="Times New Roman"/>
          <w:szCs w:val="24"/>
          <w:lang w:val="en-IE" w:eastAsia="en-US"/>
        </w:rPr>
        <w:t xml:space="preserve"> No</w:t>
      </w:r>
      <w:r w:rsidRPr="00A15692">
        <w:rPr>
          <w:rFonts w:ascii="Times New Roman" w:eastAsia="Calibri" w:hAnsi="Times New Roman"/>
          <w:szCs w:val="24"/>
          <w:lang w:val="en-IE" w:eastAsia="en-US"/>
        </w:rPr>
        <w:t xml:space="preserve"> 1829/2003, a decision has to be taken on the application;</w:t>
      </w:r>
    </w:p>
    <w:p w14:paraId="7488F574" w14:textId="33C09FC0" w:rsidR="003A1CB2" w:rsidRPr="00A15692" w:rsidRDefault="003A1CB2" w:rsidP="71ED5ED9">
      <w:pPr>
        <w:pStyle w:val="ListParagraph"/>
        <w:numPr>
          <w:ilvl w:val="0"/>
          <w:numId w:val="3"/>
        </w:numPr>
        <w:spacing w:after="120"/>
        <w:contextualSpacing w:val="0"/>
        <w:rPr>
          <w:rFonts w:ascii="Times New Roman" w:eastAsia="Calibri" w:hAnsi="Times New Roman"/>
          <w:lang w:val="en-IE" w:eastAsia="en-US"/>
        </w:rPr>
      </w:pPr>
      <w:r w:rsidRPr="71ED5ED9">
        <w:rPr>
          <w:rFonts w:ascii="Times New Roman" w:eastAsia="Calibri" w:hAnsi="Times New Roman"/>
          <w:lang w:val="en-IE" w:eastAsia="en-US"/>
        </w:rPr>
        <w:t>i</w:t>
      </w:r>
      <w:r w:rsidR="005125FE" w:rsidRPr="71ED5ED9">
        <w:rPr>
          <w:rFonts w:ascii="Times New Roman" w:eastAsia="Calibri" w:hAnsi="Times New Roman"/>
          <w:lang w:val="en-IE" w:eastAsia="en-US"/>
        </w:rPr>
        <w:t xml:space="preserve">n accordance with the rules set out in Regulation (EC) No 182/2011 on comitology, it is for the Commission to </w:t>
      </w:r>
      <w:r w:rsidR="070F1569" w:rsidRPr="00B52510">
        <w:rPr>
          <w:rFonts w:ascii="Times New Roman" w:eastAsia="Calibri" w:hAnsi="Times New Roman"/>
          <w:lang w:val="en-IE" w:eastAsia="en-US"/>
        </w:rPr>
        <w:t>take that decision</w:t>
      </w:r>
      <w:r w:rsidR="00B50812" w:rsidRPr="00B52510">
        <w:rPr>
          <w:rFonts w:ascii="Times New Roman" w:eastAsia="Calibri" w:hAnsi="Times New Roman"/>
          <w:lang w:val="en-IE" w:eastAsia="en-US"/>
        </w:rPr>
        <w:t>;</w:t>
      </w:r>
    </w:p>
    <w:p w14:paraId="7EDC23A1" w14:textId="25F1A774" w:rsidR="00DD33EE" w:rsidRPr="00A15692" w:rsidRDefault="00DD33EE" w:rsidP="00DD33EE">
      <w:pPr>
        <w:pStyle w:val="ListParagraph"/>
        <w:numPr>
          <w:ilvl w:val="0"/>
          <w:numId w:val="3"/>
        </w:numPr>
        <w:spacing w:after="120"/>
        <w:contextualSpacing w:val="0"/>
        <w:rPr>
          <w:rFonts w:ascii="Times New Roman" w:eastAsia="Calibri" w:hAnsi="Times New Roman"/>
          <w:szCs w:val="24"/>
          <w:lang w:val="en-IE" w:eastAsia="en-US"/>
        </w:rPr>
      </w:pPr>
      <w:r w:rsidRPr="00A15692">
        <w:rPr>
          <w:rFonts w:ascii="Times New Roman" w:eastAsia="Calibri" w:hAnsi="Times New Roman"/>
          <w:szCs w:val="24"/>
          <w:lang w:val="en-IE" w:eastAsia="en-US"/>
        </w:rPr>
        <w:lastRenderedPageBreak/>
        <w:t xml:space="preserve">on that basis, the Commission </w:t>
      </w:r>
      <w:r w:rsidR="003D0A01">
        <w:rPr>
          <w:rFonts w:ascii="Times New Roman" w:eastAsia="Calibri" w:hAnsi="Times New Roman"/>
          <w:szCs w:val="24"/>
          <w:lang w:val="en-IE" w:eastAsia="en-US"/>
        </w:rPr>
        <w:t>adopted</w:t>
      </w:r>
      <w:r w:rsidR="004063F1" w:rsidRPr="00A15692">
        <w:rPr>
          <w:rFonts w:ascii="Times New Roman" w:eastAsia="Calibri" w:hAnsi="Times New Roman"/>
          <w:szCs w:val="24"/>
          <w:lang w:val="en-IE" w:eastAsia="en-US"/>
        </w:rPr>
        <w:t xml:space="preserve"> this decision</w:t>
      </w:r>
      <w:r w:rsidR="003D0A01">
        <w:rPr>
          <w:rFonts w:ascii="Times New Roman" w:eastAsia="Calibri" w:hAnsi="Times New Roman"/>
          <w:szCs w:val="24"/>
          <w:lang w:val="en-IE" w:eastAsia="en-US"/>
        </w:rPr>
        <w:t xml:space="preserve"> on 10 March 2026</w:t>
      </w:r>
      <w:r w:rsidR="004063F1" w:rsidRPr="00A15692">
        <w:rPr>
          <w:rFonts w:ascii="Times New Roman" w:eastAsia="Calibri" w:hAnsi="Times New Roman"/>
          <w:szCs w:val="24"/>
          <w:lang w:val="en-IE" w:eastAsia="en-US"/>
        </w:rPr>
        <w:t>.</w:t>
      </w:r>
    </w:p>
    <w:p w14:paraId="4BD271F0" w14:textId="5522D49A" w:rsidR="00347530" w:rsidRPr="00A15692" w:rsidRDefault="00347530" w:rsidP="36649D59">
      <w:pPr>
        <w:spacing w:after="120"/>
        <w:rPr>
          <w:rFonts w:ascii="Times New Roman" w:eastAsia="Calibri" w:hAnsi="Times New Roman"/>
          <w:lang w:val="en-IE" w:eastAsia="en-US"/>
        </w:rPr>
      </w:pPr>
      <w:bookmarkStart w:id="2" w:name="_Hlk222134638"/>
      <w:r w:rsidRPr="00347530">
        <w:rPr>
          <w:rFonts w:ascii="Times New Roman" w:eastAsia="Calibri" w:hAnsi="Times New Roman"/>
          <w:lang w:eastAsia="en-US"/>
        </w:rPr>
        <w:t xml:space="preserve">The Commission considers that it </w:t>
      </w:r>
      <w:r w:rsidR="0005483F">
        <w:rPr>
          <w:rFonts w:ascii="Times New Roman" w:eastAsia="Calibri" w:hAnsi="Times New Roman"/>
          <w:lang w:eastAsia="en-US"/>
        </w:rPr>
        <w:t>did</w:t>
      </w:r>
      <w:r w:rsidRPr="00347530">
        <w:rPr>
          <w:rFonts w:ascii="Times New Roman" w:eastAsia="Calibri" w:hAnsi="Times New Roman"/>
          <w:lang w:eastAsia="en-US"/>
        </w:rPr>
        <w:t xml:space="preserve"> not exceed its implementing powers by going forward with the adoption of a decision on the application as required by Regulation No 1829/2003 and by doing so fully complying with the substantive and procedural conditions set out by the co-legislators in Regulation No 1829/2003 in conjunction with Regulation (EC) No 182/2011</w:t>
      </w:r>
      <w:r>
        <w:rPr>
          <w:rFonts w:ascii="Times New Roman" w:eastAsia="Calibri" w:hAnsi="Times New Roman"/>
          <w:lang w:eastAsia="en-US"/>
        </w:rPr>
        <w:t>.</w:t>
      </w:r>
    </w:p>
    <w:bookmarkEnd w:id="2"/>
    <w:p w14:paraId="6F779681" w14:textId="77777777" w:rsidR="005125FE" w:rsidRPr="00A15692" w:rsidRDefault="005125FE" w:rsidP="005125FE">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p>
    <w:p w14:paraId="07F484D6" w14:textId="63952D0F" w:rsidR="00607104" w:rsidRPr="00A15692" w:rsidRDefault="00BF04F3" w:rsidP="00CA5CEC">
      <w:pPr>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EFSA performed a comprehensive risk assessment of this GM crop which concluded positively, after considering Member States’ comments. </w:t>
      </w:r>
      <w:r w:rsidR="006213D6" w:rsidRPr="00A15692">
        <w:rPr>
          <w:rFonts w:ascii="Times New Roman" w:eastAsia="Calibri" w:hAnsi="Times New Roman"/>
          <w:szCs w:val="24"/>
          <w:lang w:val="en-IE" w:eastAsia="en-US"/>
        </w:rPr>
        <w:t xml:space="preserve">Therefore, the Commission considers that its decision is in line with the EU legislation on GM food and feed, and the EU’s General Food Law and in line with the precautionary principle </w:t>
      </w:r>
      <w:r w:rsidR="00607104" w:rsidRPr="00A15692">
        <w:rPr>
          <w:rFonts w:ascii="Times New Roman" w:eastAsia="Calibri" w:hAnsi="Times New Roman"/>
          <w:szCs w:val="24"/>
          <w:lang w:val="en-IE" w:eastAsia="en-US"/>
        </w:rPr>
        <w:t xml:space="preserve">and the One Health approach </w:t>
      </w:r>
      <w:r w:rsidR="006213D6" w:rsidRPr="00A15692">
        <w:rPr>
          <w:rFonts w:ascii="Times New Roman" w:eastAsia="Calibri" w:hAnsi="Times New Roman"/>
          <w:szCs w:val="24"/>
          <w:lang w:val="en-IE" w:eastAsia="en-US"/>
        </w:rPr>
        <w:t>(</w:t>
      </w:r>
      <w:r w:rsidR="006213D6" w:rsidRPr="00A15692">
        <w:rPr>
          <w:rFonts w:ascii="Times New Roman" w:eastAsia="Calibri" w:hAnsi="Times New Roman"/>
          <w:b/>
          <w:bCs/>
          <w:szCs w:val="24"/>
          <w:lang w:val="en-IE" w:eastAsia="en-US"/>
        </w:rPr>
        <w:t>paragraph 2</w:t>
      </w:r>
      <w:r w:rsidR="006213D6" w:rsidRPr="00A15692">
        <w:rPr>
          <w:rFonts w:ascii="Times New Roman" w:eastAsia="Calibri" w:hAnsi="Times New Roman"/>
          <w:szCs w:val="24"/>
          <w:lang w:val="en-IE" w:eastAsia="en-US"/>
        </w:rPr>
        <w:t xml:space="preserve">). </w:t>
      </w:r>
    </w:p>
    <w:p w14:paraId="3A270FC6" w14:textId="2DD7C6DD" w:rsidR="00CA5CEC" w:rsidRPr="00A15692" w:rsidRDefault="006213D6" w:rsidP="71ED5ED9">
      <w:pPr>
        <w:spacing w:after="120"/>
        <w:rPr>
          <w:rFonts w:ascii="Times New Roman" w:eastAsia="Calibri" w:hAnsi="Times New Roman"/>
          <w:lang w:val="en-IE" w:eastAsia="en-US"/>
        </w:rPr>
      </w:pPr>
      <w:r w:rsidRPr="71ED5ED9">
        <w:rPr>
          <w:rFonts w:ascii="Times New Roman" w:eastAsia="Calibri" w:hAnsi="Times New Roman"/>
          <w:lang w:val="en-IE" w:eastAsia="en-US"/>
        </w:rPr>
        <w:t xml:space="preserve">In relation to the call on the Commission not to renew the authorisation of the GM crop due </w:t>
      </w:r>
      <w:r w:rsidR="00A44DFD" w:rsidRPr="71ED5ED9">
        <w:rPr>
          <w:rFonts w:ascii="Times New Roman" w:eastAsia="Calibri" w:hAnsi="Times New Roman"/>
          <w:lang w:val="en-IE" w:eastAsia="en-US"/>
        </w:rPr>
        <w:t xml:space="preserve">the </w:t>
      </w:r>
      <w:r w:rsidR="0013203A" w:rsidRPr="71ED5ED9">
        <w:rPr>
          <w:rFonts w:ascii="Times New Roman" w:eastAsia="Calibri" w:hAnsi="Times New Roman"/>
          <w:lang w:val="en-IE" w:eastAsia="en-US"/>
        </w:rPr>
        <w:t xml:space="preserve">alleged </w:t>
      </w:r>
      <w:r w:rsidR="00A44DFD" w:rsidRPr="71ED5ED9">
        <w:rPr>
          <w:rFonts w:ascii="Times New Roman" w:eastAsia="Calibri" w:hAnsi="Times New Roman"/>
          <w:lang w:val="en-IE" w:eastAsia="en-US"/>
        </w:rPr>
        <w:t xml:space="preserve">lack of sufficient evidence on long-term impacts on biodiversity, food safety and farmers’ livelihoods in line with the One Health approach and risks associated with </w:t>
      </w:r>
      <w:r w:rsidR="00BC2F64" w:rsidRPr="71ED5ED9">
        <w:rPr>
          <w:rFonts w:ascii="Times New Roman" w:eastAsia="Calibri" w:hAnsi="Times New Roman"/>
          <w:lang w:val="en-IE" w:eastAsia="en-US"/>
        </w:rPr>
        <w:t>herbicides</w:t>
      </w:r>
      <w:r w:rsidR="00A44DFD" w:rsidRPr="71ED5ED9">
        <w:rPr>
          <w:rFonts w:ascii="Times New Roman" w:eastAsia="Calibri" w:hAnsi="Times New Roman"/>
          <w:lang w:val="en-IE" w:eastAsia="en-US"/>
        </w:rPr>
        <w:t xml:space="preserve"> use </w:t>
      </w:r>
      <w:r w:rsidRPr="71ED5ED9">
        <w:rPr>
          <w:rFonts w:ascii="Times New Roman" w:eastAsia="Calibri" w:hAnsi="Times New Roman"/>
          <w:lang w:val="en-IE" w:eastAsia="en-US"/>
        </w:rPr>
        <w:t>(</w:t>
      </w:r>
      <w:r w:rsidRPr="71ED5ED9">
        <w:rPr>
          <w:rFonts w:ascii="Times New Roman" w:eastAsia="Calibri" w:hAnsi="Times New Roman"/>
          <w:b/>
          <w:bCs/>
          <w:lang w:val="en-IE" w:eastAsia="en-US"/>
        </w:rPr>
        <w:t>paragraph 4</w:t>
      </w:r>
      <w:r w:rsidR="007201DE" w:rsidRPr="71ED5ED9">
        <w:rPr>
          <w:rFonts w:ascii="Times New Roman" w:eastAsia="Calibri" w:hAnsi="Times New Roman"/>
          <w:b/>
          <w:bCs/>
          <w:lang w:val="en-IE" w:eastAsia="en-US"/>
        </w:rPr>
        <w:t xml:space="preserve">, </w:t>
      </w:r>
      <w:r w:rsidR="00D379D0" w:rsidRPr="71ED5ED9">
        <w:rPr>
          <w:rFonts w:ascii="Times New Roman" w:eastAsia="Calibri" w:hAnsi="Times New Roman"/>
          <w:b/>
          <w:bCs/>
          <w:lang w:val="en-IE" w:eastAsia="en-US"/>
        </w:rPr>
        <w:t xml:space="preserve">recitals E </w:t>
      </w:r>
      <w:r w:rsidR="00D379D0" w:rsidRPr="71ED5ED9">
        <w:rPr>
          <w:rFonts w:ascii="Times New Roman" w:eastAsia="Calibri" w:hAnsi="Times New Roman"/>
          <w:lang w:val="en-IE" w:eastAsia="en-US"/>
        </w:rPr>
        <w:t>to</w:t>
      </w:r>
      <w:r w:rsidR="00D379D0" w:rsidRPr="71ED5ED9">
        <w:rPr>
          <w:rFonts w:ascii="Times New Roman" w:eastAsia="Calibri" w:hAnsi="Times New Roman"/>
          <w:b/>
          <w:bCs/>
          <w:lang w:val="en-IE" w:eastAsia="en-US"/>
        </w:rPr>
        <w:t xml:space="preserve"> </w:t>
      </w:r>
      <w:r w:rsidR="00925A79" w:rsidRPr="71ED5ED9">
        <w:rPr>
          <w:rFonts w:ascii="Times New Roman" w:eastAsia="Calibri" w:hAnsi="Times New Roman"/>
          <w:b/>
          <w:bCs/>
          <w:lang w:val="en-IE" w:eastAsia="en-US"/>
        </w:rPr>
        <w:t>L</w:t>
      </w:r>
      <w:r w:rsidR="0023392E" w:rsidRPr="71ED5ED9">
        <w:rPr>
          <w:rFonts w:ascii="Times New Roman" w:eastAsia="Calibri" w:hAnsi="Times New Roman"/>
          <w:b/>
          <w:bCs/>
          <w:lang w:val="en-IE" w:eastAsia="en-US"/>
        </w:rPr>
        <w:t xml:space="preserve"> </w:t>
      </w:r>
      <w:r w:rsidR="0023392E" w:rsidRPr="71ED5ED9">
        <w:rPr>
          <w:rFonts w:ascii="Times New Roman" w:eastAsia="Calibri" w:hAnsi="Times New Roman"/>
          <w:lang w:val="en-IE" w:eastAsia="en-US"/>
        </w:rPr>
        <w:t>and</w:t>
      </w:r>
      <w:r w:rsidR="0023392E" w:rsidRPr="71ED5ED9">
        <w:rPr>
          <w:rFonts w:ascii="Times New Roman" w:eastAsia="Calibri" w:hAnsi="Times New Roman"/>
          <w:b/>
          <w:bCs/>
          <w:lang w:val="en-IE" w:eastAsia="en-US"/>
        </w:rPr>
        <w:t xml:space="preserve"> </w:t>
      </w:r>
      <w:r w:rsidR="007201DE" w:rsidRPr="71ED5ED9">
        <w:rPr>
          <w:rFonts w:ascii="Times New Roman" w:eastAsia="Calibri" w:hAnsi="Times New Roman"/>
          <w:b/>
          <w:bCs/>
          <w:lang w:val="en-IE" w:eastAsia="en-US"/>
        </w:rPr>
        <w:t xml:space="preserve">recital </w:t>
      </w:r>
      <w:r w:rsidR="00925A79" w:rsidRPr="71ED5ED9">
        <w:rPr>
          <w:rFonts w:ascii="Times New Roman" w:eastAsia="Calibri" w:hAnsi="Times New Roman"/>
          <w:b/>
          <w:bCs/>
          <w:lang w:val="en-IE" w:eastAsia="en-US"/>
        </w:rPr>
        <w:t>R</w:t>
      </w:r>
      <w:r w:rsidRPr="71ED5ED9">
        <w:rPr>
          <w:rFonts w:ascii="Times New Roman" w:eastAsia="Calibri" w:hAnsi="Times New Roman"/>
          <w:lang w:val="en-IE" w:eastAsia="en-US"/>
        </w:rPr>
        <w:t xml:space="preserve">), </w:t>
      </w:r>
      <w:r w:rsidR="00A44DFD" w:rsidRPr="71ED5ED9">
        <w:rPr>
          <w:rFonts w:ascii="Times New Roman" w:eastAsia="Calibri" w:hAnsi="Times New Roman"/>
          <w:lang w:val="en-IE" w:eastAsia="en-US"/>
        </w:rPr>
        <w:t xml:space="preserve">EFSA’s assessment covered all relevant aspects of food and feed safety, as well as environmental assessment, including interactions of the GM crop with target and non-target organisms, and possible cumulative </w:t>
      </w:r>
      <w:r w:rsidR="00A44DFD" w:rsidRPr="002B757A">
        <w:rPr>
          <w:rFonts w:ascii="Times New Roman" w:eastAsia="Calibri" w:hAnsi="Times New Roman"/>
          <w:lang w:val="en-IE" w:eastAsia="en-US"/>
        </w:rPr>
        <w:t>and combin</w:t>
      </w:r>
      <w:r w:rsidRPr="002B757A">
        <w:rPr>
          <w:rFonts w:ascii="Times New Roman" w:eastAsia="Calibri" w:hAnsi="Times New Roman"/>
          <w:lang w:val="en-IE" w:eastAsia="en-US"/>
        </w:rPr>
        <w:t>atorial</w:t>
      </w:r>
      <w:r w:rsidR="00A44DFD" w:rsidRPr="002B757A">
        <w:rPr>
          <w:rFonts w:ascii="Times New Roman" w:eastAsia="Calibri" w:hAnsi="Times New Roman"/>
          <w:lang w:val="en-IE" w:eastAsia="en-US"/>
        </w:rPr>
        <w:t xml:space="preserve"> effects</w:t>
      </w:r>
      <w:r w:rsidR="00A44DFD" w:rsidRPr="71ED5ED9">
        <w:rPr>
          <w:rFonts w:ascii="Times New Roman" w:eastAsia="Calibri" w:hAnsi="Times New Roman"/>
          <w:lang w:val="en-IE" w:eastAsia="en-US"/>
        </w:rPr>
        <w:t xml:space="preserve"> of herbicides use, within the remit of EFSA’s responsibilities. </w:t>
      </w:r>
    </w:p>
    <w:p w14:paraId="5CBCE35B" w14:textId="665A882D" w:rsidR="00A44DFD" w:rsidRPr="00A15692" w:rsidRDefault="00A44DFD" w:rsidP="00BF04F3">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The Commission would like to point out that, while the authorisation of GMOs is not linked to the authorisation of herbicides, the two authorisation systems are geared to ensure a high level of protection of health and the environment.</w:t>
      </w:r>
    </w:p>
    <w:p w14:paraId="1B15134C" w14:textId="77777777" w:rsidR="00A44DFD" w:rsidRDefault="00A44DFD" w:rsidP="00A44DFD">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The risk assessment of an application for food and feed uses of a herbicide-tolerant GM crop includes assessment of the safety of the GM crop sprayed with the herbicide by comparison to its conventional counterparts. EFSA concluded favourably for the GM crop concerned by this resolution.</w:t>
      </w:r>
    </w:p>
    <w:p w14:paraId="07B01F44" w14:textId="5A440C39" w:rsidR="000D4082" w:rsidRPr="000D4082" w:rsidRDefault="000D4082" w:rsidP="000D4082">
      <w:pPr>
        <w:pStyle w:val="NormalHanging12a"/>
        <w:widowControl/>
        <w:spacing w:after="120"/>
        <w:ind w:left="0" w:firstLine="0"/>
        <w:jc w:val="both"/>
        <w:rPr>
          <w:rFonts w:eastAsia="Calibri"/>
          <w:lang w:val="en-IE" w:eastAsia="en-US"/>
        </w:rPr>
      </w:pPr>
      <w:r w:rsidRPr="620AEFA4">
        <w:rPr>
          <w:rFonts w:eastAsia="Calibri"/>
          <w:lang w:val="en-IE" w:eastAsia="en-US"/>
        </w:rPr>
        <w:t xml:space="preserve">The environmental risk assessment of active substances and plant protection products is carried out in accordance with Regulation (EC) No 1107/2009 concerning the placing of plant protection products on the market. Maximum residue limits (MRLs) apply to all relevant food and feed, whether domestic or imported, including to GM products, and ensure that the health of EU consumers is fully protected. Glufosinate, to which this GM crop is </w:t>
      </w:r>
      <w:r w:rsidR="00295825" w:rsidRPr="620AEFA4">
        <w:rPr>
          <w:rFonts w:eastAsia="Calibri"/>
          <w:lang w:val="en-IE" w:eastAsia="en-US"/>
        </w:rPr>
        <w:t>tolerant</w:t>
      </w:r>
      <w:r w:rsidRPr="620AEFA4">
        <w:rPr>
          <w:rFonts w:eastAsia="Calibri"/>
          <w:lang w:val="en-IE" w:eastAsia="en-US"/>
        </w:rPr>
        <w:t>, is no longer approved in the EU because the applicant withdrew a renewal application that it had submitted earlier</w:t>
      </w:r>
      <w:r w:rsidR="71478C3A" w:rsidRPr="620AEFA4">
        <w:rPr>
          <w:rFonts w:eastAsia="Calibri"/>
          <w:lang w:val="en-IE" w:eastAsia="en-US"/>
        </w:rPr>
        <w:t xml:space="preserve">. </w:t>
      </w:r>
      <w:r w:rsidR="4288442A" w:rsidRPr="620AEFA4">
        <w:rPr>
          <w:rFonts w:eastAsia="Calibri"/>
          <w:lang w:val="en-IE" w:eastAsia="en-US"/>
        </w:rPr>
        <w:t xml:space="preserve"> </w:t>
      </w:r>
      <w:r w:rsidR="686BB834" w:rsidRPr="620AEFA4">
        <w:rPr>
          <w:rFonts w:eastAsia="Calibri"/>
          <w:lang w:val="en-IE" w:eastAsia="en-US"/>
        </w:rPr>
        <w:t>G</w:t>
      </w:r>
      <w:r w:rsidRPr="620AEFA4">
        <w:rPr>
          <w:rFonts w:eastAsia="Calibri"/>
          <w:lang w:val="en-IE" w:eastAsia="en-US"/>
        </w:rPr>
        <w:t>lufosinate is classified as toxic for reproduction category 1B (</w:t>
      </w:r>
      <w:r w:rsidRPr="620AEFA4">
        <w:rPr>
          <w:rFonts w:eastAsia="Calibri"/>
          <w:b/>
          <w:bCs/>
          <w:lang w:val="en-IE" w:eastAsia="en-US"/>
        </w:rPr>
        <w:t xml:space="preserve">recital </w:t>
      </w:r>
      <w:r w:rsidR="00936FA7">
        <w:rPr>
          <w:rFonts w:eastAsia="Calibri"/>
          <w:b/>
          <w:bCs/>
          <w:lang w:val="en-IE" w:eastAsia="en-US"/>
        </w:rPr>
        <w:t>H</w:t>
      </w:r>
      <w:r w:rsidRPr="620AEFA4">
        <w:rPr>
          <w:rFonts w:eastAsia="Calibri"/>
          <w:lang w:val="en-IE" w:eastAsia="en-US"/>
        </w:rPr>
        <w:t>)</w:t>
      </w:r>
      <w:r w:rsidR="7C1B7BCE" w:rsidRPr="620AEFA4">
        <w:rPr>
          <w:rFonts w:eastAsia="Calibri"/>
          <w:lang w:val="en-IE" w:eastAsia="en-US"/>
        </w:rPr>
        <w:t xml:space="preserve"> and the</w:t>
      </w:r>
      <w:r w:rsidRPr="620AEFA4">
        <w:rPr>
          <w:rFonts w:eastAsia="Calibri"/>
          <w:lang w:val="en-IE" w:eastAsia="en-US"/>
        </w:rPr>
        <w:t xml:space="preserve"> Commission will review the existing MRLs, once the on-going assessment </w:t>
      </w:r>
      <w:r w:rsidR="403EFEDC" w:rsidRPr="620AEFA4">
        <w:rPr>
          <w:rFonts w:eastAsia="Calibri"/>
          <w:lang w:val="en-IE" w:eastAsia="en-US"/>
        </w:rPr>
        <w:t xml:space="preserve">which </w:t>
      </w:r>
      <w:r w:rsidRPr="620AEFA4">
        <w:rPr>
          <w:rFonts w:eastAsia="Calibri"/>
          <w:lang w:val="en-IE" w:eastAsia="en-US"/>
        </w:rPr>
        <w:t xml:space="preserve">EFSA </w:t>
      </w:r>
      <w:r w:rsidR="73722B6C" w:rsidRPr="620AEFA4">
        <w:rPr>
          <w:rFonts w:eastAsia="Calibri"/>
          <w:lang w:val="en-IE" w:eastAsia="en-US"/>
        </w:rPr>
        <w:t>is</w:t>
      </w:r>
      <w:r w:rsidRPr="620AEFA4">
        <w:rPr>
          <w:rFonts w:eastAsia="Calibri"/>
          <w:lang w:val="en-IE" w:eastAsia="en-US"/>
        </w:rPr>
        <w:t xml:space="preserve"> perform</w:t>
      </w:r>
      <w:r w:rsidR="5EB015BB" w:rsidRPr="620AEFA4">
        <w:rPr>
          <w:rFonts w:eastAsia="Calibri"/>
          <w:lang w:val="en-IE" w:eastAsia="en-US"/>
        </w:rPr>
        <w:t>ing</w:t>
      </w:r>
      <w:r w:rsidRPr="620AEFA4">
        <w:rPr>
          <w:rFonts w:eastAsia="Calibri"/>
          <w:lang w:val="en-IE" w:eastAsia="en-US"/>
        </w:rPr>
        <w:t xml:space="preserve"> will be completed. </w:t>
      </w:r>
    </w:p>
    <w:p w14:paraId="496BF5C0" w14:textId="1DE8526C" w:rsidR="00D33AB5" w:rsidRPr="00A15692" w:rsidRDefault="00BF04F3" w:rsidP="00D33AB5">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 xml:space="preserve">Regarding concerns </w:t>
      </w:r>
      <w:r w:rsidR="00D33AB5" w:rsidRPr="00A15692">
        <w:rPr>
          <w:rFonts w:ascii="Times New Roman" w:eastAsia="Calibri" w:hAnsi="Times New Roman"/>
          <w:szCs w:val="24"/>
          <w:lang w:val="en-IE" w:eastAsia="en-US"/>
        </w:rPr>
        <w:t>about the insufficient independent monitoring and surveillance of potential adverse effects</w:t>
      </w:r>
      <w:r w:rsidRPr="00A15692">
        <w:rPr>
          <w:rFonts w:ascii="Times New Roman" w:eastAsia="Calibri" w:hAnsi="Times New Roman"/>
          <w:szCs w:val="24"/>
          <w:lang w:val="en-IE" w:eastAsia="en-US"/>
        </w:rPr>
        <w:t xml:space="preserve"> (</w:t>
      </w:r>
      <w:r w:rsidRPr="00A15692">
        <w:rPr>
          <w:rFonts w:ascii="Times New Roman" w:eastAsia="Calibri" w:hAnsi="Times New Roman"/>
          <w:b/>
          <w:bCs/>
          <w:szCs w:val="24"/>
          <w:lang w:val="en-IE" w:eastAsia="en-US"/>
        </w:rPr>
        <w:t xml:space="preserve">recital </w:t>
      </w:r>
      <w:r w:rsidR="00925A79">
        <w:rPr>
          <w:rFonts w:ascii="Times New Roman" w:eastAsia="Calibri" w:hAnsi="Times New Roman"/>
          <w:b/>
          <w:bCs/>
          <w:szCs w:val="24"/>
          <w:lang w:val="en-IE" w:eastAsia="en-US"/>
        </w:rPr>
        <w:t>J</w:t>
      </w:r>
      <w:r w:rsidRPr="00A15692">
        <w:rPr>
          <w:rFonts w:ascii="Times New Roman" w:eastAsia="Calibri" w:hAnsi="Times New Roman"/>
          <w:b/>
          <w:bCs/>
          <w:szCs w:val="24"/>
          <w:lang w:val="en-IE" w:eastAsia="en-US"/>
        </w:rPr>
        <w:t>)</w:t>
      </w:r>
      <w:r w:rsidRPr="00A15692">
        <w:rPr>
          <w:rFonts w:ascii="Times New Roman" w:eastAsia="Calibri" w:hAnsi="Times New Roman"/>
          <w:szCs w:val="24"/>
          <w:lang w:val="en-IE" w:eastAsia="en-US"/>
        </w:rPr>
        <w:t xml:space="preserve">, </w:t>
      </w:r>
      <w:r w:rsidR="00D85952" w:rsidRPr="00A15692">
        <w:rPr>
          <w:rFonts w:ascii="Times New Roman" w:eastAsia="Calibri" w:hAnsi="Times New Roman"/>
          <w:szCs w:val="24"/>
          <w:lang w:val="en-IE" w:eastAsia="en-US"/>
        </w:rPr>
        <w:t xml:space="preserve">the post-market environmental monitoring (PMEM) is composed, according to Directive 2001/18/EC, of a general surveillance and of a case-specific monitoring when specific risks have been identified during the environmental risk assessment. </w:t>
      </w:r>
      <w:r w:rsidR="00615510" w:rsidRPr="00A15692">
        <w:rPr>
          <w:rFonts w:ascii="Times New Roman" w:eastAsia="Calibri" w:hAnsi="Times New Roman"/>
          <w:szCs w:val="24"/>
          <w:lang w:eastAsia="en-US"/>
        </w:rPr>
        <w:t>N</w:t>
      </w:r>
      <w:r w:rsidRPr="00A15692">
        <w:rPr>
          <w:rFonts w:ascii="Times New Roman" w:eastAsia="Calibri" w:hAnsi="Times New Roman"/>
          <w:szCs w:val="24"/>
          <w:lang w:eastAsia="en-US"/>
        </w:rPr>
        <w:t xml:space="preserve">o specific risks were identified </w:t>
      </w:r>
      <w:r w:rsidRPr="00A15692">
        <w:rPr>
          <w:rFonts w:ascii="Times New Roman" w:eastAsia="Calibri" w:hAnsi="Times New Roman"/>
          <w:szCs w:val="24"/>
          <w:lang w:val="en-IE" w:eastAsia="en-US"/>
        </w:rPr>
        <w:t>during the environmental risk assessment</w:t>
      </w:r>
      <w:r w:rsidRPr="00A15692">
        <w:rPr>
          <w:rFonts w:ascii="Times New Roman" w:eastAsia="Calibri" w:hAnsi="Times New Roman"/>
          <w:szCs w:val="24"/>
          <w:lang w:eastAsia="en-US"/>
        </w:rPr>
        <w:t xml:space="preserve"> by EFSA in either the original or </w:t>
      </w:r>
      <w:r w:rsidRPr="00A15692">
        <w:rPr>
          <w:rFonts w:ascii="Times New Roman" w:eastAsia="Calibri" w:hAnsi="Times New Roman"/>
          <w:szCs w:val="24"/>
          <w:lang w:eastAsia="en-US"/>
        </w:rPr>
        <w:lastRenderedPageBreak/>
        <w:t>renewal assessment</w:t>
      </w:r>
      <w:r w:rsidR="00615510" w:rsidRPr="00A15692">
        <w:rPr>
          <w:rFonts w:ascii="Times New Roman" w:eastAsia="Calibri" w:hAnsi="Times New Roman"/>
          <w:szCs w:val="24"/>
          <w:lang w:eastAsia="en-US"/>
        </w:rPr>
        <w:t xml:space="preserve">, </w:t>
      </w:r>
      <w:r w:rsidR="00607104" w:rsidRPr="00A15692">
        <w:rPr>
          <w:rFonts w:ascii="Times New Roman" w:eastAsia="Calibri" w:hAnsi="Times New Roman"/>
          <w:szCs w:val="24"/>
          <w:lang w:val="en-IE" w:eastAsia="en-US"/>
        </w:rPr>
        <w:t xml:space="preserve">a post-market environmental monitoring plan was put in place consisting of </w:t>
      </w:r>
      <w:r w:rsidR="00615510" w:rsidRPr="00A15692">
        <w:rPr>
          <w:rFonts w:ascii="Times New Roman" w:eastAsia="Calibri" w:hAnsi="Times New Roman"/>
          <w:szCs w:val="24"/>
          <w:lang w:val="en-IE" w:eastAsia="en-US"/>
        </w:rPr>
        <w:t xml:space="preserve">general </w:t>
      </w:r>
      <w:r w:rsidR="00607104" w:rsidRPr="00A15692">
        <w:rPr>
          <w:rFonts w:ascii="Times New Roman" w:eastAsia="Calibri" w:hAnsi="Times New Roman"/>
          <w:szCs w:val="24"/>
          <w:lang w:val="en-IE" w:eastAsia="en-US"/>
        </w:rPr>
        <w:t>surveillance. EFSA evaluated in the renewal application, in accordance with the GMO legislation and its relevant guidelines,</w:t>
      </w:r>
      <w:r w:rsidRPr="00A15692">
        <w:rPr>
          <w:rFonts w:ascii="Times New Roman" w:eastAsia="Calibri" w:hAnsi="Times New Roman"/>
          <w:szCs w:val="24"/>
          <w:lang w:eastAsia="en-US"/>
        </w:rPr>
        <w:t xml:space="preserve"> the post market environmental monitoring reports</w:t>
      </w:r>
      <w:r w:rsidR="004D157F" w:rsidRPr="00A15692">
        <w:rPr>
          <w:rFonts w:ascii="Times New Roman" w:eastAsia="Calibri" w:hAnsi="Times New Roman"/>
          <w:szCs w:val="24"/>
          <w:lang w:eastAsia="en-US"/>
        </w:rPr>
        <w:t xml:space="preserve"> and concluded positively on the safety of the GM crop for the environ</w:t>
      </w:r>
      <w:r w:rsidR="004D157F" w:rsidRPr="007201DE">
        <w:rPr>
          <w:rFonts w:ascii="Times New Roman" w:eastAsia="Calibri" w:hAnsi="Times New Roman"/>
          <w:szCs w:val="24"/>
          <w:lang w:eastAsia="en-US"/>
        </w:rPr>
        <w:t>ment</w:t>
      </w:r>
      <w:r w:rsidR="007201DE" w:rsidRPr="007201DE">
        <w:rPr>
          <w:rFonts w:ascii="Times New Roman" w:eastAsia="Calibri" w:hAnsi="Times New Roman"/>
          <w:szCs w:val="24"/>
          <w:lang w:eastAsia="en-US"/>
        </w:rPr>
        <w:t>.</w:t>
      </w:r>
    </w:p>
    <w:p w14:paraId="1DBF6BB4" w14:textId="5A10E56E" w:rsidR="006853C3" w:rsidRPr="00A15692" w:rsidRDefault="006853C3" w:rsidP="00FA2376">
      <w:pPr>
        <w:spacing w:after="120"/>
        <w:rPr>
          <w:rFonts w:ascii="Times New Roman" w:eastAsia="Calibri" w:hAnsi="Times New Roman"/>
          <w:szCs w:val="24"/>
          <w:lang w:val="en-IE" w:eastAsia="en-US"/>
        </w:rPr>
      </w:pPr>
      <w:r w:rsidRPr="00A15692">
        <w:rPr>
          <w:rFonts w:ascii="Times New Roman" w:hAnsi="Times New Roman"/>
          <w:lang w:val="en-IE"/>
        </w:rPr>
        <w:t xml:space="preserve">As regards the </w:t>
      </w:r>
      <w:r w:rsidR="00B477DF" w:rsidRPr="00A15692">
        <w:rPr>
          <w:rFonts w:ascii="Times New Roman" w:hAnsi="Times New Roman"/>
          <w:lang w:val="en-IE"/>
        </w:rPr>
        <w:t xml:space="preserve">claim that the renewal authorisation would not be consistent with the EU’s international obligations on pesticide reduction </w:t>
      </w:r>
      <w:r w:rsidRPr="00A15692">
        <w:rPr>
          <w:rFonts w:ascii="Times New Roman" w:hAnsi="Times New Roman"/>
          <w:lang w:val="en-IE"/>
        </w:rPr>
        <w:t>(</w:t>
      </w:r>
      <w:r w:rsidRPr="00A15692">
        <w:rPr>
          <w:rFonts w:ascii="Times New Roman" w:hAnsi="Times New Roman"/>
          <w:b/>
          <w:bCs/>
          <w:lang w:val="en-IE"/>
        </w:rPr>
        <w:t xml:space="preserve">recital </w:t>
      </w:r>
      <w:r w:rsidR="00925A79">
        <w:rPr>
          <w:rFonts w:ascii="Times New Roman" w:hAnsi="Times New Roman"/>
          <w:b/>
          <w:bCs/>
          <w:lang w:val="en-IE"/>
        </w:rPr>
        <w:t>M</w:t>
      </w:r>
      <w:r w:rsidRPr="00A15692">
        <w:rPr>
          <w:rFonts w:ascii="Times New Roman" w:hAnsi="Times New Roman"/>
          <w:lang w:val="en-IE"/>
        </w:rPr>
        <w:t xml:space="preserve">), the Commission </w:t>
      </w:r>
      <w:r w:rsidRPr="00A15692">
        <w:rPr>
          <w:rFonts w:ascii="Times New Roman" w:eastAsia="Calibri" w:hAnsi="Times New Roman"/>
          <w:szCs w:val="24"/>
          <w:lang w:val="en-IE" w:eastAsia="en-US"/>
        </w:rPr>
        <w:t xml:space="preserve">is fully committed to respecting the EU’s international commitments in the field of environmental protection, which have to be implemented in the relevant policy areas (climate change, biodiversity, etc.) or in appropriate initiatives. However, the Commission decisions for the placing on the market of GMOs that do not present risks to health or to the environment do not run counter to such international commitments. </w:t>
      </w:r>
    </w:p>
    <w:p w14:paraId="2266EF09" w14:textId="7088ACDF" w:rsidR="006853C3" w:rsidRDefault="006853C3" w:rsidP="00FA2376">
      <w:pPr>
        <w:spacing w:after="120"/>
        <w:rPr>
          <w:rFonts w:ascii="Times New Roman" w:hAnsi="Times New Roman"/>
          <w:lang w:val="en-IE"/>
        </w:rPr>
      </w:pPr>
      <w:r w:rsidRPr="71ED5ED9">
        <w:rPr>
          <w:rFonts w:ascii="Times New Roman" w:eastAsia="Calibri" w:hAnsi="Times New Roman"/>
          <w:lang w:val="en-IE" w:eastAsia="en-US"/>
        </w:rPr>
        <w:t xml:space="preserve">In relation to the concern that authorising the import for food or feed uses of any GM plant which has been made tolerant to herbicides </w:t>
      </w:r>
      <w:r w:rsidR="007078DC" w:rsidRPr="71ED5ED9">
        <w:rPr>
          <w:rFonts w:ascii="Times New Roman" w:eastAsia="Calibri" w:hAnsi="Times New Roman"/>
          <w:lang w:val="en-IE" w:eastAsia="en-US"/>
        </w:rPr>
        <w:t xml:space="preserve">that are banned in the Union </w:t>
      </w:r>
      <w:r w:rsidRPr="71ED5ED9">
        <w:rPr>
          <w:rFonts w:ascii="Times New Roman" w:eastAsia="Calibri" w:hAnsi="Times New Roman"/>
          <w:lang w:val="en-IE" w:eastAsia="en-US"/>
        </w:rPr>
        <w:t>would allow imports that do not meet standards applied to EU farmers, and the call on the Commission to reassess its approach on market access for agri-food imports and exports (</w:t>
      </w:r>
      <w:r w:rsidRPr="71ED5ED9">
        <w:rPr>
          <w:rFonts w:ascii="Times New Roman" w:eastAsia="Calibri" w:hAnsi="Times New Roman"/>
          <w:b/>
          <w:bCs/>
          <w:lang w:val="en-IE" w:eastAsia="en-US"/>
        </w:rPr>
        <w:t>recital</w:t>
      </w:r>
      <w:r w:rsidR="00986BE5" w:rsidRPr="71ED5ED9">
        <w:rPr>
          <w:rFonts w:ascii="Times New Roman" w:eastAsia="Calibri" w:hAnsi="Times New Roman"/>
          <w:b/>
          <w:bCs/>
          <w:lang w:val="en-IE" w:eastAsia="en-US"/>
        </w:rPr>
        <w:t>s</w:t>
      </w:r>
      <w:r w:rsidRPr="71ED5ED9">
        <w:rPr>
          <w:rFonts w:ascii="Times New Roman" w:eastAsia="Calibri" w:hAnsi="Times New Roman"/>
          <w:b/>
          <w:bCs/>
          <w:lang w:val="en-IE" w:eastAsia="en-US"/>
        </w:rPr>
        <w:t xml:space="preserve"> </w:t>
      </w:r>
      <w:r w:rsidR="00925A79" w:rsidRPr="71ED5ED9">
        <w:rPr>
          <w:rFonts w:ascii="Times New Roman" w:eastAsia="Calibri" w:hAnsi="Times New Roman"/>
          <w:b/>
          <w:bCs/>
          <w:lang w:val="en-IE" w:eastAsia="en-US"/>
        </w:rPr>
        <w:t>N</w:t>
      </w:r>
      <w:r w:rsidRPr="71ED5ED9">
        <w:rPr>
          <w:rFonts w:ascii="Times New Roman" w:eastAsia="Calibri" w:hAnsi="Times New Roman"/>
          <w:lang w:val="en-IE" w:eastAsia="en-US"/>
        </w:rPr>
        <w:t xml:space="preserve"> and </w:t>
      </w:r>
      <w:r w:rsidR="00925A79" w:rsidRPr="71ED5ED9">
        <w:rPr>
          <w:rFonts w:ascii="Times New Roman" w:eastAsia="Calibri" w:hAnsi="Times New Roman"/>
          <w:b/>
          <w:bCs/>
          <w:lang w:val="en-IE" w:eastAsia="en-US"/>
        </w:rPr>
        <w:t>O</w:t>
      </w:r>
      <w:r w:rsidRPr="71ED5ED9">
        <w:rPr>
          <w:rFonts w:ascii="Times New Roman" w:eastAsia="Calibri" w:hAnsi="Times New Roman"/>
          <w:lang w:val="en-IE" w:eastAsia="en-US"/>
        </w:rPr>
        <w:t xml:space="preserve"> and </w:t>
      </w:r>
      <w:r w:rsidRPr="71ED5ED9">
        <w:rPr>
          <w:rFonts w:ascii="Times New Roman" w:eastAsia="Calibri" w:hAnsi="Times New Roman"/>
          <w:b/>
          <w:bCs/>
          <w:lang w:val="en-IE" w:eastAsia="en-US"/>
        </w:rPr>
        <w:t>paragraph 6</w:t>
      </w:r>
      <w:r w:rsidRPr="71ED5ED9">
        <w:rPr>
          <w:rFonts w:ascii="Times New Roman" w:eastAsia="Calibri" w:hAnsi="Times New Roman"/>
          <w:lang w:val="en-IE" w:eastAsia="en-US"/>
        </w:rPr>
        <w:t>), it should be noted that all imported food and feed must comply with relevant EU regulations and standards relating to safety and health, which are applicable irrespective of whether the product is produced domestically or is imported.</w:t>
      </w:r>
      <w:r w:rsidR="007078DC" w:rsidRPr="71ED5ED9">
        <w:rPr>
          <w:rFonts w:ascii="Times New Roman" w:eastAsia="Calibri" w:hAnsi="Times New Roman"/>
          <w:lang w:val="en-IE" w:eastAsia="en-US"/>
        </w:rPr>
        <w:t xml:space="preserve"> </w:t>
      </w:r>
    </w:p>
    <w:p w14:paraId="0B10F01E" w14:textId="2C93393E" w:rsidR="000D4082" w:rsidRPr="000D4082" w:rsidRDefault="000D4082" w:rsidP="000D4082">
      <w:pPr>
        <w:pStyle w:val="NormalHanging12a"/>
        <w:widowControl/>
        <w:spacing w:after="120"/>
        <w:ind w:left="0" w:firstLine="0"/>
        <w:jc w:val="both"/>
        <w:rPr>
          <w:bCs/>
          <w:iCs/>
          <w:szCs w:val="24"/>
        </w:rPr>
      </w:pPr>
      <w:r w:rsidRPr="00AE724B">
        <w:rPr>
          <w:rFonts w:eastAsia="Calibri"/>
          <w:szCs w:val="24"/>
          <w:lang w:val="en-IE" w:eastAsia="en-US"/>
        </w:rPr>
        <w:t xml:space="preserve">The Commission stated in the Vision for Agriculture and Food adopted on 19 February 2025 that it would pursue, in line with international rules, a stronger alignment of production standards applied to imported products. To this end, the Commission has launched in November 2025 a study to prepare an impact assessment that will consider the impacts on the EU’s competitive position and the international implications of establishing the principle that the most hazardous pesticides banned in the EU for health and environmental reasons are not allowed back to the EU through imported products. </w:t>
      </w:r>
    </w:p>
    <w:p w14:paraId="3D1678A2" w14:textId="62F5A6B4" w:rsidR="00A014D0" w:rsidRPr="00A15692" w:rsidRDefault="00A014D0" w:rsidP="36649D59">
      <w:pPr>
        <w:spacing w:after="120"/>
        <w:rPr>
          <w:rFonts w:ascii="Times New Roman" w:eastAsia="Calibri" w:hAnsi="Times New Roman"/>
          <w:lang w:val="en-IE" w:eastAsia="en-US"/>
        </w:rPr>
      </w:pPr>
      <w:r w:rsidRPr="36649D59">
        <w:rPr>
          <w:rFonts w:ascii="Times New Roman" w:eastAsia="Calibri" w:hAnsi="Times New Roman"/>
          <w:lang w:val="en-IE" w:eastAsia="en-US"/>
        </w:rPr>
        <w:t xml:space="preserve">In the meantime, </w:t>
      </w:r>
      <w:r w:rsidR="00BA6DB4" w:rsidRPr="36649D59">
        <w:rPr>
          <w:rFonts w:ascii="Times New Roman" w:eastAsia="Calibri" w:hAnsi="Times New Roman"/>
          <w:lang w:val="en-IE" w:eastAsia="en-US"/>
        </w:rPr>
        <w:t xml:space="preserve">the Commission proposed </w:t>
      </w:r>
      <w:r w:rsidRPr="36649D59">
        <w:rPr>
          <w:rFonts w:ascii="Times New Roman" w:eastAsia="Calibri" w:hAnsi="Times New Roman"/>
          <w:lang w:val="en-IE" w:eastAsia="en-US"/>
        </w:rPr>
        <w:t>in the recently adopted</w:t>
      </w:r>
      <w:r w:rsidR="171515B6" w:rsidRPr="36649D59">
        <w:rPr>
          <w:rFonts w:ascii="Times New Roman" w:eastAsia="Calibri" w:hAnsi="Times New Roman"/>
          <w:lang w:val="en-IE" w:eastAsia="en-US"/>
        </w:rPr>
        <w:t xml:space="preserve"> </w:t>
      </w:r>
      <w:r w:rsidR="171515B6" w:rsidRPr="00B52510">
        <w:rPr>
          <w:rFonts w:ascii="Times New Roman" w:eastAsia="Calibri" w:hAnsi="Times New Roman"/>
          <w:lang w:val="en-IE" w:eastAsia="en-US"/>
        </w:rPr>
        <w:t>proposal for a</w:t>
      </w:r>
      <w:r w:rsidRPr="00B52510">
        <w:rPr>
          <w:rFonts w:ascii="Times New Roman" w:eastAsia="Calibri" w:hAnsi="Times New Roman"/>
          <w:lang w:val="en-IE" w:eastAsia="en-US"/>
        </w:rPr>
        <w:t xml:space="preserve"> Food</w:t>
      </w:r>
      <w:r w:rsidRPr="36649D59">
        <w:rPr>
          <w:rFonts w:ascii="Times New Roman" w:eastAsia="Calibri" w:hAnsi="Times New Roman"/>
          <w:lang w:val="en-IE" w:eastAsia="en-US"/>
        </w:rPr>
        <w:t xml:space="preserve"> and Feed </w:t>
      </w:r>
      <w:r w:rsidR="00D2585B" w:rsidRPr="36649D59">
        <w:rPr>
          <w:rFonts w:ascii="Times New Roman" w:eastAsia="Calibri" w:hAnsi="Times New Roman"/>
          <w:lang w:val="en-IE" w:eastAsia="en-US"/>
        </w:rPr>
        <w:t xml:space="preserve">Safety </w:t>
      </w:r>
      <w:r w:rsidRPr="36649D59">
        <w:rPr>
          <w:rFonts w:ascii="Times New Roman" w:eastAsia="Calibri" w:hAnsi="Times New Roman"/>
          <w:lang w:val="en-IE" w:eastAsia="en-US"/>
        </w:rPr>
        <w:t>Simplification Omnibus</w:t>
      </w:r>
      <w:r w:rsidR="009C6B0C" w:rsidRPr="36649D59">
        <w:rPr>
          <w:rStyle w:val="FootnoteReference"/>
          <w:rFonts w:ascii="Times New Roman" w:eastAsia="Calibri" w:hAnsi="Times New Roman"/>
          <w:lang w:val="en-IE" w:eastAsia="en-US"/>
        </w:rPr>
        <w:footnoteReference w:id="2"/>
      </w:r>
      <w:r w:rsidRPr="36649D59">
        <w:rPr>
          <w:rFonts w:ascii="Times New Roman" w:eastAsia="Calibri" w:hAnsi="Times New Roman"/>
          <w:lang w:val="en-IE" w:eastAsia="en-US"/>
        </w:rPr>
        <w:t xml:space="preserve"> an amendment to the Regulation </w:t>
      </w:r>
      <w:r w:rsidR="007078DC" w:rsidRPr="36649D59">
        <w:rPr>
          <w:rFonts w:ascii="Times New Roman" w:eastAsia="Calibri" w:hAnsi="Times New Roman"/>
          <w:lang w:val="en-IE" w:eastAsia="en-US"/>
        </w:rPr>
        <w:t xml:space="preserve">on maximum residue levels of pesticides in or on food and feed of plant and animal origin </w:t>
      </w:r>
      <w:r w:rsidRPr="36649D59">
        <w:rPr>
          <w:rFonts w:ascii="Times New Roman" w:eastAsia="Calibri" w:hAnsi="Times New Roman"/>
          <w:lang w:val="en-IE" w:eastAsia="en-US"/>
        </w:rPr>
        <w:t xml:space="preserve">(Regulation (EC) No 396/2005) so that, </w:t>
      </w:r>
      <w:r w:rsidR="00415462" w:rsidRPr="36649D59">
        <w:rPr>
          <w:rFonts w:ascii="Times New Roman" w:eastAsia="Calibri" w:hAnsi="Times New Roman"/>
          <w:lang w:val="en-IE" w:eastAsia="en-US"/>
        </w:rPr>
        <w:t xml:space="preserve">on a case-by-case basis </w:t>
      </w:r>
      <w:r w:rsidRPr="36649D59">
        <w:rPr>
          <w:rFonts w:ascii="Times New Roman" w:eastAsia="Calibri" w:hAnsi="Times New Roman"/>
          <w:lang w:val="en-IE" w:eastAsia="en-US"/>
        </w:rPr>
        <w:t xml:space="preserve">for substances that are not approved in the EU and that have certain particularly hazardous properties, MRLs that have been set based on good agricultural practices in third countries (also referred to as import tolerances) or on Codex maximum limits can be lowered to the technical zero if considered appropriate in the light of the outcome of an impact assessment. </w:t>
      </w:r>
    </w:p>
    <w:p w14:paraId="41C8B80E" w14:textId="0CD915D1" w:rsidR="00CA5CEC" w:rsidRPr="001A4E57" w:rsidRDefault="007D2CB4" w:rsidP="00E37DCF">
      <w:pPr>
        <w:spacing w:after="120"/>
        <w:rPr>
          <w:rFonts w:ascii="Times New Roman" w:eastAsia="Calibri" w:hAnsi="Times New Roman"/>
          <w:szCs w:val="24"/>
          <w:lang w:val="en-IE" w:eastAsia="en-US"/>
        </w:rPr>
      </w:pPr>
      <w:r w:rsidRPr="00A15692">
        <w:rPr>
          <w:rFonts w:ascii="Times New Roman" w:eastAsia="Calibri" w:hAnsi="Times New Roman"/>
          <w:szCs w:val="24"/>
          <w:lang w:val="en-IE" w:eastAsia="en-US"/>
        </w:rPr>
        <w:t>With regard to the call to submit a legislative proposal to reform the decision-making procedure on GMOs</w:t>
      </w:r>
      <w:r w:rsidR="00D379D0" w:rsidRPr="00A15692">
        <w:rPr>
          <w:rFonts w:ascii="Times New Roman" w:eastAsia="Calibri" w:hAnsi="Times New Roman"/>
          <w:szCs w:val="24"/>
          <w:lang w:val="en-IE" w:eastAsia="en-US"/>
        </w:rPr>
        <w:t xml:space="preserve"> in order to respond to the consistent objections of Parliament and the lack of qualified majority support among Member States</w:t>
      </w:r>
      <w:r w:rsidRPr="00A15692">
        <w:rPr>
          <w:rFonts w:ascii="Times New Roman" w:eastAsia="Calibri" w:hAnsi="Times New Roman"/>
          <w:szCs w:val="24"/>
          <w:lang w:val="en-IE" w:eastAsia="en-US"/>
        </w:rPr>
        <w:t xml:space="preserve"> (</w:t>
      </w:r>
      <w:r w:rsidRPr="00A15692">
        <w:rPr>
          <w:rFonts w:ascii="Times New Roman" w:eastAsia="Calibri" w:hAnsi="Times New Roman"/>
          <w:b/>
          <w:bCs/>
          <w:szCs w:val="24"/>
          <w:lang w:val="en-IE" w:eastAsia="en-US"/>
        </w:rPr>
        <w:t>paragraph 5</w:t>
      </w:r>
      <w:r w:rsidR="00D379D0" w:rsidRPr="00A15692">
        <w:rPr>
          <w:rFonts w:ascii="Times New Roman" w:eastAsia="Calibri" w:hAnsi="Times New Roman"/>
          <w:b/>
          <w:bCs/>
          <w:szCs w:val="24"/>
          <w:lang w:val="en-IE" w:eastAsia="en-US"/>
        </w:rPr>
        <w:t xml:space="preserve"> </w:t>
      </w:r>
      <w:r w:rsidR="00D379D0" w:rsidRPr="00A15692">
        <w:rPr>
          <w:rFonts w:ascii="Times New Roman" w:eastAsia="Calibri" w:hAnsi="Times New Roman"/>
          <w:szCs w:val="24"/>
          <w:lang w:val="en-IE" w:eastAsia="en-US"/>
        </w:rPr>
        <w:t>and</w:t>
      </w:r>
      <w:r w:rsidR="00D379D0" w:rsidRPr="00A15692">
        <w:rPr>
          <w:rFonts w:ascii="Times New Roman" w:eastAsia="Calibri" w:hAnsi="Times New Roman"/>
          <w:b/>
          <w:bCs/>
          <w:szCs w:val="24"/>
          <w:lang w:val="en-IE" w:eastAsia="en-US"/>
        </w:rPr>
        <w:t xml:space="preserve"> recital</w:t>
      </w:r>
      <w:r w:rsidR="00771662" w:rsidRPr="00A15692">
        <w:rPr>
          <w:rFonts w:ascii="Times New Roman" w:eastAsia="Calibri" w:hAnsi="Times New Roman"/>
          <w:b/>
          <w:bCs/>
          <w:szCs w:val="24"/>
          <w:lang w:val="en-IE" w:eastAsia="en-US"/>
        </w:rPr>
        <w:t>s</w:t>
      </w:r>
      <w:r w:rsidR="00D379D0" w:rsidRPr="00A15692">
        <w:rPr>
          <w:rFonts w:ascii="Times New Roman" w:eastAsia="Calibri" w:hAnsi="Times New Roman"/>
          <w:b/>
          <w:bCs/>
          <w:szCs w:val="24"/>
          <w:lang w:val="en-IE" w:eastAsia="en-US"/>
        </w:rPr>
        <w:t xml:space="preserve"> </w:t>
      </w:r>
      <w:r w:rsidR="00925A79">
        <w:rPr>
          <w:rFonts w:ascii="Times New Roman" w:eastAsia="Calibri" w:hAnsi="Times New Roman"/>
          <w:b/>
          <w:bCs/>
          <w:szCs w:val="24"/>
          <w:lang w:val="en-IE" w:eastAsia="en-US"/>
        </w:rPr>
        <w:t>P</w:t>
      </w:r>
      <w:r w:rsidR="00771662" w:rsidRPr="00A15692">
        <w:rPr>
          <w:rFonts w:ascii="Times New Roman" w:eastAsia="Calibri" w:hAnsi="Times New Roman"/>
          <w:b/>
          <w:bCs/>
          <w:szCs w:val="24"/>
          <w:lang w:val="en-IE" w:eastAsia="en-US"/>
        </w:rPr>
        <w:t xml:space="preserve"> </w:t>
      </w:r>
      <w:r w:rsidR="00771662" w:rsidRPr="00A15692">
        <w:rPr>
          <w:rFonts w:ascii="Times New Roman" w:eastAsia="Calibri" w:hAnsi="Times New Roman"/>
          <w:szCs w:val="24"/>
          <w:lang w:val="en-IE" w:eastAsia="en-US"/>
        </w:rPr>
        <w:t>and</w:t>
      </w:r>
      <w:r w:rsidR="00771662" w:rsidRPr="00A15692">
        <w:rPr>
          <w:rFonts w:ascii="Times New Roman" w:eastAsia="Calibri" w:hAnsi="Times New Roman"/>
          <w:b/>
          <w:bCs/>
          <w:szCs w:val="24"/>
          <w:lang w:val="en-IE" w:eastAsia="en-US"/>
        </w:rPr>
        <w:t xml:space="preserve"> </w:t>
      </w:r>
      <w:r w:rsidR="00925A79">
        <w:rPr>
          <w:rFonts w:ascii="Times New Roman" w:eastAsia="Calibri" w:hAnsi="Times New Roman"/>
          <w:b/>
          <w:bCs/>
          <w:szCs w:val="24"/>
          <w:lang w:val="en-IE" w:eastAsia="en-US"/>
        </w:rPr>
        <w:t>Q</w:t>
      </w:r>
      <w:r w:rsidRPr="00A15692">
        <w:rPr>
          <w:rFonts w:ascii="Times New Roman" w:eastAsia="Calibri" w:hAnsi="Times New Roman"/>
          <w:szCs w:val="24"/>
          <w:lang w:val="en-IE" w:eastAsia="en-US"/>
        </w:rPr>
        <w:t>), the Commission would like to recall that it submitted a proposal to the Council and the Parliament on 14 February 2017 to amend Regulation (EU) No 182/2011, changing the voting rules at the Appeal Committee to increase transparency and accountability in the GMO decision-making process. However, this proposal has not been adopted by the co-legislators. In light of this situation, the Commission decided to withdraw the proposal on 16 July 2025, and the withdrawal was published on 6 October 2025.</w:t>
      </w:r>
    </w:p>
    <w:sectPr w:rsidR="00CA5CEC" w:rsidRPr="001A4E5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6B19" w14:textId="77777777" w:rsidR="00B50D1E" w:rsidRDefault="00B50D1E" w:rsidP="00FA2376">
      <w:pPr>
        <w:spacing w:after="0"/>
      </w:pPr>
      <w:r>
        <w:separator/>
      </w:r>
    </w:p>
  </w:endnote>
  <w:endnote w:type="continuationSeparator" w:id="0">
    <w:p w14:paraId="6B86DA50" w14:textId="77777777" w:rsidR="00B50D1E" w:rsidRDefault="00B50D1E" w:rsidP="00FA2376">
      <w:pPr>
        <w:spacing w:after="0"/>
      </w:pPr>
      <w:r>
        <w:continuationSeparator/>
      </w:r>
    </w:p>
  </w:endnote>
  <w:endnote w:type="continuationNotice" w:id="1">
    <w:p w14:paraId="45F46A6B" w14:textId="77777777" w:rsidR="00B50D1E" w:rsidRDefault="00B50D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AF28" w14:textId="77777777" w:rsidR="00B50D1E" w:rsidRDefault="00B50D1E" w:rsidP="00FA2376">
      <w:pPr>
        <w:spacing w:after="0"/>
      </w:pPr>
      <w:r>
        <w:separator/>
      </w:r>
    </w:p>
  </w:footnote>
  <w:footnote w:type="continuationSeparator" w:id="0">
    <w:p w14:paraId="193D1C5B" w14:textId="77777777" w:rsidR="00B50D1E" w:rsidRDefault="00B50D1E" w:rsidP="00FA2376">
      <w:pPr>
        <w:spacing w:after="0"/>
      </w:pPr>
      <w:r>
        <w:continuationSeparator/>
      </w:r>
    </w:p>
  </w:footnote>
  <w:footnote w:type="continuationNotice" w:id="1">
    <w:p w14:paraId="334243B9" w14:textId="77777777" w:rsidR="00B50D1E" w:rsidRDefault="00B50D1E">
      <w:pPr>
        <w:spacing w:after="0"/>
      </w:pPr>
    </w:p>
  </w:footnote>
  <w:footnote w:id="2">
    <w:p w14:paraId="353653DE" w14:textId="7E603007" w:rsidR="009C6B0C" w:rsidRPr="009C6B0C" w:rsidRDefault="009C6B0C" w:rsidP="009C6B0C">
      <w:pPr>
        <w:pStyle w:val="FootnoteText"/>
        <w:rPr>
          <w:rFonts w:ascii="Times New Roman" w:hAnsi="Times New Roman"/>
          <w:lang w:val="en-IE"/>
        </w:rPr>
      </w:pPr>
      <w:r w:rsidRPr="009C6B0C">
        <w:rPr>
          <w:rStyle w:val="FootnoteReference"/>
          <w:rFonts w:ascii="Times New Roman" w:hAnsi="Times New Roman"/>
        </w:rPr>
        <w:footnoteRef/>
      </w:r>
      <w:r w:rsidRPr="009C6B0C">
        <w:rPr>
          <w:rFonts w:ascii="Times New Roman" w:hAnsi="Times New Roman"/>
        </w:rPr>
        <w:t xml:space="preserve"> </w:t>
      </w:r>
      <w:r w:rsidRPr="009C6B0C">
        <w:rPr>
          <w:rFonts w:ascii="Times New Roman" w:hAnsi="Times New Roman"/>
          <w:lang w:val="en-IE"/>
        </w:rPr>
        <w:t>COM(2025) 1030 final</w:t>
      </w:r>
    </w:p>
    <w:p w14:paraId="747FBD28" w14:textId="003C36F5" w:rsidR="009C6B0C" w:rsidRPr="009C6B0C" w:rsidRDefault="009C6B0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2F35"/>
    <w:multiLevelType w:val="hybridMultilevel"/>
    <w:tmpl w:val="7AA81C14"/>
    <w:lvl w:ilvl="0" w:tplc="9E825E12">
      <w:start w:val="1"/>
      <w:numFmt w:val="decimal"/>
      <w:lvlText w:val="%1)"/>
      <w:lvlJc w:val="left"/>
      <w:pPr>
        <w:ind w:left="720" w:hanging="360"/>
      </w:pPr>
    </w:lvl>
    <w:lvl w:ilvl="1" w:tplc="3F225888">
      <w:start w:val="1"/>
      <w:numFmt w:val="decimal"/>
      <w:lvlText w:val="%2)"/>
      <w:lvlJc w:val="left"/>
      <w:pPr>
        <w:ind w:left="720" w:hanging="360"/>
      </w:pPr>
    </w:lvl>
    <w:lvl w:ilvl="2" w:tplc="B464E192">
      <w:start w:val="1"/>
      <w:numFmt w:val="decimal"/>
      <w:lvlText w:val="%3)"/>
      <w:lvlJc w:val="left"/>
      <w:pPr>
        <w:ind w:left="720" w:hanging="360"/>
      </w:pPr>
    </w:lvl>
    <w:lvl w:ilvl="3" w:tplc="33EE77AC">
      <w:start w:val="1"/>
      <w:numFmt w:val="decimal"/>
      <w:lvlText w:val="%4)"/>
      <w:lvlJc w:val="left"/>
      <w:pPr>
        <w:ind w:left="720" w:hanging="360"/>
      </w:pPr>
    </w:lvl>
    <w:lvl w:ilvl="4" w:tplc="9D02F1C6">
      <w:start w:val="1"/>
      <w:numFmt w:val="decimal"/>
      <w:lvlText w:val="%5)"/>
      <w:lvlJc w:val="left"/>
      <w:pPr>
        <w:ind w:left="720" w:hanging="360"/>
      </w:pPr>
    </w:lvl>
    <w:lvl w:ilvl="5" w:tplc="C15EB5CA">
      <w:start w:val="1"/>
      <w:numFmt w:val="decimal"/>
      <w:lvlText w:val="%6)"/>
      <w:lvlJc w:val="left"/>
      <w:pPr>
        <w:ind w:left="720" w:hanging="360"/>
      </w:pPr>
    </w:lvl>
    <w:lvl w:ilvl="6" w:tplc="894EE976">
      <w:start w:val="1"/>
      <w:numFmt w:val="decimal"/>
      <w:lvlText w:val="%7)"/>
      <w:lvlJc w:val="left"/>
      <w:pPr>
        <w:ind w:left="720" w:hanging="360"/>
      </w:pPr>
    </w:lvl>
    <w:lvl w:ilvl="7" w:tplc="07104372">
      <w:start w:val="1"/>
      <w:numFmt w:val="decimal"/>
      <w:lvlText w:val="%8)"/>
      <w:lvlJc w:val="left"/>
      <w:pPr>
        <w:ind w:left="720" w:hanging="360"/>
      </w:pPr>
    </w:lvl>
    <w:lvl w:ilvl="8" w:tplc="FF42187E">
      <w:start w:val="1"/>
      <w:numFmt w:val="decimal"/>
      <w:lvlText w:val="%9)"/>
      <w:lvlJc w:val="left"/>
      <w:pPr>
        <w:ind w:left="720" w:hanging="360"/>
      </w:pPr>
    </w:lvl>
  </w:abstractNum>
  <w:abstractNum w:abstractNumId="1"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6D6459"/>
    <w:multiLevelType w:val="hybridMultilevel"/>
    <w:tmpl w:val="6B1A5F26"/>
    <w:lvl w:ilvl="0" w:tplc="ACE42A70">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3"/>
  </w:num>
  <w:num w:numId="2" w16cid:durableId="338578912">
    <w:abstractNumId w:val="4"/>
  </w:num>
  <w:num w:numId="3" w16cid:durableId="58485251">
    <w:abstractNumId w:val="1"/>
  </w:num>
  <w:num w:numId="4" w16cid:durableId="169687601">
    <w:abstractNumId w:val="0"/>
  </w:num>
  <w:num w:numId="5" w16cid:durableId="9388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06A68"/>
    <w:rsid w:val="000116FA"/>
    <w:rsid w:val="00011937"/>
    <w:rsid w:val="00013C7B"/>
    <w:rsid w:val="0002384B"/>
    <w:rsid w:val="0002645E"/>
    <w:rsid w:val="00033173"/>
    <w:rsid w:val="00037C1D"/>
    <w:rsid w:val="00046908"/>
    <w:rsid w:val="00052388"/>
    <w:rsid w:val="0005483F"/>
    <w:rsid w:val="00055C7C"/>
    <w:rsid w:val="00056A4A"/>
    <w:rsid w:val="00061376"/>
    <w:rsid w:val="00065711"/>
    <w:rsid w:val="00066E3D"/>
    <w:rsid w:val="000674BC"/>
    <w:rsid w:val="000749BE"/>
    <w:rsid w:val="000849CB"/>
    <w:rsid w:val="00090FA3"/>
    <w:rsid w:val="000A02B6"/>
    <w:rsid w:val="000A4615"/>
    <w:rsid w:val="000B23E3"/>
    <w:rsid w:val="000C3A3A"/>
    <w:rsid w:val="000C53F5"/>
    <w:rsid w:val="000C55C4"/>
    <w:rsid w:val="000C5F19"/>
    <w:rsid w:val="000D2A14"/>
    <w:rsid w:val="000D4082"/>
    <w:rsid w:val="000D4A01"/>
    <w:rsid w:val="000D52C0"/>
    <w:rsid w:val="000E0CE7"/>
    <w:rsid w:val="000F70B6"/>
    <w:rsid w:val="00105474"/>
    <w:rsid w:val="00110F67"/>
    <w:rsid w:val="00111791"/>
    <w:rsid w:val="00111A6A"/>
    <w:rsid w:val="0011249B"/>
    <w:rsid w:val="00114ADD"/>
    <w:rsid w:val="0012338F"/>
    <w:rsid w:val="00126D0B"/>
    <w:rsid w:val="0013203A"/>
    <w:rsid w:val="0013721E"/>
    <w:rsid w:val="0015499D"/>
    <w:rsid w:val="001614E4"/>
    <w:rsid w:val="00161EF9"/>
    <w:rsid w:val="0016779E"/>
    <w:rsid w:val="00176356"/>
    <w:rsid w:val="00176E0B"/>
    <w:rsid w:val="00182202"/>
    <w:rsid w:val="00193938"/>
    <w:rsid w:val="001A4E57"/>
    <w:rsid w:val="001A6F48"/>
    <w:rsid w:val="001B4985"/>
    <w:rsid w:val="001B64D9"/>
    <w:rsid w:val="001C1B7D"/>
    <w:rsid w:val="001C31EB"/>
    <w:rsid w:val="001D5CF8"/>
    <w:rsid w:val="001E05FE"/>
    <w:rsid w:val="001F00FA"/>
    <w:rsid w:val="0020086C"/>
    <w:rsid w:val="002058BC"/>
    <w:rsid w:val="00215350"/>
    <w:rsid w:val="00222494"/>
    <w:rsid w:val="00223FC9"/>
    <w:rsid w:val="0023392E"/>
    <w:rsid w:val="002428B3"/>
    <w:rsid w:val="0024548D"/>
    <w:rsid w:val="00247BAC"/>
    <w:rsid w:val="00266E38"/>
    <w:rsid w:val="002702AB"/>
    <w:rsid w:val="002729B3"/>
    <w:rsid w:val="002758B1"/>
    <w:rsid w:val="00284547"/>
    <w:rsid w:val="0028497B"/>
    <w:rsid w:val="00295825"/>
    <w:rsid w:val="002A1806"/>
    <w:rsid w:val="002A1A7D"/>
    <w:rsid w:val="002A62AF"/>
    <w:rsid w:val="002B024C"/>
    <w:rsid w:val="002B4980"/>
    <w:rsid w:val="002B757A"/>
    <w:rsid w:val="002C00FE"/>
    <w:rsid w:val="002C3542"/>
    <w:rsid w:val="002C4773"/>
    <w:rsid w:val="002E5B70"/>
    <w:rsid w:val="002E7BED"/>
    <w:rsid w:val="002F3179"/>
    <w:rsid w:val="0030499C"/>
    <w:rsid w:val="00311EAE"/>
    <w:rsid w:val="00320A81"/>
    <w:rsid w:val="00322673"/>
    <w:rsid w:val="00324C27"/>
    <w:rsid w:val="0032664D"/>
    <w:rsid w:val="0032730E"/>
    <w:rsid w:val="00333EC9"/>
    <w:rsid w:val="00335568"/>
    <w:rsid w:val="00337EFE"/>
    <w:rsid w:val="00342D1A"/>
    <w:rsid w:val="00347530"/>
    <w:rsid w:val="0035287F"/>
    <w:rsid w:val="00356FE3"/>
    <w:rsid w:val="003656FC"/>
    <w:rsid w:val="00373DD7"/>
    <w:rsid w:val="00374B59"/>
    <w:rsid w:val="0037552C"/>
    <w:rsid w:val="00377D28"/>
    <w:rsid w:val="00380751"/>
    <w:rsid w:val="0039002F"/>
    <w:rsid w:val="00390E4D"/>
    <w:rsid w:val="0039253C"/>
    <w:rsid w:val="003941BD"/>
    <w:rsid w:val="003A1CB2"/>
    <w:rsid w:val="003A2B3C"/>
    <w:rsid w:val="003A53B1"/>
    <w:rsid w:val="003A5783"/>
    <w:rsid w:val="003C0AC2"/>
    <w:rsid w:val="003D08B0"/>
    <w:rsid w:val="003D0A01"/>
    <w:rsid w:val="003D6024"/>
    <w:rsid w:val="003D6855"/>
    <w:rsid w:val="003E17AD"/>
    <w:rsid w:val="003E1843"/>
    <w:rsid w:val="003E453F"/>
    <w:rsid w:val="003E77F1"/>
    <w:rsid w:val="003E7CD5"/>
    <w:rsid w:val="004026CE"/>
    <w:rsid w:val="00403423"/>
    <w:rsid w:val="004063F1"/>
    <w:rsid w:val="00406717"/>
    <w:rsid w:val="00415462"/>
    <w:rsid w:val="004302C3"/>
    <w:rsid w:val="00430A99"/>
    <w:rsid w:val="00434AD2"/>
    <w:rsid w:val="00446975"/>
    <w:rsid w:val="00450A50"/>
    <w:rsid w:val="00455A55"/>
    <w:rsid w:val="0046034F"/>
    <w:rsid w:val="00466FB6"/>
    <w:rsid w:val="00472BFC"/>
    <w:rsid w:val="00476926"/>
    <w:rsid w:val="00476E16"/>
    <w:rsid w:val="004863F0"/>
    <w:rsid w:val="00494E27"/>
    <w:rsid w:val="0049544F"/>
    <w:rsid w:val="00495CC8"/>
    <w:rsid w:val="004965BB"/>
    <w:rsid w:val="004A40F0"/>
    <w:rsid w:val="004A57EC"/>
    <w:rsid w:val="004A5D3A"/>
    <w:rsid w:val="004A5DCC"/>
    <w:rsid w:val="004B1AE4"/>
    <w:rsid w:val="004B6386"/>
    <w:rsid w:val="004B7DB8"/>
    <w:rsid w:val="004C6AB6"/>
    <w:rsid w:val="004D14E4"/>
    <w:rsid w:val="004D157F"/>
    <w:rsid w:val="004E5C76"/>
    <w:rsid w:val="004E60E8"/>
    <w:rsid w:val="004F3EEA"/>
    <w:rsid w:val="005110FE"/>
    <w:rsid w:val="00511D76"/>
    <w:rsid w:val="005125FE"/>
    <w:rsid w:val="00521266"/>
    <w:rsid w:val="005255E1"/>
    <w:rsid w:val="00526154"/>
    <w:rsid w:val="00534DB6"/>
    <w:rsid w:val="0053665D"/>
    <w:rsid w:val="005377ED"/>
    <w:rsid w:val="00545349"/>
    <w:rsid w:val="00551B65"/>
    <w:rsid w:val="005522B6"/>
    <w:rsid w:val="00562C22"/>
    <w:rsid w:val="00564D6E"/>
    <w:rsid w:val="0056564C"/>
    <w:rsid w:val="00583260"/>
    <w:rsid w:val="0058526A"/>
    <w:rsid w:val="00585BF8"/>
    <w:rsid w:val="005875AB"/>
    <w:rsid w:val="00587A12"/>
    <w:rsid w:val="005918C1"/>
    <w:rsid w:val="0059593B"/>
    <w:rsid w:val="005A0033"/>
    <w:rsid w:val="005A1902"/>
    <w:rsid w:val="005A29F3"/>
    <w:rsid w:val="005A7FC2"/>
    <w:rsid w:val="005B1CB0"/>
    <w:rsid w:val="005B2809"/>
    <w:rsid w:val="005B691E"/>
    <w:rsid w:val="005C55E9"/>
    <w:rsid w:val="005D4EAC"/>
    <w:rsid w:val="005E12C6"/>
    <w:rsid w:val="005E23BD"/>
    <w:rsid w:val="005F16F9"/>
    <w:rsid w:val="00605E58"/>
    <w:rsid w:val="00607104"/>
    <w:rsid w:val="00613222"/>
    <w:rsid w:val="00615510"/>
    <w:rsid w:val="006213D6"/>
    <w:rsid w:val="00623358"/>
    <w:rsid w:val="00630C96"/>
    <w:rsid w:val="00632FCE"/>
    <w:rsid w:val="00641422"/>
    <w:rsid w:val="006439DE"/>
    <w:rsid w:val="00644846"/>
    <w:rsid w:val="00661591"/>
    <w:rsid w:val="006621D2"/>
    <w:rsid w:val="006653F2"/>
    <w:rsid w:val="00667B04"/>
    <w:rsid w:val="00672BF1"/>
    <w:rsid w:val="00674C6D"/>
    <w:rsid w:val="00674D1B"/>
    <w:rsid w:val="006770A2"/>
    <w:rsid w:val="00684D28"/>
    <w:rsid w:val="00684DB7"/>
    <w:rsid w:val="0068500A"/>
    <w:rsid w:val="006853C3"/>
    <w:rsid w:val="00686B20"/>
    <w:rsid w:val="00690710"/>
    <w:rsid w:val="00691A24"/>
    <w:rsid w:val="00693112"/>
    <w:rsid w:val="00693538"/>
    <w:rsid w:val="006A2D96"/>
    <w:rsid w:val="006A2E86"/>
    <w:rsid w:val="006A7C58"/>
    <w:rsid w:val="006B200F"/>
    <w:rsid w:val="006B3A26"/>
    <w:rsid w:val="006B3C13"/>
    <w:rsid w:val="006B4A1E"/>
    <w:rsid w:val="006B6ECE"/>
    <w:rsid w:val="006C2AD5"/>
    <w:rsid w:val="006C38BB"/>
    <w:rsid w:val="006D1572"/>
    <w:rsid w:val="006D1B97"/>
    <w:rsid w:val="006E3D8B"/>
    <w:rsid w:val="006E5429"/>
    <w:rsid w:val="006E78DE"/>
    <w:rsid w:val="006E7B26"/>
    <w:rsid w:val="007078DC"/>
    <w:rsid w:val="00715E09"/>
    <w:rsid w:val="00715EE4"/>
    <w:rsid w:val="007165ED"/>
    <w:rsid w:val="0071703D"/>
    <w:rsid w:val="007201DE"/>
    <w:rsid w:val="00721D5B"/>
    <w:rsid w:val="00733244"/>
    <w:rsid w:val="00735997"/>
    <w:rsid w:val="00735A61"/>
    <w:rsid w:val="007411E8"/>
    <w:rsid w:val="00747212"/>
    <w:rsid w:val="007472AB"/>
    <w:rsid w:val="007510AF"/>
    <w:rsid w:val="007542EC"/>
    <w:rsid w:val="0076060B"/>
    <w:rsid w:val="00762421"/>
    <w:rsid w:val="007628A7"/>
    <w:rsid w:val="00771516"/>
    <w:rsid w:val="00771662"/>
    <w:rsid w:val="00775040"/>
    <w:rsid w:val="00783E8D"/>
    <w:rsid w:val="00792434"/>
    <w:rsid w:val="00793E20"/>
    <w:rsid w:val="00794645"/>
    <w:rsid w:val="00797A3E"/>
    <w:rsid w:val="007A0971"/>
    <w:rsid w:val="007A46E3"/>
    <w:rsid w:val="007A7EA3"/>
    <w:rsid w:val="007B24ED"/>
    <w:rsid w:val="007B7FCB"/>
    <w:rsid w:val="007C16C2"/>
    <w:rsid w:val="007C722C"/>
    <w:rsid w:val="007D145A"/>
    <w:rsid w:val="007D2CB4"/>
    <w:rsid w:val="007D3EA4"/>
    <w:rsid w:val="007E20AE"/>
    <w:rsid w:val="007E2984"/>
    <w:rsid w:val="007E47B8"/>
    <w:rsid w:val="007F4F3C"/>
    <w:rsid w:val="007F5072"/>
    <w:rsid w:val="00800EC9"/>
    <w:rsid w:val="0080223B"/>
    <w:rsid w:val="00812475"/>
    <w:rsid w:val="00815DDA"/>
    <w:rsid w:val="008217B7"/>
    <w:rsid w:val="008344E7"/>
    <w:rsid w:val="00834534"/>
    <w:rsid w:val="00834DDF"/>
    <w:rsid w:val="00840ADA"/>
    <w:rsid w:val="00840BAE"/>
    <w:rsid w:val="00840C20"/>
    <w:rsid w:val="00841D4D"/>
    <w:rsid w:val="0084310B"/>
    <w:rsid w:val="00861A05"/>
    <w:rsid w:val="0086521D"/>
    <w:rsid w:val="008677BD"/>
    <w:rsid w:val="008774D5"/>
    <w:rsid w:val="00886F58"/>
    <w:rsid w:val="00887942"/>
    <w:rsid w:val="008939A8"/>
    <w:rsid w:val="008A0FA3"/>
    <w:rsid w:val="008A509B"/>
    <w:rsid w:val="008A665C"/>
    <w:rsid w:val="008A6793"/>
    <w:rsid w:val="008B06C0"/>
    <w:rsid w:val="008B400E"/>
    <w:rsid w:val="008B47A6"/>
    <w:rsid w:val="008B79B6"/>
    <w:rsid w:val="008C0DE9"/>
    <w:rsid w:val="008D6665"/>
    <w:rsid w:val="008D7C9C"/>
    <w:rsid w:val="008E08D5"/>
    <w:rsid w:val="008E6DE7"/>
    <w:rsid w:val="008F400C"/>
    <w:rsid w:val="008F538E"/>
    <w:rsid w:val="008F7B92"/>
    <w:rsid w:val="00910B1D"/>
    <w:rsid w:val="009156DC"/>
    <w:rsid w:val="00917AC2"/>
    <w:rsid w:val="009205A5"/>
    <w:rsid w:val="00925A79"/>
    <w:rsid w:val="00925B05"/>
    <w:rsid w:val="0093382A"/>
    <w:rsid w:val="00933DD0"/>
    <w:rsid w:val="00936FA7"/>
    <w:rsid w:val="00937487"/>
    <w:rsid w:val="00944E7A"/>
    <w:rsid w:val="00960A01"/>
    <w:rsid w:val="00967E68"/>
    <w:rsid w:val="00970E81"/>
    <w:rsid w:val="009746F2"/>
    <w:rsid w:val="00986BE5"/>
    <w:rsid w:val="0098719F"/>
    <w:rsid w:val="00994FE6"/>
    <w:rsid w:val="00996793"/>
    <w:rsid w:val="00996B44"/>
    <w:rsid w:val="009A0961"/>
    <w:rsid w:val="009A18F5"/>
    <w:rsid w:val="009A7D36"/>
    <w:rsid w:val="009B5D74"/>
    <w:rsid w:val="009B7C58"/>
    <w:rsid w:val="009C2A67"/>
    <w:rsid w:val="009C6B0C"/>
    <w:rsid w:val="009D29B6"/>
    <w:rsid w:val="009E7EE5"/>
    <w:rsid w:val="009F0062"/>
    <w:rsid w:val="009F5FC0"/>
    <w:rsid w:val="00A014D0"/>
    <w:rsid w:val="00A042C5"/>
    <w:rsid w:val="00A05681"/>
    <w:rsid w:val="00A07553"/>
    <w:rsid w:val="00A103E7"/>
    <w:rsid w:val="00A15692"/>
    <w:rsid w:val="00A15CCF"/>
    <w:rsid w:val="00A176B8"/>
    <w:rsid w:val="00A17915"/>
    <w:rsid w:val="00A17C47"/>
    <w:rsid w:val="00A20DB1"/>
    <w:rsid w:val="00A25D6D"/>
    <w:rsid w:val="00A3598F"/>
    <w:rsid w:val="00A44DFD"/>
    <w:rsid w:val="00A5422D"/>
    <w:rsid w:val="00A64BF9"/>
    <w:rsid w:val="00A66E4E"/>
    <w:rsid w:val="00A84C9C"/>
    <w:rsid w:val="00A91F28"/>
    <w:rsid w:val="00AA1589"/>
    <w:rsid w:val="00AA3272"/>
    <w:rsid w:val="00AB4CB5"/>
    <w:rsid w:val="00AB547D"/>
    <w:rsid w:val="00AB5E6D"/>
    <w:rsid w:val="00AC0575"/>
    <w:rsid w:val="00AC1D5D"/>
    <w:rsid w:val="00AC2DE9"/>
    <w:rsid w:val="00AC3C06"/>
    <w:rsid w:val="00AC4020"/>
    <w:rsid w:val="00AC4457"/>
    <w:rsid w:val="00AC6D28"/>
    <w:rsid w:val="00AD3008"/>
    <w:rsid w:val="00AD31F4"/>
    <w:rsid w:val="00AD5A4B"/>
    <w:rsid w:val="00AE0320"/>
    <w:rsid w:val="00AF6D21"/>
    <w:rsid w:val="00B0530F"/>
    <w:rsid w:val="00B14043"/>
    <w:rsid w:val="00B17FEE"/>
    <w:rsid w:val="00B250D6"/>
    <w:rsid w:val="00B27924"/>
    <w:rsid w:val="00B336FA"/>
    <w:rsid w:val="00B36DB6"/>
    <w:rsid w:val="00B376FE"/>
    <w:rsid w:val="00B434FD"/>
    <w:rsid w:val="00B43F08"/>
    <w:rsid w:val="00B477DF"/>
    <w:rsid w:val="00B50812"/>
    <w:rsid w:val="00B50D1E"/>
    <w:rsid w:val="00B50FEB"/>
    <w:rsid w:val="00B52510"/>
    <w:rsid w:val="00B5650A"/>
    <w:rsid w:val="00B657E5"/>
    <w:rsid w:val="00B70771"/>
    <w:rsid w:val="00B70DD1"/>
    <w:rsid w:val="00B74703"/>
    <w:rsid w:val="00B756CF"/>
    <w:rsid w:val="00B75E56"/>
    <w:rsid w:val="00B77967"/>
    <w:rsid w:val="00B83F8B"/>
    <w:rsid w:val="00B92ABA"/>
    <w:rsid w:val="00B967CE"/>
    <w:rsid w:val="00BA39E6"/>
    <w:rsid w:val="00BA6DB4"/>
    <w:rsid w:val="00BC010D"/>
    <w:rsid w:val="00BC195B"/>
    <w:rsid w:val="00BC2F64"/>
    <w:rsid w:val="00BE27EE"/>
    <w:rsid w:val="00BF04F3"/>
    <w:rsid w:val="00BF12FD"/>
    <w:rsid w:val="00C0114E"/>
    <w:rsid w:val="00C043BF"/>
    <w:rsid w:val="00C05549"/>
    <w:rsid w:val="00C0589B"/>
    <w:rsid w:val="00C144EA"/>
    <w:rsid w:val="00C17BC1"/>
    <w:rsid w:val="00C17EE9"/>
    <w:rsid w:val="00C2050F"/>
    <w:rsid w:val="00C21136"/>
    <w:rsid w:val="00C33727"/>
    <w:rsid w:val="00C34B51"/>
    <w:rsid w:val="00C37524"/>
    <w:rsid w:val="00C43B65"/>
    <w:rsid w:val="00C5160B"/>
    <w:rsid w:val="00C55B7F"/>
    <w:rsid w:val="00C7135B"/>
    <w:rsid w:val="00C73B1A"/>
    <w:rsid w:val="00C741DE"/>
    <w:rsid w:val="00C86C2F"/>
    <w:rsid w:val="00C9025E"/>
    <w:rsid w:val="00C93EB3"/>
    <w:rsid w:val="00C94A75"/>
    <w:rsid w:val="00C96289"/>
    <w:rsid w:val="00CA10F5"/>
    <w:rsid w:val="00CA52BF"/>
    <w:rsid w:val="00CA5CEC"/>
    <w:rsid w:val="00CA5F49"/>
    <w:rsid w:val="00CB199C"/>
    <w:rsid w:val="00CB3948"/>
    <w:rsid w:val="00CC2DB5"/>
    <w:rsid w:val="00CC3C74"/>
    <w:rsid w:val="00CC4341"/>
    <w:rsid w:val="00CC4D64"/>
    <w:rsid w:val="00CC7FED"/>
    <w:rsid w:val="00CD3495"/>
    <w:rsid w:val="00CD7779"/>
    <w:rsid w:val="00CD7864"/>
    <w:rsid w:val="00CE0AE3"/>
    <w:rsid w:val="00D03227"/>
    <w:rsid w:val="00D07372"/>
    <w:rsid w:val="00D10C67"/>
    <w:rsid w:val="00D14993"/>
    <w:rsid w:val="00D2585B"/>
    <w:rsid w:val="00D33AB5"/>
    <w:rsid w:val="00D35D71"/>
    <w:rsid w:val="00D379D0"/>
    <w:rsid w:val="00D508E2"/>
    <w:rsid w:val="00D53B67"/>
    <w:rsid w:val="00D53CCE"/>
    <w:rsid w:val="00D55F1E"/>
    <w:rsid w:val="00D67731"/>
    <w:rsid w:val="00D749C3"/>
    <w:rsid w:val="00D753CA"/>
    <w:rsid w:val="00D762A4"/>
    <w:rsid w:val="00D7648D"/>
    <w:rsid w:val="00D82EBB"/>
    <w:rsid w:val="00D85952"/>
    <w:rsid w:val="00D92D7E"/>
    <w:rsid w:val="00D9468B"/>
    <w:rsid w:val="00DB2BA1"/>
    <w:rsid w:val="00DB7EF5"/>
    <w:rsid w:val="00DD07B3"/>
    <w:rsid w:val="00DD27EB"/>
    <w:rsid w:val="00DD33EE"/>
    <w:rsid w:val="00DD749A"/>
    <w:rsid w:val="00DF0BF9"/>
    <w:rsid w:val="00DF3477"/>
    <w:rsid w:val="00DF4C7C"/>
    <w:rsid w:val="00DF4C98"/>
    <w:rsid w:val="00DF4CA7"/>
    <w:rsid w:val="00DF5F5A"/>
    <w:rsid w:val="00DF75A6"/>
    <w:rsid w:val="00E038A1"/>
    <w:rsid w:val="00E04E2B"/>
    <w:rsid w:val="00E05192"/>
    <w:rsid w:val="00E1410A"/>
    <w:rsid w:val="00E15698"/>
    <w:rsid w:val="00E2212D"/>
    <w:rsid w:val="00E267C4"/>
    <w:rsid w:val="00E314E9"/>
    <w:rsid w:val="00E32733"/>
    <w:rsid w:val="00E37DCF"/>
    <w:rsid w:val="00E45516"/>
    <w:rsid w:val="00E46255"/>
    <w:rsid w:val="00E60DC7"/>
    <w:rsid w:val="00E633A7"/>
    <w:rsid w:val="00E6727B"/>
    <w:rsid w:val="00E7098A"/>
    <w:rsid w:val="00E72673"/>
    <w:rsid w:val="00E73E52"/>
    <w:rsid w:val="00E74C75"/>
    <w:rsid w:val="00E7708B"/>
    <w:rsid w:val="00E9170A"/>
    <w:rsid w:val="00E91D3A"/>
    <w:rsid w:val="00E938AE"/>
    <w:rsid w:val="00E94F27"/>
    <w:rsid w:val="00EB0BAD"/>
    <w:rsid w:val="00EB464A"/>
    <w:rsid w:val="00EB6D55"/>
    <w:rsid w:val="00EC13AD"/>
    <w:rsid w:val="00ED5209"/>
    <w:rsid w:val="00EE3715"/>
    <w:rsid w:val="00EE778B"/>
    <w:rsid w:val="00EF06B2"/>
    <w:rsid w:val="00EF1030"/>
    <w:rsid w:val="00EF670A"/>
    <w:rsid w:val="00F02370"/>
    <w:rsid w:val="00F03E4A"/>
    <w:rsid w:val="00F062A0"/>
    <w:rsid w:val="00F12BD7"/>
    <w:rsid w:val="00F13664"/>
    <w:rsid w:val="00F15C12"/>
    <w:rsid w:val="00F215DB"/>
    <w:rsid w:val="00F241D5"/>
    <w:rsid w:val="00F34872"/>
    <w:rsid w:val="00F45AC9"/>
    <w:rsid w:val="00F63DA0"/>
    <w:rsid w:val="00F659DE"/>
    <w:rsid w:val="00F70A44"/>
    <w:rsid w:val="00F713C5"/>
    <w:rsid w:val="00F72B7C"/>
    <w:rsid w:val="00F766E7"/>
    <w:rsid w:val="00F80A6C"/>
    <w:rsid w:val="00F83145"/>
    <w:rsid w:val="00F949F6"/>
    <w:rsid w:val="00F96419"/>
    <w:rsid w:val="00FA13BD"/>
    <w:rsid w:val="00FA2376"/>
    <w:rsid w:val="00FA663F"/>
    <w:rsid w:val="00FA791E"/>
    <w:rsid w:val="00FB2D7D"/>
    <w:rsid w:val="00FB3F2B"/>
    <w:rsid w:val="00FC5F51"/>
    <w:rsid w:val="00FC6083"/>
    <w:rsid w:val="00FD1DCB"/>
    <w:rsid w:val="00FD71ED"/>
    <w:rsid w:val="00FE318D"/>
    <w:rsid w:val="00FF38A2"/>
    <w:rsid w:val="00FF520A"/>
    <w:rsid w:val="00FF76AD"/>
    <w:rsid w:val="06A1A050"/>
    <w:rsid w:val="06FD194B"/>
    <w:rsid w:val="070F1569"/>
    <w:rsid w:val="0C112FF8"/>
    <w:rsid w:val="171515B6"/>
    <w:rsid w:val="1C91AFF5"/>
    <w:rsid w:val="1CC21D85"/>
    <w:rsid w:val="1F7BA2E0"/>
    <w:rsid w:val="202F07C7"/>
    <w:rsid w:val="288D8674"/>
    <w:rsid w:val="2A7A96F5"/>
    <w:rsid w:val="2C100EB2"/>
    <w:rsid w:val="2D8BA55A"/>
    <w:rsid w:val="307C91BF"/>
    <w:rsid w:val="36649D59"/>
    <w:rsid w:val="3C38C746"/>
    <w:rsid w:val="403EFEDC"/>
    <w:rsid w:val="41A932A7"/>
    <w:rsid w:val="423F5753"/>
    <w:rsid w:val="4288442A"/>
    <w:rsid w:val="4625E855"/>
    <w:rsid w:val="49440778"/>
    <w:rsid w:val="5436471E"/>
    <w:rsid w:val="575CFAE0"/>
    <w:rsid w:val="57E984D6"/>
    <w:rsid w:val="5BE50CC3"/>
    <w:rsid w:val="5BF1227C"/>
    <w:rsid w:val="5EB015BB"/>
    <w:rsid w:val="620AEFA4"/>
    <w:rsid w:val="6401F9D6"/>
    <w:rsid w:val="686BB834"/>
    <w:rsid w:val="69E4D683"/>
    <w:rsid w:val="71478C3A"/>
    <w:rsid w:val="71ED5ED9"/>
    <w:rsid w:val="73722B6C"/>
    <w:rsid w:val="767B391E"/>
    <w:rsid w:val="7C1B7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AD695748-720A-444C-889F-C93602254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en-GB"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val="en-GB"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en-GB"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B74703"/>
    <w:rPr>
      <w:vertAlign w:val="superscript"/>
    </w:rPr>
  </w:style>
  <w:style w:type="paragraph" w:customStyle="1" w:styleId="Text1">
    <w:name w:val="Text 1"/>
    <w:basedOn w:val="Normal"/>
    <w:rsid w:val="006E7B26"/>
    <w:pPr>
      <w:ind w:left="482"/>
    </w:pPr>
    <w:rPr>
      <w:rFonts w:ascii="Times New Roman" w:hAnsi="Times New Roman"/>
      <w:lang w:eastAsia="en-US"/>
    </w:rPr>
  </w:style>
  <w:style w:type="paragraph" w:customStyle="1" w:styleId="NormalHanging12a">
    <w:name w:val="NormalHanging12a"/>
    <w:basedOn w:val="Normal"/>
    <w:rsid w:val="000D4082"/>
    <w:pPr>
      <w:widowControl w:val="0"/>
      <w:ind w:left="567" w:hanging="567"/>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440217">
      <w:bodyDiv w:val="1"/>
      <w:marLeft w:val="0"/>
      <w:marRight w:val="0"/>
      <w:marTop w:val="0"/>
      <w:marBottom w:val="0"/>
      <w:divBdr>
        <w:top w:val="none" w:sz="0" w:space="0" w:color="auto"/>
        <w:left w:val="none" w:sz="0" w:space="0" w:color="auto"/>
        <w:bottom w:val="none" w:sz="0" w:space="0" w:color="auto"/>
        <w:right w:val="none" w:sz="0" w:space="0" w:color="auto"/>
      </w:divBdr>
    </w:div>
    <w:div w:id="890652981">
      <w:bodyDiv w:val="1"/>
      <w:marLeft w:val="0"/>
      <w:marRight w:val="0"/>
      <w:marTop w:val="0"/>
      <w:marBottom w:val="0"/>
      <w:divBdr>
        <w:top w:val="none" w:sz="0" w:space="0" w:color="auto"/>
        <w:left w:val="none" w:sz="0" w:space="0" w:color="auto"/>
        <w:bottom w:val="none" w:sz="0" w:space="0" w:color="auto"/>
        <w:right w:val="none" w:sz="0" w:space="0" w:color="auto"/>
      </w:divBdr>
    </w:div>
    <w:div w:id="1038553832">
      <w:bodyDiv w:val="1"/>
      <w:marLeft w:val="0"/>
      <w:marRight w:val="0"/>
      <w:marTop w:val="0"/>
      <w:marBottom w:val="0"/>
      <w:divBdr>
        <w:top w:val="none" w:sz="0" w:space="0" w:color="auto"/>
        <w:left w:val="none" w:sz="0" w:space="0" w:color="auto"/>
        <w:bottom w:val="none" w:sz="0" w:space="0" w:color="auto"/>
        <w:right w:val="none" w:sz="0" w:space="0" w:color="auto"/>
      </w:divBdr>
    </w:div>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35634526">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882597707">
      <w:bodyDiv w:val="1"/>
      <w:marLeft w:val="0"/>
      <w:marRight w:val="0"/>
      <w:marTop w:val="0"/>
      <w:marBottom w:val="0"/>
      <w:divBdr>
        <w:top w:val="none" w:sz="0" w:space="0" w:color="auto"/>
        <w:left w:val="none" w:sz="0" w:space="0" w:color="auto"/>
        <w:bottom w:val="none" w:sz="0" w:space="0" w:color="auto"/>
        <w:right w:val="none" w:sz="0" w:space="0" w:color="auto"/>
      </w:divBdr>
    </w:div>
    <w:div w:id="1897085862">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2" ma:contentTypeDescription="Create a new document." ma:contentTypeScope="" ma:versionID="decb81f6a7bcf89fbc355109b6ca2d68">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f4dad474ac7a4f1b3e6f34f6dcb9356d"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customXml/itemProps2.xml><?xml version="1.0" encoding="utf-8"?>
<ds:datastoreItem xmlns:ds="http://schemas.openxmlformats.org/officeDocument/2006/customXml" ds:itemID="{0A3665C5-2133-4745-84CC-9C9245DA9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E21BDE21-E6D7-471F-AB97-0318A6580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2048</Words>
  <Characters>10982</Characters>
  <Application>Microsoft Office Word</Application>
  <DocSecurity>0</DocSecurity>
  <Lines>161</Lines>
  <Paragraphs>43</Paragraphs>
  <ScaleCrop>false</ScaleCrop>
  <Company>European Commission</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3</cp:revision>
  <cp:lastPrinted>2025-12-08T20:28:00Z</cp:lastPrinted>
  <dcterms:created xsi:type="dcterms:W3CDTF">2026-04-20T12:00:00Z</dcterms:created>
  <dcterms:modified xsi:type="dcterms:W3CDTF">2026-04-23T12:54:00Z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