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867" w14:textId="77777777" w:rsidR="0097657D" w:rsidRPr="002031DD" w:rsidRDefault="0097657D" w:rsidP="0097657D">
      <w:pPr>
        <w:spacing w:line="240" w:lineRule="auto"/>
        <w:ind w:left="720"/>
        <w:jc w:val="both"/>
        <w:rPr>
          <w:lang w:val="en-IE"/>
        </w:rPr>
      </w:pPr>
    </w:p>
    <w:p w14:paraId="3EDF6C05" w14:textId="6E45B114" w:rsidR="009B1FF1" w:rsidRPr="009B1FF1" w:rsidRDefault="00F92944" w:rsidP="008D59F9">
      <w:pPr>
        <w:spacing w:after="600" w:line="240" w:lineRule="auto"/>
        <w:ind w:left="720"/>
        <w:jc w:val="center"/>
      </w:pPr>
      <w:r>
        <w:rPr>
          <w:b/>
          <w:caps/>
        </w:rPr>
        <w:t xml:space="preserve">Procédure </w:t>
      </w:r>
      <w:r>
        <w:rPr>
          <w:b/>
        </w:rPr>
        <w:t>LÉGISLATIVE ORDINAIRE</w:t>
      </w:r>
    </w:p>
    <w:p w14:paraId="65717952" w14:textId="045B98AF" w:rsidR="00DC568A" w:rsidRPr="0019232D" w:rsidRDefault="009B1FF1" w:rsidP="00DC568A">
      <w:pPr>
        <w:spacing w:after="600" w:line="240" w:lineRule="auto"/>
        <w:jc w:val="center"/>
        <w:rPr>
          <w:b/>
          <w:bCs/>
          <w:szCs w:val="24"/>
        </w:rPr>
      </w:pPr>
      <w:r>
        <w:rPr>
          <w:b/>
        </w:rPr>
        <w:t>Suite donnée à la résolution législative du Parlement européen sur la proposition de directive du Parlement européen et du Conseil relative à la lutte contre la corruption, remplaçant la décision-cadre 2003/568/JAI du Conseil et la convention relative à la lutte contre la corruption impliquant des fonctionnaires des Communautés européennes ou des fonctionnaires des États membres de l’Union européenne, et modifiant la directive (UE) 2017/1371 du Parlement européen et du Conseil</w:t>
      </w:r>
    </w:p>
    <w:p w14:paraId="060DECA7" w14:textId="2AC8A8D2" w:rsidR="005B4348" w:rsidRPr="00226829" w:rsidRDefault="002B7441" w:rsidP="00606ED3">
      <w:pPr>
        <w:spacing w:after="240"/>
        <w:ind w:left="567" w:hanging="567"/>
        <w:rPr>
          <w:bCs/>
        </w:rPr>
      </w:pPr>
      <w:r>
        <w:rPr>
          <w:b/>
        </w:rPr>
        <w:t>1.</w:t>
      </w:r>
      <w:r>
        <w:tab/>
      </w:r>
      <w:r>
        <w:rPr>
          <w:b/>
        </w:rPr>
        <w:t xml:space="preserve">Rapporteure: </w:t>
      </w:r>
      <w:r>
        <w:t>Raquel GARCÍA HERMIDA-VAN DER WALLE (Renew Europe / NL)</w:t>
      </w:r>
    </w:p>
    <w:p w14:paraId="61D6E453" w14:textId="20E8C14D" w:rsidR="00605133" w:rsidRPr="002031DD" w:rsidRDefault="002B7441" w:rsidP="005B4348">
      <w:pPr>
        <w:spacing w:after="240"/>
        <w:ind w:left="567" w:hanging="567"/>
      </w:pPr>
      <w:r>
        <w:rPr>
          <w:b/>
        </w:rPr>
        <w:t>2.</w:t>
      </w:r>
      <w:r>
        <w:tab/>
      </w:r>
      <w:r>
        <w:rPr>
          <w:b/>
        </w:rPr>
        <w:t>Références:</w:t>
      </w:r>
      <w:r>
        <w:t xml:space="preserve"> 2023/0135(COD)</w:t>
      </w:r>
      <w:r>
        <w:rPr>
          <w:i/>
        </w:rPr>
        <w:t xml:space="preserve"> / </w:t>
      </w:r>
      <w:r>
        <w:t>A09-0048/2024 / P10_TA(2026)0094</w:t>
      </w:r>
    </w:p>
    <w:p w14:paraId="474B79A2" w14:textId="1C4C73A0" w:rsidR="002B7441" w:rsidRPr="005B4348" w:rsidRDefault="002B7441" w:rsidP="00D05171">
      <w:pPr>
        <w:spacing w:after="240"/>
        <w:ind w:left="567" w:hanging="567"/>
        <w:rPr>
          <w:iCs/>
        </w:rPr>
      </w:pPr>
      <w:r>
        <w:rPr>
          <w:b/>
        </w:rPr>
        <w:t>3.</w:t>
      </w:r>
      <w:r>
        <w:tab/>
      </w:r>
      <w:r>
        <w:rPr>
          <w:b/>
        </w:rPr>
        <w:t>Date d’adoption de la résolution:</w:t>
      </w:r>
      <w:r>
        <w:t xml:space="preserve"> 26 mars 2026</w:t>
      </w:r>
    </w:p>
    <w:p w14:paraId="35860E93" w14:textId="63C6736E" w:rsidR="002B7441" w:rsidRPr="005B4348" w:rsidRDefault="002B7441" w:rsidP="00D05171">
      <w:pPr>
        <w:spacing w:after="240"/>
        <w:ind w:left="567" w:hanging="567"/>
        <w:jc w:val="both"/>
        <w:rPr>
          <w:bCs/>
        </w:rPr>
      </w:pPr>
      <w:r>
        <w:rPr>
          <w:b/>
        </w:rPr>
        <w:t>4.</w:t>
      </w:r>
      <w:r>
        <w:tab/>
      </w:r>
      <w:r>
        <w:rPr>
          <w:b/>
        </w:rPr>
        <w:t xml:space="preserve">Base juridique: </w:t>
      </w:r>
      <w:r>
        <w:t>article 82, paragraphe 1, point d), et article 83, paragraphes 1 et 2, du traité sur le fonctionnement de l’Union européenne (TFUE)</w:t>
      </w:r>
    </w:p>
    <w:p w14:paraId="140377B8" w14:textId="14608E38" w:rsidR="005B4348" w:rsidRPr="001D6E23" w:rsidRDefault="002B7441" w:rsidP="005B4348">
      <w:pPr>
        <w:spacing w:after="240"/>
        <w:ind w:left="567" w:hanging="567"/>
        <w:jc w:val="both"/>
        <w:rPr>
          <w:szCs w:val="24"/>
        </w:rPr>
      </w:pPr>
      <w:r>
        <w:rPr>
          <w:b/>
        </w:rPr>
        <w:t>5.</w:t>
      </w:r>
      <w:r>
        <w:tab/>
      </w:r>
      <w:r>
        <w:rPr>
          <w:b/>
        </w:rPr>
        <w:t>Commission parlementaire compétente:</w:t>
      </w:r>
      <w:r>
        <w:t xml:space="preserve"> commission des libertés civiles, de la justice et des affaires intérieures (LIBE)</w:t>
      </w:r>
    </w:p>
    <w:p w14:paraId="4C23ED87" w14:textId="4040E0F9" w:rsidR="001265A9" w:rsidRDefault="002B7441" w:rsidP="005B4348">
      <w:pPr>
        <w:spacing w:after="240"/>
        <w:ind w:left="567" w:hanging="567"/>
        <w:jc w:val="both"/>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5CDD" w14:textId="77777777" w:rsidR="00775B42" w:rsidRDefault="00775B42">
      <w:pPr>
        <w:spacing w:line="240" w:lineRule="auto"/>
      </w:pPr>
      <w:r>
        <w:separator/>
      </w:r>
    </w:p>
  </w:endnote>
  <w:endnote w:type="continuationSeparator" w:id="0">
    <w:p w14:paraId="690590EA" w14:textId="77777777" w:rsidR="00775B42" w:rsidRDefault="00775B42">
      <w:pPr>
        <w:spacing w:line="240" w:lineRule="auto"/>
      </w:pPr>
      <w:r>
        <w:continuationSeparator/>
      </w:r>
    </w:p>
  </w:endnote>
  <w:endnote w:type="continuationNotice" w:id="1">
    <w:p w14:paraId="1CCDDCAA" w14:textId="77777777" w:rsidR="00775B42" w:rsidRDefault="00775B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80A7" w14:textId="77777777" w:rsidR="00775B42" w:rsidRDefault="00775B42">
      <w:pPr>
        <w:spacing w:line="240" w:lineRule="auto"/>
      </w:pPr>
      <w:r>
        <w:separator/>
      </w:r>
    </w:p>
  </w:footnote>
  <w:footnote w:type="continuationSeparator" w:id="0">
    <w:p w14:paraId="7B60B499" w14:textId="77777777" w:rsidR="00775B42" w:rsidRDefault="00775B42">
      <w:pPr>
        <w:spacing w:line="240" w:lineRule="auto"/>
      </w:pPr>
      <w:r>
        <w:continuationSeparator/>
      </w:r>
    </w:p>
  </w:footnote>
  <w:footnote w:type="continuationNotice" w:id="1">
    <w:p w14:paraId="5C06800A" w14:textId="77777777" w:rsidR="00775B42" w:rsidRDefault="00775B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277A"/>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5E65"/>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D6E23"/>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030"/>
    <w:rsid w:val="001F646B"/>
    <w:rsid w:val="002000C7"/>
    <w:rsid w:val="002002E8"/>
    <w:rsid w:val="0020052A"/>
    <w:rsid w:val="00201BE1"/>
    <w:rsid w:val="00202223"/>
    <w:rsid w:val="0020251A"/>
    <w:rsid w:val="002031DD"/>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26829"/>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5662"/>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0602"/>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800"/>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2D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41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1C36"/>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4CA7"/>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4348"/>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2594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2685"/>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26846"/>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2BE1"/>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5B42"/>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2E6"/>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2FEF"/>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36F8"/>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0496"/>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9EB"/>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1DCD"/>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5370"/>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315A"/>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07E"/>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3FBE"/>
    <w:rsid w:val="00E1505E"/>
    <w:rsid w:val="00E15286"/>
    <w:rsid w:val="00E15F76"/>
    <w:rsid w:val="00E17336"/>
    <w:rsid w:val="00E17411"/>
    <w:rsid w:val="00E21025"/>
    <w:rsid w:val="00E260B7"/>
    <w:rsid w:val="00E26A29"/>
    <w:rsid w:val="00E315D0"/>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5D"/>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0F27"/>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C5ED5DBA-63F9-4E76-AD11-412CC6BF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896</Characters>
  <Application>Microsoft Office Word</Application>
  <DocSecurity>0</DocSecurity>
  <Lines>17</Lines>
  <Paragraphs>8</Paragraphs>
  <ScaleCrop>false</ScaleCrop>
  <Company>European Commission</Company>
  <LinksUpToDate>false</LinksUpToDate>
  <CharactersWithSpaces>1040</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2026-05-27T15:05:00Z</dcterms:created>
  <dcterms:modified xsi:type="dcterms:W3CDTF">2026-05-27T15:05:00Z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