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C33439" w:rsidP="0084310E" w14:paraId="58E9F37A" w14:textId="0ACFED40">
      <w:pPr>
        <w:spacing w:after="720"/>
        <w:jc w:val="center"/>
        <w:rPr>
          <w:rFonts w:ascii="Times New Roman" w:hAnsi="Times New Roman"/>
          <w:b/>
          <w:bCs/>
          <w:szCs w:val="24"/>
        </w:rPr>
      </w:pPr>
      <w:r>
        <w:rPr>
          <w:rFonts w:ascii="Times New Roman" w:hAnsi="Times New Roman"/>
          <w:b/>
        </w:rPr>
        <w:t>Suite donnée à la résolution non législative du Parlement européen sur l’écart de rémunération et de retraite entre les femmes et les hommes dans l’Union: état des lieux, défis et voie à suivre, ainsi qu’élaboration de lignes directrices en vue d’une meilleure évaluation et d’une rémunération plus équitable du travail dans les secteurs à prédominance féminine</w:t>
      </w:r>
    </w:p>
    <w:p w:rsidR="00963420" w:rsidRPr="00437890" w:rsidP="0084310E" w14:paraId="222E65B7" w14:textId="10473E56">
      <w:pPr>
        <w:numPr>
          <w:ilvl w:val="0"/>
          <w:numId w:val="34"/>
        </w:numPr>
        <w:ind w:left="567" w:hanging="567"/>
        <w:rPr>
          <w:rFonts w:ascii="Times New Roman" w:hAnsi="Times New Roman"/>
          <w:i/>
          <w:szCs w:val="24"/>
        </w:rPr>
      </w:pPr>
      <w:r>
        <w:rPr>
          <w:rFonts w:ascii="Times New Roman" w:hAnsi="Times New Roman"/>
          <w:b/>
        </w:rPr>
        <w:t>Rapporteures:</w:t>
      </w:r>
      <w:r>
        <w:rPr>
          <w:rFonts w:ascii="Times New Roman" w:hAnsi="Times New Roman"/>
        </w:rPr>
        <w:t xml:space="preserve"> Irena JOVEVA (Renew/SI) et Mirosława Nykiel (PPE/PL)</w:t>
      </w:r>
    </w:p>
    <w:p w:rsidR="00563F16" w:rsidRPr="00F13068" w:rsidP="00437890" w14:paraId="3021C497" w14:textId="135B5062">
      <w:pPr>
        <w:pStyle w:val="Default"/>
        <w:numPr>
          <w:ilvl w:val="0"/>
          <w:numId w:val="34"/>
        </w:numPr>
        <w:spacing w:after="240"/>
        <w:ind w:left="567" w:hanging="567"/>
        <w:jc w:val="both"/>
        <w:rPr>
          <w:color w:val="auto"/>
        </w:rPr>
      </w:pPr>
      <w:r>
        <w:rPr>
          <w:b/>
          <w:color w:val="auto"/>
        </w:rPr>
        <w:t xml:space="preserve">Références: </w:t>
      </w:r>
      <w:r>
        <w:t>2025/2038(INI) / A10-0021/2026 / P10_TA(2026)0074</w:t>
      </w:r>
      <w:r>
        <w:tab/>
      </w:r>
    </w:p>
    <w:p w:rsidR="001F0B89" w:rsidP="0084310E" w14:paraId="61D85C18" w14:textId="6CBD9815">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11 mars 2026</w:t>
      </w:r>
    </w:p>
    <w:p w:rsidR="00963420" w:rsidRPr="00437890" w:rsidP="0084310E" w14:paraId="4451E813" w14:textId="09672306">
      <w:pPr>
        <w:numPr>
          <w:ilvl w:val="0"/>
          <w:numId w:val="34"/>
        </w:numPr>
        <w:ind w:left="567" w:hanging="567"/>
        <w:rPr>
          <w:rFonts w:ascii="Times New Roman" w:hAnsi="Times New Roman"/>
          <w:iCs/>
          <w:szCs w:val="24"/>
        </w:rPr>
      </w:pPr>
      <w:r>
        <w:rPr>
          <w:rFonts w:ascii="Times New Roman" w:hAnsi="Times New Roman"/>
          <w:b/>
        </w:rPr>
        <w:t xml:space="preserve">Commissions parlementaires compétentes: </w:t>
      </w:r>
      <w:r>
        <w:rPr>
          <w:rFonts w:ascii="Times New Roman" w:hAnsi="Times New Roman"/>
        </w:rPr>
        <w:t>commission de l’emploi et des affaires sociales, et commission des droits des femmes et de l’égalité des genres</w:t>
      </w:r>
    </w:p>
    <w:p w:rsidR="00963420" w:rsidRPr="007F278F" w:rsidP="0084310E" w14:paraId="1540F533" w14:textId="309F12E0">
      <w:pPr>
        <w:widowControl w:val="0"/>
        <w:numPr>
          <w:ilvl w:val="0"/>
          <w:numId w:val="34"/>
        </w:numPr>
        <w:ind w:left="567" w:hanging="567"/>
        <w:rPr>
          <w:rFonts w:ascii="Times New Roman" w:hAnsi="Times New Roman"/>
          <w:b/>
          <w:szCs w:val="24"/>
        </w:rPr>
      </w:pPr>
      <w:r>
        <w:rPr>
          <w:rFonts w:ascii="Times New Roman" w:hAnsi="Times New Roman"/>
          <w:b/>
        </w:rPr>
        <w:t xml:space="preserve">Analyse/évaluation succincte de la résolution et des demandes qu’elle contient: </w:t>
      </w:r>
    </w:p>
    <w:p w:rsidR="00D346B7" w:rsidP="00273BEE" w14:paraId="2E495A41" w14:textId="5209F451">
      <w:pPr>
        <w:rPr>
          <w:rFonts w:ascii="Times New Roman" w:hAnsi="Times New Roman"/>
          <w:szCs w:val="24"/>
        </w:rPr>
      </w:pPr>
      <w:r>
        <w:rPr>
          <w:rFonts w:ascii="Times New Roman" w:hAnsi="Times New Roman"/>
        </w:rPr>
        <w:t>Dans sa résolution, le Parlement salue l’engagement de l’Union européenne en faveur de l’égalité entre les hommes et les femmes en tant que valeur fondamentale, consacrée par les traités, les directives et le socle européen des droits sociaux visant à remédier aux écarts de rémunération et de retraite entre les hommes et les femmes et à promouvoir l’égalité des chances. Il indique que la «garantie de l’indépendance économique des femmes et de l’égalité d’accès aux ressources financières est essentielle pour parvenir à l’égalité des genres et lutter contre la violence fondée sur le genre». De plus, le Parlement reconnaît que «les désavantages sont aggravés pour les femmes confrontées à des formes multiples et croisées de discrimination fondée sur des facteurs tels que le sexe, l’origine raciale ou ethnique, la religion ou les convictions, le handicap, l’âge ou l’orientation sexuelle».</w:t>
      </w:r>
    </w:p>
    <w:p w:rsidR="00D346B7" w:rsidP="1E98ACF9" w14:paraId="79682B75" w14:textId="15F781B8">
      <w:pPr>
        <w:rPr>
          <w:rFonts w:ascii="Times New Roman" w:hAnsi="Times New Roman"/>
        </w:rPr>
      </w:pPr>
      <w:r>
        <w:rPr>
          <w:rFonts w:ascii="Times New Roman" w:hAnsi="Times New Roman"/>
        </w:rPr>
        <w:t>Le Parlement souligne le rôle essentiel de la sensibilisation et de l’éducation pour reconnaître l’existence de l’écart de rémunération et de retraite entre les femmes et les hommes, et note que les inégalités salariales «ne reflètent pas toujours la valeur d’une activité, la demande s’y rapportant ou les compétences requises pour cette activité, mais que c’est plutôt le résultat d’une inégalité de genre persistante». En outre, il appelle les régimes de retraite publics nationaux à davantage informer les personnes couvertes de l’épargne qu’elles ont constituée pour leur retraite. En ce qui concerne la ségrégation professionnelle, le Parlement considère «qu’il est impératif de reconnaître la valeur des secteurs traditionnellement féminins tels que les soins, la santé, l’éducation et le travail social, car ils sont indispensables pour la société, et d’encourager les hommes à s’orienter vers ces secteurs». Il met également l’accent sur la nécessité de soutenir la participation des femmes dans des secteurs à haute valeur ajoutée, tels que les STIAM</w:t>
      </w:r>
      <w:r>
        <w:rPr>
          <w:rStyle w:val="FootnoteReference"/>
          <w:rFonts w:ascii="Times New Roman" w:hAnsi="Times New Roman"/>
        </w:rPr>
        <w:footnoteReference w:id="3"/>
      </w:r>
      <w:r>
        <w:rPr>
          <w:rFonts w:ascii="Times New Roman" w:hAnsi="Times New Roman"/>
        </w:rPr>
        <w:t>, la défense, l’aérospatial, les TIC</w:t>
      </w:r>
      <w:r>
        <w:rPr>
          <w:rStyle w:val="FootnoteReference"/>
          <w:rFonts w:ascii="Times New Roman" w:hAnsi="Times New Roman"/>
        </w:rPr>
        <w:footnoteReference w:id="4"/>
      </w:r>
      <w:r>
        <w:rPr>
          <w:rFonts w:ascii="Times New Roman" w:hAnsi="Times New Roman"/>
        </w:rPr>
        <w:t>, le droit, la finance, l’agriculture, l’industrie, la médecine et l’entrepreneuriat. Le Parlement demande que des mesures proactives soient prises en ce sens.</w:t>
      </w:r>
    </w:p>
    <w:p w:rsidR="005B15B8" w:rsidRPr="005B15B8" w:rsidP="1E98ACF9" w14:paraId="4E30B84F" w14:textId="3273E370">
      <w:pPr>
        <w:spacing w:before="240"/>
        <w:rPr>
          <w:rFonts w:ascii="Times New Roman" w:hAnsi="Times New Roman"/>
          <w:highlight w:val="yellow"/>
        </w:rPr>
      </w:pPr>
      <w:r>
        <w:rPr>
          <w:rFonts w:ascii="Times New Roman" w:hAnsi="Times New Roman"/>
        </w:rPr>
        <w:t xml:space="preserve">Par ailleurs, le Parlement met l’accent sur la répartition inégale des activités de soins informels à domicile, ce qui pénalise les femmes qui travaillent. De plus, il déplore le manque de structures d’accueil pour les enfants, qui sont incompatibles avec les horaires de </w:t>
      </w:r>
      <w:r>
        <w:rPr>
          <w:rFonts w:ascii="Times New Roman" w:hAnsi="Times New Roman"/>
        </w:rPr>
        <w:t xml:space="preserve">travail, le fait que trop peu de pères prennent un congé parental ou de paternité et la pénurie de services de soins de longue durée qui soient de qualité et abordables. Le Parlement reconnaît que tous ces éléments représentent un obstacle important à la stabilité démographique et économique de l’Union à long terme. Il invite la Commission à mettre en place un </w:t>
      </w:r>
      <w:r>
        <w:rPr>
          <w:rFonts w:ascii="Times New Roman" w:hAnsi="Times New Roman"/>
          <w:b/>
          <w:bCs/>
        </w:rPr>
        <w:t>pacte européen en matière de soins, assorti d’un flux de financement spécifique au titre du cadre financier pluriannuel 2028-2034.</w:t>
      </w:r>
      <w:r>
        <w:rPr>
          <w:rFonts w:ascii="Times New Roman" w:hAnsi="Times New Roman"/>
          <w:b/>
        </w:rPr>
        <w:t xml:space="preserve"> </w:t>
      </w:r>
      <w:r>
        <w:rPr>
          <w:rFonts w:ascii="Times New Roman" w:hAnsi="Times New Roman"/>
        </w:rPr>
        <w:t xml:space="preserve">Il appelle également la Commission à inclure une </w:t>
      </w:r>
      <w:r>
        <w:rPr>
          <w:rFonts w:ascii="Times New Roman" w:hAnsi="Times New Roman"/>
          <w:b/>
          <w:bCs/>
        </w:rPr>
        <w:t>forte dimension de genre</w:t>
      </w:r>
      <w:r>
        <w:rPr>
          <w:rFonts w:ascii="Times New Roman" w:hAnsi="Times New Roman"/>
        </w:rPr>
        <w:t xml:space="preserve"> dans le prochain pacte européen en matière de soins afin de relever les </w:t>
      </w:r>
      <w:r>
        <w:rPr>
          <w:rFonts w:ascii="Times New Roman" w:hAnsi="Times New Roman"/>
          <w:b/>
          <w:bCs/>
        </w:rPr>
        <w:t>défis en matière de soins de longue durée et de main-d’œuvre</w:t>
      </w:r>
      <w:r>
        <w:rPr>
          <w:rFonts w:ascii="Times New Roman" w:hAnsi="Times New Roman"/>
        </w:rPr>
        <w:t xml:space="preserve"> dans le cadre de l’</w:t>
      </w:r>
      <w:r>
        <w:rPr>
          <w:rFonts w:ascii="Times New Roman" w:hAnsi="Times New Roman"/>
          <w:b/>
          <w:bCs/>
        </w:rPr>
        <w:t>union des compétences</w:t>
      </w:r>
      <w:r>
        <w:rPr>
          <w:rFonts w:ascii="Times New Roman" w:hAnsi="Times New Roman"/>
        </w:rPr>
        <w:t xml:space="preserve"> ainsi que dans l’</w:t>
      </w:r>
      <w:r>
        <w:rPr>
          <w:rFonts w:ascii="Times New Roman" w:hAnsi="Times New Roman"/>
          <w:b/>
          <w:bCs/>
        </w:rPr>
        <w:t>acte législatif sur des emplois de qualité</w:t>
      </w:r>
      <w:r>
        <w:rPr>
          <w:rFonts w:ascii="Times New Roman" w:hAnsi="Times New Roman"/>
        </w:rPr>
        <w:t xml:space="preserve">. </w:t>
      </w:r>
    </w:p>
    <w:p w:rsidR="00FC585D" w:rsidP="1E98ACF9" w14:paraId="04A990C1" w14:textId="22E8FC75">
      <w:pPr>
        <w:rPr>
          <w:rFonts w:ascii="Times New Roman" w:hAnsi="Times New Roman"/>
        </w:rPr>
      </w:pPr>
      <w:r>
        <w:rPr>
          <w:rFonts w:ascii="Times New Roman" w:hAnsi="Times New Roman"/>
        </w:rPr>
        <w:t xml:space="preserve">Dans sa résolution, le Parlement demande instamment la </w:t>
      </w:r>
      <w:r>
        <w:rPr>
          <w:rFonts w:ascii="Times New Roman" w:hAnsi="Times New Roman"/>
          <w:b/>
          <w:bCs/>
        </w:rPr>
        <w:t>mise en œuvre intégrale de la directive concernant l’équilibre entre vie professionnelle et vie privée, de la directive sur la transparence des rémunérations et de la directive relative à un meilleur équilibre entre les femmes et les hommes parmi les administrateurs des sociétés cotées</w:t>
      </w:r>
      <w:r>
        <w:rPr>
          <w:rFonts w:ascii="Times New Roman" w:hAnsi="Times New Roman"/>
        </w:rPr>
        <w:t xml:space="preserve"> afin de lutter contre les inégalités entre les hommes et les femmes en matière de rémunération et de retraite. Il invite la Commission à «collaborer avec les États membres et les partenaires sociaux pour élaborer des lignes directrices et un projet pilote européen pour des </w:t>
      </w:r>
      <w:r>
        <w:rPr>
          <w:rFonts w:ascii="Times New Roman" w:hAnsi="Times New Roman"/>
          <w:b/>
          <w:bCs/>
        </w:rPr>
        <w:t>systèmes non sexistes d’évaluation et de classification des emplois</w:t>
      </w:r>
      <w:r>
        <w:rPr>
          <w:rFonts w:ascii="Times New Roman" w:hAnsi="Times New Roman"/>
        </w:rPr>
        <w:t xml:space="preserve">, permettant une comparaison à l’échelle de l’Union du travail de même valeur et la définition de </w:t>
      </w:r>
      <w:r>
        <w:rPr>
          <w:rFonts w:ascii="Times New Roman" w:hAnsi="Times New Roman"/>
          <w:b/>
          <w:bCs/>
        </w:rPr>
        <w:t>critères clairs pour une évaluation équitable de la valeur du travail et pour des systèmes de rémunération fondés sur le mérite</w:t>
      </w:r>
      <w:r>
        <w:rPr>
          <w:rFonts w:ascii="Times New Roman" w:hAnsi="Times New Roman"/>
        </w:rPr>
        <w:t xml:space="preserve"> dans les secteurs dominés par les femmes, tout en évitant les obligations réglementaires ou financières inutiles pour les employeurs». De plus, il encourage la Commission à «</w:t>
      </w:r>
      <w:r>
        <w:rPr>
          <w:rFonts w:ascii="Times New Roman" w:hAnsi="Times New Roman"/>
          <w:b/>
          <w:bCs/>
        </w:rPr>
        <w:t>créer des mécanismes d’incitation volontaires</w:t>
      </w:r>
      <w:r>
        <w:rPr>
          <w:rFonts w:ascii="Times New Roman" w:hAnsi="Times New Roman"/>
        </w:rPr>
        <w:t xml:space="preserve">, tels que des procédures administratives simplifiées, une reconnaissance publique ou un accès prioritaire aux fonds de l’Union, pour les employeurs qui mettent en œuvre des plans d’action pour l’égalité des genres et des bonnes pratiques en matière de transparence des rémunérations». </w:t>
      </w:r>
    </w:p>
    <w:p w:rsidR="00482DE0" w:rsidP="1E98ACF9" w14:paraId="24F33D48" w14:textId="5F29D3E4">
      <w:pPr>
        <w:rPr>
          <w:rFonts w:ascii="Times New Roman" w:hAnsi="Times New Roman"/>
        </w:rPr>
      </w:pPr>
      <w:r>
        <w:rPr>
          <w:rFonts w:ascii="Times New Roman" w:hAnsi="Times New Roman"/>
        </w:rPr>
        <w:t xml:space="preserve">Le Parlement déplore un taux de pauvreté et d’exclusion sociale plus élevé pour les femmes que pour les hommes et un risque encore plus important de pauvreté pour les femmes à la retraite, qui est deux fois plus grand que pour les hommes retraités. Il en déduit que les femmes sont d’autant plus exposées à la violence fondée sur le genre. Le Parlement appelle la Commission à </w:t>
      </w:r>
      <w:r>
        <w:rPr>
          <w:rFonts w:ascii="Times New Roman" w:hAnsi="Times New Roman"/>
          <w:b/>
          <w:bCs/>
        </w:rPr>
        <w:t>lutter contre la pauvreté des travailleurs</w:t>
      </w:r>
      <w:r>
        <w:rPr>
          <w:rFonts w:ascii="Times New Roman" w:hAnsi="Times New Roman"/>
        </w:rPr>
        <w:t xml:space="preserve"> et à «évaluer la possibilité de proposer des </w:t>
      </w:r>
      <w:r>
        <w:rPr>
          <w:rFonts w:ascii="Times New Roman" w:hAnsi="Times New Roman"/>
          <w:b/>
        </w:rPr>
        <w:t>normes européennes minimales pour les points de retraite pour aidants</w:t>
      </w:r>
      <w:r>
        <w:rPr>
          <w:rFonts w:ascii="Times New Roman" w:hAnsi="Times New Roman"/>
        </w:rPr>
        <w:t xml:space="preserve">, qui permettent de tenir compte des années consacrées à une prise en charge familiale dans le calcul de la retraite». À cet égard, le Parlement met l’accent sur la nécessité pour les États membres de garantir une </w:t>
      </w:r>
      <w:r>
        <w:rPr>
          <w:rFonts w:ascii="Times New Roman" w:hAnsi="Times New Roman"/>
          <w:b/>
          <w:bCs/>
        </w:rPr>
        <w:t>mise en œuvre de la recommandation du Conseil relative à un revenu minimum tenant compte de la dimension de genre</w:t>
      </w:r>
      <w:r>
        <w:rPr>
          <w:rFonts w:ascii="Times New Roman" w:hAnsi="Times New Roman"/>
        </w:rPr>
        <w:t>. Il insiste sur la nécessité de prendre des mesures spécifiques ciblant l’emploi et le risque de pauvreté des</w:t>
      </w:r>
      <w:r>
        <w:rPr>
          <w:rFonts w:ascii="Times New Roman" w:hAnsi="Times New Roman"/>
          <w:b/>
          <w:bCs/>
        </w:rPr>
        <w:t xml:space="preserve"> femmes handicapées et des femmes migrantes originaires de pays tiers</w:t>
      </w:r>
      <w:r>
        <w:rPr>
          <w:rFonts w:ascii="Times New Roman" w:hAnsi="Times New Roman"/>
        </w:rPr>
        <w:t>.</w:t>
      </w:r>
    </w:p>
    <w:p w:rsidR="009C1698" w:rsidP="00482DE0" w14:paraId="2629B275" w14:textId="4D77C2C3">
      <w:pPr>
        <w:rPr>
          <w:rFonts w:ascii="Times New Roman" w:hAnsi="Times New Roman"/>
          <w:szCs w:val="24"/>
        </w:rPr>
      </w:pPr>
      <w:r>
        <w:rPr>
          <w:rFonts w:ascii="Times New Roman" w:hAnsi="Times New Roman"/>
        </w:rPr>
        <w:t xml:space="preserve">Le Parlement invite instamment la Commission à «proposer un </w:t>
      </w:r>
      <w:r>
        <w:rPr>
          <w:rFonts w:ascii="Times New Roman" w:hAnsi="Times New Roman"/>
          <w:b/>
        </w:rPr>
        <w:t>plan d’action spécifique visant à éliminer les écarts de rémunération et de retraite entre les femmes et les hommes, au moyen de mesures fondées sur des données probantes</w:t>
      </w:r>
      <w:r>
        <w:rPr>
          <w:rFonts w:ascii="Times New Roman" w:hAnsi="Times New Roman"/>
        </w:rPr>
        <w:t xml:space="preserve">». Il précise que ce plan devrait «[comprendre] des mesures ciblées visant à </w:t>
      </w:r>
      <w:r>
        <w:rPr>
          <w:rFonts w:ascii="Times New Roman" w:hAnsi="Times New Roman"/>
          <w:b/>
          <w:bCs/>
        </w:rPr>
        <w:t>améliorer les conditions de travail</w:t>
      </w:r>
      <w:r>
        <w:rPr>
          <w:rFonts w:ascii="Times New Roman" w:hAnsi="Times New Roman"/>
        </w:rPr>
        <w:t xml:space="preserve"> et la </w:t>
      </w:r>
      <w:r>
        <w:rPr>
          <w:rFonts w:ascii="Times New Roman" w:hAnsi="Times New Roman"/>
          <w:b/>
          <w:bCs/>
        </w:rPr>
        <w:t>rémunération équitable dans les secteurs dominés par les femmes</w:t>
      </w:r>
      <w:r>
        <w:rPr>
          <w:rFonts w:ascii="Times New Roman" w:hAnsi="Times New Roman"/>
        </w:rPr>
        <w:t xml:space="preserve">, à soutenir les familles et à </w:t>
      </w:r>
      <w:r>
        <w:rPr>
          <w:rFonts w:ascii="Times New Roman" w:hAnsi="Times New Roman"/>
          <w:b/>
          <w:bCs/>
        </w:rPr>
        <w:t>donner la priorité aux investissements au titre du prochain cadre financier pluriannuel qui renforcent l’équilibre entre vie professionnelle et vie privée et un secteur des soins fiable</w:t>
      </w:r>
      <w:r>
        <w:rPr>
          <w:rFonts w:ascii="Times New Roman" w:hAnsi="Times New Roman"/>
        </w:rPr>
        <w:t xml:space="preserve">». Il invite également la Commission à </w:t>
      </w:r>
      <w:r>
        <w:rPr>
          <w:rFonts w:ascii="Times New Roman" w:hAnsi="Times New Roman"/>
          <w:b/>
          <w:bCs/>
        </w:rPr>
        <w:t>publier des lignes directrices pour aider à recenser et à traiter les dispositifs fiscaux</w:t>
      </w:r>
      <w:r>
        <w:rPr>
          <w:rFonts w:ascii="Times New Roman" w:hAnsi="Times New Roman"/>
        </w:rPr>
        <w:t xml:space="preserve"> susceptibles de décourager le deuxième apporteur de revenus de participer activement au marché du travail. </w:t>
      </w:r>
    </w:p>
    <w:p w:rsidR="00273BEE" w:rsidP="1E98ACF9" w14:paraId="69B29445" w14:textId="7A810BBD">
      <w:pPr>
        <w:rPr>
          <w:rFonts w:ascii="Times New Roman" w:hAnsi="Times New Roman"/>
        </w:rPr>
      </w:pPr>
      <w:r>
        <w:rPr>
          <w:rFonts w:ascii="Times New Roman" w:hAnsi="Times New Roman"/>
        </w:rPr>
        <w:t xml:space="preserve">Le Parlement invite la Commission à </w:t>
      </w:r>
      <w:r>
        <w:rPr>
          <w:rFonts w:ascii="Times New Roman" w:hAnsi="Times New Roman"/>
          <w:b/>
          <w:bCs/>
        </w:rPr>
        <w:t>encourager l’entrepreneuriat féminin et les entreprises dirigées par des femmes</w:t>
      </w:r>
      <w:r>
        <w:rPr>
          <w:rFonts w:ascii="Times New Roman" w:hAnsi="Times New Roman"/>
        </w:rPr>
        <w:t xml:space="preserve"> dans sa stratégie en faveur de l’égalité de genre grâce à une éducation précoce à l’esprit d’entreprise, au développement des entreprises, aux programmes de mentorat, à l’accès au financement et au capital-risque. Il souligne également la nécessité d’améliorer la culture financière des femmes, avec le soutien d’InvestEU, du Conseil européen de l’innovation (CEI) et du réseau Entreprise Europe, avec des mesures ciblées pour les groupes sous-représentés, y compris les femmes dans les zones rurales et les secteurs des STIAM. Le Parlement invite également la Commission à associer de manière significative les </w:t>
      </w:r>
      <w:r>
        <w:rPr>
          <w:rFonts w:ascii="Times New Roman" w:hAnsi="Times New Roman"/>
          <w:b/>
          <w:bCs/>
        </w:rPr>
        <w:t>partenaires sociaux</w:t>
      </w:r>
      <w:r>
        <w:rPr>
          <w:rFonts w:ascii="Times New Roman" w:hAnsi="Times New Roman"/>
        </w:rPr>
        <w:t xml:space="preserve"> à l’élaboration de nouvelles politiques pour combler l’écart de rémunération entre les femmes et les hommes dans la prochaine stratégie en faveur de l’égalité de genre et à soutenir davantage ces partenaires.</w:t>
      </w:r>
    </w:p>
    <w:p w:rsidR="009A4EEF" w:rsidP="007F278F" w14:paraId="2590C999" w14:textId="30853FDA">
      <w:pPr>
        <w:rPr>
          <w:rFonts w:ascii="Times New Roman" w:hAnsi="Times New Roman"/>
          <w:szCs w:val="24"/>
        </w:rPr>
      </w:pPr>
      <w:r>
        <w:rPr>
          <w:rFonts w:ascii="Times New Roman" w:hAnsi="Times New Roman"/>
        </w:rPr>
        <w:t xml:space="preserve">Le Parlement invite la Commission à élaborer des </w:t>
      </w:r>
      <w:r>
        <w:rPr>
          <w:rFonts w:ascii="Times New Roman" w:hAnsi="Times New Roman"/>
          <w:b/>
          <w:bCs/>
        </w:rPr>
        <w:t>campagnes de sensibilisation et d’éducation à l’échelle de l’Union sur la transparence des rémunérations, l’égalité de traitement et les instruments de l’Union disponibles pour promouvoir l’égalité en matière d’emploi</w:t>
      </w:r>
      <w:r>
        <w:rPr>
          <w:rFonts w:ascii="Times New Roman" w:hAnsi="Times New Roman"/>
        </w:rPr>
        <w:t>.</w:t>
      </w:r>
    </w:p>
    <w:p w:rsidR="00963420" w:rsidRPr="00224CD7" w:rsidP="0084310E" w14:paraId="780B6643" w14:textId="31DBCEDD">
      <w:pPr>
        <w:widowControl w:val="0"/>
        <w:numPr>
          <w:ilvl w:val="0"/>
          <w:numId w:val="34"/>
        </w:numPr>
        <w:ind w:left="567" w:hanging="567"/>
        <w:rPr>
          <w:rFonts w:ascii="Times New Roman" w:hAnsi="Times New Roman"/>
          <w:b/>
          <w:szCs w:val="24"/>
        </w:rPr>
      </w:pPr>
      <w:r>
        <w:rPr>
          <w:rFonts w:ascii="Times New Roman" w:hAnsi="Times New Roman"/>
          <w:b/>
        </w:rPr>
        <w:t xml:space="preserve">Réponse à ces demandes et aperçu des mesures que la Commission a prises ou envisage de prendre: </w:t>
      </w:r>
    </w:p>
    <w:p w:rsidR="009F04FE" w:rsidP="1E98ACF9" w14:paraId="008292EC" w14:textId="43AC535C">
      <w:pPr>
        <w:spacing w:before="240"/>
        <w:rPr>
          <w:rFonts w:ascii="Times New Roman" w:hAnsi="Times New Roman"/>
        </w:rPr>
      </w:pPr>
      <w:r>
        <w:rPr>
          <w:rFonts w:ascii="Times New Roman" w:hAnsi="Times New Roman"/>
        </w:rPr>
        <w:t>Afin de remédier à l’écart de rémunération</w:t>
      </w:r>
      <w:r>
        <w:rPr>
          <w:rStyle w:val="None"/>
          <w:rFonts w:ascii="Times New Roman" w:hAnsi="Times New Roman"/>
        </w:rPr>
        <w:t>,</w:t>
      </w:r>
      <w:r>
        <w:rPr>
          <w:rFonts w:ascii="Times New Roman" w:hAnsi="Times New Roman"/>
        </w:rPr>
        <w:t xml:space="preserve"> entre les femmes et les hommes, la stratégie en faveur de l’égalité de genre 2026-2030, adoptée le 5 mars 2026, conformément au principe 3 de la feuille de route pour les droits des femmes en matière d’égalité de rémunération et d’autonomisation économique, s’engage à soutenir les États membres dans la </w:t>
      </w:r>
      <w:r>
        <w:rPr>
          <w:rFonts w:ascii="Times New Roman" w:hAnsi="Times New Roman"/>
          <w:b/>
          <w:bCs/>
        </w:rPr>
        <w:t>mise en œuvre effective et en temps utile de la directive sur la transparence des rémunérations</w:t>
      </w:r>
      <w:r>
        <w:rPr>
          <w:rFonts w:ascii="Times New Roman" w:hAnsi="Times New Roman"/>
        </w:rPr>
        <w:t xml:space="preserve">. Afin d’apporter davantage son appui aux États membres dans la mise en œuvre de la directive sur la transparence des rémunérations, la Commission a également publié, en collaboration avec l’Institut européen pour l’égalité entre les hommes et les femmes, une boîte à outils sur </w:t>
      </w:r>
      <w:r>
        <w:rPr>
          <w:rFonts w:ascii="Times New Roman" w:hAnsi="Times New Roman"/>
          <w:b/>
          <w:bCs/>
        </w:rPr>
        <w:t>l’évaluation et la classification non sexistes des emplois</w:t>
      </w:r>
      <w:r>
        <w:rPr>
          <w:rFonts w:ascii="Times New Roman" w:hAnsi="Times New Roman"/>
        </w:rPr>
        <w:t xml:space="preserve"> en mars 2026. La boîte à outils comprend des outils sur mesure pour aider les petites et moyennes entreprises à mener à bien ces processus en interne, sans qu’il soit nécessaire de recourir à des consultants externes. La Commission a également fourni un </w:t>
      </w:r>
      <w:r>
        <w:rPr>
          <w:rFonts w:ascii="Times New Roman" w:hAnsi="Times New Roman"/>
          <w:b/>
          <w:bCs/>
        </w:rPr>
        <w:t xml:space="preserve">financement supplémentaire pour soutenir les partenaires sociaux dans la mise en œuvre de la directive en 2024 et 2026 </w:t>
      </w:r>
      <w:r>
        <w:rPr>
          <w:rFonts w:ascii="Times New Roman" w:hAnsi="Times New Roman"/>
        </w:rPr>
        <w:t xml:space="preserve">et a organisé un </w:t>
      </w:r>
      <w:r>
        <w:rPr>
          <w:rFonts w:ascii="Times New Roman" w:hAnsi="Times New Roman"/>
          <w:b/>
          <w:bCs/>
        </w:rPr>
        <w:t xml:space="preserve">atelier à l’intention des partenaires sociaux </w:t>
      </w:r>
      <w:r>
        <w:rPr>
          <w:rFonts w:ascii="Times New Roman" w:hAnsi="Times New Roman"/>
        </w:rPr>
        <w:t xml:space="preserve">en avril 2026 sur la manière dont ils peuvent contribuer à cette mise en œuvre. </w:t>
      </w:r>
    </w:p>
    <w:p w:rsidR="00273BEE" w:rsidP="1E98ACF9" w14:paraId="05E6C1E7" w14:textId="4506DA72">
      <w:pPr>
        <w:spacing w:before="240"/>
        <w:rPr>
          <w:rFonts w:ascii="Times New Roman" w:hAnsi="Times New Roman"/>
        </w:rPr>
      </w:pPr>
      <w:r>
        <w:rPr>
          <w:rFonts w:ascii="Times New Roman" w:hAnsi="Times New Roman"/>
        </w:rPr>
        <w:t>Des salaires minimaux adéquats qui assurent un niveau de vie décent contribuent à lutter contre la pauvreté des travailleurs et à réduire l’écart de rémunération entre les femmes et les hommes. À cet égard, la Commission suit de près la mise en œuvre correcte et complète de la directive relative aux salaires minimaux par les États membres. Un premier rapport de suivi sur les données communiquées par les États membres en ce qui concerne la protection offerte par des salaires minimaux et sur leurs plans d’action visant à promouvoir la négociation collective sera envoyé par la Commission au Parlement européen et au Conseil en 2026.</w:t>
      </w:r>
    </w:p>
    <w:p w:rsidR="00096875" w:rsidP="1E98ACF9" w14:paraId="3661EDC7" w14:textId="40245A4D">
      <w:pPr>
        <w:spacing w:before="240"/>
        <w:rPr>
          <w:rFonts w:ascii="Times New Roman" w:hAnsi="Times New Roman"/>
        </w:rPr>
      </w:pPr>
      <w:r>
        <w:rPr>
          <w:rFonts w:ascii="Times New Roman" w:hAnsi="Times New Roman"/>
        </w:rPr>
        <w:t>Afin de remédier à l’</w:t>
      </w:r>
      <w:r>
        <w:rPr>
          <w:rFonts w:ascii="Times New Roman" w:hAnsi="Times New Roman"/>
          <w:b/>
          <w:bCs/>
        </w:rPr>
        <w:t>écart entre les femmes et les hommes en matière d’emploi</w:t>
      </w:r>
      <w:r>
        <w:rPr>
          <w:rFonts w:ascii="Times New Roman" w:hAnsi="Times New Roman"/>
        </w:rPr>
        <w:t xml:space="preserve">, qui est particulièrement prononcé pour </w:t>
      </w:r>
      <w:r>
        <w:rPr>
          <w:rFonts w:ascii="Times New Roman" w:hAnsi="Times New Roman"/>
          <w:b/>
          <w:bCs/>
        </w:rPr>
        <w:t>les mères, les migrantes, les femmes roms, les femmes handicapées et les femmes dans les zones rurales</w:t>
      </w:r>
      <w:r>
        <w:rPr>
          <w:rFonts w:ascii="Times New Roman" w:hAnsi="Times New Roman"/>
        </w:rPr>
        <w:t>, la Commission mettra en œuvre le socle européen des droits sociaux au moyen d’</w:t>
      </w:r>
      <w:r>
        <w:rPr>
          <w:rFonts w:ascii="Times New Roman" w:hAnsi="Times New Roman"/>
          <w:b/>
          <w:bCs/>
        </w:rPr>
        <w:t>approches intersectionnelles tenant compte de la dimension de genre</w:t>
      </w:r>
      <w:r>
        <w:rPr>
          <w:rFonts w:ascii="Times New Roman" w:hAnsi="Times New Roman"/>
        </w:rPr>
        <w:t xml:space="preserve">, qui viseront notamment à accroître la participation des femmes au marché du travail. Au titre du </w:t>
      </w:r>
      <w:r>
        <w:rPr>
          <w:rFonts w:ascii="Times New Roman" w:hAnsi="Times New Roman"/>
          <w:b/>
          <w:bCs/>
        </w:rPr>
        <w:t>cadre stratégique pour la coopération européenne dans le domaine de l’éducation et de la formation 2021-2030</w:t>
      </w:r>
      <w:r>
        <w:rPr>
          <w:rFonts w:ascii="Times New Roman" w:hAnsi="Times New Roman"/>
        </w:rPr>
        <w:t xml:space="preserve">, qui promeut l’égalité d’accès à une éducation et à une formation inclusives et de qualité pour tous, la Commission </w:t>
      </w:r>
      <w:r>
        <w:rPr>
          <w:rFonts w:ascii="Times New Roman" w:hAnsi="Times New Roman"/>
        </w:rPr>
        <w:t xml:space="preserve">continuera d’aider les États membres à garantir l’accès et à éliminer les obstacles, en particulier pour les filles et les garçons issus de groupes sous-représentés, y compris celles et ceux issus d’une minorité raciale ou ethnique, de milieux socio-économiques défavorisés ou de l’immigration, et les enfants handicapés. Dans le cadre du </w:t>
      </w:r>
      <w:r>
        <w:rPr>
          <w:rFonts w:ascii="Times New Roman" w:hAnsi="Times New Roman"/>
          <w:b/>
          <w:bCs/>
        </w:rPr>
        <w:t>Semestre européen</w:t>
      </w:r>
      <w:r>
        <w:rPr>
          <w:rFonts w:ascii="Times New Roman" w:hAnsi="Times New Roman"/>
        </w:rPr>
        <w:t xml:space="preserve">, les </w:t>
      </w:r>
      <w:r>
        <w:rPr>
          <w:rFonts w:ascii="Times New Roman" w:hAnsi="Times New Roman"/>
          <w:b/>
          <w:bCs/>
        </w:rPr>
        <w:t xml:space="preserve">recommandations </w:t>
      </w:r>
      <w:r>
        <w:rPr>
          <w:rFonts w:ascii="Times New Roman" w:hAnsi="Times New Roman"/>
        </w:rPr>
        <w:t xml:space="preserve">et les </w:t>
      </w:r>
      <w:r>
        <w:rPr>
          <w:rFonts w:ascii="Times New Roman" w:hAnsi="Times New Roman"/>
          <w:b/>
          <w:bCs/>
        </w:rPr>
        <w:t>rapports par pays publiés par la Commission portent sur les dispositifs fiscaux</w:t>
      </w:r>
      <w:r>
        <w:rPr>
          <w:rFonts w:ascii="Times New Roman" w:hAnsi="Times New Roman"/>
        </w:rPr>
        <w:t xml:space="preserve"> susceptibles de décourager le deuxième apporteur de revenus de participer activement au marché du travail. </w:t>
      </w:r>
      <w:bookmarkStart w:id="0" w:name="_Hlk227077389"/>
      <w:r>
        <w:rPr>
          <w:rFonts w:ascii="Times New Roman" w:hAnsi="Times New Roman"/>
        </w:rPr>
        <w:t>La Commission analyse également la manière dont les caractéristiques du système fiscal peuvent avoir une incidence sur la participation des femmes au marché du travail et sur les résultats économiques</w:t>
      </w:r>
      <w:r>
        <w:rPr>
          <w:rStyle w:val="FootnoteReference"/>
          <w:rFonts w:ascii="Times New Roman" w:hAnsi="Times New Roman"/>
        </w:rPr>
        <w:footnoteReference w:id="5"/>
      </w:r>
      <w:r>
        <w:t>.</w:t>
      </w:r>
      <w:bookmarkEnd w:id="0"/>
      <w:r>
        <w:rPr>
          <w:rFonts w:ascii="Times New Roman" w:hAnsi="Times New Roman"/>
        </w:rPr>
        <w:t xml:space="preserve"> Le </w:t>
      </w:r>
      <w:r>
        <w:rPr>
          <w:rFonts w:ascii="Times New Roman" w:hAnsi="Times New Roman"/>
          <w:b/>
          <w:bCs/>
        </w:rPr>
        <w:t>Fonds social européen plus</w:t>
      </w:r>
      <w:r>
        <w:rPr>
          <w:rFonts w:ascii="Times New Roman" w:hAnsi="Times New Roman"/>
        </w:rPr>
        <w:t xml:space="preserve"> (FSE+), ainsi que certains </w:t>
      </w:r>
      <w:r>
        <w:rPr>
          <w:rFonts w:ascii="Times New Roman" w:hAnsi="Times New Roman"/>
          <w:b/>
          <w:bCs/>
        </w:rPr>
        <w:t>plans de relance nationaux</w:t>
      </w:r>
      <w:r>
        <w:rPr>
          <w:rFonts w:ascii="Times New Roman" w:hAnsi="Times New Roman"/>
        </w:rPr>
        <w:t xml:space="preserve"> (tels que ceux de l’Italie, de l’Espagne, de la Belgique, de l’Allemagne et de la France), prévoit un financement aux États membres pour mettre en œuvre des réformes qui réduisent la charge fiscale pesant sur le deuxième apporteur de revenus, dans le but de réduire l’écart entre les hommes et les femmes en matière d’emploi.</w:t>
      </w:r>
    </w:p>
    <w:p w:rsidR="00E86403" w:rsidRPr="002A1FAA" w:rsidP="1E98ACF9" w14:paraId="14A91552" w14:textId="00B5067D">
      <w:pPr>
        <w:spacing w:before="240"/>
        <w:rPr>
          <w:rFonts w:ascii="Times New Roman" w:hAnsi="Times New Roman"/>
        </w:rPr>
      </w:pPr>
      <w:r>
        <w:rPr>
          <w:rFonts w:ascii="Times New Roman" w:hAnsi="Times New Roman"/>
        </w:rPr>
        <w:t>Afin de combler l’</w:t>
      </w:r>
      <w:r>
        <w:rPr>
          <w:rFonts w:ascii="Times New Roman" w:hAnsi="Times New Roman"/>
          <w:b/>
          <w:bCs/>
        </w:rPr>
        <w:t>écart entre les hommes et les femmes en matière d’investissement</w:t>
      </w:r>
      <w:r>
        <w:rPr>
          <w:rFonts w:ascii="Times New Roman" w:hAnsi="Times New Roman"/>
        </w:rPr>
        <w:t xml:space="preserve">, ce qui est essentiel pour relancer la compétitivité de l’Union, la Commission proposera, en collaboration avec la Banque européenne d’investissement (BEI), de se fixer des </w:t>
      </w:r>
      <w:r>
        <w:rPr>
          <w:rFonts w:ascii="Times New Roman" w:hAnsi="Times New Roman"/>
          <w:b/>
          <w:bCs/>
        </w:rPr>
        <w:t>objectifs encore plus ambitieux en matière d’égalité entre les hommes et les femmes dans le cadre de futurs programmes de financement</w:t>
      </w:r>
      <w:r>
        <w:rPr>
          <w:rFonts w:ascii="Times New Roman" w:hAnsi="Times New Roman"/>
        </w:rPr>
        <w:t xml:space="preserve">. La Commission poursuivra également ses efforts pour </w:t>
      </w:r>
      <w:r>
        <w:rPr>
          <w:rFonts w:ascii="Times New Roman" w:hAnsi="Times New Roman"/>
          <w:b/>
          <w:bCs/>
        </w:rPr>
        <w:t>améliorer l’accès au financement pour les femmes entrepreneurs dans l’UE</w:t>
      </w:r>
      <w:r>
        <w:rPr>
          <w:rFonts w:ascii="Times New Roman" w:hAnsi="Times New Roman"/>
        </w:rPr>
        <w:t xml:space="preserve">. En collaboration avec la BEI, la Commission prendra de nouvelles mesures pour </w:t>
      </w:r>
      <w:r>
        <w:rPr>
          <w:rFonts w:ascii="Times New Roman" w:hAnsi="Times New Roman"/>
          <w:b/>
          <w:bCs/>
        </w:rPr>
        <w:t>accroître la représentation des femmes dans le secteur financier</w:t>
      </w:r>
      <w:r>
        <w:rPr>
          <w:rFonts w:ascii="Times New Roman" w:hAnsi="Times New Roman"/>
        </w:rPr>
        <w:t>. La directive sur l’équilibre entre les femmes et les hommes dans les conseils des entreprises vise à renforcer les modèles féminins dans le secteur financier et à accroître la représentation globale des femmes dans ce domaine. Dans ce contexte, le programme Supernovas de l’Institut européen d’innovation et de technologie (EIT) et le prix européen conjoint de l’EIT et du CEI pour les femmes innovatrices promeuvent l’</w:t>
      </w:r>
      <w:r>
        <w:rPr>
          <w:rFonts w:ascii="Times New Roman" w:hAnsi="Times New Roman"/>
          <w:b/>
          <w:bCs/>
        </w:rPr>
        <w:t>égalité en matière d’entrepreneuriat et d’innovation</w:t>
      </w:r>
      <w:r>
        <w:rPr>
          <w:rFonts w:ascii="Times New Roman" w:hAnsi="Times New Roman"/>
        </w:rPr>
        <w:t xml:space="preserve"> en renforçant la participation des femmes entrepreneurs et des investisseurs féminins dans les écosystèmes d’investissement et en améliorant la visibilité des femmes innovatrices. En outre, dans le cadre du plan stratégique pour l’éducation dans le domaine des sciences, des technologies, de l’ingénierie et des mathématiques (STIM), l’UE formera un million de filles d’ici à 2028, notamment au moyen de programmes tels que </w:t>
      </w:r>
      <w:r>
        <w:rPr>
          <w:rFonts w:ascii="Times New Roman" w:hAnsi="Times New Roman"/>
          <w:b/>
          <w:bCs/>
        </w:rPr>
        <w:t>«Girls Go STEM», mis en œuvre par l’EIT</w:t>
      </w:r>
      <w:r>
        <w:rPr>
          <w:rFonts w:ascii="Times New Roman" w:hAnsi="Times New Roman"/>
        </w:rPr>
        <w:t xml:space="preserve">.   </w:t>
      </w:r>
    </w:p>
    <w:p w:rsidR="00A5311D" w:rsidP="00A56E80" w14:paraId="0725E428" w14:textId="3BC6A162">
      <w:pPr>
        <w:pStyle w:val="ListParagraph"/>
        <w:suppressAutoHyphens/>
        <w:autoSpaceDN w:val="0"/>
        <w:spacing w:before="240" w:line="240" w:lineRule="auto"/>
        <w:ind w:left="0"/>
        <w:jc w:val="both"/>
        <w:textAlignment w:val="baseline"/>
        <w:rPr>
          <w:rFonts w:ascii="Times New Roman" w:hAnsi="Times New Roman"/>
          <w:b/>
          <w:bCs/>
          <w:sz w:val="24"/>
          <w:szCs w:val="24"/>
        </w:rPr>
      </w:pPr>
      <w:r>
        <w:rPr>
          <w:rFonts w:ascii="Times New Roman" w:hAnsi="Times New Roman"/>
          <w:sz w:val="24"/>
        </w:rPr>
        <w:t xml:space="preserve">Comme le souligne la </w:t>
      </w:r>
      <w:r>
        <w:rPr>
          <w:rFonts w:ascii="Times New Roman" w:hAnsi="Times New Roman"/>
          <w:b/>
          <w:bCs/>
          <w:sz w:val="24"/>
        </w:rPr>
        <w:t>stratégie</w:t>
      </w:r>
      <w:r>
        <w:rPr>
          <w:rFonts w:ascii="Times New Roman" w:hAnsi="Times New Roman"/>
          <w:sz w:val="24"/>
        </w:rPr>
        <w:t xml:space="preserve"> </w:t>
      </w:r>
      <w:r>
        <w:rPr>
          <w:rFonts w:ascii="Times New Roman" w:hAnsi="Times New Roman"/>
          <w:b/>
          <w:sz w:val="24"/>
        </w:rPr>
        <w:t>sur l’équité intergénérationnelle</w:t>
      </w:r>
      <w:r>
        <w:rPr>
          <w:rFonts w:ascii="Times New Roman" w:hAnsi="Times New Roman"/>
          <w:sz w:val="24"/>
        </w:rPr>
        <w:t xml:space="preserve">, les inégalités en matière d’emploi, de rémunération et de responsabilités familiales creusent les écarts entre les genres en matière de sécurité des revenus et de retraite à un âge avancé. Compte tenu de la demande du Parlement européen de combler l’écart de retraite entre les femmes et les hommes, la Commission recensera et soutiendra les échanges de </w:t>
      </w:r>
      <w:r>
        <w:rPr>
          <w:rFonts w:ascii="Times New Roman" w:hAnsi="Times New Roman"/>
          <w:b/>
          <w:bCs/>
          <w:sz w:val="24"/>
        </w:rPr>
        <w:t>bonnes pratiques en la matière et examinera les moyens de s’attaquer à ses facteurs.</w:t>
      </w:r>
      <w:r>
        <w:rPr>
          <w:rFonts w:ascii="Times New Roman" w:hAnsi="Times New Roman"/>
          <w:sz w:val="24"/>
        </w:rPr>
        <w:t xml:space="preserve"> La Commission renforcera également le suivi des écarts de rémunération et de retraite entre les genres. Elle assurera le suivi des causes profondes au titre du </w:t>
      </w:r>
      <w:r>
        <w:rPr>
          <w:rFonts w:ascii="Times New Roman" w:hAnsi="Times New Roman"/>
          <w:b/>
          <w:bCs/>
          <w:sz w:val="24"/>
        </w:rPr>
        <w:t>tableau de bord social</w:t>
      </w:r>
      <w:r>
        <w:rPr>
          <w:rFonts w:ascii="Times New Roman" w:hAnsi="Times New Roman"/>
          <w:sz w:val="24"/>
        </w:rPr>
        <w:t xml:space="preserve"> et formulera des recommandations dans le cadre du </w:t>
      </w:r>
      <w:r>
        <w:rPr>
          <w:rFonts w:ascii="Times New Roman" w:hAnsi="Times New Roman"/>
          <w:b/>
          <w:bCs/>
          <w:sz w:val="24"/>
        </w:rPr>
        <w:t>Semestre européen</w:t>
      </w:r>
      <w:r>
        <w:rPr>
          <w:rFonts w:ascii="Times New Roman" w:hAnsi="Times New Roman"/>
          <w:sz w:val="24"/>
        </w:rPr>
        <w:t>.</w:t>
      </w:r>
      <w:r>
        <w:rPr>
          <w:rFonts w:ascii="Times New Roman" w:hAnsi="Times New Roman"/>
          <w:b/>
          <w:sz w:val="24"/>
        </w:rPr>
        <w:t xml:space="preserve"> </w:t>
      </w:r>
      <w:r>
        <w:rPr>
          <w:rFonts w:ascii="Times New Roman" w:hAnsi="Times New Roman"/>
          <w:sz w:val="24"/>
        </w:rPr>
        <w:t xml:space="preserve">La Commission fournira une analyse de la situation des femmes âgées et des écarts entre les genres en matière de prestations de retraite et de pauvreté dans le </w:t>
      </w:r>
      <w:r>
        <w:rPr>
          <w:rFonts w:ascii="Times New Roman" w:hAnsi="Times New Roman"/>
          <w:b/>
          <w:bCs/>
          <w:sz w:val="24"/>
        </w:rPr>
        <w:t>rapport 2027 sur une protection sociale adéquate des personnes âgées</w:t>
      </w:r>
      <w:r>
        <w:rPr>
          <w:rFonts w:ascii="Times New Roman" w:hAnsi="Times New Roman"/>
          <w:sz w:val="24"/>
        </w:rPr>
        <w:t>.</w:t>
      </w:r>
      <w:r>
        <w:rPr>
          <w:rFonts w:ascii="Times New Roman" w:hAnsi="Times New Roman"/>
          <w:b/>
          <w:sz w:val="24"/>
        </w:rPr>
        <w:t xml:space="preserve"> </w:t>
      </w:r>
    </w:p>
    <w:p w:rsidR="00624BE7" w:rsidP="1E98ACF9" w14:paraId="5C92C32E" w14:textId="4E29FA61">
      <w:pPr>
        <w:spacing w:before="240"/>
        <w:rPr>
          <w:rFonts w:ascii="Times New Roman" w:hAnsi="Times New Roman"/>
        </w:rPr>
      </w:pPr>
      <w:r>
        <w:rPr>
          <w:rFonts w:ascii="Times New Roman" w:hAnsi="Times New Roman"/>
        </w:rPr>
        <w:t xml:space="preserve">Pour faire suite à la demande du Parlement européen en ce qui concerne la lutte contre la pauvreté des femmes, la Commission a intégré une forte </w:t>
      </w:r>
      <w:r>
        <w:rPr>
          <w:rFonts w:ascii="Times New Roman" w:hAnsi="Times New Roman"/>
          <w:b/>
          <w:bCs/>
        </w:rPr>
        <w:t>perspective de genre dans la stratégie européenne de lutte contre la pauvreté</w:t>
      </w:r>
      <w:r>
        <w:rPr>
          <w:rFonts w:ascii="Times New Roman" w:hAnsi="Times New Roman"/>
        </w:rPr>
        <w:t xml:space="preserve">, adoptée le 6 mai 2026. La Commission a également mis en avant une proposition de </w:t>
      </w:r>
      <w:r>
        <w:rPr>
          <w:rFonts w:ascii="Times New Roman" w:hAnsi="Times New Roman"/>
          <w:b/>
          <w:bCs/>
        </w:rPr>
        <w:t>recommandation du Conseil relative à la lutte contre l’exclusion en matière de logement</w:t>
      </w:r>
      <w:r>
        <w:rPr>
          <w:rFonts w:ascii="Times New Roman" w:hAnsi="Times New Roman"/>
        </w:rPr>
        <w:t>. Cette recommandation promeut des approches stratégiques centrées sur la personne, axées sur le logement et intégrées, tout en mettant l’accent sur les personnes et les ménages qui peinent à obtenir ou à conserver un logement, ainsi que sur les sans-abri, y compris les familles vulnérables et les parents isolés.</w:t>
      </w:r>
      <w:r>
        <w:t xml:space="preserve"> </w:t>
      </w:r>
      <w:r>
        <w:rPr>
          <w:rFonts w:ascii="Times New Roman" w:hAnsi="Times New Roman"/>
        </w:rPr>
        <w:t xml:space="preserve">De plus, la Commission publiera une </w:t>
      </w:r>
      <w:r>
        <w:rPr>
          <w:rFonts w:ascii="Times New Roman" w:hAnsi="Times New Roman"/>
          <w:b/>
          <w:bCs/>
        </w:rPr>
        <w:t>étude sur les inégalités et la discrimination en matière de logement, en adoptant une approche intersectionnelle</w:t>
      </w:r>
      <w:r>
        <w:rPr>
          <w:rFonts w:ascii="Times New Roman" w:hAnsi="Times New Roman"/>
        </w:rPr>
        <w:t xml:space="preserve">. Enfin, la Commission organisera un </w:t>
      </w:r>
      <w:r>
        <w:rPr>
          <w:rFonts w:ascii="Times New Roman" w:hAnsi="Times New Roman"/>
          <w:b/>
          <w:bCs/>
        </w:rPr>
        <w:t>échange de bonnes pratiques sur les mesures visant à lutter efficacement contre la précarité menstruelle et la précarité liée à la ménopause au niveau national.</w:t>
      </w:r>
      <w:r>
        <w:rPr>
          <w:rFonts w:ascii="Times New Roman" w:hAnsi="Times New Roman"/>
        </w:rPr>
        <w:t xml:space="preserve"> </w:t>
      </w:r>
    </w:p>
    <w:p w:rsidR="00D13B44" w:rsidP="1E98ACF9" w14:paraId="2B4B38CB" w14:textId="3B772F02">
      <w:pPr>
        <w:spacing w:before="240"/>
        <w:rPr>
          <w:rFonts w:ascii="Times New Roman" w:hAnsi="Times New Roman"/>
        </w:rPr>
      </w:pPr>
      <w:r>
        <w:rPr>
          <w:rFonts w:ascii="Times New Roman" w:hAnsi="Times New Roman"/>
        </w:rPr>
        <w:t xml:space="preserve">Conformément au principe 4 de la feuille de route sur l’équilibre entre vie professionnelle et vie privée et la question des responsabilités familiales, de l’accueil et des soins, dans la stratégie en faveur de l’égalité de genre, la Commission s’engage à publier, d’ici à 2028, un rapport sur la mise en œuvre de la </w:t>
      </w:r>
      <w:r>
        <w:rPr>
          <w:rFonts w:ascii="Times New Roman" w:hAnsi="Times New Roman"/>
          <w:b/>
          <w:bCs/>
        </w:rPr>
        <w:t>directive concernant l’équilibre entre vie professionnelle et vie privée</w:t>
      </w:r>
      <w:r>
        <w:rPr>
          <w:rFonts w:ascii="Times New Roman" w:hAnsi="Times New Roman"/>
        </w:rPr>
        <w:t xml:space="preserve">. Ce rapport sera accompagné de deux </w:t>
      </w:r>
      <w:r>
        <w:rPr>
          <w:rFonts w:ascii="Times New Roman" w:hAnsi="Times New Roman"/>
          <w:b/>
          <w:bCs/>
        </w:rPr>
        <w:t>études sur les droits au congé familial pour les travailleurs indépendants et sur les interactions entre les congés prévus par la directive et d’autres types de congés familiaux.</w:t>
      </w:r>
      <w:r>
        <w:rPr>
          <w:rFonts w:ascii="Times New Roman" w:hAnsi="Times New Roman"/>
        </w:rPr>
        <w:t xml:space="preserve"> La Commission s’attaquera également aux </w:t>
      </w:r>
      <w:r>
        <w:rPr>
          <w:rFonts w:ascii="Times New Roman" w:hAnsi="Times New Roman"/>
          <w:b/>
          <w:bCs/>
        </w:rPr>
        <w:t>stéréotypes persistants qui conduisent les hommes à ne pas prendre de congés et soutiendra le suivi de l’utilisation des congés par les hommes</w:t>
      </w:r>
      <w:r>
        <w:rPr>
          <w:rFonts w:ascii="Times New Roman" w:hAnsi="Times New Roman"/>
        </w:rPr>
        <w:t xml:space="preserve"> en encourageant les États membres à adopter le</w:t>
      </w:r>
      <w:r>
        <w:rPr>
          <w:rFonts w:ascii="Times New Roman" w:hAnsi="Times New Roman"/>
          <w:b/>
          <w:bCs/>
        </w:rPr>
        <w:t xml:space="preserve"> cadre d’indicateurs de l’équilibre entre vie professionnelle et vie privée</w:t>
      </w:r>
      <w:r>
        <w:rPr>
          <w:rFonts w:ascii="Times New Roman" w:hAnsi="Times New Roman"/>
        </w:rPr>
        <w:t xml:space="preserve">, élaboré conjointement au sein des comités consultatifs du Conseil «Emploi et affaires sociales». À cet égard, la Commission promouvra l’approche «Boys in HEAL» (santé, éducation, administration et alphabétisation). En outre, le forum de l’UE sur la démographie abordera les </w:t>
      </w:r>
      <w:r>
        <w:rPr>
          <w:rFonts w:ascii="Times New Roman" w:hAnsi="Times New Roman"/>
          <w:b/>
          <w:bCs/>
        </w:rPr>
        <w:t>aspects de l’évolution démographique</w:t>
      </w:r>
      <w:r>
        <w:rPr>
          <w:rFonts w:ascii="Times New Roman" w:hAnsi="Times New Roman"/>
        </w:rPr>
        <w:t xml:space="preserve"> </w:t>
      </w:r>
      <w:r>
        <w:rPr>
          <w:rFonts w:ascii="Times New Roman" w:hAnsi="Times New Roman"/>
          <w:b/>
          <w:bCs/>
        </w:rPr>
        <w:t>liés à l’égalité de genre</w:t>
      </w:r>
      <w:r>
        <w:rPr>
          <w:rFonts w:ascii="Times New Roman" w:hAnsi="Times New Roman"/>
        </w:rPr>
        <w:t xml:space="preserve">, en s’appuyant sur les données du rapport sur la démographie. Afin d’examiner les progrès accomplis dans le cadre de la </w:t>
      </w:r>
      <w:r>
        <w:rPr>
          <w:rFonts w:ascii="Times New Roman" w:hAnsi="Times New Roman"/>
          <w:b/>
          <w:bCs/>
        </w:rPr>
        <w:t>stratégie européenne en matière de soins</w:t>
      </w:r>
      <w:r>
        <w:rPr>
          <w:rFonts w:ascii="Times New Roman" w:hAnsi="Times New Roman"/>
        </w:rPr>
        <w:t xml:space="preserve">, la Commission mènera un </w:t>
      </w:r>
      <w:r>
        <w:rPr>
          <w:rFonts w:ascii="Times New Roman" w:hAnsi="Times New Roman"/>
          <w:b/>
          <w:bCs/>
        </w:rPr>
        <w:t>dialogue sur la mise en œuvre des soins</w:t>
      </w:r>
      <w:r>
        <w:rPr>
          <w:rFonts w:ascii="Times New Roman" w:hAnsi="Times New Roman"/>
        </w:rPr>
        <w:t xml:space="preserve">. Ce dialogue permettra d’examiner les progrès accomplis dans la mise en place de services d’éducation et d’accueil de la petite enfance, de services de soins de longue durée, de conditions de travail équitables et de formation dans le secteur des soins. Il alimentera le </w:t>
      </w:r>
      <w:r>
        <w:rPr>
          <w:rFonts w:ascii="Times New Roman" w:hAnsi="Times New Roman"/>
          <w:b/>
          <w:bCs/>
        </w:rPr>
        <w:t>pacte européen en matière de soins</w:t>
      </w:r>
      <w:r>
        <w:rPr>
          <w:rFonts w:ascii="Times New Roman" w:hAnsi="Times New Roman"/>
        </w:rPr>
        <w:t xml:space="preserve">, qui intégrera une forte perspective de genre, notamment un ensemble complet de mesures </w:t>
      </w:r>
      <w:r>
        <w:rPr>
          <w:rFonts w:ascii="Times New Roman" w:hAnsi="Times New Roman"/>
          <w:b/>
          <w:bCs/>
        </w:rPr>
        <w:t>améliorant les conditions de travail et l’évolution de carrière des aidants ainsi que le caractère abordable, l’accessibilité et la qualité des soins</w:t>
      </w:r>
      <w:r>
        <w:rPr>
          <w:rFonts w:ascii="Times New Roman" w:hAnsi="Times New Roman"/>
        </w:rPr>
        <w:t>. Le pacte en matière de soins permettra d’</w:t>
      </w:r>
      <w:r>
        <w:rPr>
          <w:rFonts w:ascii="Times New Roman" w:hAnsi="Times New Roman"/>
          <w:b/>
          <w:bCs/>
        </w:rPr>
        <w:t>encourager également une participation plus égale des hommes et des femmes aux soins formels et informels</w:t>
      </w:r>
      <w:r>
        <w:rPr>
          <w:rFonts w:ascii="Times New Roman" w:hAnsi="Times New Roman"/>
        </w:rPr>
        <w:t xml:space="preserve"> et d’</w:t>
      </w:r>
      <w:r>
        <w:rPr>
          <w:rFonts w:ascii="Times New Roman" w:hAnsi="Times New Roman"/>
          <w:b/>
          <w:bCs/>
        </w:rPr>
        <w:t>examiner les investissements dans les soins</w:t>
      </w:r>
      <w:r>
        <w:rPr>
          <w:rFonts w:ascii="Times New Roman" w:hAnsi="Times New Roman"/>
        </w:rPr>
        <w:t>, en explorant les possibilités offertes par la numérisation et les différents modèles d’entreprise, afin de promouvoir un emploi équitable et des soins de qualité. Enfin, d’ici à 2027, la Commission fera rapport sur la mise en œuvre de la</w:t>
      </w:r>
      <w:r>
        <w:rPr>
          <w:rFonts w:ascii="Times New Roman" w:hAnsi="Times New Roman"/>
          <w:b/>
          <w:bCs/>
        </w:rPr>
        <w:t xml:space="preserve"> recommandation du Conseil concernant l’éducation et l’accueil de la petite enfance</w:t>
      </w:r>
      <w:r>
        <w:rPr>
          <w:rFonts w:ascii="Times New Roman" w:hAnsi="Times New Roman"/>
        </w:rPr>
        <w:t xml:space="preserve"> et de la </w:t>
      </w:r>
      <w:r>
        <w:rPr>
          <w:rFonts w:ascii="Times New Roman" w:hAnsi="Times New Roman"/>
          <w:b/>
          <w:bCs/>
        </w:rPr>
        <w:t>recommandation du Conseil sur les soins de longue durée</w:t>
      </w:r>
      <w:r>
        <w:rPr>
          <w:rFonts w:ascii="Times New Roman" w:hAnsi="Times New Roman"/>
        </w:rPr>
        <w:t>.</w:t>
      </w:r>
    </w:p>
    <w:p w:rsidR="00145864" w:rsidP="1E98ACF9" w14:paraId="18682B6A" w14:textId="7E6F07C7">
      <w:pPr>
        <w:spacing w:before="240"/>
        <w:rPr>
          <w:rFonts w:ascii="Times New Roman" w:hAnsi="Times New Roman"/>
        </w:rPr>
      </w:pPr>
      <w:r>
        <w:rPr>
          <w:rFonts w:ascii="Times New Roman" w:hAnsi="Times New Roman"/>
        </w:rPr>
        <w:t xml:space="preserve">Conformément au principe 5 de la feuille de route sur l’égalité des chances en matière d’emploi et des conditions de travail adéquates, dans la stratégie en faveur de l’égalité de genre, la Commission s’est engagée à présenter une </w:t>
      </w:r>
      <w:r>
        <w:rPr>
          <w:rFonts w:ascii="Times New Roman" w:hAnsi="Times New Roman"/>
          <w:b/>
          <w:bCs/>
        </w:rPr>
        <w:t>évaluation complète de l’efficacité et de l’efficience de la directive sur l’équilibre entre les femmes et les hommes dans les conseils des entreprises d’ici à 2029</w:t>
      </w:r>
      <w:r>
        <w:rPr>
          <w:rFonts w:ascii="Times New Roman" w:hAnsi="Times New Roman"/>
        </w:rPr>
        <w:t>.</w:t>
      </w:r>
      <w:r>
        <w:rPr>
          <w:rFonts w:ascii="Times New Roman" w:hAnsi="Times New Roman"/>
          <w:b/>
        </w:rPr>
        <w:t xml:space="preserve"> </w:t>
      </w:r>
      <w:r>
        <w:rPr>
          <w:rFonts w:ascii="Times New Roman" w:hAnsi="Times New Roman"/>
        </w:rPr>
        <w:t>La directive fixe des objectifs à atteindre d’ici à juin 2026 pour les grandes sociétés cotées dans l’UE. En outre, en 2026, la Commission fera rapport sur les mesures adoptées par les États membres qui sont tout aussi efficaces et permettent de suspendre l’application de la procédure de sélection fondée sur le mérite prévue par la directive. Dans le cadre de</w:t>
      </w:r>
      <w:r>
        <w:rPr>
          <w:rFonts w:ascii="Times New Roman" w:hAnsi="Times New Roman"/>
          <w:b/>
          <w:bCs/>
        </w:rPr>
        <w:t xml:space="preserve"> l’acte législatif sur des emplois de qualité</w:t>
      </w:r>
      <w:r>
        <w:rPr>
          <w:rFonts w:ascii="Times New Roman" w:hAnsi="Times New Roman"/>
        </w:rPr>
        <w:t xml:space="preserve">, la </w:t>
      </w:r>
      <w:r>
        <w:rPr>
          <w:rFonts w:ascii="Times New Roman" w:hAnsi="Times New Roman"/>
        </w:rPr>
        <w:t xml:space="preserve">Commission envisagera également </w:t>
      </w:r>
      <w:r>
        <w:rPr>
          <w:rFonts w:ascii="Times New Roman" w:hAnsi="Times New Roman"/>
          <w:b/>
          <w:bCs/>
        </w:rPr>
        <w:t>des mesures visant à mieux lutter contre le harcèlement sexuel sur le lieu de travail</w:t>
      </w:r>
      <w:r>
        <w:rPr>
          <w:rFonts w:ascii="Times New Roman" w:hAnsi="Times New Roman"/>
        </w:rPr>
        <w:t xml:space="preserve">. En 2026, l’Agence européenne pour la sécurité et la santé au travail (EU-OSHA) lancera également une </w:t>
      </w:r>
      <w:r>
        <w:rPr>
          <w:rFonts w:ascii="Times New Roman" w:hAnsi="Times New Roman"/>
          <w:b/>
          <w:bCs/>
        </w:rPr>
        <w:t>campagne «Lieux de travail sains» sur la santé mentale au travail</w:t>
      </w:r>
      <w:r>
        <w:rPr>
          <w:rFonts w:ascii="Times New Roman" w:hAnsi="Times New Roman"/>
        </w:rPr>
        <w:t xml:space="preserve"> et la prévention des risques psychosociaux, notamment le </w:t>
      </w:r>
      <w:r>
        <w:rPr>
          <w:rFonts w:ascii="Times New Roman" w:hAnsi="Times New Roman"/>
          <w:b/>
          <w:bCs/>
        </w:rPr>
        <w:t>harcèlement et la violence sexuels</w:t>
      </w:r>
      <w:r>
        <w:rPr>
          <w:rFonts w:ascii="Times New Roman" w:hAnsi="Times New Roman"/>
        </w:rPr>
        <w:t xml:space="preserve">. </w:t>
      </w:r>
    </w:p>
    <w:p w:rsidR="002A1FAA" w:rsidP="1E98ACF9" w14:paraId="5AD300D6" w14:textId="66533C69">
      <w:pPr>
        <w:spacing w:before="240"/>
        <w:rPr>
          <w:rFonts w:ascii="Times New Roman" w:hAnsi="Times New Roman"/>
        </w:rPr>
      </w:pPr>
      <w:r>
        <w:rPr>
          <w:rFonts w:ascii="Times New Roman" w:hAnsi="Times New Roman"/>
        </w:rPr>
        <w:t>La Commission continuera d’offrir un financement pour lutter contre la violence fondée sur le genre par l’intermédiaire du volet Daphné du programme «Citoyens, égalité, droits et valeurs» (CERV) au titre du programme AgoraEU proposé dans le cadre financier pluriannuel (CFP) 2028-2034.</w:t>
      </w:r>
    </w:p>
    <w:p w:rsidR="009F04FE" w:rsidP="1E98ACF9" w14:paraId="53AEBF5C" w14:textId="454F8491">
      <w:pPr>
        <w:spacing w:before="240"/>
        <w:rPr>
          <w:rFonts w:ascii="Times New Roman" w:hAnsi="Times New Roman"/>
        </w:rPr>
      </w:pPr>
      <w:r>
        <w:rPr>
          <w:rFonts w:ascii="Times New Roman" w:hAnsi="Times New Roman"/>
        </w:rPr>
        <w:t xml:space="preserve">Parmi les fonds de l’UE disponibles en faveur de l’égalité entre les femmes et les hommes en matière d’emploi, le principal fonds est le </w:t>
      </w:r>
      <w:r>
        <w:rPr>
          <w:rFonts w:ascii="Times New Roman" w:hAnsi="Times New Roman"/>
          <w:b/>
          <w:bCs/>
        </w:rPr>
        <w:t>FSE+</w:t>
      </w:r>
      <w:r>
        <w:rPr>
          <w:rFonts w:ascii="Times New Roman" w:hAnsi="Times New Roman"/>
        </w:rPr>
        <w:t xml:space="preserve">, qui vise directement à améliorer l’accès des femmes à l’emploi et le développement de leurs compétences. Le règlement FSE+ (article 6) impose aux États membres et à la Commission de soutenir des actions ciblées spécifiques visant à accroître la participation des femmes à l’emploi, à améliorer la conciliation entre vie professionnelle et vie privée et à combattre la féminisation de la pauvreté et la discrimination fondée sur le sexe, sur le marché du travail ainsi que dans l’éducation et la formation. </w:t>
      </w:r>
    </w:p>
    <w:p w:rsidR="009F04FE" w:rsidP="1E98ACF9" w14:paraId="182D4A91" w14:textId="258A6504">
      <w:pPr>
        <w:spacing w:before="240"/>
        <w:rPr>
          <w:rFonts w:ascii="Times New Roman" w:hAnsi="Times New Roman"/>
        </w:rPr>
      </w:pPr>
      <w:r>
        <w:rPr>
          <w:rFonts w:ascii="Times New Roman" w:hAnsi="Times New Roman"/>
        </w:rPr>
        <w:t xml:space="preserve">Près de 85 milliards d’EUR débloqués par l’Union au titre du FSE+ pour la période 2021-2027 sont prévus pour favoriser l’égalité entre les femmes et les hommes par l’intégration de la dimension de genre dans les États membres. En outre, ce sont 4,3 milliards d’EUR qui soutiennent des actions ciblant directement l’égalité entre les femmes et les hommes, parmi lesquels 2,1 milliards d’EUR sont programmés au titre de l’objectif spécifique ESO4.3 Promouvoir la participation équilibrée des femmes et des hommes au marché du travail. </w:t>
      </w:r>
    </w:p>
    <w:p w:rsidR="00DE2025" w:rsidP="133DDF5B" w14:paraId="6886F4DF" w14:textId="34EF9D19">
      <w:pPr>
        <w:spacing w:before="240"/>
        <w:rPr>
          <w:rFonts w:ascii="Times New Roman" w:hAnsi="Times New Roman"/>
        </w:rPr>
      </w:pPr>
      <w:r>
        <w:rPr>
          <w:rFonts w:ascii="Times New Roman" w:hAnsi="Times New Roman"/>
        </w:rPr>
        <w:t xml:space="preserve">La </w:t>
      </w:r>
      <w:r>
        <w:rPr>
          <w:rFonts w:ascii="Times New Roman" w:hAnsi="Times New Roman"/>
          <w:b/>
          <w:bCs/>
        </w:rPr>
        <w:t>facilité pour la reprise et la résilience (FRR)</w:t>
      </w:r>
      <w:r>
        <w:rPr>
          <w:rFonts w:ascii="Times New Roman" w:hAnsi="Times New Roman"/>
        </w:rPr>
        <w:t xml:space="preserve"> et le </w:t>
      </w:r>
      <w:r>
        <w:rPr>
          <w:rFonts w:ascii="Times New Roman" w:hAnsi="Times New Roman"/>
          <w:b/>
          <w:bCs/>
        </w:rPr>
        <w:t>Fonds européen de développement régional (FEDER)</w:t>
      </w:r>
      <w:r>
        <w:rPr>
          <w:rFonts w:ascii="Times New Roman" w:hAnsi="Times New Roman"/>
        </w:rPr>
        <w:t xml:space="preserve"> soutiennent les réformes structurelles et les infrastructures nationales et régionales qui permettent aux parents de concilier vie professionnelle et vie familiale. De surcroît, des programmes tels que le fonds </w:t>
      </w:r>
      <w:r>
        <w:rPr>
          <w:rFonts w:ascii="Times New Roman" w:hAnsi="Times New Roman"/>
          <w:b/>
          <w:bCs/>
        </w:rPr>
        <w:t>«Citoyens, égalité, droits et valeurs» (CERV)</w:t>
      </w:r>
      <w:r>
        <w:rPr>
          <w:rFonts w:ascii="Times New Roman" w:hAnsi="Times New Roman"/>
        </w:rPr>
        <w:t xml:space="preserve"> soutiennent la sensibilisation, les efforts de lutte contre la discrimination et les actions de la société civile en faveur de l’égalité entre les femmes et les hommes en matière d’emploi. </w:t>
      </w:r>
      <w:r>
        <w:rPr>
          <w:rFonts w:ascii="Times New Roman" w:hAnsi="Times New Roman"/>
          <w:b/>
          <w:bCs/>
        </w:rPr>
        <w:t>Horizon Europe, en tant que programme phare de l’Union pour la recherche et l’innovation</w:t>
      </w:r>
      <w:r>
        <w:rPr>
          <w:rFonts w:ascii="Times New Roman" w:hAnsi="Times New Roman"/>
        </w:rPr>
        <w:t xml:space="preserve"> (R&amp;I), promeut l’égalité entre les femmes et les hommes dans les carrières liées à la recherche et dans les secteurs de l’innovation, y compris l’intégration de la dimension de genre dans le contenu de la R&amp;I</w:t>
      </w:r>
      <w:r>
        <w:rPr>
          <w:rFonts w:ascii="Times New Roman" w:hAnsi="Times New Roman"/>
          <w:vertAlign w:val="superscript"/>
        </w:rPr>
        <w:footnoteReference w:id="6"/>
      </w:r>
      <w:r>
        <w:rPr>
          <w:rFonts w:ascii="Times New Roman" w:hAnsi="Times New Roman"/>
        </w:rPr>
        <w:t>. Des instruments tels qu’</w:t>
      </w:r>
      <w:r>
        <w:rPr>
          <w:rFonts w:ascii="Times New Roman" w:hAnsi="Times New Roman"/>
          <w:b/>
          <w:bCs/>
        </w:rPr>
        <w:t>InvestEU</w:t>
      </w:r>
      <w:r>
        <w:rPr>
          <w:rFonts w:ascii="Times New Roman" w:hAnsi="Times New Roman"/>
        </w:rPr>
        <w:t xml:space="preserve"> améliorent l’accès au financement pour les entreprises dirigées par des femmes, et les fonds de la politique agricole commune (PAC) soutiennent l’emploi des femmes dans les zones rurales. La liste des fonds est accessible sur le </w:t>
      </w:r>
      <w:hyperlink r:id="rId9">
        <w:r>
          <w:rPr>
            <w:rStyle w:val="Hyperlink"/>
            <w:rFonts w:ascii="Times New Roman" w:hAnsi="Times New Roman"/>
          </w:rPr>
          <w:t>site web des programmes de financement de l’UE</w:t>
        </w:r>
      </w:hyperlink>
      <w:r>
        <w:rPr>
          <w:rFonts w:ascii="Times New Roman" w:hAnsi="Times New Roman"/>
        </w:rPr>
        <w:t xml:space="preserve"> et la Commission organise fréquemment des séances d’information en ligne pour inviter les parties prenantes à soumettre des propositions dans le cadre de ces fonds.</w:t>
      </w:r>
    </w:p>
    <w:p w:rsidR="00145864" w:rsidP="1E98ACF9" w14:paraId="2A7D1EC1" w14:textId="676AAAB0">
      <w:pPr>
        <w:spacing w:before="240"/>
        <w:rPr>
          <w:rFonts w:ascii="Times New Roman" w:hAnsi="Times New Roman"/>
        </w:rPr>
      </w:pPr>
      <w:r>
        <w:rPr>
          <w:rFonts w:ascii="Times New Roman" w:hAnsi="Times New Roman"/>
        </w:rPr>
        <w:t>La proposition de</w:t>
      </w:r>
      <w:r>
        <w:rPr>
          <w:rFonts w:ascii="Times New Roman" w:hAnsi="Times New Roman"/>
          <w:b/>
          <w:bCs/>
        </w:rPr>
        <w:t xml:space="preserve"> règlement sur la performance</w:t>
      </w:r>
      <w:r>
        <w:rPr>
          <w:rFonts w:ascii="Times New Roman" w:hAnsi="Times New Roman"/>
        </w:rPr>
        <w:t xml:space="preserve"> fait de l’égalité de genre un </w:t>
      </w:r>
      <w:r>
        <w:rPr>
          <w:rFonts w:ascii="Times New Roman" w:hAnsi="Times New Roman"/>
          <w:b/>
          <w:bCs/>
        </w:rPr>
        <w:t>principe horizontal pour la plupart des programmes de financement de l’UE</w:t>
      </w:r>
      <w:r>
        <w:rPr>
          <w:rFonts w:ascii="Times New Roman" w:hAnsi="Times New Roman"/>
        </w:rPr>
        <w:t xml:space="preserve">, y compris les plans de partenariat national et régional. Le règlement sur la performance introduit également un cadre cohérent pour l’intégration de l’égalité de genre dans l’ensemble du budget, au moyen d’une méthode de suivi des dépenses de l’UE en faveur de l’égalité de genre et d’une ventilation par genre des indicateurs de performance. La Commission a l’intention de </w:t>
      </w:r>
      <w:r>
        <w:rPr>
          <w:rFonts w:ascii="Times New Roman" w:hAnsi="Times New Roman"/>
        </w:rPr>
        <w:t>présenter des orientations techniques sur la méthode de suivi d’ici à la fin de 2026. En outre, l’égalité de genre continuera d’être abordée dans le cadre du Semestre européen afin de recenser et de relever les défis urgents en matière d’égalité de genre.</w:t>
      </w:r>
    </w:p>
    <w:p w:rsidR="00D13B44" w:rsidRPr="0097224B" w:rsidP="00A56E80" w14:paraId="1FBE1F28" w14:textId="77777777">
      <w:pPr>
        <w:spacing w:before="240"/>
        <w:rPr>
          <w:rStyle w:val="None"/>
          <w:rFonts w:ascii="Times New Roman" w:hAnsi="Times New Roman"/>
          <w:szCs w:val="24"/>
          <w:lang w:val="fr-BE"/>
        </w:rPr>
      </w:pPr>
    </w:p>
    <w:p w:rsidR="002A1FAA" w:rsidRPr="0097224B" w:rsidP="00A56E80" w14:paraId="1142E570" w14:textId="77777777">
      <w:pPr>
        <w:pStyle w:val="ListParagraph"/>
        <w:widowControl w:val="0"/>
        <w:suppressAutoHyphens/>
        <w:autoSpaceDN w:val="0"/>
        <w:spacing w:before="240" w:after="240" w:line="240" w:lineRule="auto"/>
        <w:contextualSpacing w:val="0"/>
        <w:jc w:val="both"/>
        <w:textAlignment w:val="baseline"/>
        <w:rPr>
          <w:rFonts w:ascii="Times New Roman" w:hAnsi="Times New Roman"/>
          <w:b/>
          <w:szCs w:val="24"/>
          <w:lang w:val="fr-BE"/>
        </w:rPr>
      </w:pPr>
    </w:p>
    <w:sectPr w:rsidSect="00812321">
      <w:headerReference w:type="default" r:id="rId10"/>
      <w:footerReference w:type="even" r:id="rId11"/>
      <w:footerReference w:type="default" r:id="rId12"/>
      <w:footerReference w:type="first" r:id="rId13"/>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P="00442B2E" w14:paraId="244C2131" w14:textId="77777777">
    <w:pPr>
      <w:pStyle w:val="Foote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52C9F" w14:paraId="7FA6214C" w14:textId="77777777">
      <w:r>
        <w:separator/>
      </w:r>
    </w:p>
  </w:footnote>
  <w:footnote w:type="continuationSeparator" w:id="1">
    <w:p w:rsidR="00F52C9F" w14:paraId="127DE6C1" w14:textId="77777777">
      <w:r>
        <w:continuationSeparator/>
      </w:r>
    </w:p>
  </w:footnote>
  <w:footnote w:type="continuationNotice" w:id="2">
    <w:p w:rsidR="00F52C9F" w14:paraId="3BB146EE" w14:textId="77777777">
      <w:pPr>
        <w:spacing w:after="0"/>
      </w:pPr>
    </w:p>
  </w:footnote>
  <w:footnote w:id="3">
    <w:p w:rsidR="00302039" w:rsidRPr="00302039" w14:paraId="69E50463" w14:textId="4693C2A5">
      <w:pPr>
        <w:pStyle w:val="FootnoteText"/>
      </w:pPr>
      <w:r>
        <w:rPr>
          <w:rStyle w:val="FootnoteReference"/>
        </w:rPr>
        <w:footnoteRef/>
      </w:r>
      <w:r>
        <w:t xml:space="preserve"> </w:t>
      </w:r>
      <w:r>
        <w:rPr>
          <w:rFonts w:ascii="Times New Roman" w:hAnsi="Times New Roman"/>
          <w:sz w:val="24"/>
        </w:rPr>
        <w:t>Sciences, technologies, ingénierie, arts et mathématiques.</w:t>
      </w:r>
    </w:p>
  </w:footnote>
  <w:footnote w:id="4">
    <w:p w:rsidR="00302039" w:rsidRPr="00302039" w14:paraId="3480D81A" w14:textId="7950D1F8">
      <w:pPr>
        <w:pStyle w:val="FootnoteText"/>
      </w:pPr>
      <w:r>
        <w:rPr>
          <w:rStyle w:val="FootnoteReference"/>
        </w:rPr>
        <w:footnoteRef/>
      </w:r>
      <w:r>
        <w:t xml:space="preserve"> </w:t>
      </w:r>
      <w:r>
        <w:rPr>
          <w:rFonts w:ascii="Times New Roman" w:hAnsi="Times New Roman"/>
          <w:sz w:val="24"/>
        </w:rPr>
        <w:t>Technologies de l’information et de la communication.</w:t>
      </w:r>
    </w:p>
  </w:footnote>
  <w:footnote w:id="5">
    <w:p w:rsidR="003412E6" w:rsidRPr="00D71E0D" w:rsidP="003412E6" w14:paraId="4B50B491" w14:textId="29DC6EF7">
      <w:pPr>
        <w:pStyle w:val="FootnoteText"/>
        <w:rPr>
          <w:rFonts w:ascii="Times New Roman" w:hAnsi="Times New Roman"/>
        </w:rPr>
      </w:pPr>
      <w:bookmarkStart w:id="1" w:name="_Hlk227077404"/>
      <w:r>
        <w:rPr>
          <w:rStyle w:val="FootnoteReference"/>
          <w:rFonts w:ascii="Times New Roman" w:hAnsi="Times New Roman"/>
        </w:rPr>
        <w:footnoteRef/>
      </w:r>
      <w:r>
        <w:rPr>
          <w:rFonts w:ascii="Times New Roman" w:hAnsi="Times New Roman"/>
        </w:rPr>
        <w:t xml:space="preserve"> </w:t>
      </w:r>
      <w:r w:rsidR="0097224B">
        <w:rPr>
          <w:rFonts w:ascii="Times New Roman" w:hAnsi="Times New Roman"/>
        </w:rPr>
        <w:tab/>
      </w:r>
      <w:r>
        <w:rPr>
          <w:rFonts w:ascii="Times New Roman" w:hAnsi="Times New Roman"/>
        </w:rPr>
        <w:t xml:space="preserve">Voir, par exemple, Commission européenne: Direction générale de la fiscalité et de l’union douanière, </w:t>
      </w:r>
      <w:r>
        <w:rPr>
          <w:rFonts w:ascii="Times New Roman" w:hAnsi="Times New Roman"/>
          <w:i/>
          <w:iCs/>
        </w:rPr>
        <w:t>Annual report on taxation 2023 — Review of taxation policies in the European Union</w:t>
      </w:r>
      <w:r>
        <w:rPr>
          <w:rFonts w:ascii="Times New Roman" w:hAnsi="Times New Roman"/>
        </w:rPr>
        <w:t xml:space="preserve">, Office des publications de l’Union européenne, 2023, </w:t>
      </w:r>
      <w:hyperlink r:id="rId1" w:tgtFrame="_blank" w:history="1">
        <w:r>
          <w:rPr>
            <w:rStyle w:val="Hyperlink"/>
            <w:rFonts w:ascii="Times New Roman" w:hAnsi="Times New Roman"/>
          </w:rPr>
          <w:t>https://data.europa.eu/doi/10.2778/982557</w:t>
        </w:r>
      </w:hyperlink>
      <w:r w:rsidRPr="00C70676">
        <w:rPr>
          <w:rFonts w:ascii="Times New Roman" w:hAnsi="Times New Roman"/>
          <w:sz w:val="24"/>
          <w:szCs w:val="24"/>
        </w:rPr>
        <w:t>.</w:t>
      </w:r>
      <w:bookmarkEnd w:id="1"/>
    </w:p>
  </w:footnote>
  <w:footnote w:id="6">
    <w:p w:rsidR="133DDF5B" w14:paraId="2C06986F" w14:textId="4CBACD6F">
      <w:r>
        <w:rPr>
          <w:vertAlign w:val="superscript"/>
        </w:rPr>
        <w:footnoteRef/>
      </w:r>
      <w:r>
        <w:t xml:space="preserve"> </w:t>
      </w:r>
      <w:r>
        <w:rPr>
          <w:rFonts w:ascii="Times New Roman" w:hAnsi="Times New Roman"/>
          <w:sz w:val="20"/>
        </w:rPr>
        <w:t xml:space="preserve">Voir l’article 7, paragraphe 6, du </w:t>
      </w:r>
      <w:hyperlink r:id="rId2" w:history="1">
        <w:r>
          <w:rPr>
            <w:rFonts w:ascii="Times New Roman" w:hAnsi="Times New Roman"/>
            <w:sz w:val="20"/>
          </w:rPr>
          <w:t>règlement «Horizon Europe»</w:t>
        </w:r>
      </w:hyperlink>
      <w:r>
        <w:rPr>
          <w:rFonts w:ascii="Times New Roman" w:hAnsi="Times New Roman"/>
          <w:sz w:val="20"/>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359F" w14:paraId="26862D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7">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8">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190B75B5"/>
    <w:multiLevelType w:val="multilevel"/>
    <w:tmpl w:val="E2B24A62"/>
    <w:lvl w:ilvl="0">
      <w:start w:val="0"/>
      <w:numFmt w:val="bullet"/>
      <w:lvlText w:val="-"/>
      <w:lvlJc w:val="left"/>
      <w:pPr>
        <w:ind w:left="720" w:hanging="360"/>
      </w:pPr>
      <w:rPr>
        <w:rFonts w:ascii="Aptos" w:hAnsi="Aptos"/>
      </w:rPr>
    </w:lvl>
    <w:lvl w:ilvl="1">
      <w:start w:val="0"/>
      <w:numFmt w:val="bullet"/>
      <w:lvlText w:val="o"/>
      <w:lvlJc w:val="left"/>
      <w:pPr>
        <w:ind w:left="1440" w:hanging="360"/>
      </w:pPr>
      <w:rPr>
        <w:rFonts w:ascii="Courier New" w:hAnsi="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rPr>
    </w:lvl>
    <w:lvl w:ilvl="8">
      <w:start w:val="0"/>
      <w:numFmt w:val="bullet"/>
      <w:lvlText w:val=""/>
      <w:lvlJc w:val="left"/>
      <w:pPr>
        <w:ind w:left="6480" w:hanging="360"/>
      </w:pPr>
      <w:rPr>
        <w:rFonts w:ascii="Wingdings" w:hAnsi="Wingdings"/>
      </w:r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B596461"/>
    <w:multiLevelType w:val="hybridMultilevel"/>
    <w:tmpl w:val="9DF09A94"/>
    <w:lvl w:ilvl="0">
      <w:start w:val="1"/>
      <w:numFmt w:val="decimal"/>
      <w:lvlText w:val="%1."/>
      <w:lvlJc w:val="left"/>
      <w:pPr>
        <w:ind w:left="1429" w:hanging="360"/>
      </w:pPr>
      <w:rPr>
        <w:b/>
        <w:i w:val="0"/>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558A4A0C"/>
    <w:multiLevelType w:val="hybridMultilevel"/>
    <w:tmpl w:val="E7986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7">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2">
    <w:nsid w:val="6E161C90"/>
    <w:multiLevelType w:val="hybridMultilevel"/>
    <w:tmpl w:val="460E03C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6">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7">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9">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7"/>
  </w:num>
  <w:num w:numId="2" w16cid:durableId="148182179">
    <w:abstractNumId w:val="1"/>
  </w:num>
  <w:num w:numId="3" w16cid:durableId="505511010">
    <w:abstractNumId w:val="36"/>
  </w:num>
  <w:num w:numId="4" w16cid:durableId="580018736">
    <w:abstractNumId w:val="14"/>
  </w:num>
  <w:num w:numId="5" w16cid:durableId="221647625">
    <w:abstractNumId w:val="31"/>
  </w:num>
  <w:num w:numId="6" w16cid:durableId="298344620">
    <w:abstractNumId w:val="11"/>
  </w:num>
  <w:num w:numId="7" w16cid:durableId="58093387">
    <w:abstractNumId w:val="6"/>
  </w:num>
  <w:num w:numId="8" w16cid:durableId="1122530581">
    <w:abstractNumId w:val="16"/>
  </w:num>
  <w:num w:numId="9" w16cid:durableId="1479684095">
    <w:abstractNumId w:val="35"/>
  </w:num>
  <w:num w:numId="10" w16cid:durableId="340007303">
    <w:abstractNumId w:val="26"/>
  </w:num>
  <w:num w:numId="11" w16cid:durableId="346519941">
    <w:abstractNumId w:val="28"/>
  </w:num>
  <w:num w:numId="12" w16cid:durableId="691036718">
    <w:abstractNumId w:val="13"/>
  </w:num>
  <w:num w:numId="13" w16cid:durableId="1452093781">
    <w:abstractNumId w:val="17"/>
  </w:num>
  <w:num w:numId="14" w16cid:durableId="906961314">
    <w:abstractNumId w:val="33"/>
  </w:num>
  <w:num w:numId="15" w16cid:durableId="1388455259">
    <w:abstractNumId w:val="15"/>
  </w:num>
  <w:num w:numId="16" w16cid:durableId="1677533267">
    <w:abstractNumId w:val="39"/>
  </w:num>
  <w:num w:numId="17" w16cid:durableId="961619330">
    <w:abstractNumId w:val="34"/>
  </w:num>
  <w:num w:numId="18" w16cid:durableId="1095638383">
    <w:abstractNumId w:val="23"/>
  </w:num>
  <w:num w:numId="19" w16cid:durableId="357776219">
    <w:abstractNumId w:val="25"/>
  </w:num>
  <w:num w:numId="20" w16cid:durableId="1481578588">
    <w:abstractNumId w:val="30"/>
  </w:num>
  <w:num w:numId="21" w16cid:durableId="1812137613">
    <w:abstractNumId w:val="3"/>
  </w:num>
  <w:num w:numId="22" w16cid:durableId="370300677">
    <w:abstractNumId w:val="4"/>
  </w:num>
  <w:num w:numId="23" w16cid:durableId="1948660650">
    <w:abstractNumId w:val="5"/>
  </w:num>
  <w:num w:numId="24" w16cid:durableId="1221136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7"/>
  </w:num>
  <w:num w:numId="26" w16cid:durableId="1203983393">
    <w:abstractNumId w:val="27"/>
  </w:num>
  <w:num w:numId="27" w16cid:durableId="1149204463">
    <w:abstractNumId w:val="18"/>
  </w:num>
  <w:num w:numId="28" w16cid:durableId="614867515">
    <w:abstractNumId w:val="38"/>
  </w:num>
  <w:num w:numId="29" w16cid:durableId="1513490821">
    <w:abstractNumId w:val="2"/>
  </w:num>
  <w:num w:numId="30" w16cid:durableId="1269506392">
    <w:abstractNumId w:val="22"/>
  </w:num>
  <w:num w:numId="31" w16cid:durableId="160509948">
    <w:abstractNumId w:val="21"/>
  </w:num>
  <w:num w:numId="32" w16cid:durableId="146094414">
    <w:abstractNumId w:val="9"/>
  </w:num>
  <w:num w:numId="33" w16cid:durableId="2145806991">
    <w:abstractNumId w:val="12"/>
  </w:num>
  <w:num w:numId="34" w16cid:durableId="1322079617">
    <w:abstractNumId w:val="20"/>
  </w:num>
  <w:num w:numId="35" w16cid:durableId="1661734410">
    <w:abstractNumId w:val="19"/>
  </w:num>
  <w:num w:numId="36" w16cid:durableId="347954644">
    <w:abstractNumId w:val="10"/>
  </w:num>
  <w:num w:numId="37" w16cid:durableId="859316824">
    <w:abstractNumId w:val="32"/>
  </w:num>
  <w:num w:numId="38" w16cid:durableId="1019746141">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 w:id="0"/>
    <w:footnote w:id="1"/>
    <w:footnote w:id="2"/>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6D5"/>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2EE"/>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7C2"/>
    <w:rsid w:val="00033EA1"/>
    <w:rsid w:val="00033F57"/>
    <w:rsid w:val="000340CA"/>
    <w:rsid w:val="0003483E"/>
    <w:rsid w:val="000348CA"/>
    <w:rsid w:val="0003496F"/>
    <w:rsid w:val="00034992"/>
    <w:rsid w:val="00034B24"/>
    <w:rsid w:val="00034CA0"/>
    <w:rsid w:val="00034EB6"/>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46E"/>
    <w:rsid w:val="000414BC"/>
    <w:rsid w:val="00041586"/>
    <w:rsid w:val="0004189C"/>
    <w:rsid w:val="0004193F"/>
    <w:rsid w:val="0004195A"/>
    <w:rsid w:val="00041A87"/>
    <w:rsid w:val="00041C4F"/>
    <w:rsid w:val="00041F1F"/>
    <w:rsid w:val="0004209B"/>
    <w:rsid w:val="000420DB"/>
    <w:rsid w:val="000421A1"/>
    <w:rsid w:val="0004223E"/>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48DA6"/>
    <w:rsid w:val="000502A5"/>
    <w:rsid w:val="000504A8"/>
    <w:rsid w:val="0005052B"/>
    <w:rsid w:val="000506A1"/>
    <w:rsid w:val="000508EC"/>
    <w:rsid w:val="000509DA"/>
    <w:rsid w:val="00050AFA"/>
    <w:rsid w:val="00051333"/>
    <w:rsid w:val="00051BA8"/>
    <w:rsid w:val="00051E3C"/>
    <w:rsid w:val="000520B1"/>
    <w:rsid w:val="00052241"/>
    <w:rsid w:val="00052672"/>
    <w:rsid w:val="00052814"/>
    <w:rsid w:val="000529E9"/>
    <w:rsid w:val="00053766"/>
    <w:rsid w:val="00053BE0"/>
    <w:rsid w:val="00053CB9"/>
    <w:rsid w:val="00053FAD"/>
    <w:rsid w:val="000541A5"/>
    <w:rsid w:val="00054221"/>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6A0"/>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875"/>
    <w:rsid w:val="0009691F"/>
    <w:rsid w:val="00096925"/>
    <w:rsid w:val="0009694F"/>
    <w:rsid w:val="00096B06"/>
    <w:rsid w:val="0009706D"/>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C55"/>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61AB"/>
    <w:rsid w:val="000C6577"/>
    <w:rsid w:val="000C6610"/>
    <w:rsid w:val="000C6902"/>
    <w:rsid w:val="000C69CA"/>
    <w:rsid w:val="000C71A3"/>
    <w:rsid w:val="000C728E"/>
    <w:rsid w:val="000C741E"/>
    <w:rsid w:val="000C755B"/>
    <w:rsid w:val="000C7646"/>
    <w:rsid w:val="000C7708"/>
    <w:rsid w:val="000C7914"/>
    <w:rsid w:val="000C7A75"/>
    <w:rsid w:val="000C7BE4"/>
    <w:rsid w:val="000C7E7C"/>
    <w:rsid w:val="000D02D7"/>
    <w:rsid w:val="000D0536"/>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65"/>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06A"/>
    <w:rsid w:val="00114480"/>
    <w:rsid w:val="00114568"/>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043"/>
    <w:rsid w:val="00120230"/>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8"/>
    <w:rsid w:val="0012713C"/>
    <w:rsid w:val="00127307"/>
    <w:rsid w:val="00127422"/>
    <w:rsid w:val="001275A6"/>
    <w:rsid w:val="00127654"/>
    <w:rsid w:val="00127678"/>
    <w:rsid w:val="00127CE6"/>
    <w:rsid w:val="001304C4"/>
    <w:rsid w:val="00130541"/>
    <w:rsid w:val="00130719"/>
    <w:rsid w:val="00130B37"/>
    <w:rsid w:val="00130B64"/>
    <w:rsid w:val="00130E70"/>
    <w:rsid w:val="00130FF4"/>
    <w:rsid w:val="001312DE"/>
    <w:rsid w:val="001315A5"/>
    <w:rsid w:val="001315EB"/>
    <w:rsid w:val="001317F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0E81"/>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4E"/>
    <w:rsid w:val="00143DDE"/>
    <w:rsid w:val="00143F3D"/>
    <w:rsid w:val="0014413D"/>
    <w:rsid w:val="00144F48"/>
    <w:rsid w:val="00145864"/>
    <w:rsid w:val="00145AB8"/>
    <w:rsid w:val="00145BBD"/>
    <w:rsid w:val="00145D7D"/>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CF5"/>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6F0"/>
    <w:rsid w:val="00161826"/>
    <w:rsid w:val="00161B04"/>
    <w:rsid w:val="00161DD3"/>
    <w:rsid w:val="00162094"/>
    <w:rsid w:val="001623A4"/>
    <w:rsid w:val="001625B7"/>
    <w:rsid w:val="0016261F"/>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6EE"/>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EB"/>
    <w:rsid w:val="001A0303"/>
    <w:rsid w:val="001A03B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C3C"/>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80C"/>
    <w:rsid w:val="001C68EB"/>
    <w:rsid w:val="001C6B35"/>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85C"/>
    <w:rsid w:val="001D5903"/>
    <w:rsid w:val="001D595B"/>
    <w:rsid w:val="001D59BC"/>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3F83"/>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D57"/>
    <w:rsid w:val="00200EC8"/>
    <w:rsid w:val="0020101D"/>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14"/>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86A"/>
    <w:rsid w:val="00221B95"/>
    <w:rsid w:val="00221CDB"/>
    <w:rsid w:val="00221CDE"/>
    <w:rsid w:val="00221D83"/>
    <w:rsid w:val="00221FFB"/>
    <w:rsid w:val="0022203A"/>
    <w:rsid w:val="00222570"/>
    <w:rsid w:val="00222764"/>
    <w:rsid w:val="002228BC"/>
    <w:rsid w:val="00222E0F"/>
    <w:rsid w:val="0022357E"/>
    <w:rsid w:val="00223715"/>
    <w:rsid w:val="002238D6"/>
    <w:rsid w:val="00223C56"/>
    <w:rsid w:val="00223E4D"/>
    <w:rsid w:val="00224042"/>
    <w:rsid w:val="00224502"/>
    <w:rsid w:val="0022467C"/>
    <w:rsid w:val="0022491A"/>
    <w:rsid w:val="00224A14"/>
    <w:rsid w:val="00224A5D"/>
    <w:rsid w:val="00224CD7"/>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915"/>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2D9"/>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528"/>
    <w:rsid w:val="00252719"/>
    <w:rsid w:val="00252890"/>
    <w:rsid w:val="00252898"/>
    <w:rsid w:val="00252CC6"/>
    <w:rsid w:val="00252F33"/>
    <w:rsid w:val="00252FE9"/>
    <w:rsid w:val="00253A58"/>
    <w:rsid w:val="00253D1B"/>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F67"/>
    <w:rsid w:val="0027312B"/>
    <w:rsid w:val="00273231"/>
    <w:rsid w:val="0027352C"/>
    <w:rsid w:val="00273A74"/>
    <w:rsid w:val="00273A98"/>
    <w:rsid w:val="00273BEE"/>
    <w:rsid w:val="00273C44"/>
    <w:rsid w:val="00273E56"/>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1FAA"/>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12D"/>
    <w:rsid w:val="002A52D1"/>
    <w:rsid w:val="002A5B34"/>
    <w:rsid w:val="002A5BCC"/>
    <w:rsid w:val="002A648C"/>
    <w:rsid w:val="002A6A37"/>
    <w:rsid w:val="002A728E"/>
    <w:rsid w:val="002A7347"/>
    <w:rsid w:val="002A75AE"/>
    <w:rsid w:val="002A7744"/>
    <w:rsid w:val="002A7A3E"/>
    <w:rsid w:val="002A7B9D"/>
    <w:rsid w:val="002A7F12"/>
    <w:rsid w:val="002B038F"/>
    <w:rsid w:val="002B0486"/>
    <w:rsid w:val="002B0753"/>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B4F"/>
    <w:rsid w:val="002B6C64"/>
    <w:rsid w:val="002B6CFB"/>
    <w:rsid w:val="002B6D3A"/>
    <w:rsid w:val="002B6E97"/>
    <w:rsid w:val="002B72C1"/>
    <w:rsid w:val="002B7AD5"/>
    <w:rsid w:val="002B7BAF"/>
    <w:rsid w:val="002B7BEB"/>
    <w:rsid w:val="002B7CCD"/>
    <w:rsid w:val="002C0046"/>
    <w:rsid w:val="002C00E0"/>
    <w:rsid w:val="002C05F0"/>
    <w:rsid w:val="002C0661"/>
    <w:rsid w:val="002C089B"/>
    <w:rsid w:val="002C093A"/>
    <w:rsid w:val="002C0C05"/>
    <w:rsid w:val="002C0FF0"/>
    <w:rsid w:val="002C15BE"/>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50F"/>
    <w:rsid w:val="002C3623"/>
    <w:rsid w:val="002C3AE6"/>
    <w:rsid w:val="002C3C14"/>
    <w:rsid w:val="002C3CD0"/>
    <w:rsid w:val="002C3FDC"/>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141"/>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58"/>
    <w:rsid w:val="0030179B"/>
    <w:rsid w:val="00301BE1"/>
    <w:rsid w:val="00302039"/>
    <w:rsid w:val="0030243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51A"/>
    <w:rsid w:val="00310555"/>
    <w:rsid w:val="003107E7"/>
    <w:rsid w:val="00310AF2"/>
    <w:rsid w:val="00310CE4"/>
    <w:rsid w:val="0031100E"/>
    <w:rsid w:val="00311194"/>
    <w:rsid w:val="0031125F"/>
    <w:rsid w:val="0031136C"/>
    <w:rsid w:val="0031177F"/>
    <w:rsid w:val="00311B7B"/>
    <w:rsid w:val="00311F51"/>
    <w:rsid w:val="003122E8"/>
    <w:rsid w:val="00312635"/>
    <w:rsid w:val="00312B28"/>
    <w:rsid w:val="00312B96"/>
    <w:rsid w:val="00313B7C"/>
    <w:rsid w:val="00313C32"/>
    <w:rsid w:val="00314017"/>
    <w:rsid w:val="00314034"/>
    <w:rsid w:val="00314129"/>
    <w:rsid w:val="00314397"/>
    <w:rsid w:val="003144BA"/>
    <w:rsid w:val="00314523"/>
    <w:rsid w:val="00314645"/>
    <w:rsid w:val="00314753"/>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F5F"/>
    <w:rsid w:val="003313FF"/>
    <w:rsid w:val="00331867"/>
    <w:rsid w:val="00331871"/>
    <w:rsid w:val="003319F5"/>
    <w:rsid w:val="00331AB5"/>
    <w:rsid w:val="00331F9E"/>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2E6"/>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6EE"/>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83F"/>
    <w:rsid w:val="00354B65"/>
    <w:rsid w:val="00354B6B"/>
    <w:rsid w:val="00354B7A"/>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5F8A"/>
    <w:rsid w:val="00366965"/>
    <w:rsid w:val="003671D4"/>
    <w:rsid w:val="00367409"/>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63C"/>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0EBC"/>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4F23"/>
    <w:rsid w:val="003A50F8"/>
    <w:rsid w:val="003A52C4"/>
    <w:rsid w:val="003A5735"/>
    <w:rsid w:val="003A58C7"/>
    <w:rsid w:val="003A5ACF"/>
    <w:rsid w:val="003A618E"/>
    <w:rsid w:val="003A66D7"/>
    <w:rsid w:val="003A6CDC"/>
    <w:rsid w:val="003A7265"/>
    <w:rsid w:val="003A7367"/>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48"/>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A8D"/>
    <w:rsid w:val="003E1B7B"/>
    <w:rsid w:val="003E1BC0"/>
    <w:rsid w:val="003E1BC4"/>
    <w:rsid w:val="003E1D15"/>
    <w:rsid w:val="003E1D48"/>
    <w:rsid w:val="003E1D49"/>
    <w:rsid w:val="003E1EE5"/>
    <w:rsid w:val="003E1F00"/>
    <w:rsid w:val="003E1F28"/>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563"/>
    <w:rsid w:val="00415BC5"/>
    <w:rsid w:val="00415DB8"/>
    <w:rsid w:val="00415EE3"/>
    <w:rsid w:val="00415F40"/>
    <w:rsid w:val="0041604E"/>
    <w:rsid w:val="004161DD"/>
    <w:rsid w:val="00416341"/>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2C47"/>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A95"/>
    <w:rsid w:val="00435D10"/>
    <w:rsid w:val="004362BB"/>
    <w:rsid w:val="004368AE"/>
    <w:rsid w:val="004369C6"/>
    <w:rsid w:val="00436CDF"/>
    <w:rsid w:val="00437330"/>
    <w:rsid w:val="0043789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3FD"/>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AA"/>
    <w:rsid w:val="00467FFC"/>
    <w:rsid w:val="00470031"/>
    <w:rsid w:val="004700AF"/>
    <w:rsid w:val="0047030E"/>
    <w:rsid w:val="0047041D"/>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DE0"/>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4A"/>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F8"/>
    <w:rsid w:val="004A162D"/>
    <w:rsid w:val="004A1826"/>
    <w:rsid w:val="004A1881"/>
    <w:rsid w:val="004A1A6D"/>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40"/>
    <w:rsid w:val="004A4356"/>
    <w:rsid w:val="004A4627"/>
    <w:rsid w:val="004A4629"/>
    <w:rsid w:val="004A4774"/>
    <w:rsid w:val="004A4B32"/>
    <w:rsid w:val="004A4CFD"/>
    <w:rsid w:val="004A50BA"/>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3C"/>
    <w:rsid w:val="004E451A"/>
    <w:rsid w:val="004E4B90"/>
    <w:rsid w:val="004E4F11"/>
    <w:rsid w:val="004E4F32"/>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EB0"/>
    <w:rsid w:val="00551FED"/>
    <w:rsid w:val="00552C21"/>
    <w:rsid w:val="00552DB9"/>
    <w:rsid w:val="00553081"/>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15"/>
    <w:rsid w:val="00556E35"/>
    <w:rsid w:val="00556F11"/>
    <w:rsid w:val="00556FD5"/>
    <w:rsid w:val="00557019"/>
    <w:rsid w:val="005570F7"/>
    <w:rsid w:val="0055711F"/>
    <w:rsid w:val="00557270"/>
    <w:rsid w:val="00557359"/>
    <w:rsid w:val="00557827"/>
    <w:rsid w:val="00557B9E"/>
    <w:rsid w:val="00557DE4"/>
    <w:rsid w:val="00557F82"/>
    <w:rsid w:val="00560102"/>
    <w:rsid w:val="005606DA"/>
    <w:rsid w:val="005609D2"/>
    <w:rsid w:val="00560A3D"/>
    <w:rsid w:val="00560D0F"/>
    <w:rsid w:val="005610A0"/>
    <w:rsid w:val="005612D0"/>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D02"/>
    <w:rsid w:val="00565F56"/>
    <w:rsid w:val="0056637F"/>
    <w:rsid w:val="00566394"/>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1C"/>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CF9"/>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40A3"/>
    <w:rsid w:val="00594376"/>
    <w:rsid w:val="00594451"/>
    <w:rsid w:val="0059465D"/>
    <w:rsid w:val="005949B6"/>
    <w:rsid w:val="00594A07"/>
    <w:rsid w:val="00594A50"/>
    <w:rsid w:val="005951D7"/>
    <w:rsid w:val="0059526A"/>
    <w:rsid w:val="005958A4"/>
    <w:rsid w:val="005958A8"/>
    <w:rsid w:val="00595993"/>
    <w:rsid w:val="00595ADD"/>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315"/>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5B8"/>
    <w:rsid w:val="005B18B3"/>
    <w:rsid w:val="005B1AB3"/>
    <w:rsid w:val="005B1B47"/>
    <w:rsid w:val="005B1F12"/>
    <w:rsid w:val="005B20C7"/>
    <w:rsid w:val="005B215A"/>
    <w:rsid w:val="005B25EC"/>
    <w:rsid w:val="005B2820"/>
    <w:rsid w:val="005B2CBF"/>
    <w:rsid w:val="005B31C8"/>
    <w:rsid w:val="005B3204"/>
    <w:rsid w:val="005B363A"/>
    <w:rsid w:val="005B466D"/>
    <w:rsid w:val="005B4BB9"/>
    <w:rsid w:val="005B4EE9"/>
    <w:rsid w:val="005B4F48"/>
    <w:rsid w:val="005B5615"/>
    <w:rsid w:val="005B56F3"/>
    <w:rsid w:val="005B5751"/>
    <w:rsid w:val="005B57A5"/>
    <w:rsid w:val="005B5B4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0BDC"/>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BD2"/>
    <w:rsid w:val="005E6F07"/>
    <w:rsid w:val="005E74B4"/>
    <w:rsid w:val="005E79D7"/>
    <w:rsid w:val="005E7E6E"/>
    <w:rsid w:val="005E7E8D"/>
    <w:rsid w:val="005F006A"/>
    <w:rsid w:val="005F00E1"/>
    <w:rsid w:val="005F00FC"/>
    <w:rsid w:val="005F0231"/>
    <w:rsid w:val="005F02B2"/>
    <w:rsid w:val="005F0596"/>
    <w:rsid w:val="005F0691"/>
    <w:rsid w:val="005F09F5"/>
    <w:rsid w:val="005F0A4B"/>
    <w:rsid w:val="005F0A74"/>
    <w:rsid w:val="005F0BF7"/>
    <w:rsid w:val="005F1311"/>
    <w:rsid w:val="005F14F7"/>
    <w:rsid w:val="005F1558"/>
    <w:rsid w:val="005F188D"/>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16E"/>
    <w:rsid w:val="00603808"/>
    <w:rsid w:val="00603C02"/>
    <w:rsid w:val="00603C48"/>
    <w:rsid w:val="006047B1"/>
    <w:rsid w:val="006047D4"/>
    <w:rsid w:val="00604C70"/>
    <w:rsid w:val="00604DE8"/>
    <w:rsid w:val="006051F3"/>
    <w:rsid w:val="00605261"/>
    <w:rsid w:val="0060548A"/>
    <w:rsid w:val="006054D2"/>
    <w:rsid w:val="006055B8"/>
    <w:rsid w:val="0060563D"/>
    <w:rsid w:val="00605BE0"/>
    <w:rsid w:val="00605BE6"/>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424"/>
    <w:rsid w:val="00614C5D"/>
    <w:rsid w:val="00614D6C"/>
    <w:rsid w:val="00614E47"/>
    <w:rsid w:val="0061530F"/>
    <w:rsid w:val="006154AB"/>
    <w:rsid w:val="00615572"/>
    <w:rsid w:val="0061557B"/>
    <w:rsid w:val="006160C4"/>
    <w:rsid w:val="00616265"/>
    <w:rsid w:val="006163CF"/>
    <w:rsid w:val="0061668C"/>
    <w:rsid w:val="00616B95"/>
    <w:rsid w:val="00617344"/>
    <w:rsid w:val="00617401"/>
    <w:rsid w:val="006176D6"/>
    <w:rsid w:val="00617784"/>
    <w:rsid w:val="00617EEA"/>
    <w:rsid w:val="006206B5"/>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6DB"/>
    <w:rsid w:val="0062377F"/>
    <w:rsid w:val="00623907"/>
    <w:rsid w:val="00623954"/>
    <w:rsid w:val="00623B98"/>
    <w:rsid w:val="00623C13"/>
    <w:rsid w:val="0062415F"/>
    <w:rsid w:val="00624376"/>
    <w:rsid w:val="0062460B"/>
    <w:rsid w:val="0062479F"/>
    <w:rsid w:val="0062495F"/>
    <w:rsid w:val="00624A70"/>
    <w:rsid w:val="00624AB7"/>
    <w:rsid w:val="00624B39"/>
    <w:rsid w:val="00624BA2"/>
    <w:rsid w:val="00624BE7"/>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8BF"/>
    <w:rsid w:val="00651A4F"/>
    <w:rsid w:val="00651C93"/>
    <w:rsid w:val="00651CD7"/>
    <w:rsid w:val="00651E14"/>
    <w:rsid w:val="00651FF6"/>
    <w:rsid w:val="006520E3"/>
    <w:rsid w:val="006522EC"/>
    <w:rsid w:val="006527D6"/>
    <w:rsid w:val="00652939"/>
    <w:rsid w:val="0065299B"/>
    <w:rsid w:val="00652AA8"/>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E4"/>
    <w:rsid w:val="00656AF0"/>
    <w:rsid w:val="00656C7F"/>
    <w:rsid w:val="00656CC2"/>
    <w:rsid w:val="00656E87"/>
    <w:rsid w:val="00656F8B"/>
    <w:rsid w:val="00656FCA"/>
    <w:rsid w:val="00657366"/>
    <w:rsid w:val="00657AE5"/>
    <w:rsid w:val="00657BE2"/>
    <w:rsid w:val="00657C4B"/>
    <w:rsid w:val="00657EBC"/>
    <w:rsid w:val="00657F70"/>
    <w:rsid w:val="00657FC6"/>
    <w:rsid w:val="0066015F"/>
    <w:rsid w:val="00660361"/>
    <w:rsid w:val="006604B7"/>
    <w:rsid w:val="00660675"/>
    <w:rsid w:val="00660756"/>
    <w:rsid w:val="00660BE4"/>
    <w:rsid w:val="00660E89"/>
    <w:rsid w:val="00660EFE"/>
    <w:rsid w:val="006619C8"/>
    <w:rsid w:val="006621A6"/>
    <w:rsid w:val="0066224E"/>
    <w:rsid w:val="006626B4"/>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5B0"/>
    <w:rsid w:val="00667961"/>
    <w:rsid w:val="00667D30"/>
    <w:rsid w:val="0067002B"/>
    <w:rsid w:val="00670147"/>
    <w:rsid w:val="0067029D"/>
    <w:rsid w:val="00670403"/>
    <w:rsid w:val="006704C3"/>
    <w:rsid w:val="00670B0C"/>
    <w:rsid w:val="00670F2F"/>
    <w:rsid w:val="00671008"/>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7604"/>
    <w:rsid w:val="00677861"/>
    <w:rsid w:val="0067798F"/>
    <w:rsid w:val="00677AD6"/>
    <w:rsid w:val="006800E7"/>
    <w:rsid w:val="00680197"/>
    <w:rsid w:val="006804C4"/>
    <w:rsid w:val="00680500"/>
    <w:rsid w:val="006806CA"/>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2E9C"/>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B7"/>
    <w:rsid w:val="006C52E8"/>
    <w:rsid w:val="006C5346"/>
    <w:rsid w:val="006C583D"/>
    <w:rsid w:val="006C589E"/>
    <w:rsid w:val="006C58E9"/>
    <w:rsid w:val="006C5B44"/>
    <w:rsid w:val="006C5F68"/>
    <w:rsid w:val="006C61F8"/>
    <w:rsid w:val="006C64D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6A7"/>
    <w:rsid w:val="006E68C1"/>
    <w:rsid w:val="006E6A77"/>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262"/>
    <w:rsid w:val="006F73B3"/>
    <w:rsid w:val="006F73B4"/>
    <w:rsid w:val="006F73FC"/>
    <w:rsid w:val="006F7524"/>
    <w:rsid w:val="006F7546"/>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88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515"/>
    <w:rsid w:val="00713587"/>
    <w:rsid w:val="0071385C"/>
    <w:rsid w:val="007138DE"/>
    <w:rsid w:val="0071397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A05"/>
    <w:rsid w:val="00730C79"/>
    <w:rsid w:val="007312CA"/>
    <w:rsid w:val="007317E5"/>
    <w:rsid w:val="0073183B"/>
    <w:rsid w:val="00731859"/>
    <w:rsid w:val="007318DD"/>
    <w:rsid w:val="00731900"/>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2EE"/>
    <w:rsid w:val="007536E9"/>
    <w:rsid w:val="0075393B"/>
    <w:rsid w:val="00753A31"/>
    <w:rsid w:val="00754589"/>
    <w:rsid w:val="00754F4E"/>
    <w:rsid w:val="00754F9F"/>
    <w:rsid w:val="00755089"/>
    <w:rsid w:val="00755223"/>
    <w:rsid w:val="00755262"/>
    <w:rsid w:val="007555BA"/>
    <w:rsid w:val="007555DD"/>
    <w:rsid w:val="007555F5"/>
    <w:rsid w:val="0075567D"/>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600"/>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03D"/>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78F"/>
    <w:rsid w:val="007F2C18"/>
    <w:rsid w:val="007F2DF4"/>
    <w:rsid w:val="007F2F43"/>
    <w:rsid w:val="007F2F4D"/>
    <w:rsid w:val="007F37AD"/>
    <w:rsid w:val="007F37AE"/>
    <w:rsid w:val="007F38D3"/>
    <w:rsid w:val="007F3C73"/>
    <w:rsid w:val="007F42CF"/>
    <w:rsid w:val="007F4331"/>
    <w:rsid w:val="007F48BB"/>
    <w:rsid w:val="007F48ED"/>
    <w:rsid w:val="007F4D56"/>
    <w:rsid w:val="007F4D74"/>
    <w:rsid w:val="007F4F16"/>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19B"/>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7F0"/>
    <w:rsid w:val="008658AA"/>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8E4"/>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9F2"/>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10A"/>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C4C"/>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B54"/>
    <w:rsid w:val="008C23C8"/>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3DF3"/>
    <w:rsid w:val="008D4E81"/>
    <w:rsid w:val="008D4F44"/>
    <w:rsid w:val="008D5053"/>
    <w:rsid w:val="008D51EC"/>
    <w:rsid w:val="008D5326"/>
    <w:rsid w:val="008D53DC"/>
    <w:rsid w:val="008D5517"/>
    <w:rsid w:val="008D5530"/>
    <w:rsid w:val="008D582A"/>
    <w:rsid w:val="008D5960"/>
    <w:rsid w:val="008D5A82"/>
    <w:rsid w:val="008D5C2B"/>
    <w:rsid w:val="008D6132"/>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A0"/>
    <w:rsid w:val="008E2A23"/>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78"/>
    <w:rsid w:val="009115BB"/>
    <w:rsid w:val="00911639"/>
    <w:rsid w:val="009117C6"/>
    <w:rsid w:val="00911A9D"/>
    <w:rsid w:val="00911BBF"/>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6EB2"/>
    <w:rsid w:val="00917175"/>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BD1"/>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538"/>
    <w:rsid w:val="00954892"/>
    <w:rsid w:val="009549F9"/>
    <w:rsid w:val="00954ADB"/>
    <w:rsid w:val="00954BF0"/>
    <w:rsid w:val="009552EA"/>
    <w:rsid w:val="0095582B"/>
    <w:rsid w:val="009559B6"/>
    <w:rsid w:val="00955DDE"/>
    <w:rsid w:val="009561EF"/>
    <w:rsid w:val="00956793"/>
    <w:rsid w:val="00956827"/>
    <w:rsid w:val="009568F4"/>
    <w:rsid w:val="00956C96"/>
    <w:rsid w:val="00956E87"/>
    <w:rsid w:val="00956FD3"/>
    <w:rsid w:val="009571A6"/>
    <w:rsid w:val="0095738D"/>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885"/>
    <w:rsid w:val="00963AC8"/>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5DD"/>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24B"/>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68F"/>
    <w:rsid w:val="009918EC"/>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A7"/>
    <w:rsid w:val="009A4CD7"/>
    <w:rsid w:val="009A4D3E"/>
    <w:rsid w:val="009A4EEF"/>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084"/>
    <w:rsid w:val="009B4268"/>
    <w:rsid w:val="009B433D"/>
    <w:rsid w:val="009B46AF"/>
    <w:rsid w:val="009B4797"/>
    <w:rsid w:val="009B47BE"/>
    <w:rsid w:val="009B4CFD"/>
    <w:rsid w:val="009B4D72"/>
    <w:rsid w:val="009B4E72"/>
    <w:rsid w:val="009B504B"/>
    <w:rsid w:val="009B53BD"/>
    <w:rsid w:val="009B57EC"/>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698"/>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0FA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48"/>
    <w:rsid w:val="009E6CDE"/>
    <w:rsid w:val="009E71AF"/>
    <w:rsid w:val="009E72D8"/>
    <w:rsid w:val="009E734D"/>
    <w:rsid w:val="009E7364"/>
    <w:rsid w:val="009E74F7"/>
    <w:rsid w:val="009E76F9"/>
    <w:rsid w:val="009E77FC"/>
    <w:rsid w:val="009E7C1D"/>
    <w:rsid w:val="009F0014"/>
    <w:rsid w:val="009F028D"/>
    <w:rsid w:val="009F04FE"/>
    <w:rsid w:val="009F09D7"/>
    <w:rsid w:val="009F0A1D"/>
    <w:rsid w:val="009F0BB9"/>
    <w:rsid w:val="009F0DCC"/>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3D4"/>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CB5"/>
    <w:rsid w:val="00A47E64"/>
    <w:rsid w:val="00A50335"/>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11D"/>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6E80"/>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0D9"/>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944"/>
    <w:rsid w:val="00A90A7F"/>
    <w:rsid w:val="00A90AAD"/>
    <w:rsid w:val="00A90B82"/>
    <w:rsid w:val="00A90FFA"/>
    <w:rsid w:val="00A91051"/>
    <w:rsid w:val="00A91215"/>
    <w:rsid w:val="00A9132A"/>
    <w:rsid w:val="00A9134F"/>
    <w:rsid w:val="00A91BCE"/>
    <w:rsid w:val="00A91E60"/>
    <w:rsid w:val="00A9216C"/>
    <w:rsid w:val="00A928CC"/>
    <w:rsid w:val="00A92B1E"/>
    <w:rsid w:val="00A92DBF"/>
    <w:rsid w:val="00A93011"/>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6FE4"/>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4E8A"/>
    <w:rsid w:val="00AA5118"/>
    <w:rsid w:val="00AA54C6"/>
    <w:rsid w:val="00AA56B0"/>
    <w:rsid w:val="00AA575C"/>
    <w:rsid w:val="00AA5A3C"/>
    <w:rsid w:val="00AA5BC6"/>
    <w:rsid w:val="00AA5D47"/>
    <w:rsid w:val="00AA609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8D2"/>
    <w:rsid w:val="00AC59A7"/>
    <w:rsid w:val="00AC5B6C"/>
    <w:rsid w:val="00AC5BE8"/>
    <w:rsid w:val="00AC5C06"/>
    <w:rsid w:val="00AC5EFE"/>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B30"/>
    <w:rsid w:val="00AE7C82"/>
    <w:rsid w:val="00AE7D10"/>
    <w:rsid w:val="00AF025C"/>
    <w:rsid w:val="00AF043A"/>
    <w:rsid w:val="00AF05B0"/>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6E1"/>
    <w:rsid w:val="00AF79E5"/>
    <w:rsid w:val="00AF7A9B"/>
    <w:rsid w:val="00AF7E92"/>
    <w:rsid w:val="00B00018"/>
    <w:rsid w:val="00B000BE"/>
    <w:rsid w:val="00B0030E"/>
    <w:rsid w:val="00B00879"/>
    <w:rsid w:val="00B00938"/>
    <w:rsid w:val="00B00C29"/>
    <w:rsid w:val="00B00D80"/>
    <w:rsid w:val="00B012CA"/>
    <w:rsid w:val="00B01369"/>
    <w:rsid w:val="00B01D56"/>
    <w:rsid w:val="00B01E3F"/>
    <w:rsid w:val="00B023FD"/>
    <w:rsid w:val="00B0249F"/>
    <w:rsid w:val="00B02584"/>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5CAE"/>
    <w:rsid w:val="00B161E9"/>
    <w:rsid w:val="00B16354"/>
    <w:rsid w:val="00B16548"/>
    <w:rsid w:val="00B169DB"/>
    <w:rsid w:val="00B169F0"/>
    <w:rsid w:val="00B16AEC"/>
    <w:rsid w:val="00B16C7D"/>
    <w:rsid w:val="00B16EFC"/>
    <w:rsid w:val="00B17232"/>
    <w:rsid w:val="00B17491"/>
    <w:rsid w:val="00B17AFB"/>
    <w:rsid w:val="00B17F37"/>
    <w:rsid w:val="00B17F6C"/>
    <w:rsid w:val="00B20090"/>
    <w:rsid w:val="00B202D4"/>
    <w:rsid w:val="00B20515"/>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D40"/>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72D"/>
    <w:rsid w:val="00B45AF9"/>
    <w:rsid w:val="00B45B79"/>
    <w:rsid w:val="00B45B7A"/>
    <w:rsid w:val="00B45C55"/>
    <w:rsid w:val="00B46B64"/>
    <w:rsid w:val="00B46BDD"/>
    <w:rsid w:val="00B46CC1"/>
    <w:rsid w:val="00B46DBE"/>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4B"/>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E46"/>
    <w:rsid w:val="00B843B6"/>
    <w:rsid w:val="00B84689"/>
    <w:rsid w:val="00B849C9"/>
    <w:rsid w:val="00B84A62"/>
    <w:rsid w:val="00B84ED3"/>
    <w:rsid w:val="00B84F34"/>
    <w:rsid w:val="00B84F7F"/>
    <w:rsid w:val="00B853C7"/>
    <w:rsid w:val="00B85414"/>
    <w:rsid w:val="00B85465"/>
    <w:rsid w:val="00B85747"/>
    <w:rsid w:val="00B8645C"/>
    <w:rsid w:val="00B86801"/>
    <w:rsid w:val="00B86933"/>
    <w:rsid w:val="00B86BB1"/>
    <w:rsid w:val="00B86C48"/>
    <w:rsid w:val="00B87258"/>
    <w:rsid w:val="00B87688"/>
    <w:rsid w:val="00B8777E"/>
    <w:rsid w:val="00B87D7A"/>
    <w:rsid w:val="00B87F40"/>
    <w:rsid w:val="00B908F8"/>
    <w:rsid w:val="00B90B26"/>
    <w:rsid w:val="00B90D71"/>
    <w:rsid w:val="00B90DBE"/>
    <w:rsid w:val="00B90DC1"/>
    <w:rsid w:val="00B9101E"/>
    <w:rsid w:val="00B91027"/>
    <w:rsid w:val="00B9111B"/>
    <w:rsid w:val="00B911E7"/>
    <w:rsid w:val="00B91223"/>
    <w:rsid w:val="00B9141B"/>
    <w:rsid w:val="00B91487"/>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34B"/>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E7F93"/>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8AE"/>
    <w:rsid w:val="00C01B16"/>
    <w:rsid w:val="00C024A0"/>
    <w:rsid w:val="00C0297F"/>
    <w:rsid w:val="00C029D7"/>
    <w:rsid w:val="00C02BD0"/>
    <w:rsid w:val="00C02D1E"/>
    <w:rsid w:val="00C030EB"/>
    <w:rsid w:val="00C030FE"/>
    <w:rsid w:val="00C03530"/>
    <w:rsid w:val="00C036B9"/>
    <w:rsid w:val="00C0370B"/>
    <w:rsid w:val="00C03F43"/>
    <w:rsid w:val="00C03F48"/>
    <w:rsid w:val="00C03FD8"/>
    <w:rsid w:val="00C04513"/>
    <w:rsid w:val="00C04557"/>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922"/>
    <w:rsid w:val="00C27D1D"/>
    <w:rsid w:val="00C27F24"/>
    <w:rsid w:val="00C301B8"/>
    <w:rsid w:val="00C3023F"/>
    <w:rsid w:val="00C30438"/>
    <w:rsid w:val="00C304C5"/>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45E"/>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47F82"/>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57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676"/>
    <w:rsid w:val="00C70720"/>
    <w:rsid w:val="00C70A1C"/>
    <w:rsid w:val="00C70BC1"/>
    <w:rsid w:val="00C70ED2"/>
    <w:rsid w:val="00C71189"/>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50F8"/>
    <w:rsid w:val="00C85145"/>
    <w:rsid w:val="00C85608"/>
    <w:rsid w:val="00C85B6F"/>
    <w:rsid w:val="00C86183"/>
    <w:rsid w:val="00C861EB"/>
    <w:rsid w:val="00C86245"/>
    <w:rsid w:val="00C86370"/>
    <w:rsid w:val="00C867AE"/>
    <w:rsid w:val="00C867E1"/>
    <w:rsid w:val="00C86D7B"/>
    <w:rsid w:val="00C86EEC"/>
    <w:rsid w:val="00C87318"/>
    <w:rsid w:val="00C875F0"/>
    <w:rsid w:val="00C8771A"/>
    <w:rsid w:val="00C87C1D"/>
    <w:rsid w:val="00C901C8"/>
    <w:rsid w:val="00C904A8"/>
    <w:rsid w:val="00C90603"/>
    <w:rsid w:val="00C90DA1"/>
    <w:rsid w:val="00C90F11"/>
    <w:rsid w:val="00C9131E"/>
    <w:rsid w:val="00C915A0"/>
    <w:rsid w:val="00C9185A"/>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5E63"/>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89B"/>
    <w:rsid w:val="00CD0AD1"/>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52"/>
    <w:rsid w:val="00CE3589"/>
    <w:rsid w:val="00CE3C8A"/>
    <w:rsid w:val="00CE3D2A"/>
    <w:rsid w:val="00CE436D"/>
    <w:rsid w:val="00CE44A8"/>
    <w:rsid w:val="00CE48FA"/>
    <w:rsid w:val="00CE495C"/>
    <w:rsid w:val="00CE5216"/>
    <w:rsid w:val="00CE52E3"/>
    <w:rsid w:val="00CE560F"/>
    <w:rsid w:val="00CE5986"/>
    <w:rsid w:val="00CE5DD1"/>
    <w:rsid w:val="00CE5E30"/>
    <w:rsid w:val="00CE5E85"/>
    <w:rsid w:val="00CE5FAA"/>
    <w:rsid w:val="00CE63FA"/>
    <w:rsid w:val="00CE6EC3"/>
    <w:rsid w:val="00CE6EE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558"/>
    <w:rsid w:val="00CF1565"/>
    <w:rsid w:val="00CF162A"/>
    <w:rsid w:val="00CF177B"/>
    <w:rsid w:val="00CF192F"/>
    <w:rsid w:val="00CF194F"/>
    <w:rsid w:val="00CF1A06"/>
    <w:rsid w:val="00CF1B11"/>
    <w:rsid w:val="00CF1DF8"/>
    <w:rsid w:val="00CF1F60"/>
    <w:rsid w:val="00CF1FD6"/>
    <w:rsid w:val="00CF203C"/>
    <w:rsid w:val="00CF2145"/>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839"/>
    <w:rsid w:val="00D13B44"/>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B47"/>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189"/>
    <w:rsid w:val="00D343D7"/>
    <w:rsid w:val="00D34589"/>
    <w:rsid w:val="00D346B7"/>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275"/>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E0D"/>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4FB5"/>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6D4"/>
    <w:rsid w:val="00D77800"/>
    <w:rsid w:val="00D779F9"/>
    <w:rsid w:val="00D77BBF"/>
    <w:rsid w:val="00D8040B"/>
    <w:rsid w:val="00D80512"/>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9A"/>
    <w:rsid w:val="00D90932"/>
    <w:rsid w:val="00D90C91"/>
    <w:rsid w:val="00D90CD2"/>
    <w:rsid w:val="00D912E6"/>
    <w:rsid w:val="00D913F5"/>
    <w:rsid w:val="00D91D74"/>
    <w:rsid w:val="00D91E52"/>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A0"/>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1D0F"/>
    <w:rsid w:val="00DC22CF"/>
    <w:rsid w:val="00DC2492"/>
    <w:rsid w:val="00DC252C"/>
    <w:rsid w:val="00DC25B5"/>
    <w:rsid w:val="00DC26F6"/>
    <w:rsid w:val="00DC27BC"/>
    <w:rsid w:val="00DC2904"/>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C7"/>
    <w:rsid w:val="00DD3AB4"/>
    <w:rsid w:val="00DD3AEB"/>
    <w:rsid w:val="00DD3C15"/>
    <w:rsid w:val="00DD4022"/>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B4F"/>
    <w:rsid w:val="00DE1D2D"/>
    <w:rsid w:val="00DE1D7C"/>
    <w:rsid w:val="00DE2025"/>
    <w:rsid w:val="00DE2066"/>
    <w:rsid w:val="00DE28F2"/>
    <w:rsid w:val="00DE291A"/>
    <w:rsid w:val="00DE2C38"/>
    <w:rsid w:val="00DE305A"/>
    <w:rsid w:val="00DE30C2"/>
    <w:rsid w:val="00DE33E1"/>
    <w:rsid w:val="00DE352E"/>
    <w:rsid w:val="00DE354E"/>
    <w:rsid w:val="00DE35B6"/>
    <w:rsid w:val="00DE3600"/>
    <w:rsid w:val="00DE3658"/>
    <w:rsid w:val="00DE3660"/>
    <w:rsid w:val="00DE3678"/>
    <w:rsid w:val="00DE3740"/>
    <w:rsid w:val="00DE3825"/>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DE0"/>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C19"/>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30"/>
    <w:rsid w:val="00E46676"/>
    <w:rsid w:val="00E46989"/>
    <w:rsid w:val="00E46CB0"/>
    <w:rsid w:val="00E46D65"/>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BDA"/>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403"/>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3126"/>
    <w:rsid w:val="00E93279"/>
    <w:rsid w:val="00E93799"/>
    <w:rsid w:val="00E93D4E"/>
    <w:rsid w:val="00E93FE0"/>
    <w:rsid w:val="00E946BB"/>
    <w:rsid w:val="00E9543D"/>
    <w:rsid w:val="00E95609"/>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A22"/>
    <w:rsid w:val="00EA5A4F"/>
    <w:rsid w:val="00EA5AFA"/>
    <w:rsid w:val="00EA5B6F"/>
    <w:rsid w:val="00EA5B73"/>
    <w:rsid w:val="00EA6602"/>
    <w:rsid w:val="00EA6ECA"/>
    <w:rsid w:val="00EA7007"/>
    <w:rsid w:val="00EA73A2"/>
    <w:rsid w:val="00EA75DC"/>
    <w:rsid w:val="00EA7828"/>
    <w:rsid w:val="00EA7A72"/>
    <w:rsid w:val="00EA7BB3"/>
    <w:rsid w:val="00EA7C4C"/>
    <w:rsid w:val="00EB0340"/>
    <w:rsid w:val="00EB077B"/>
    <w:rsid w:val="00EB0B6C"/>
    <w:rsid w:val="00EB0EB9"/>
    <w:rsid w:val="00EB0EEC"/>
    <w:rsid w:val="00EB190B"/>
    <w:rsid w:val="00EB1CD5"/>
    <w:rsid w:val="00EB1CE6"/>
    <w:rsid w:val="00EB1DAC"/>
    <w:rsid w:val="00EB1E29"/>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AF8"/>
    <w:rsid w:val="00EB5B9D"/>
    <w:rsid w:val="00EB68EF"/>
    <w:rsid w:val="00EB6B54"/>
    <w:rsid w:val="00EB6BF9"/>
    <w:rsid w:val="00EB7333"/>
    <w:rsid w:val="00EB749E"/>
    <w:rsid w:val="00EB74A6"/>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A76"/>
    <w:rsid w:val="00ED2C72"/>
    <w:rsid w:val="00ED3995"/>
    <w:rsid w:val="00ED3B96"/>
    <w:rsid w:val="00ED4495"/>
    <w:rsid w:val="00ED44D6"/>
    <w:rsid w:val="00ED465C"/>
    <w:rsid w:val="00ED4867"/>
    <w:rsid w:val="00ED4E07"/>
    <w:rsid w:val="00ED5123"/>
    <w:rsid w:val="00ED542F"/>
    <w:rsid w:val="00ED5905"/>
    <w:rsid w:val="00ED59D0"/>
    <w:rsid w:val="00ED5C0F"/>
    <w:rsid w:val="00ED602B"/>
    <w:rsid w:val="00ED6042"/>
    <w:rsid w:val="00ED61AC"/>
    <w:rsid w:val="00ED63A3"/>
    <w:rsid w:val="00ED6680"/>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491"/>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EC1"/>
    <w:rsid w:val="00EE5154"/>
    <w:rsid w:val="00EE56C9"/>
    <w:rsid w:val="00EE5AAD"/>
    <w:rsid w:val="00EE5ADD"/>
    <w:rsid w:val="00EE5D24"/>
    <w:rsid w:val="00EE5F0D"/>
    <w:rsid w:val="00EE623A"/>
    <w:rsid w:val="00EE664D"/>
    <w:rsid w:val="00EE67DD"/>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59F"/>
    <w:rsid w:val="00F037F9"/>
    <w:rsid w:val="00F03837"/>
    <w:rsid w:val="00F03934"/>
    <w:rsid w:val="00F03A8E"/>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068"/>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718"/>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24D"/>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1"/>
    <w:rsid w:val="00F247D4"/>
    <w:rsid w:val="00F24A48"/>
    <w:rsid w:val="00F24A59"/>
    <w:rsid w:val="00F25012"/>
    <w:rsid w:val="00F25485"/>
    <w:rsid w:val="00F25C48"/>
    <w:rsid w:val="00F25E1A"/>
    <w:rsid w:val="00F26131"/>
    <w:rsid w:val="00F262FC"/>
    <w:rsid w:val="00F26331"/>
    <w:rsid w:val="00F2658D"/>
    <w:rsid w:val="00F26666"/>
    <w:rsid w:val="00F26C6D"/>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5F8"/>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C9F"/>
    <w:rsid w:val="00F52D02"/>
    <w:rsid w:val="00F52D1C"/>
    <w:rsid w:val="00F52D5B"/>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4"/>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688"/>
    <w:rsid w:val="00F67855"/>
    <w:rsid w:val="00F6796C"/>
    <w:rsid w:val="00F67AA3"/>
    <w:rsid w:val="00F67BC2"/>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6C0"/>
    <w:rsid w:val="00F72B89"/>
    <w:rsid w:val="00F72C22"/>
    <w:rsid w:val="00F72DC8"/>
    <w:rsid w:val="00F72F1D"/>
    <w:rsid w:val="00F73277"/>
    <w:rsid w:val="00F73330"/>
    <w:rsid w:val="00F7381F"/>
    <w:rsid w:val="00F73E0D"/>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3BB"/>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D0E"/>
    <w:rsid w:val="00FC0DD5"/>
    <w:rsid w:val="00FC0E23"/>
    <w:rsid w:val="00FC13FD"/>
    <w:rsid w:val="00FC143F"/>
    <w:rsid w:val="00FC162E"/>
    <w:rsid w:val="00FC1D70"/>
    <w:rsid w:val="00FC1E5C"/>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528"/>
    <w:rsid w:val="00FC48FE"/>
    <w:rsid w:val="00FC4D41"/>
    <w:rsid w:val="00FC4FC9"/>
    <w:rsid w:val="00FC52FB"/>
    <w:rsid w:val="00FC585D"/>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D49"/>
    <w:rsid w:val="00FD3ECC"/>
    <w:rsid w:val="00FD4063"/>
    <w:rsid w:val="00FD4291"/>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A7"/>
    <w:rsid w:val="00FF26E3"/>
    <w:rsid w:val="00FF2792"/>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E4C"/>
    <w:rsid w:val="00FF5EEB"/>
    <w:rsid w:val="00FF6037"/>
    <w:rsid w:val="00FF6664"/>
    <w:rsid w:val="00FF6832"/>
    <w:rsid w:val="00FF6A9D"/>
    <w:rsid w:val="00FF6BB9"/>
    <w:rsid w:val="00FF6DE6"/>
    <w:rsid w:val="00FF6F78"/>
    <w:rsid w:val="00FF6FBA"/>
    <w:rsid w:val="00FF7211"/>
    <w:rsid w:val="01DF23B5"/>
    <w:rsid w:val="03F4D684"/>
    <w:rsid w:val="049891D9"/>
    <w:rsid w:val="06D2F710"/>
    <w:rsid w:val="0790D541"/>
    <w:rsid w:val="0801ED3C"/>
    <w:rsid w:val="081122B1"/>
    <w:rsid w:val="08F57FFC"/>
    <w:rsid w:val="0948AA1D"/>
    <w:rsid w:val="0B8470B7"/>
    <w:rsid w:val="0D357ECA"/>
    <w:rsid w:val="10BBC888"/>
    <w:rsid w:val="1104CEEF"/>
    <w:rsid w:val="123850AC"/>
    <w:rsid w:val="12CBE171"/>
    <w:rsid w:val="133DDF5B"/>
    <w:rsid w:val="135CBE42"/>
    <w:rsid w:val="167108E9"/>
    <w:rsid w:val="17634577"/>
    <w:rsid w:val="17AE9707"/>
    <w:rsid w:val="1B42CA3A"/>
    <w:rsid w:val="1CDC1011"/>
    <w:rsid w:val="1DF2AC93"/>
    <w:rsid w:val="1E98ACF9"/>
    <w:rsid w:val="2025FAA5"/>
    <w:rsid w:val="219A45D3"/>
    <w:rsid w:val="21D9A313"/>
    <w:rsid w:val="228E4F2B"/>
    <w:rsid w:val="25E69E4E"/>
    <w:rsid w:val="260B5D40"/>
    <w:rsid w:val="26122BE0"/>
    <w:rsid w:val="2642F515"/>
    <w:rsid w:val="2A4FF883"/>
    <w:rsid w:val="2A9B1049"/>
    <w:rsid w:val="2B639C40"/>
    <w:rsid w:val="2BEF4AAE"/>
    <w:rsid w:val="2ED38C5D"/>
    <w:rsid w:val="2F60BC46"/>
    <w:rsid w:val="2FAFF446"/>
    <w:rsid w:val="310059DD"/>
    <w:rsid w:val="321AD055"/>
    <w:rsid w:val="33019E9C"/>
    <w:rsid w:val="33196E0D"/>
    <w:rsid w:val="34230DF0"/>
    <w:rsid w:val="380792BE"/>
    <w:rsid w:val="38B9501B"/>
    <w:rsid w:val="3A39C60C"/>
    <w:rsid w:val="3A84940F"/>
    <w:rsid w:val="3A8D7FF5"/>
    <w:rsid w:val="3C05576E"/>
    <w:rsid w:val="3D33CDC8"/>
    <w:rsid w:val="3D9D026E"/>
    <w:rsid w:val="3E1743D6"/>
    <w:rsid w:val="3E1956E4"/>
    <w:rsid w:val="3E430B7E"/>
    <w:rsid w:val="40238FB2"/>
    <w:rsid w:val="418B8D7E"/>
    <w:rsid w:val="42D877B5"/>
    <w:rsid w:val="439B4339"/>
    <w:rsid w:val="4429FBA1"/>
    <w:rsid w:val="462C178D"/>
    <w:rsid w:val="473F281A"/>
    <w:rsid w:val="4899ECE4"/>
    <w:rsid w:val="492FBFEE"/>
    <w:rsid w:val="49EC114B"/>
    <w:rsid w:val="4B7D7041"/>
    <w:rsid w:val="4B82F0E8"/>
    <w:rsid w:val="4B8B61E0"/>
    <w:rsid w:val="4D5D23D0"/>
    <w:rsid w:val="4DA914C3"/>
    <w:rsid w:val="4EABAD09"/>
    <w:rsid w:val="4F9D85E0"/>
    <w:rsid w:val="51AB7904"/>
    <w:rsid w:val="533920B6"/>
    <w:rsid w:val="57689676"/>
    <w:rsid w:val="598949EF"/>
    <w:rsid w:val="5A574611"/>
    <w:rsid w:val="5B6ACBEE"/>
    <w:rsid w:val="5CC341C3"/>
    <w:rsid w:val="5F09A109"/>
    <w:rsid w:val="61AC931A"/>
    <w:rsid w:val="61F7BC64"/>
    <w:rsid w:val="62932042"/>
    <w:rsid w:val="6356C62B"/>
    <w:rsid w:val="6431FEA1"/>
    <w:rsid w:val="6436A6AE"/>
    <w:rsid w:val="656D9D2F"/>
    <w:rsid w:val="65AA885D"/>
    <w:rsid w:val="65C79B9D"/>
    <w:rsid w:val="669E9849"/>
    <w:rsid w:val="67397399"/>
    <w:rsid w:val="6AB051F5"/>
    <w:rsid w:val="6E05E1CA"/>
    <w:rsid w:val="6E2EAF82"/>
    <w:rsid w:val="6EB7D152"/>
    <w:rsid w:val="6F15188A"/>
    <w:rsid w:val="7012EE9D"/>
    <w:rsid w:val="722A9B06"/>
    <w:rsid w:val="73A6CC7B"/>
    <w:rsid w:val="73E3815E"/>
    <w:rsid w:val="75126E3C"/>
    <w:rsid w:val="7799E806"/>
    <w:rsid w:val="77A21053"/>
    <w:rsid w:val="77EB4247"/>
    <w:rsid w:val="789BBF5E"/>
    <w:rsid w:val="78AF3D87"/>
    <w:rsid w:val="79126A08"/>
    <w:rsid w:val="7992CE8C"/>
    <w:rsid w:val="7BCDC71D"/>
    <w:rsid w:val="7D37503B"/>
    <w:rsid w:val="7D5ED806"/>
    <w:rsid w:val="7F15B982"/>
  </w:rsids>
  <w:docVars>
    <w:docVar w:name="LW_DocType" w:val="TE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4:docId w14:val="53233143"/>
  <w15:docId w15:val="{18CE7B0D-E5C9-4DC6-BC8A-71DE2014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lang w:eastAsia="en-GB"/>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lang w:eastAsia="en-GB"/>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eastAsia="en-GB"/>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uiPriority w:val="99"/>
    <w:rsid w:val="00F0359F"/>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uiPriority w:val="99"/>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lang w:eastAsia="en-GB"/>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lang w:eastAsia="en-GB"/>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lang w:eastAsia="en-GB"/>
    </w:rPr>
  </w:style>
  <w:style w:type="character" w:customStyle="1" w:styleId="None">
    <w:name w:val="None"/>
    <w:rsid w:val="002A1FAA"/>
  </w:style>
  <w:style w:type="character" w:styleId="UnresolvedMention">
    <w:name w:val="Unresolved Mention"/>
    <w:uiPriority w:val="99"/>
    <w:semiHidden/>
    <w:unhideWhenUsed/>
    <w:rsid w:val="00DE2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commission.europa.eu/funding-tenders/find-funding/eu-funding-programmes_fr"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data.europa.eu/doi/10.2778/982557" TargetMode="External" /><Relationship Id="rId2" Type="http://schemas.openxmlformats.org/officeDocument/2006/relationships/hyperlink" Target="https://eur-lex.europa.eu/eli/reg/2021/695/oj/fra"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2.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customXml/itemProps3.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4.xml><?xml version="1.0" encoding="utf-8"?>
<ds:datastoreItem xmlns:ds="http://schemas.openxmlformats.org/officeDocument/2006/customXml" ds:itemID="{A6C7DAC0-3102-4140-8607-B7DF6183F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7</Pages>
  <Words>3689</Words>
  <Characters>19884</Characters>
  <Application>Microsoft Office Word</Application>
  <DocSecurity>0</DocSecurity>
  <Lines>284</Lines>
  <Paragraphs>33</Paragraphs>
  <ScaleCrop>false</ScaleCrop>
  <Company>European Commission</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2</cp:revision>
  <cp:lastPrinted>2017-11-23T17:27:00Z</cp:lastPrinted>
  <dcterms:created xsi:type="dcterms:W3CDTF">2026-06-25T13:06:00Z</dcterms:created>
  <dcterms:modified xsi:type="dcterms:W3CDTF">2026-06-25T13:06:00Z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0">
    <vt:lpwstr>28</vt:lpwstr>
  </property>
  <property fmtid="{D5CDD505-2E9C-101B-9397-08002B2CF9AE}" pid="3" name="ContentTypeId">
    <vt:lpwstr>0x010100271BB73A879EDE41AFDC9232B9EB1EA9</vt:lpwstr>
  </property>
  <property fmtid="{D5CDD505-2E9C-101B-9397-08002B2CF9AE}" pid="4" name="Created using">
    <vt:lpwstr>EL 4.1 [20010706]</vt:lpwstr>
  </property>
  <property fmtid="{D5CDD505-2E9C-101B-9397-08002B2CF9AE}" pid="5" name="DocID_EU">
    <vt:lpwstr> </vt:lpwstr>
  </property>
  <property fmtid="{D5CDD505-2E9C-101B-9397-08002B2CF9AE}" pid="6" name="ELDocType">
    <vt:lpwstr>tel.dot</vt:lpwstr>
  </property>
  <property fmtid="{D5CDD505-2E9C-101B-9397-08002B2CF9AE}" pid="7" name="EL_Author">
    <vt:lpwstr>M. WERKER</vt:lpwstr>
  </property>
  <property fmtid="{D5CDD505-2E9C-101B-9397-08002B2CF9AE}" pid="8" name="EL_Language">
    <vt:lpwstr>FR</vt:lpwstr>
  </property>
  <property fmtid="{D5CDD505-2E9C-101B-9397-08002B2CF9AE}" pid="9" name="EurolookVersion">
    <vt:lpwstr>4.1</vt:lpwstr>
  </property>
  <property fmtid="{D5CDD505-2E9C-101B-9397-08002B2CF9AE}" pid="10" name="Formatting">
    <vt:lpwstr>4.1</vt:lpwstr>
  </property>
  <property fmtid="{D5CDD505-2E9C-101B-9397-08002B2CF9AE}" pid="11" name="Language">
    <vt:lpwstr>FR</vt:lpwstr>
  </property>
  <property fmtid="{D5CDD505-2E9C-101B-9397-08002B2CF9AE}" pid="12" name="Last edited using">
    <vt:lpwstr>EL 4.6 Build 50000</vt:lpwstr>
  </property>
  <property fmtid="{D5CDD505-2E9C-101B-9397-08002B2CF9AE}" pid="13" name="MediaServiceImageTags">
    <vt:lpwstr/>
  </property>
  <property fmtid="{D5CDD505-2E9C-101B-9397-08002B2CF9AE}" pid="14" name="MSIP_Label_6bd9ddd1-4d20-43f6-abfa-fc3c07406f94_ActionId">
    <vt:lpwstr>fed4ca29-9366-4f08-a0f8-47b4b7a2a3a2</vt:lpwstr>
  </property>
  <property fmtid="{D5CDD505-2E9C-101B-9397-08002B2CF9AE}" pid="15" name="MSIP_Label_6bd9ddd1-4d20-43f6-abfa-fc3c07406f94_ContentBits">
    <vt:lpwstr>0</vt:lpwstr>
  </property>
  <property fmtid="{D5CDD505-2E9C-101B-9397-08002B2CF9AE}" pid="16" name="MSIP_Label_6bd9ddd1-4d20-43f6-abfa-fc3c07406f94_Enabled">
    <vt:lpwstr>true</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etDate">
    <vt:lpwstr>2023-03-06T16:57:17Z</vt:lpwstr>
  </property>
  <property fmtid="{D5CDD505-2E9C-101B-9397-08002B2CF9AE}" pid="20" name="MSIP_Label_6bd9ddd1-4d20-43f6-abfa-fc3c07406f94_SiteId">
    <vt:lpwstr>b24c8b06-522c-46fe-9080-70926f8dddb1</vt:lpwstr>
  </property>
  <property fmtid="{D5CDD505-2E9C-101B-9397-08002B2CF9AE}" pid="21" name="TemplateVersion">
    <vt:lpwstr>4.1.3.4</vt:lpwstr>
  </property>
  <property fmtid="{D5CDD505-2E9C-101B-9397-08002B2CF9AE}" pid="22" name="Type">
    <vt:lpwstr>Eurolook Telex</vt:lpwstr>
  </property>
</Properties>
</file>