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A56A32" w:rsidRPr="00C9233F" w:rsidP="00783FE0" w14:paraId="28B8B45F" w14:textId="69E0D267">
      <w:pPr>
        <w:pStyle w:val="ATHeading3"/>
        <w:keepNext w:val="0"/>
        <w:keepLines w:val="0"/>
        <w:widowControl w:val="0"/>
        <w:jc w:val="center"/>
        <w:rPr>
          <w:szCs w:val="24"/>
        </w:rPr>
      </w:pPr>
      <w:r>
        <w:rPr>
          <w:bCs/>
          <w:szCs w:val="24"/>
        </w:rPr>
        <w:t xml:space="preserve">Follow up to the </w:t>
      </w:r>
      <w:r>
        <w:rPr>
          <w:szCs w:val="24"/>
        </w:rPr>
        <w:t>European Parliament non-legislative resolution on tackling barriers to the single market for defence</w:t>
      </w:r>
    </w:p>
    <w:p w:rsidR="00A56A32" w:rsidRPr="00A70C8D" w:rsidP="00A56A32" w14:paraId="50C7B249" w14:textId="77777777">
      <w:pPr>
        <w:rPr>
          <w:rFonts w:ascii="Times New Roman" w:hAnsi="Times New Roman"/>
          <w:szCs w:val="24"/>
        </w:rPr>
      </w:pPr>
    </w:p>
    <w:p w:rsidR="004A6C66" w:rsidRPr="00955D73" w:rsidP="007F5B7A" w14:paraId="273C0310" w14:textId="5E7B65EC">
      <w:pPr>
        <w:numPr>
          <w:ilvl w:val="0"/>
          <w:numId w:val="27"/>
        </w:numPr>
        <w:ind w:left="567" w:hanging="567"/>
        <w:rPr>
          <w:rFonts w:ascii="Times New Roman" w:hAnsi="Times New Roman"/>
          <w:bCs/>
          <w:szCs w:val="24"/>
          <w:lang w:val="fr-BE"/>
        </w:rPr>
      </w:pPr>
      <w:r w:rsidRPr="00955D73">
        <w:rPr>
          <w:rFonts w:ascii="Times New Roman" w:hAnsi="Times New Roman"/>
          <w:b/>
          <w:bCs/>
          <w:szCs w:val="24"/>
          <w:lang w:val="fr-BE"/>
        </w:rPr>
        <w:t>Rapporteur:</w:t>
      </w:r>
      <w:r w:rsidRPr="00955D73">
        <w:rPr>
          <w:rFonts w:ascii="Times New Roman" w:hAnsi="Times New Roman"/>
          <w:b/>
          <w:szCs w:val="24"/>
          <w:lang w:val="fr-BE"/>
        </w:rPr>
        <w:t xml:space="preserve"> </w:t>
      </w:r>
      <w:r w:rsidRPr="00955D73" w:rsidR="006816CF">
        <w:rPr>
          <w:rFonts w:ascii="Times New Roman" w:hAnsi="Times New Roman"/>
          <w:bCs/>
          <w:szCs w:val="24"/>
          <w:lang w:val="fr-BE"/>
        </w:rPr>
        <w:t>Tobias CREMER (</w:t>
      </w:r>
      <w:r w:rsidRPr="00955D73" w:rsidR="00F92785">
        <w:rPr>
          <w:rFonts w:ascii="Times New Roman" w:hAnsi="Times New Roman"/>
          <w:bCs/>
          <w:szCs w:val="24"/>
          <w:lang w:val="fr-BE"/>
        </w:rPr>
        <w:t>S&amp;D</w:t>
      </w:r>
      <w:r w:rsidRPr="00955D73" w:rsidR="007709E7">
        <w:rPr>
          <w:rFonts w:ascii="Times New Roman" w:hAnsi="Times New Roman"/>
          <w:bCs/>
          <w:szCs w:val="24"/>
          <w:lang w:val="fr-BE"/>
        </w:rPr>
        <w:t xml:space="preserve"> / DE)</w:t>
      </w:r>
    </w:p>
    <w:p w:rsidR="008A4945" w:rsidRPr="00955D73" w:rsidP="007F5B7A" w14:paraId="4E0B3917" w14:textId="3C82B535">
      <w:pPr>
        <w:pStyle w:val="Default"/>
        <w:numPr>
          <w:ilvl w:val="0"/>
          <w:numId w:val="27"/>
        </w:numPr>
        <w:spacing w:after="240"/>
        <w:ind w:left="567" w:hanging="567"/>
        <w:jc w:val="both"/>
        <w:rPr>
          <w:color w:val="auto"/>
          <w:lang w:val="fr-BE"/>
        </w:rPr>
      </w:pPr>
      <w:r w:rsidRPr="00955D73">
        <w:rPr>
          <w:b/>
          <w:lang w:val="fr-BE"/>
        </w:rPr>
        <w:t>References</w:t>
      </w:r>
      <w:r w:rsidRPr="00955D73">
        <w:rPr>
          <w:b/>
          <w:lang w:val="fr-BE"/>
        </w:rPr>
        <w:t>:</w:t>
      </w:r>
      <w:r w:rsidRPr="00955D73">
        <w:rPr>
          <w:b/>
          <w:lang w:val="fr-BE"/>
        </w:rPr>
        <w:t xml:space="preserve"> </w:t>
      </w:r>
      <w:bookmarkStart w:id="0" w:name="_Hlk225149347"/>
      <w:r w:rsidRPr="00955D73">
        <w:rPr>
          <w:lang w:val="fr-BE"/>
        </w:rPr>
        <w:t>2025/2143(INI)</w:t>
      </w:r>
      <w:r w:rsidRPr="00955D73" w:rsidR="0086635F">
        <w:rPr>
          <w:iCs/>
          <w:lang w:val="fr-BE"/>
        </w:rPr>
        <w:t xml:space="preserve"> </w:t>
      </w:r>
      <w:r w:rsidR="0086635F">
        <w:rPr>
          <w:iCs/>
          <w:lang w:val="fr-BE"/>
        </w:rPr>
        <w:t>/</w:t>
      </w:r>
      <w:r w:rsidRPr="00955D73" w:rsidR="0086635F">
        <w:rPr>
          <w:i/>
          <w:lang w:val="fr-BE"/>
        </w:rPr>
        <w:t xml:space="preserve"> </w:t>
      </w:r>
      <w:r w:rsidRPr="00955D73">
        <w:rPr>
          <w:iCs/>
          <w:lang w:val="fr-BE"/>
        </w:rPr>
        <w:t>A10-0017/2026</w:t>
      </w:r>
      <w:r w:rsidR="0086635F">
        <w:rPr>
          <w:iCs/>
          <w:lang w:val="fr-BE"/>
        </w:rPr>
        <w:t xml:space="preserve"> </w:t>
      </w:r>
      <w:r w:rsidRPr="00955D73">
        <w:rPr>
          <w:lang w:val="fr-BE"/>
        </w:rPr>
        <w:t>/ P10_</w:t>
      </w:r>
      <w:r w:rsidRPr="00955D73">
        <w:rPr>
          <w:lang w:val="fr-BE"/>
        </w:rPr>
        <w:t>TA(</w:t>
      </w:r>
      <w:r w:rsidRPr="00955D73">
        <w:rPr>
          <w:lang w:val="fr-BE"/>
        </w:rPr>
        <w:t>2026)0079</w:t>
      </w:r>
      <w:bookmarkStart w:id="1" w:name="_Hlk225148999"/>
      <w:bookmarkEnd w:id="0"/>
    </w:p>
    <w:bookmarkEnd w:id="1"/>
    <w:p w:rsidR="005A00C3" w:rsidRPr="00C9233F" w:rsidP="00A824B4" w14:paraId="0A458E87" w14:textId="2B6E724E">
      <w:pPr>
        <w:numPr>
          <w:ilvl w:val="0"/>
          <w:numId w:val="27"/>
        </w:numPr>
        <w:ind w:left="567" w:hanging="567"/>
        <w:rPr>
          <w:rFonts w:ascii="Times New Roman" w:hAnsi="Times New Roman"/>
          <w:szCs w:val="24"/>
        </w:rPr>
      </w:pPr>
      <w:r>
        <w:rPr>
          <w:rFonts w:ascii="Times New Roman" w:hAnsi="Times New Roman"/>
          <w:b/>
          <w:szCs w:val="24"/>
        </w:rPr>
        <w:t xml:space="preserve">Date of adoption of the resolution: </w:t>
      </w:r>
      <w:r>
        <w:rPr>
          <w:rFonts w:ascii="Times New Roman" w:hAnsi="Times New Roman"/>
          <w:bCs/>
          <w:szCs w:val="24"/>
        </w:rPr>
        <w:t>11 March 2026</w:t>
      </w:r>
    </w:p>
    <w:p w:rsidR="00EC0A27" w:rsidRPr="00C9233F" w:rsidP="00A824B4" w14:paraId="29798771" w14:textId="04FDA1F6">
      <w:pPr>
        <w:numPr>
          <w:ilvl w:val="0"/>
          <w:numId w:val="27"/>
        </w:numPr>
        <w:ind w:left="567" w:hanging="567"/>
        <w:rPr>
          <w:rFonts w:ascii="Times New Roman" w:hAnsi="Times New Roman"/>
          <w:i/>
          <w:szCs w:val="24"/>
        </w:rPr>
      </w:pPr>
      <w:r>
        <w:rPr>
          <w:rFonts w:ascii="Times New Roman" w:hAnsi="Times New Roman"/>
          <w:b/>
          <w:szCs w:val="24"/>
        </w:rPr>
        <w:t>Competent Parliamentary Committee:</w:t>
      </w:r>
      <w:r>
        <w:rPr>
          <w:rFonts w:ascii="Times New Roman" w:hAnsi="Times New Roman"/>
          <w:szCs w:val="24"/>
        </w:rPr>
        <w:t xml:space="preserve"> Committee on</w:t>
      </w:r>
      <w:r>
        <w:rPr>
          <w:rFonts w:ascii="Times New Roman" w:hAnsi="Times New Roman"/>
          <w:i/>
          <w:szCs w:val="24"/>
        </w:rPr>
        <w:t xml:space="preserve"> </w:t>
      </w:r>
      <w:r>
        <w:rPr>
          <w:rFonts w:ascii="Times New Roman" w:hAnsi="Times New Roman"/>
          <w:iCs/>
          <w:szCs w:val="24"/>
        </w:rPr>
        <w:t>Security and Defence (SEDE)</w:t>
      </w:r>
      <w:r>
        <w:rPr>
          <w:rFonts w:ascii="Times New Roman" w:hAnsi="Times New Roman"/>
          <w:i/>
          <w:szCs w:val="24"/>
        </w:rPr>
        <w:t xml:space="preserve"> </w:t>
      </w:r>
    </w:p>
    <w:p w:rsidR="004A6C66" w:rsidRPr="00C9233F" w:rsidP="00A824B4" w14:paraId="364DCEF2" w14:textId="264254F2">
      <w:pPr>
        <w:widowControl w:val="0"/>
        <w:numPr>
          <w:ilvl w:val="0"/>
          <w:numId w:val="27"/>
        </w:numPr>
        <w:ind w:left="567" w:hanging="567"/>
        <w:rPr>
          <w:rFonts w:ascii="Times New Roman" w:hAnsi="Times New Roman"/>
          <w:i/>
          <w:szCs w:val="24"/>
        </w:rPr>
      </w:pPr>
      <w:r>
        <w:rPr>
          <w:rFonts w:ascii="Times New Roman" w:hAnsi="Times New Roman"/>
          <w:b/>
          <w:szCs w:val="24"/>
        </w:rPr>
        <w:t>Brief analysis/ assessment of the resolution and requests made in it:</w:t>
      </w:r>
      <w:r>
        <w:rPr>
          <w:rFonts w:ascii="Times New Roman" w:hAnsi="Times New Roman"/>
          <w:szCs w:val="24"/>
        </w:rPr>
        <w:t xml:space="preserve"> </w:t>
      </w:r>
    </w:p>
    <w:p w:rsidR="00EA646B" w:rsidP="195463ED" w14:paraId="33990D4D" w14:textId="690660D8">
      <w:pPr>
        <w:ind w:left="567"/>
        <w:rPr>
          <w:rFonts w:ascii="Times New Roman" w:hAnsi="Times New Roman"/>
        </w:rPr>
      </w:pPr>
      <w:r>
        <w:rPr>
          <w:rFonts w:ascii="Times New Roman" w:hAnsi="Times New Roman"/>
        </w:rPr>
        <w:t xml:space="preserve">The resolution stresses the need of a stronger and more integrated EU single market for defence, to build credible deterrence and strengthen the European Defence Technological and industrial base (EDTIB). </w:t>
      </w:r>
      <w:r>
        <w:rPr>
          <w:rFonts w:ascii="Times New Roman" w:hAnsi="Times New Roman"/>
        </w:rPr>
        <w:t>In light of</w:t>
      </w:r>
      <w:r>
        <w:rPr>
          <w:rFonts w:ascii="Times New Roman" w:hAnsi="Times New Roman"/>
        </w:rPr>
        <w:t xml:space="preserve"> this, the Resolution notes that the EU and its Member States must rethink their cooperation and coordination in defence matters to address the challenges and threats they are confronted with. This includes fundamentally changing their perception of defence industry production as the current structure of the defence industrial landscape leads to unnecessary duplication, external dependencies, and inefficiencies. To break down barriers, on both the supply and demand sides, the resolution outlines a variety of recommendations. First, it stresses the need to provide the EU's defence programmes with sufficient funding under the next Multiannual Financial Framework (MFF). Further, the European Parliament recommends a ‘Buy European’ approach, prioritising common procurement and increased production. In connection with this, it is stated that Ukraine needs to be considered as an integral part of the single market for defence. The necessity to simplify and revise procurement rules as well as to simplify and harmonise the rules and remove obstacles related to intra-EU transfers of defence-related products is also underlined. The Resolution furthermore emphasizes creating a more favourable environment for defence production, for example through the establishment of a European ‘defence innovation accelerator’ initiative, targeted support, particularly for the testing of prototypes of new products, and the consideration of funding to tackle the commercialisation gap. Additionally, according to the proposed measures, a more proactive role in supporting investments in dual-use technologies and products needs to be played by the EU. Regarding defence supply chains, the resolution outlines various measures to strengthen their resilience. Overall, the resolution notes the need to improve cooperation and information exchange. Finally, </w:t>
      </w:r>
      <w:r>
        <w:rPr>
          <w:rFonts w:ascii="Times New Roman" w:hAnsi="Times New Roman"/>
        </w:rPr>
        <w:t>in order to</w:t>
      </w:r>
      <w:r>
        <w:rPr>
          <w:rFonts w:ascii="Times New Roman" w:hAnsi="Times New Roman"/>
        </w:rPr>
        <w:t xml:space="preserve"> warrant coherent and complementary planning as well as interoperable defence capabilities the resolution calls for a comprehensive cooperation agreement between the EU and NATO </w:t>
      </w:r>
      <w:r>
        <w:rPr>
          <w:rFonts w:ascii="Times New Roman" w:hAnsi="Times New Roman"/>
        </w:rPr>
        <w:t>in regard to</w:t>
      </w:r>
      <w:r>
        <w:rPr>
          <w:rFonts w:ascii="Times New Roman" w:hAnsi="Times New Roman"/>
        </w:rPr>
        <w:t xml:space="preserve"> standardisation as well as on planning and capability development.</w:t>
      </w:r>
    </w:p>
    <w:p w:rsidR="00D178E0" w:rsidRPr="00C9233F" w:rsidP="48404FCA" w14:paraId="6A6B4709" w14:textId="77777777">
      <w:pPr>
        <w:keepNext/>
        <w:widowControl w:val="0"/>
        <w:numPr>
          <w:ilvl w:val="0"/>
          <w:numId w:val="27"/>
        </w:numPr>
        <w:ind w:left="567" w:hanging="567"/>
        <w:rPr>
          <w:rFonts w:ascii="Times New Roman" w:hAnsi="Times New Roman"/>
          <w:b/>
          <w:bCs/>
          <w:i/>
          <w:iCs/>
        </w:rPr>
      </w:pPr>
      <w:r w:rsidRPr="48404FCA">
        <w:rPr>
          <w:rFonts w:ascii="Times New Roman" w:hAnsi="Times New Roman"/>
          <w:b/>
          <w:bCs/>
        </w:rPr>
        <w:t>Response to the requests in the resolution and overview of the action taken, or intended to be taken, by the Commission:</w:t>
      </w:r>
      <w:r w:rsidRPr="48404FCA">
        <w:rPr>
          <w:rFonts w:ascii="Times New Roman" w:hAnsi="Times New Roman"/>
        </w:rPr>
        <w:t xml:space="preserve"> </w:t>
      </w:r>
    </w:p>
    <w:p w:rsidR="00DE2971" w:rsidRPr="00C9233F" w:rsidP="48404FCA" w14:paraId="7E0571DC" w14:textId="222D5C9A">
      <w:pPr>
        <w:keepNext/>
        <w:widowControl w:val="0"/>
        <w:rPr>
          <w:rFonts w:ascii="Times New Roman" w:hAnsi="Times New Roman"/>
        </w:rPr>
      </w:pPr>
      <w:r w:rsidRPr="5768A9EF">
        <w:rPr>
          <w:rFonts w:ascii="Times New Roman" w:hAnsi="Times New Roman"/>
        </w:rPr>
        <w:t xml:space="preserve">Regarding paragraph 16, the Commission intends to submit in 2026 a legislative proposal </w:t>
      </w:r>
      <w:r w:rsidRPr="5768A9EF">
        <w:rPr>
          <w:rFonts w:ascii="Times New Roman" w:hAnsi="Times New Roman"/>
        </w:rPr>
        <w:t>on the revision of</w:t>
      </w:r>
      <w:r w:rsidR="00600E8B">
        <w:rPr>
          <w:rFonts w:ascii="Times New Roman" w:hAnsi="Times New Roman"/>
        </w:rPr>
        <w:t xml:space="preserve"> the </w:t>
      </w:r>
      <w:r w:rsidRPr="00600E8B" w:rsidR="00600E8B">
        <w:rPr>
          <w:rFonts w:ascii="Times New Roman" w:hAnsi="Times New Roman"/>
        </w:rPr>
        <w:t>Defence and Sensitive Security Procurement Directive</w:t>
      </w:r>
      <w:r w:rsidR="00600E8B">
        <w:rPr>
          <w:rFonts w:ascii="Times New Roman" w:hAnsi="Times New Roman"/>
        </w:rPr>
        <w:t xml:space="preserve"> (</w:t>
      </w:r>
      <w:r w:rsidRPr="5768A9EF" w:rsidR="00FC0A55">
        <w:rPr>
          <w:rFonts w:ascii="Times New Roman" w:hAnsi="Times New Roman"/>
        </w:rPr>
        <w:t>Directive 2009/81/EC</w:t>
      </w:r>
      <w:r>
        <w:rPr>
          <w:rStyle w:val="FootnoteReference"/>
        </w:rPr>
        <w:footnoteReference w:id="3"/>
      </w:r>
      <w:r w:rsidR="009E17E2">
        <w:rPr>
          <w:rFonts w:ascii="Times New Roman" w:hAnsi="Times New Roman"/>
        </w:rPr>
        <w:t>)</w:t>
      </w:r>
      <w:r w:rsidRPr="5768A9EF">
        <w:rPr>
          <w:rFonts w:ascii="Times New Roman" w:hAnsi="Times New Roman"/>
        </w:rPr>
        <w:t>, as specified in its 2026 Work Programme</w:t>
      </w:r>
      <w:r>
        <w:rPr>
          <w:rStyle w:val="FootnoteReference"/>
        </w:rPr>
        <w:footnoteReference w:id="4"/>
      </w:r>
      <w:r w:rsidRPr="5768A9EF">
        <w:rPr>
          <w:rFonts w:ascii="Times New Roman" w:hAnsi="Times New Roman"/>
        </w:rPr>
        <w:t xml:space="preserve">. This revision will focus on further simplification of the EU rules on defence and sensitive procurement. In this vein, it will inter alia ensure that defence procurement procedures, to be used by Member States contracting authorities/entities, are adapted for the procurement of innovation. At the same time, the Commission continues to support innovation </w:t>
      </w:r>
      <w:r w:rsidRPr="5768A9EF">
        <w:rPr>
          <w:rFonts w:ascii="Times New Roman" w:hAnsi="Times New Roman"/>
        </w:rPr>
        <w:t>in the area of</w:t>
      </w:r>
      <w:r w:rsidRPr="5768A9EF">
        <w:rPr>
          <w:rFonts w:ascii="Times New Roman" w:hAnsi="Times New Roman"/>
        </w:rPr>
        <w:t xml:space="preserve"> defence, for example, on the 25 March 2026, the Commission proposed a new action in this area called programme for agile and rapid defence innovation</w:t>
      </w:r>
      <w:r>
        <w:rPr>
          <w:rStyle w:val="FootnoteReference"/>
        </w:rPr>
        <w:footnoteReference w:id="5"/>
      </w:r>
      <w:r w:rsidRPr="5768A9EF">
        <w:rPr>
          <w:rFonts w:ascii="Times New Roman" w:hAnsi="Times New Roman"/>
        </w:rPr>
        <w:t xml:space="preserve"> (AGILE)</w:t>
      </w:r>
      <w:r w:rsidR="00501CE3">
        <w:rPr>
          <w:rFonts w:ascii="Times New Roman" w:hAnsi="Times New Roman"/>
        </w:rPr>
        <w:t>. It</w:t>
      </w:r>
      <w:r w:rsidRPr="5768A9EF" w:rsidR="1439E2A4">
        <w:rPr>
          <w:rFonts w:ascii="Times New Roman" w:hAnsi="Times New Roman"/>
        </w:rPr>
        <w:t xml:space="preserve"> will use the same accelerated and targeted mechanisms also foreseen for the European Competitiveness Fund</w:t>
      </w:r>
      <w:r w:rsidR="005C5C25">
        <w:rPr>
          <w:rFonts w:ascii="Times New Roman" w:hAnsi="Times New Roman"/>
        </w:rPr>
        <w:t xml:space="preserve"> (ECF)</w:t>
      </w:r>
      <w:r w:rsidRPr="5768A9EF" w:rsidR="1439E2A4">
        <w:rPr>
          <w:rFonts w:ascii="Times New Roman" w:hAnsi="Times New Roman"/>
        </w:rPr>
        <w:t xml:space="preserve">, including the successor activities to </w:t>
      </w:r>
      <w:r w:rsidR="00DC685E">
        <w:rPr>
          <w:rFonts w:ascii="Times New Roman" w:hAnsi="Times New Roman"/>
        </w:rPr>
        <w:t xml:space="preserve">the </w:t>
      </w:r>
      <w:r w:rsidRPr="48404FCA" w:rsidR="00DC685E">
        <w:rPr>
          <w:rFonts w:ascii="Times New Roman" w:hAnsi="Times New Roman"/>
        </w:rPr>
        <w:t>European Defence Fund (</w:t>
      </w:r>
      <w:r w:rsidRPr="5768A9EF" w:rsidR="1439E2A4">
        <w:rPr>
          <w:rFonts w:ascii="Times New Roman" w:hAnsi="Times New Roman"/>
        </w:rPr>
        <w:t>EDF</w:t>
      </w:r>
      <w:r w:rsidR="00DC685E">
        <w:rPr>
          <w:rFonts w:ascii="Times New Roman" w:hAnsi="Times New Roman"/>
        </w:rPr>
        <w:t>)</w:t>
      </w:r>
      <w:r w:rsidRPr="5768A9EF" w:rsidR="1439E2A4">
        <w:rPr>
          <w:rFonts w:ascii="Times New Roman" w:hAnsi="Times New Roman"/>
        </w:rPr>
        <w:t xml:space="preserve">, </w:t>
      </w:r>
      <w:r w:rsidRPr="48404FCA" w:rsidR="00DC685E">
        <w:rPr>
          <w:rFonts w:ascii="Times New Roman" w:hAnsi="Times New Roman"/>
        </w:rPr>
        <w:t>European Defence Industry Programme (</w:t>
      </w:r>
      <w:r w:rsidRPr="5768A9EF" w:rsidR="1439E2A4">
        <w:rPr>
          <w:rFonts w:ascii="Times New Roman" w:hAnsi="Times New Roman"/>
        </w:rPr>
        <w:t>EDIP</w:t>
      </w:r>
      <w:r w:rsidR="00DC685E">
        <w:rPr>
          <w:rFonts w:ascii="Times New Roman" w:hAnsi="Times New Roman"/>
        </w:rPr>
        <w:t>)</w:t>
      </w:r>
      <w:r w:rsidRPr="5768A9EF" w:rsidR="1439E2A4">
        <w:rPr>
          <w:rFonts w:ascii="Times New Roman" w:hAnsi="Times New Roman"/>
        </w:rPr>
        <w:t xml:space="preserve"> and the proposed</w:t>
      </w:r>
      <w:r w:rsidRPr="5768A9EF" w:rsidR="37C9E1BA">
        <w:rPr>
          <w:rFonts w:ascii="Times New Roman" w:hAnsi="Times New Roman"/>
        </w:rPr>
        <w:t xml:space="preserve"> </w:t>
      </w:r>
      <w:r w:rsidRPr="5768A9EF" w:rsidR="1439E2A4">
        <w:rPr>
          <w:rFonts w:ascii="Times New Roman" w:hAnsi="Times New Roman"/>
        </w:rPr>
        <w:t>AGILE</w:t>
      </w:r>
      <w:r w:rsidRPr="5768A9EF">
        <w:rPr>
          <w:rFonts w:ascii="Times New Roman" w:hAnsi="Times New Roman"/>
        </w:rPr>
        <w:t>.</w:t>
      </w:r>
    </w:p>
    <w:p w:rsidR="00DF656A" w:rsidRPr="00C9233F" w:rsidP="00891592" w14:paraId="40D15761" w14:textId="60DF005A">
      <w:pPr>
        <w:widowControl w:val="0"/>
        <w:rPr>
          <w:rFonts w:ascii="Times New Roman" w:hAnsi="Times New Roman"/>
          <w:iCs/>
          <w:szCs w:val="24"/>
        </w:rPr>
      </w:pPr>
      <w:r>
        <w:rPr>
          <w:rFonts w:ascii="Times New Roman" w:hAnsi="Times New Roman"/>
          <w:iCs/>
          <w:szCs w:val="24"/>
        </w:rPr>
        <w:t xml:space="preserve">On paragraph 18, the Commission takes note of the Parliament’s call to issue a recommendation for an interpretation of </w:t>
      </w:r>
      <w:r w:rsidRPr="00FC0A55">
        <w:rPr>
          <w:rFonts w:ascii="Times New Roman" w:hAnsi="Times New Roman"/>
          <w:iCs/>
          <w:szCs w:val="24"/>
        </w:rPr>
        <w:t>Article 346 TFEU</w:t>
      </w:r>
      <w:r>
        <w:rPr>
          <w:rStyle w:val="FootnoteReference"/>
        </w:rPr>
        <w:footnoteReference w:id="6"/>
      </w:r>
      <w:r>
        <w:rPr>
          <w:rFonts w:ascii="Times New Roman" w:hAnsi="Times New Roman"/>
          <w:iCs/>
          <w:szCs w:val="24"/>
        </w:rPr>
        <w:t xml:space="preserve">. In 2006 the Commission published an </w:t>
      </w:r>
      <w:r w:rsidRPr="00FC0A55">
        <w:rPr>
          <w:rFonts w:ascii="Times New Roman" w:hAnsi="Times New Roman"/>
          <w:iCs/>
          <w:szCs w:val="24"/>
        </w:rPr>
        <w:t>Interpretative Communication</w:t>
      </w:r>
      <w:r>
        <w:rPr>
          <w:rStyle w:val="FootnoteReference"/>
        </w:rPr>
        <w:footnoteReference w:id="7"/>
      </w:r>
      <w:r>
        <w:rPr>
          <w:rFonts w:ascii="Times New Roman" w:hAnsi="Times New Roman"/>
          <w:iCs/>
          <w:szCs w:val="24"/>
        </w:rPr>
        <w:t xml:space="preserve"> on the application of that provision in relation to defence procurement (at the time, Article 296 of the Treaty on the European Community). The Commission notes that in recital 3 of Directive 2009/81/EC, the co-legislators invited the Member States to </w:t>
      </w:r>
      <w:r>
        <w:rPr>
          <w:rFonts w:ascii="Times New Roman" w:hAnsi="Times New Roman"/>
          <w:iCs/>
          <w:szCs w:val="24"/>
        </w:rPr>
        <w:t>take into account</w:t>
      </w:r>
      <w:r>
        <w:rPr>
          <w:rFonts w:ascii="Times New Roman" w:hAnsi="Times New Roman"/>
          <w:iCs/>
          <w:szCs w:val="24"/>
        </w:rPr>
        <w:t xml:space="preserve"> that Interpretative Communication, which remains valid. The Commission also notes that the content of recitals 16 and 17 of Directive 2009/81/EC already recall that the possibility of recourse to Article 346 TFEU (and other specific exceptions in the Treaty) “should be interpreted in such a way that their effects do not extend beyond that which is strictly necessary for the protection of the legitimate interests that those Articles help to safeguard.” In the light of this, the Commission does not see a need for a new document re-interpreting Article 346 TFEU.</w:t>
      </w:r>
    </w:p>
    <w:p w:rsidR="00891592" w:rsidRPr="00C9233F" w:rsidP="00891592" w14:paraId="4CE85DBA" w14:textId="2F2E54E0">
      <w:pPr>
        <w:widowControl w:val="0"/>
        <w:rPr>
          <w:rFonts w:ascii="Times New Roman" w:hAnsi="Times New Roman"/>
          <w:iCs/>
          <w:szCs w:val="24"/>
        </w:rPr>
      </w:pPr>
      <w:r>
        <w:rPr>
          <w:rFonts w:ascii="Times New Roman" w:hAnsi="Times New Roman"/>
          <w:iCs/>
          <w:szCs w:val="24"/>
        </w:rPr>
        <w:t>Concerning paragraph 20, the Commission acknowledges the importance of fostering an entrepreneurial environment beneficial for all stakeholders. As mentioned above, the Commission has just tabled a proposal for a Regulation establishing a new programme for rapid and agile defence innovation (AGILE), which is aimed at supporting the rapid development of emerging and disruptive technologies and products for defence and ensuring their market uptake by end users, including through testing and validation.</w:t>
      </w:r>
    </w:p>
    <w:p w:rsidR="00C31886" w:rsidRPr="00C9233F" w:rsidP="00891592" w14:paraId="3006ADFC" w14:textId="24179877">
      <w:pPr>
        <w:widowControl w:val="0"/>
        <w:rPr>
          <w:rFonts w:ascii="Times New Roman" w:hAnsi="Times New Roman"/>
          <w:iCs/>
          <w:szCs w:val="24"/>
        </w:rPr>
      </w:pPr>
      <w:r>
        <w:rPr>
          <w:rFonts w:ascii="Times New Roman" w:hAnsi="Times New Roman"/>
          <w:iCs/>
          <w:szCs w:val="24"/>
        </w:rPr>
        <w:t>Regarding intellectual property (IP), the Commission's defence research and development programmes, including AGILE and the EDF, are designed to protect the IP rights of industry, with IP staying with industry except for actions related to procurement. Some requirements include that results of supported actions are not subject to control or restriction by non-associated third countries or entities to ensure they can be used across the EU.</w:t>
      </w:r>
    </w:p>
    <w:p w:rsidR="00C31886" w:rsidRPr="00C9233F" w:rsidP="00891592" w14:paraId="6CDFC1F4" w14:textId="4D16585C">
      <w:pPr>
        <w:widowControl w:val="0"/>
        <w:rPr>
          <w:rFonts w:ascii="Times New Roman" w:hAnsi="Times New Roman"/>
          <w:iCs/>
          <w:szCs w:val="24"/>
        </w:rPr>
      </w:pPr>
      <w:r>
        <w:rPr>
          <w:rFonts w:ascii="Times New Roman" w:hAnsi="Times New Roman"/>
          <w:iCs/>
          <w:szCs w:val="24"/>
        </w:rPr>
        <w:t xml:space="preserve">Regarding paragraph 21, the Commission supports the Parliament’s call to further simplify rules and abolish unnecessary hurdles. In the </w:t>
      </w:r>
      <w:r w:rsidR="00624CD1">
        <w:rPr>
          <w:rFonts w:ascii="Times New Roman" w:hAnsi="Times New Roman"/>
          <w:iCs/>
          <w:szCs w:val="24"/>
        </w:rPr>
        <w:t xml:space="preserve">provisional agreement on the </w:t>
      </w:r>
      <w:r w:rsidRPr="00FC0A55">
        <w:rPr>
          <w:rFonts w:ascii="Times New Roman" w:hAnsi="Times New Roman"/>
          <w:iCs/>
          <w:szCs w:val="24"/>
        </w:rPr>
        <w:t xml:space="preserve">Defence Readiness Omnibus </w:t>
      </w:r>
      <w:r w:rsidR="00624CD1">
        <w:rPr>
          <w:rFonts w:ascii="Times New Roman" w:hAnsi="Times New Roman"/>
          <w:iCs/>
          <w:szCs w:val="24"/>
        </w:rPr>
        <w:t>reached on 10 June 2026</w:t>
      </w:r>
      <w:r>
        <w:rPr>
          <w:rFonts w:ascii="Times New Roman" w:hAnsi="Times New Roman"/>
          <w:iCs/>
          <w:szCs w:val="24"/>
        </w:rPr>
        <w:t xml:space="preserve">, </w:t>
      </w:r>
      <w:r w:rsidR="00624CD1">
        <w:rPr>
          <w:rFonts w:ascii="Times New Roman" w:hAnsi="Times New Roman"/>
          <w:iCs/>
          <w:szCs w:val="24"/>
        </w:rPr>
        <w:t xml:space="preserve">the co-legislators </w:t>
      </w:r>
      <w:r w:rsidRPr="006A7AA5" w:rsidR="00624CD1">
        <w:rPr>
          <w:rFonts w:ascii="Times New Roman" w:hAnsi="Times New Roman"/>
          <w:iCs/>
          <w:szCs w:val="24"/>
        </w:rPr>
        <w:t>agreed to create three new mandatory General Transfer Licences (GTLs</w:t>
      </w:r>
      <w:r w:rsidRPr="006A7AA5" w:rsidR="00624CD1">
        <w:rPr>
          <w:rFonts w:ascii="Times New Roman" w:hAnsi="Times New Roman"/>
          <w:iCs/>
          <w:szCs w:val="24"/>
        </w:rPr>
        <w:t>)</w:t>
      </w:r>
      <w:r w:rsidR="00624CD1">
        <w:rPr>
          <w:rFonts w:ascii="Times New Roman" w:hAnsi="Times New Roman"/>
          <w:iCs/>
          <w:szCs w:val="24"/>
        </w:rPr>
        <w:t>.</w:t>
      </w:r>
      <w:r>
        <w:rPr>
          <w:rFonts w:ascii="Times New Roman" w:hAnsi="Times New Roman"/>
          <w:iCs/>
          <w:szCs w:val="24"/>
        </w:rPr>
        <w:t>.</w:t>
      </w:r>
      <w:r>
        <w:rPr>
          <w:rFonts w:ascii="Times New Roman" w:hAnsi="Times New Roman"/>
          <w:iCs/>
          <w:szCs w:val="24"/>
        </w:rPr>
        <w:t xml:space="preserve"> </w:t>
      </w:r>
      <w:r w:rsidR="00624CD1">
        <w:rPr>
          <w:rFonts w:ascii="Times New Roman" w:hAnsi="Times New Roman"/>
          <w:iCs/>
          <w:szCs w:val="24"/>
        </w:rPr>
        <w:t>These GTLs will facilitate transfers in the context of the European Defence Fund and will enhance industrial ramp-up through supporting cross-border cooperation. Furthermore, the co-legislators agreed on introducing seven new cases of possible exemptions from prior authorisation. This provisional agreement will allow for further reduction of administrative licensing costs and unnecessary delays. The Commission remains fully supportive of the Resolution’s goal to further simplify rules and abolish unnecessary hurdles</w:t>
      </w:r>
    </w:p>
    <w:p w:rsidR="00C31886" w:rsidRPr="00C9233F" w:rsidP="00891592" w14:paraId="7772FB20" w14:textId="50CF2612">
      <w:pPr>
        <w:widowControl w:val="0"/>
        <w:rPr>
          <w:rFonts w:ascii="Times New Roman" w:hAnsi="Times New Roman"/>
          <w:iCs/>
          <w:szCs w:val="24"/>
        </w:rPr>
      </w:pPr>
      <w:r>
        <w:rPr>
          <w:rFonts w:ascii="Times New Roman" w:hAnsi="Times New Roman"/>
          <w:iCs/>
          <w:szCs w:val="24"/>
        </w:rPr>
        <w:t>On the call for a scheme for mutual recognition of security clearances and certification in paragraph 22, the Commission remarks that Directive 2009/81/EC already requires a Member State to recognise security clearances of other Member States which they consider equivalent to those issued by their own competent authorities (cf. Article 22, in fine, and recital 43). The current regime respects the competences of the Member States in this area. As the resolution underlines, Member States are not prevented from developing a voluntary convention providing for mutual recognition in this area.</w:t>
      </w:r>
    </w:p>
    <w:p w:rsidR="00514A9C" w:rsidRPr="00C9233F" w:rsidP="00514A9C" w14:paraId="5C9780D7" w14:textId="1F5E6286">
      <w:pPr>
        <w:widowControl w:val="0"/>
        <w:rPr>
          <w:rFonts w:ascii="Times New Roman" w:hAnsi="Times New Roman"/>
          <w:iCs/>
          <w:szCs w:val="24"/>
        </w:rPr>
      </w:pPr>
      <w:r>
        <w:rPr>
          <w:rFonts w:ascii="Times New Roman" w:hAnsi="Times New Roman"/>
          <w:iCs/>
          <w:szCs w:val="24"/>
        </w:rPr>
        <w:t xml:space="preserve">In connection with paragraph 24, the Commission recognises the importance of, and the possible risks connected to supply chains. In 2026 the Commission intends to submit a legislative proposal on the revision of Directive 2009/81/EC, as specified in its 2026 Work Programme. While this revision will focus on further simplification of the EU rules on defence and sensitive procurement, it will also revise the Directive’s rules on security of supply. In the preparation of the revised rules, the Commission will </w:t>
      </w:r>
      <w:r>
        <w:rPr>
          <w:rFonts w:ascii="Times New Roman" w:hAnsi="Times New Roman"/>
          <w:iCs/>
          <w:szCs w:val="24"/>
        </w:rPr>
        <w:t>take into account</w:t>
      </w:r>
      <w:r>
        <w:rPr>
          <w:rFonts w:ascii="Times New Roman" w:hAnsi="Times New Roman"/>
          <w:iCs/>
          <w:szCs w:val="24"/>
        </w:rPr>
        <w:t xml:space="preserve"> the concern expressed by the Parliament’s resolution to ensure that supply chains are resilient, either through diversification, participation of new players or other means.</w:t>
      </w:r>
    </w:p>
    <w:p w:rsidR="00897F7D" w:rsidRPr="00C9233F" w:rsidP="00514A9C" w14:paraId="6A9349A5" w14:textId="505CEAC9">
      <w:pPr>
        <w:widowControl w:val="0"/>
        <w:rPr>
          <w:rFonts w:ascii="Times New Roman" w:hAnsi="Times New Roman"/>
          <w:iCs/>
          <w:szCs w:val="24"/>
        </w:rPr>
      </w:pPr>
      <w:r>
        <w:rPr>
          <w:rFonts w:ascii="Times New Roman" w:hAnsi="Times New Roman"/>
          <w:iCs/>
          <w:szCs w:val="24"/>
        </w:rPr>
        <w:t xml:space="preserve">In addition, in the context of the implementation of security of supply provisions of the </w:t>
      </w:r>
      <w:r w:rsidRPr="00FC0A55">
        <w:rPr>
          <w:rFonts w:ascii="Times New Roman" w:hAnsi="Times New Roman"/>
          <w:iCs/>
          <w:szCs w:val="24"/>
        </w:rPr>
        <w:t>EDIP Regulation</w:t>
      </w:r>
      <w:r>
        <w:rPr>
          <w:rStyle w:val="FootnoteReference"/>
        </w:rPr>
        <w:footnoteReference w:id="8"/>
      </w:r>
      <w:r>
        <w:rPr>
          <w:rFonts w:ascii="Times New Roman" w:hAnsi="Times New Roman"/>
          <w:iCs/>
          <w:szCs w:val="24"/>
        </w:rPr>
        <w:t xml:space="preserve">, the Commission, in cooperation with the Defence Security of Supply Board, </w:t>
      </w:r>
      <w:r w:rsidRPr="00A642CB">
        <w:rPr>
          <w:rFonts w:ascii="Times New Roman" w:hAnsi="Times New Roman"/>
          <w:iCs/>
          <w:szCs w:val="24"/>
        </w:rPr>
        <w:t>is undertaking work on the mapping and monitoring of defence supply chains.</w:t>
      </w:r>
      <w:r w:rsidRPr="00A642CB" w:rsidR="001950DD">
        <w:rPr>
          <w:rFonts w:ascii="Times New Roman" w:hAnsi="Times New Roman"/>
          <w:iCs/>
          <w:szCs w:val="24"/>
        </w:rPr>
        <w:t xml:space="preserve"> The Board is composed of representatives from all Member States, the Commission, the High Representative and the European Defence Agency and representatives of the European Parliament are invited to attend the meetings of the Board as observers.</w:t>
      </w:r>
      <w:r>
        <w:rPr>
          <w:rFonts w:ascii="Times New Roman" w:hAnsi="Times New Roman"/>
          <w:iCs/>
          <w:szCs w:val="24"/>
        </w:rPr>
        <w:t xml:space="preserve"> The Commission will examine the need for additional measures in that context. </w:t>
      </w:r>
    </w:p>
    <w:p w:rsidR="00D178E0" w:rsidRPr="00C9233F" w:rsidP="00B37EB1" w14:paraId="7F8BA12F" w14:textId="384B5E89">
      <w:pPr>
        <w:widowControl w:val="0"/>
        <w:rPr>
          <w:rFonts w:ascii="Times New Roman" w:hAnsi="Times New Roman"/>
          <w:bCs/>
          <w:iCs/>
          <w:szCs w:val="24"/>
        </w:rPr>
      </w:pPr>
      <w:r>
        <w:rPr>
          <w:rFonts w:ascii="Times New Roman" w:hAnsi="Times New Roman"/>
          <w:bCs/>
          <w:iCs/>
          <w:szCs w:val="24"/>
        </w:rPr>
        <w:t xml:space="preserve">On paragraph 26, the Commission echoes the Parliament’s call to better support the defence industry’s unique needs. The </w:t>
      </w:r>
      <w:r w:rsidRPr="00FC0A55" w:rsidR="00FC0A55">
        <w:rPr>
          <w:rFonts w:ascii="Times New Roman" w:hAnsi="Times New Roman"/>
          <w:bCs/>
          <w:iCs/>
          <w:szCs w:val="24"/>
        </w:rPr>
        <w:t>C</w:t>
      </w:r>
      <w:r w:rsidRPr="00FC0A55">
        <w:rPr>
          <w:rFonts w:ascii="Times New Roman" w:hAnsi="Times New Roman"/>
          <w:bCs/>
          <w:iCs/>
          <w:szCs w:val="24"/>
        </w:rPr>
        <w:t>ommunication</w:t>
      </w:r>
      <w:r>
        <w:rPr>
          <w:rStyle w:val="FootnoteReference"/>
        </w:rPr>
        <w:footnoteReference w:id="9"/>
      </w:r>
      <w:r>
        <w:rPr>
          <w:rFonts w:ascii="Times New Roman" w:hAnsi="Times New Roman"/>
          <w:bCs/>
          <w:iCs/>
          <w:szCs w:val="24"/>
        </w:rPr>
        <w:t xml:space="preserve"> accompanying the Defence Readiness Omnibus already set guidelines on how to interpret EU competition rules in view of EU Defence Readiness, to ensure the best support possible to the defence industry. The Commission is currently reviewing its guidelines on merger control. Defence market specificities are being considered in that review.</w:t>
      </w:r>
    </w:p>
    <w:p w:rsidR="00316684" w:rsidRPr="00C9233F" w:rsidP="00B37EB1" w14:paraId="7756D791" w14:textId="397E8406">
      <w:pPr>
        <w:widowControl w:val="0"/>
        <w:rPr>
          <w:rFonts w:ascii="Times New Roman" w:hAnsi="Times New Roman"/>
          <w:iCs/>
          <w:szCs w:val="24"/>
        </w:rPr>
      </w:pPr>
      <w:r>
        <w:rPr>
          <w:rFonts w:ascii="Times New Roman" w:hAnsi="Times New Roman"/>
          <w:bCs/>
          <w:iCs/>
          <w:szCs w:val="24"/>
        </w:rPr>
        <w:t xml:space="preserve">Regarding paragraph 27 concerning the call to create incentives to limit to the EU the supply chains of the most critical inputs for defence products, the Commission has introduced as well as is planning to introduce a variety of measures. In addition to what has been stated in connection with paragraph 24 with regard to a </w:t>
      </w:r>
      <w:r>
        <w:rPr>
          <w:rFonts w:ascii="Times New Roman" w:hAnsi="Times New Roman"/>
          <w:iCs/>
          <w:szCs w:val="24"/>
        </w:rPr>
        <w:t xml:space="preserve">legislative proposal on the revision of Directive 2009/81/EC, the Commission is supporting the launch of a EUR 1 billion fund of funds to boost investments in defence companies in close cooperation </w:t>
      </w:r>
      <w:r>
        <w:rPr>
          <w:rFonts w:ascii="Times New Roman" w:hAnsi="Times New Roman"/>
          <w:iCs/>
          <w:szCs w:val="24"/>
        </w:rPr>
        <w:t xml:space="preserve">with the European Investment Bank (EIB)/European Investment Fund (EIF). This was announced in both the </w:t>
      </w:r>
      <w:r w:rsidRPr="00FC0A55">
        <w:rPr>
          <w:rFonts w:ascii="Times New Roman" w:hAnsi="Times New Roman"/>
          <w:iCs/>
          <w:szCs w:val="24"/>
        </w:rPr>
        <w:t>Defence Readiness Roadmap</w:t>
      </w:r>
      <w:r>
        <w:rPr>
          <w:rStyle w:val="FootnoteReference"/>
        </w:rPr>
        <w:footnoteReference w:id="10"/>
      </w:r>
      <w:r>
        <w:rPr>
          <w:rFonts w:ascii="Times New Roman" w:hAnsi="Times New Roman"/>
          <w:iCs/>
          <w:szCs w:val="24"/>
        </w:rPr>
        <w:t xml:space="preserve"> of October 2025 and the </w:t>
      </w:r>
      <w:r w:rsidRPr="00FC0A55">
        <w:rPr>
          <w:rFonts w:ascii="Times New Roman" w:hAnsi="Times New Roman"/>
          <w:iCs/>
          <w:szCs w:val="24"/>
        </w:rPr>
        <w:t>EU Defence Industry Transformation Roadmap</w:t>
      </w:r>
      <w:r>
        <w:rPr>
          <w:rFonts w:ascii="Times New Roman" w:hAnsi="Times New Roman"/>
          <w:iCs/>
          <w:szCs w:val="24"/>
        </w:rPr>
        <w:t xml:space="preserve"> </w:t>
      </w:r>
      <w:r>
        <w:rPr>
          <w:rStyle w:val="FootnoteReference"/>
          <w:rFonts w:ascii="Times New Roman" w:hAnsi="Times New Roman"/>
          <w:iCs/>
          <w:szCs w:val="24"/>
        </w:rPr>
        <w:footnoteReference w:id="11"/>
      </w:r>
      <w:r>
        <w:rPr>
          <w:rFonts w:ascii="Times New Roman" w:hAnsi="Times New Roman"/>
          <w:iCs/>
          <w:szCs w:val="24"/>
        </w:rPr>
        <w:t xml:space="preserve">of November 2025. </w:t>
      </w:r>
    </w:p>
    <w:p w:rsidR="00913692" w:rsidRPr="00C9233F" w:rsidP="00B37ACA" w14:paraId="0B285744" w14:textId="7E5C37C2">
      <w:pPr>
        <w:widowControl w:val="0"/>
        <w:rPr>
          <w:rFonts w:ascii="Times New Roman" w:hAnsi="Times New Roman"/>
          <w:iCs/>
          <w:szCs w:val="24"/>
        </w:rPr>
      </w:pPr>
      <w:r>
        <w:rPr>
          <w:rFonts w:ascii="Times New Roman" w:hAnsi="Times New Roman"/>
          <w:iCs/>
          <w:szCs w:val="24"/>
        </w:rPr>
        <w:t xml:space="preserve">Concerning paragraph 28, the Commission shares the view of the Parliament that the EU and its Member States </w:t>
      </w:r>
      <w:r>
        <w:rPr>
          <w:rFonts w:ascii="Times New Roman" w:hAnsi="Times New Roman"/>
          <w:iCs/>
          <w:szCs w:val="24"/>
        </w:rPr>
        <w:t>have to</w:t>
      </w:r>
      <w:r>
        <w:rPr>
          <w:rFonts w:ascii="Times New Roman" w:hAnsi="Times New Roman"/>
          <w:iCs/>
          <w:szCs w:val="24"/>
        </w:rPr>
        <w:t xml:space="preserve"> be able to rapidly adapt defence procurement and production rules in the event of war or a major security crisis and ensure no disruption of the single market. Directive 2009/81/EC already provides for fast-track procurement procedure in the event of exceptional circumstances such as crisis and extreme urgency and this has been completed by some provisions (e.g. Article 52) of the EDIP Regulation. The definition of crisis in the Directive already “encompasses harmful events expected in the future (6), including high intensity conflicts on EU borders and credible threats for the security of the Union and its Member States” (cf. </w:t>
      </w:r>
      <w:r w:rsidRPr="00FC0A55">
        <w:rPr>
          <w:rFonts w:ascii="Times New Roman" w:hAnsi="Times New Roman"/>
          <w:iCs/>
          <w:szCs w:val="24"/>
        </w:rPr>
        <w:t>Commission Communication on Defence Readiness Omnibus</w:t>
      </w:r>
      <w:r>
        <w:rPr>
          <w:rFonts w:ascii="Times New Roman" w:hAnsi="Times New Roman"/>
          <w:iCs/>
          <w:szCs w:val="24"/>
        </w:rPr>
        <w:t xml:space="preserve">). The Commission will examine whether there is a need to adjust those provisions in the context of the revision of the Directive. </w:t>
      </w:r>
    </w:p>
    <w:p w:rsidR="00913692" w:rsidRPr="00C9233F" w:rsidP="00913692" w14:paraId="5A0FD6B1" w14:textId="140BFBC9">
      <w:pPr>
        <w:widowControl w:val="0"/>
        <w:rPr>
          <w:rFonts w:ascii="Times New Roman" w:hAnsi="Times New Roman"/>
          <w:iCs/>
          <w:szCs w:val="24"/>
        </w:rPr>
      </w:pPr>
      <w:r>
        <w:rPr>
          <w:rFonts w:ascii="Times New Roman" w:hAnsi="Times New Roman"/>
          <w:iCs/>
          <w:szCs w:val="24"/>
        </w:rPr>
        <w:t>Similarly for the movement of defence products, Article 67 of the EDIP Regulation states that in such event of exceptional circumstances, applications related to intra-EU transfers are processed in an efficient and timely manner, whereby the Council implementing act referred to in Article 64(4) of the said Regulation shall specify the processing timeframe, which shall not exceed two weeks.</w:t>
      </w:r>
    </w:p>
    <w:p w:rsidR="00913692" w:rsidRPr="00C9233F" w:rsidP="00B37EB1" w14:paraId="21EA91E5" w14:textId="074D43A8">
      <w:pPr>
        <w:widowControl w:val="0"/>
        <w:rPr>
          <w:rFonts w:ascii="Times New Roman" w:hAnsi="Times New Roman"/>
          <w:iCs/>
          <w:szCs w:val="24"/>
        </w:rPr>
      </w:pPr>
      <w:r>
        <w:rPr>
          <w:rFonts w:ascii="Times New Roman" w:hAnsi="Times New Roman"/>
          <w:iCs/>
          <w:szCs w:val="24"/>
        </w:rPr>
        <w:t xml:space="preserve">The Commission notes however that, in the event of war or a major security crisis, Article 346 TFEU would allow a Member State to act in a rapid manner </w:t>
      </w:r>
      <w:r>
        <w:rPr>
          <w:rFonts w:ascii="Times New Roman" w:hAnsi="Times New Roman"/>
          <w:iCs/>
          <w:szCs w:val="24"/>
        </w:rPr>
        <w:t>in order to</w:t>
      </w:r>
      <w:r>
        <w:rPr>
          <w:rFonts w:ascii="Times New Roman" w:hAnsi="Times New Roman"/>
          <w:iCs/>
          <w:szCs w:val="24"/>
        </w:rPr>
        <w:t xml:space="preserve"> protect the essential interests of its security.</w:t>
      </w:r>
    </w:p>
    <w:p w:rsidR="00883A4A" w:rsidRPr="00C9233F" w:rsidP="48404FCA" w14:paraId="7400C262" w14:textId="6D48B2C9">
      <w:pPr>
        <w:widowControl w:val="0"/>
        <w:rPr>
          <w:rFonts w:ascii="Times New Roman" w:hAnsi="Times New Roman"/>
        </w:rPr>
      </w:pPr>
      <w:r w:rsidRPr="48404FCA">
        <w:rPr>
          <w:rFonts w:ascii="Times New Roman" w:hAnsi="Times New Roman"/>
        </w:rPr>
        <w:t xml:space="preserve">On paragraph 30, the Commission acknowledges the importance of supporting commercialisation of defence products and enabling faster innovation cycles. In this regard, programmes such as EDIP and AGILE can help address this gap, and these efforts </w:t>
      </w:r>
      <w:r w:rsidR="00600E8B">
        <w:rPr>
          <w:rFonts w:ascii="Times New Roman" w:hAnsi="Times New Roman"/>
        </w:rPr>
        <w:t>might</w:t>
      </w:r>
      <w:r w:rsidRPr="48404FCA">
        <w:rPr>
          <w:rFonts w:ascii="Times New Roman" w:hAnsi="Times New Roman"/>
        </w:rPr>
        <w:t xml:space="preserve"> be further expanded under the next MFF. For example, EDIP supports the industrialisation and commercialisation of defence products developed through cooperative actions, while the Commission’s recent proposal for AGILE specifically aims to bridge the gap between development and operational deployment, providing support to testing and validation campaigns and introducing the possibility for Member States to directly procure solutions supported through AGILE.</w:t>
      </w:r>
    </w:p>
    <w:p w:rsidR="00C9233F" w:rsidRPr="00C9233F" w:rsidP="48404FCA" w14:paraId="13620CD4" w14:textId="28899970">
      <w:pPr>
        <w:widowControl w:val="0"/>
        <w:rPr>
          <w:rFonts w:ascii="Times New Roman" w:hAnsi="Times New Roman"/>
        </w:rPr>
      </w:pPr>
      <w:r w:rsidRPr="48404FCA">
        <w:rPr>
          <w:rFonts w:ascii="Times New Roman" w:hAnsi="Times New Roman"/>
        </w:rPr>
        <w:t>Regarding paragraph 31, the Commission agrees that a well-functioning internal market for defence product and services requires “efficient, uniform and fair defence procurement rules, a reliable intra-EU transfer system, a robust Security of Supply regime, and widespread adoption of recognised standards and mutual recognition of certification” (cf. Joint Communication on Preserving Peace – Readiness Roadmap 2030). The Commission is already promoting, within its defence industrial programmes</w:t>
      </w:r>
      <w:r w:rsidRPr="48404FCA">
        <w:rPr>
          <w:rFonts w:ascii="Times New Roman" w:hAnsi="Times New Roman"/>
        </w:rPr>
        <w:t xml:space="preserve"> and in particular</w:t>
      </w:r>
      <w:r w:rsidRPr="48404FCA">
        <w:rPr>
          <w:rFonts w:ascii="Times New Roman" w:hAnsi="Times New Roman"/>
        </w:rPr>
        <w:t xml:space="preserve"> the European Defence Fund, the use of applicable civil and defence standards such as NATO Standardization Agreements (STANAG). </w:t>
      </w:r>
      <w:r w:rsidR="00600E8B">
        <w:rPr>
          <w:rFonts w:ascii="Times New Roman" w:hAnsi="Times New Roman"/>
        </w:rPr>
        <w:t>While maintaining its right of initiative, t</w:t>
      </w:r>
      <w:r w:rsidRPr="48404FCA">
        <w:rPr>
          <w:rFonts w:ascii="Times New Roman" w:hAnsi="Times New Roman"/>
        </w:rPr>
        <w:t xml:space="preserve">he Commission </w:t>
      </w:r>
      <w:r w:rsidR="00600E8B">
        <w:rPr>
          <w:rFonts w:ascii="Times New Roman" w:hAnsi="Times New Roman"/>
        </w:rPr>
        <w:t>could</w:t>
      </w:r>
      <w:r w:rsidRPr="48404FCA">
        <w:rPr>
          <w:rFonts w:ascii="Times New Roman" w:hAnsi="Times New Roman"/>
        </w:rPr>
        <w:t xml:space="preserve"> explore ways to implement the Parliament’s proposal to develop legislation that would create legally binding standards in the defence area, in consultation with the relevant stakeholders.</w:t>
      </w:r>
    </w:p>
    <w:p w:rsidR="00783FE0" w:rsidRPr="00EB4C57" w:rsidP="00783FE0" w14:paraId="4A033171" w14:textId="655BC8FE">
      <w:pPr>
        <w:widowControl w:val="0"/>
      </w:pPr>
      <w:r>
        <w:rPr>
          <w:rFonts w:ascii="Times New Roman" w:hAnsi="Times New Roman"/>
          <w:iCs/>
          <w:szCs w:val="24"/>
        </w:rPr>
        <w:t xml:space="preserve">In connection with paragraph 32, value added tax (VAT) exemption </w:t>
      </w:r>
      <w:r w:rsidRPr="00D541A9" w:rsidR="004F4AA8">
        <w:rPr>
          <w:rFonts w:ascii="Times New Roman" w:hAnsi="Times New Roman"/>
        </w:rPr>
        <w:t>with a right to deduct input VAT</w:t>
      </w:r>
      <w:r w:rsidRPr="00D541A9" w:rsidR="004F4AA8">
        <w:rPr>
          <w:rFonts w:ascii="Times New Roman" w:hAnsi="Times New Roman"/>
          <w:iCs/>
          <w:szCs w:val="24"/>
        </w:rPr>
        <w:t xml:space="preserve"> </w:t>
      </w:r>
      <w:r w:rsidRPr="00D541A9">
        <w:rPr>
          <w:rFonts w:ascii="Times New Roman" w:hAnsi="Times New Roman"/>
          <w:iCs/>
          <w:szCs w:val="24"/>
        </w:rPr>
        <w:t>is</w:t>
      </w:r>
      <w:r>
        <w:rPr>
          <w:rFonts w:ascii="Times New Roman" w:hAnsi="Times New Roman"/>
          <w:iCs/>
          <w:szCs w:val="24"/>
        </w:rPr>
        <w:t xml:space="preserve"> one of the incentives the </w:t>
      </w:r>
      <w:r w:rsidR="00292437">
        <w:rPr>
          <w:rFonts w:ascii="Times New Roman" w:hAnsi="Times New Roman"/>
          <w:iCs/>
          <w:szCs w:val="24"/>
        </w:rPr>
        <w:t xml:space="preserve">Union legislator </w:t>
      </w:r>
      <w:r>
        <w:rPr>
          <w:rFonts w:ascii="Times New Roman" w:hAnsi="Times New Roman"/>
          <w:iCs/>
          <w:szCs w:val="24"/>
        </w:rPr>
        <w:t xml:space="preserve">uses </w:t>
      </w:r>
      <w:r w:rsidR="004F4AA8">
        <w:rPr>
          <w:rFonts w:ascii="Times New Roman" w:hAnsi="Times New Roman"/>
          <w:iCs/>
          <w:szCs w:val="24"/>
        </w:rPr>
        <w:t xml:space="preserve">in this context </w:t>
      </w:r>
      <w:r>
        <w:rPr>
          <w:rFonts w:ascii="Times New Roman" w:hAnsi="Times New Roman"/>
          <w:iCs/>
          <w:szCs w:val="24"/>
        </w:rPr>
        <w:t xml:space="preserve">to incentivise cooperative behaviours. For instance, the </w:t>
      </w:r>
      <w:r w:rsidRPr="00FC0A55">
        <w:rPr>
          <w:rFonts w:ascii="Times New Roman" w:hAnsi="Times New Roman"/>
          <w:iCs/>
          <w:szCs w:val="24"/>
        </w:rPr>
        <w:t>Security Action for Europe (SAFE) Regulation</w:t>
      </w:r>
      <w:r>
        <w:rPr>
          <w:rStyle w:val="FootnoteReference"/>
        </w:rPr>
        <w:footnoteReference w:id="12"/>
      </w:r>
      <w:r>
        <w:rPr>
          <w:rFonts w:ascii="Times New Roman" w:hAnsi="Times New Roman"/>
          <w:iCs/>
          <w:szCs w:val="24"/>
        </w:rPr>
        <w:t xml:space="preserve"> provides that defence products acquired under common procurement actions supported by the SAFE instrument should be exempted from VAT</w:t>
      </w:r>
      <w:r w:rsidRPr="00745A22" w:rsidR="00745A22">
        <w:rPr>
          <w:color w:val="333333"/>
          <w:sz w:val="27"/>
          <w:szCs w:val="27"/>
          <w:shd w:val="clear" w:color="auto" w:fill="FFFFFF"/>
        </w:rPr>
        <w:t xml:space="preserve"> </w:t>
      </w:r>
      <w:r w:rsidRPr="00745A22" w:rsidR="00745A22">
        <w:rPr>
          <w:rFonts w:ascii="Times New Roman" w:hAnsi="Times New Roman"/>
          <w:iCs/>
          <w:szCs w:val="24"/>
        </w:rPr>
        <w:t>applicable under Directive 2006/112/EC</w:t>
      </w:r>
      <w:r>
        <w:rPr>
          <w:rStyle w:val="FootnoteReference"/>
        </w:rPr>
        <w:footnoteReference w:id="13"/>
      </w:r>
      <w:r>
        <w:rPr>
          <w:rFonts w:ascii="Times New Roman" w:hAnsi="Times New Roman"/>
          <w:iCs/>
          <w:szCs w:val="24"/>
        </w:rPr>
        <w:t>. This is a targeted exemption that only applies to the supplies made for the purposes of contracts resulting from procurements under the SAFE instrument. By being directly included into the SAFE Regulation, it further cannot hamper the joint procurement of goods and services falling within the scope of the Regulation.</w:t>
      </w:r>
    </w:p>
    <w:p w:rsidR="00F64BA2" w:rsidRPr="00EB4C57" w:rsidP="00B37ACA" w14:paraId="3A9331C8" w14:textId="666A5A29">
      <w:pPr>
        <w:widowControl w:val="0"/>
        <w:rPr>
          <w:rFonts w:ascii="Times New Roman" w:hAnsi="Times New Roman"/>
          <w:szCs w:val="24"/>
        </w:rPr>
      </w:pPr>
      <w:r>
        <w:rPr>
          <w:rFonts w:ascii="Times New Roman" w:hAnsi="Times New Roman"/>
          <w:szCs w:val="24"/>
        </w:rPr>
        <w:t xml:space="preserve">Furthermore, a specific VAT exemption is provided for in the VAT Directive (Article 151(b)) for supplies to international bodies recognised as such by its host Member State, </w:t>
      </w:r>
      <w:r w:rsidR="00A33557">
        <w:rPr>
          <w:rFonts w:ascii="Times New Roman" w:hAnsi="Times New Roman"/>
          <w:szCs w:val="24"/>
        </w:rPr>
        <w:t xml:space="preserve">including supplies following joint procurement of </w:t>
      </w:r>
      <w:r>
        <w:rPr>
          <w:rFonts w:ascii="Times New Roman" w:hAnsi="Times New Roman"/>
          <w:szCs w:val="24"/>
        </w:rPr>
        <w:t>military equipment such as envisaged by EDIP. The VAT exemption would then apply once a consortium fulfils all conditions to be considered an international body and is recognised as such by its host Member State.</w:t>
      </w:r>
    </w:p>
    <w:p w:rsidR="00492218" w:rsidRPr="00C9233F" w:rsidP="00492218" w14:paraId="34096A8C" w14:textId="48EC11C1">
      <w:pPr>
        <w:widowControl w:val="0"/>
        <w:rPr>
          <w:rFonts w:ascii="Times New Roman" w:hAnsi="Times New Roman"/>
          <w:iCs/>
          <w:szCs w:val="24"/>
        </w:rPr>
      </w:pPr>
      <w:r>
        <w:rPr>
          <w:rFonts w:ascii="Times New Roman" w:hAnsi="Times New Roman"/>
          <w:iCs/>
          <w:szCs w:val="24"/>
        </w:rPr>
        <w:t xml:space="preserve">Concerning paragraph 33, the Commission, within its remit, encourages all initiatives supporting skills development and filling-in skills gaps in the EU defence industry, such as the Pact for Skills, or cross-border training and educational cooperation. The Commission is currently studying the attractiveness of the defence industry and existing barriers to labour mobility in the defence industry sector and will study the possible ways forward. </w:t>
      </w:r>
      <w:r>
        <w:rPr>
          <w:rFonts w:ascii="Times New Roman" w:hAnsi="Times New Roman"/>
          <w:iCs/>
          <w:szCs w:val="24"/>
        </w:rPr>
        <w:tab/>
      </w:r>
    </w:p>
    <w:p w:rsidR="00492218" w:rsidRPr="00C9233F" w:rsidP="00492218" w14:paraId="5DE1BF16" w14:textId="0D62F76B">
      <w:pPr>
        <w:widowControl w:val="0"/>
        <w:rPr>
          <w:rFonts w:ascii="Times New Roman" w:hAnsi="Times New Roman"/>
          <w:iCs/>
          <w:szCs w:val="24"/>
        </w:rPr>
      </w:pPr>
      <w:r>
        <w:rPr>
          <w:rFonts w:ascii="Times New Roman" w:hAnsi="Times New Roman"/>
          <w:iCs/>
          <w:szCs w:val="24"/>
        </w:rPr>
        <w:t xml:space="preserve">To boost job-matching and interest from young people, the Defence Industry Transformation Roadmap announced the creation of a Defence Talent Platform to advertise early career job opportunities for young professionals and provide financial contributions for traineeships in the defence sector. This will be the occasion to assess more in-depth the concrete needs and possible further support from the Commission. The platform will be implemented as part of the supporting actions under EDIP. </w:t>
      </w:r>
    </w:p>
    <w:p w:rsidR="00EC39B2" w:rsidRPr="00C9233F" w14:paraId="795C0472" w14:textId="04BEE458">
      <w:pPr>
        <w:widowControl w:val="0"/>
        <w:rPr>
          <w:rFonts w:ascii="Times New Roman" w:hAnsi="Times New Roman"/>
          <w:iCs/>
          <w:szCs w:val="24"/>
        </w:rPr>
      </w:pPr>
      <w:r>
        <w:rPr>
          <w:rFonts w:ascii="Times New Roman" w:hAnsi="Times New Roman"/>
          <w:iCs/>
          <w:szCs w:val="24"/>
        </w:rPr>
        <w:t xml:space="preserve">In </w:t>
      </w:r>
      <w:r w:rsidR="00995BDB">
        <w:rPr>
          <w:rFonts w:ascii="Times New Roman" w:hAnsi="Times New Roman"/>
          <w:iCs/>
          <w:szCs w:val="24"/>
        </w:rPr>
        <w:t xml:space="preserve">November 2025 </w:t>
      </w:r>
      <w:r>
        <w:rPr>
          <w:rFonts w:ascii="Times New Roman" w:hAnsi="Times New Roman"/>
          <w:iCs/>
          <w:szCs w:val="24"/>
        </w:rPr>
        <w:t>the Commission also launched a Skills Guarantee pilot initiative aiming at providing support for workers transitioning from the automotive sector to growing sectors, including defence.</w:t>
      </w:r>
    </w:p>
    <w:p w:rsidR="00EC39B2" w:rsidRPr="00A94FA4" w:rsidP="00C423E2" w14:paraId="67F327CD" w14:textId="0F448495">
      <w:pPr>
        <w:widowControl w:val="0"/>
        <w:rPr>
          <w:rFonts w:ascii="Times New Roman" w:hAnsi="Times New Roman"/>
          <w:iCs/>
          <w:szCs w:val="24"/>
        </w:rPr>
      </w:pPr>
      <w:r>
        <w:rPr>
          <w:rFonts w:ascii="Times New Roman" w:hAnsi="Times New Roman"/>
          <w:iCs/>
          <w:szCs w:val="24"/>
        </w:rPr>
        <w:t xml:space="preserve">On paragraph 34, the Commission acknowledges the call to further quantify the potential financial and operational benefits of a single market for defence, through an independent impact assessment. The Commission reiterates its intention to submit a legislative proposal on the revision of </w:t>
      </w:r>
      <w:r w:rsidRPr="00FC0A55">
        <w:rPr>
          <w:rFonts w:ascii="Times New Roman" w:hAnsi="Times New Roman"/>
          <w:iCs/>
          <w:szCs w:val="24"/>
        </w:rPr>
        <w:t>Directive 2009/81/EC</w:t>
      </w:r>
      <w:r>
        <w:rPr>
          <w:rFonts w:ascii="Times New Roman" w:hAnsi="Times New Roman"/>
          <w:iCs/>
          <w:szCs w:val="24"/>
        </w:rPr>
        <w:t xml:space="preserve"> on defence procurement in 2026. It will be accompanied by an impact assessment. The Commission plans to also present in 2026 an evaluation of </w:t>
      </w:r>
      <w:r w:rsidRPr="00FC0A55">
        <w:rPr>
          <w:rFonts w:ascii="Times New Roman" w:hAnsi="Times New Roman"/>
          <w:iCs/>
          <w:szCs w:val="24"/>
        </w:rPr>
        <w:t>Directive 2009/43/EC</w:t>
      </w:r>
      <w:r>
        <w:rPr>
          <w:rFonts w:ascii="Times New Roman" w:hAnsi="Times New Roman"/>
          <w:iCs/>
          <w:szCs w:val="24"/>
        </w:rPr>
        <w:t xml:space="preserve"> on intra-EU transfers of defence-related products and a Communication on the internal market for defence products and services. These documents should provide information on the benefits of the internal market for defence products and services.</w:t>
      </w:r>
    </w:p>
    <w:p w:rsidR="008B51AE" w:rsidRPr="00C9233F" w:rsidP="48404FCA" w14:paraId="007EA94F" w14:textId="151BAC74">
      <w:pPr>
        <w:widowControl w:val="0"/>
        <w:rPr>
          <w:rFonts w:ascii="Times New Roman" w:hAnsi="Times New Roman"/>
        </w:rPr>
      </w:pPr>
      <w:r w:rsidRPr="48404FCA">
        <w:rPr>
          <w:rFonts w:ascii="Times New Roman" w:hAnsi="Times New Roman"/>
        </w:rPr>
        <w:t xml:space="preserve">The Commission further refers to the reports </w:t>
      </w:r>
      <w:r w:rsidRPr="00955D73">
        <w:rPr>
          <w:rFonts w:ascii="Times New Roman" w:hAnsi="Times New Roman"/>
          <w:i/>
          <w:iCs/>
        </w:rPr>
        <w:t>Safer Together – Strengthening Europe’s Civilian and Military Preparedness and Readiness</w:t>
      </w:r>
      <w:r w:rsidRPr="48404FCA">
        <w:rPr>
          <w:rFonts w:ascii="Times New Roman" w:hAnsi="Times New Roman"/>
        </w:rPr>
        <w:t xml:space="preserve"> prepared by Sauli Niinistö, </w:t>
      </w:r>
      <w:r w:rsidRPr="00955D73">
        <w:rPr>
          <w:rFonts w:ascii="Times New Roman" w:hAnsi="Times New Roman"/>
          <w:i/>
          <w:iCs/>
        </w:rPr>
        <w:t>Much</w:t>
      </w:r>
      <w:r w:rsidRPr="00955D73">
        <w:rPr>
          <w:rFonts w:ascii="Times New Roman" w:hAnsi="Times New Roman"/>
          <w:i/>
          <w:iCs/>
        </w:rPr>
        <w:t xml:space="preserve"> </w:t>
      </w:r>
      <w:r w:rsidRPr="00955D73">
        <w:rPr>
          <w:rFonts w:ascii="Times New Roman" w:hAnsi="Times New Roman"/>
          <w:i/>
          <w:iCs/>
        </w:rPr>
        <w:t xml:space="preserve">more than a Market </w:t>
      </w:r>
      <w:r w:rsidRPr="48404FCA">
        <w:rPr>
          <w:rFonts w:ascii="Times New Roman" w:hAnsi="Times New Roman"/>
        </w:rPr>
        <w:t xml:space="preserve">by Enrico Letta and </w:t>
      </w:r>
      <w:r w:rsidRPr="00955D73">
        <w:rPr>
          <w:rFonts w:ascii="Times New Roman" w:hAnsi="Times New Roman"/>
          <w:i/>
          <w:iCs/>
        </w:rPr>
        <w:t>The</w:t>
      </w:r>
      <w:r w:rsidRPr="00955D73">
        <w:rPr>
          <w:rFonts w:ascii="Times New Roman" w:hAnsi="Times New Roman"/>
          <w:i/>
          <w:iCs/>
        </w:rPr>
        <w:t xml:space="preserve"> future of European Competitiveness</w:t>
      </w:r>
      <w:r w:rsidRPr="48404FCA">
        <w:rPr>
          <w:rFonts w:ascii="Times New Roman" w:hAnsi="Times New Roman"/>
        </w:rPr>
        <w:t xml:space="preserve"> outlined by Mario Draghi. The Commission also points to its recent </w:t>
      </w:r>
      <w:r w:rsidRPr="00955D73">
        <w:rPr>
          <w:rFonts w:ascii="Times New Roman" w:hAnsi="Times New Roman"/>
          <w:i/>
          <w:iCs/>
        </w:rPr>
        <w:t>2026 European Macroeconomic Report</w:t>
      </w:r>
      <w:r w:rsidRPr="48404FCA">
        <w:rPr>
          <w:rFonts w:ascii="Times New Roman" w:hAnsi="Times New Roman"/>
        </w:rPr>
        <w:t xml:space="preserve"> in which it provides data on macroeconomic impacts of defence spending.</w:t>
      </w:r>
    </w:p>
    <w:p w:rsidR="00EC39B2" w:rsidRPr="00C9233F" w:rsidP="00C423E2" w14:paraId="6B56F2B2" w14:textId="5EBB5C5E">
      <w:pPr>
        <w:widowControl w:val="0"/>
        <w:rPr>
          <w:rFonts w:ascii="Times New Roman" w:hAnsi="Times New Roman"/>
          <w:iCs/>
          <w:szCs w:val="24"/>
        </w:rPr>
      </w:pPr>
      <w:r>
        <w:rPr>
          <w:rFonts w:ascii="Times New Roman" w:hAnsi="Times New Roman"/>
          <w:iCs/>
          <w:szCs w:val="24"/>
        </w:rPr>
        <w:t xml:space="preserve">Lastly, regarding paragraph 36 </w:t>
      </w:r>
      <w:r>
        <w:rPr>
          <w:rFonts w:ascii="Times New Roman" w:hAnsi="Times New Roman"/>
          <w:szCs w:val="24"/>
        </w:rPr>
        <w:t xml:space="preserve">under the EDF, the Commission has developed the security framework to ensure the secure channels for the exchange of classified information with the industry involved in EDF projects. It includes the establishment of Programme Security Instruction (PSIs) and the deployment of a secure interservice consultation system CIS and SUE (Secret de </w:t>
      </w:r>
      <w:r>
        <w:rPr>
          <w:rFonts w:ascii="Times New Roman" w:hAnsi="Times New Roman"/>
          <w:szCs w:val="24"/>
        </w:rPr>
        <w:t>l’Union</w:t>
      </w:r>
      <w:r>
        <w:rPr>
          <w:rFonts w:ascii="Times New Roman" w:hAnsi="Times New Roman"/>
          <w:szCs w:val="24"/>
        </w:rPr>
        <w:t xml:space="preserve"> </w:t>
      </w:r>
      <w:r>
        <w:rPr>
          <w:rFonts w:ascii="Times New Roman" w:hAnsi="Times New Roman"/>
          <w:szCs w:val="24"/>
        </w:rPr>
        <w:t>Européenne</w:t>
      </w:r>
      <w:r>
        <w:rPr>
          <w:rFonts w:ascii="Times New Roman" w:hAnsi="Times New Roman"/>
          <w:szCs w:val="24"/>
        </w:rPr>
        <w:t>) system.</w:t>
      </w:r>
    </w:p>
    <w:p w:rsidR="008B51AE" w:rsidRPr="00C9233F" w:rsidP="00B37ACA" w14:paraId="2CD81128" w14:textId="77777777">
      <w:pPr>
        <w:widowControl w:val="0"/>
        <w:rPr>
          <w:rFonts w:ascii="Times New Roman" w:hAnsi="Times New Roman"/>
          <w:iCs/>
          <w:szCs w:val="24"/>
        </w:rPr>
      </w:pPr>
    </w:p>
    <w:sectPr w:rsidSect="000A07D2">
      <w:footerReference w:type="even" r:id="rId9"/>
      <w:footerReference w:type="default" r:id="rId10"/>
      <w:footerReference w:type="first" r:id="rId11"/>
      <w:footnotePr>
        <w:numRestart w:val="eachSect"/>
      </w:footnotePr>
      <w:pgSz w:w="11906" w:h="16838" w:code="9"/>
      <w:pgMar w:top="1021" w:right="1701"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6BE51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5E6EC2" w14:paraId="4DFA2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44051E8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82E5F">
      <w:rPr>
        <w:rStyle w:val="PageNumber"/>
        <w:noProof/>
      </w:rPr>
      <w:t>3</w:t>
    </w:r>
    <w:r>
      <w:rPr>
        <w:rStyle w:val="PageNumber"/>
      </w:rPr>
      <w:fldChar w:fldCharType="end"/>
    </w:r>
  </w:p>
  <w:p w:rsidR="005E6EC2" w:rsidRPr="008A6623" w:rsidP="008A6623" w14:paraId="13721D28"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442B2E" w14:paraId="60EECEBF" w14:textId="77777777">
    <w:pPr>
      <w:pStyle w:val="Footer"/>
      <w:rPr>
        <w:lang w:val="fr-BE"/>
      </w:rPr>
    </w:pPr>
    <w:r>
      <w:rPr>
        <w:lang w:val="fr-BE"/>
      </w:rPr>
      <w:t>Commission européenne, B-1049 Bruxelles – Belgique. Téléphone : (32-2) 299 11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0BD9" w14:paraId="32FCABC3" w14:textId="77777777">
      <w:r>
        <w:separator/>
      </w:r>
    </w:p>
  </w:footnote>
  <w:footnote w:type="continuationSeparator" w:id="1">
    <w:p w:rsidR="006F0BD9" w14:paraId="5C6F97E7" w14:textId="77777777">
      <w:r>
        <w:continuationSeparator/>
      </w:r>
    </w:p>
  </w:footnote>
  <w:footnote w:type="continuationNotice" w:id="2">
    <w:p w:rsidR="006F0BD9" w14:paraId="29720863" w14:textId="77777777">
      <w:pPr>
        <w:spacing w:after="0"/>
      </w:pPr>
    </w:p>
  </w:footnote>
  <w:footnote w:id="3">
    <w:p w:rsidR="00FC0A55" w:rsidRPr="00955D73" w14:paraId="71CE449B" w14:textId="61FA777A">
      <w:pPr>
        <w:pStyle w:val="FootnoteText"/>
        <w:rPr>
          <w:rFonts w:ascii="Times New Roman" w:hAnsi="Times New Roman"/>
          <w:lang w:val="fr-BE"/>
        </w:rPr>
      </w:pPr>
      <w:r>
        <w:rPr>
          <w:rStyle w:val="FootnoteReference"/>
        </w:rPr>
        <w:footnoteRef/>
      </w:r>
      <w:r w:rsidRPr="00955D73" w:rsidR="00E725B9">
        <w:rPr>
          <w:rFonts w:ascii="Times New Roman" w:hAnsi="Times New Roman"/>
          <w:lang w:val="fr-BE"/>
        </w:rPr>
        <w:t xml:space="preserve"> </w:t>
      </w:r>
      <w:hyperlink r:id="rId1" w:history="1">
        <w:r w:rsidRPr="00955D73" w:rsidR="00DF5EF9">
          <w:rPr>
            <w:rStyle w:val="Hyperlink"/>
            <w:rFonts w:ascii="Times New Roman" w:hAnsi="Times New Roman"/>
            <w:lang w:val="fr-BE"/>
          </w:rPr>
          <w:t>EUR-Lex - 02009L0081-20260101 - EN - EUR-Lex</w:t>
        </w:r>
      </w:hyperlink>
    </w:p>
  </w:footnote>
  <w:footnote w:id="4">
    <w:p w:rsidR="00FC0A55" w:rsidRPr="00955D73" w14:paraId="6F5A8333" w14:textId="7063D9C6">
      <w:pPr>
        <w:pStyle w:val="FootnoteText"/>
        <w:rPr>
          <w:rFonts w:ascii="Times New Roman" w:hAnsi="Times New Roman"/>
          <w:lang w:val="fr-BE"/>
        </w:rPr>
      </w:pPr>
      <w:r w:rsidRPr="00FC0A55">
        <w:rPr>
          <w:rStyle w:val="FootnoteReference"/>
          <w:rFonts w:ascii="Times New Roman" w:hAnsi="Times New Roman"/>
        </w:rPr>
        <w:footnoteRef/>
      </w:r>
      <w:r w:rsidRPr="00955D73">
        <w:rPr>
          <w:rFonts w:ascii="Times New Roman" w:hAnsi="Times New Roman"/>
          <w:lang w:val="fr-BE"/>
        </w:rPr>
        <w:t xml:space="preserve"> </w:t>
      </w:r>
      <w:hyperlink r:id="rId2" w:history="1">
        <w:r w:rsidRPr="00955D73" w:rsidR="00DF5EF9">
          <w:rPr>
            <w:rStyle w:val="Hyperlink"/>
            <w:rFonts w:ascii="Times New Roman" w:hAnsi="Times New Roman"/>
            <w:lang w:val="fr-BE"/>
          </w:rPr>
          <w:t>EUR-Lex - 52025DC0870 - EN - EUR-Lex</w:t>
        </w:r>
      </w:hyperlink>
    </w:p>
  </w:footnote>
  <w:footnote w:id="5">
    <w:p w:rsidR="00FC0A55" w:rsidRPr="00955D73" w14:paraId="36B40C6D" w14:textId="353FEE3C">
      <w:pPr>
        <w:pStyle w:val="FootnoteText"/>
        <w:rPr>
          <w:rFonts w:ascii="Times New Roman" w:hAnsi="Times New Roman"/>
          <w:lang w:val="fr-BE"/>
        </w:rPr>
      </w:pPr>
      <w:r w:rsidRPr="00FC0A55">
        <w:rPr>
          <w:rStyle w:val="FootnoteReference"/>
          <w:rFonts w:ascii="Times New Roman" w:hAnsi="Times New Roman"/>
        </w:rPr>
        <w:footnoteRef/>
      </w:r>
      <w:r w:rsidRPr="00955D73" w:rsidR="00DF5EF9">
        <w:rPr>
          <w:rFonts w:ascii="Times New Roman" w:hAnsi="Times New Roman"/>
          <w:lang w:val="fr-BE"/>
        </w:rPr>
        <w:t xml:space="preserve"> </w:t>
      </w:r>
      <w:hyperlink r:id="rId3" w:history="1">
        <w:r w:rsidRPr="00955D73" w:rsidR="00DF5EF9">
          <w:rPr>
            <w:rStyle w:val="Hyperlink"/>
            <w:rFonts w:ascii="Times New Roman" w:hAnsi="Times New Roman"/>
            <w:lang w:val="fr-BE"/>
          </w:rPr>
          <w:t>EUR-Lex - 52026PC0135 - EN - EUR-Lex</w:t>
        </w:r>
      </w:hyperlink>
    </w:p>
  </w:footnote>
  <w:footnote w:id="6">
    <w:p w:rsidR="00FC0A55" w:rsidRPr="00955D73" w14:paraId="78F517A5" w14:textId="6054168F">
      <w:pPr>
        <w:pStyle w:val="FootnoteText"/>
        <w:rPr>
          <w:rFonts w:ascii="Times New Roman" w:hAnsi="Times New Roman"/>
          <w:lang w:val="fr-BE"/>
        </w:rPr>
      </w:pPr>
      <w:r w:rsidRPr="00FC0A55">
        <w:rPr>
          <w:rStyle w:val="FootnoteReference"/>
          <w:rFonts w:ascii="Times New Roman" w:hAnsi="Times New Roman"/>
        </w:rPr>
        <w:footnoteRef/>
      </w:r>
      <w:r w:rsidRPr="00955D73">
        <w:rPr>
          <w:rFonts w:ascii="Times New Roman" w:hAnsi="Times New Roman"/>
          <w:lang w:val="fr-BE"/>
        </w:rPr>
        <w:t xml:space="preserve"> </w:t>
      </w:r>
      <w:hyperlink r:id="rId4" w:history="1">
        <w:r w:rsidRPr="00955D73" w:rsidR="00E725B9">
          <w:rPr>
            <w:rStyle w:val="Hyperlink"/>
            <w:rFonts w:ascii="Times New Roman" w:hAnsi="Times New Roman"/>
            <w:lang w:val="fr-BE"/>
          </w:rPr>
          <w:t>EUR-Lex - 12016E346 - EN - EUR-Lex</w:t>
        </w:r>
      </w:hyperlink>
    </w:p>
  </w:footnote>
  <w:footnote w:id="7">
    <w:p w:rsidR="00FC0A55" w:rsidRPr="00955D73" w14:paraId="0AEA467D" w14:textId="5A734323">
      <w:pPr>
        <w:pStyle w:val="FootnoteText"/>
        <w:rPr>
          <w:lang w:val="fr-BE"/>
        </w:rPr>
      </w:pPr>
      <w:r w:rsidRPr="00FC0A55">
        <w:rPr>
          <w:rStyle w:val="FootnoteReference"/>
          <w:rFonts w:ascii="Times New Roman" w:hAnsi="Times New Roman"/>
        </w:rPr>
        <w:footnoteRef/>
      </w:r>
      <w:r w:rsidRPr="00955D73">
        <w:rPr>
          <w:rFonts w:ascii="Times New Roman" w:hAnsi="Times New Roman"/>
          <w:lang w:val="fr-BE"/>
        </w:rPr>
        <w:t xml:space="preserve"> </w:t>
      </w:r>
      <w:hyperlink r:id="rId5" w:history="1">
        <w:r w:rsidRPr="00955D73" w:rsidR="00E725B9">
          <w:rPr>
            <w:rStyle w:val="Hyperlink"/>
            <w:rFonts w:ascii="Times New Roman" w:hAnsi="Times New Roman"/>
            <w:lang w:val="fr-BE"/>
          </w:rPr>
          <w:t>EUR-Lex - 52006DC0779 - EN - EUR-Lex</w:t>
        </w:r>
      </w:hyperlink>
    </w:p>
  </w:footnote>
  <w:footnote w:id="8">
    <w:p w:rsidR="00FC0A55" w:rsidRPr="00955D73" w14:paraId="5A60FE17" w14:textId="2DDA9089">
      <w:pPr>
        <w:pStyle w:val="FootnoteText"/>
        <w:rPr>
          <w:rFonts w:ascii="Times New Roman" w:hAnsi="Times New Roman"/>
          <w:lang w:val="fr-BE"/>
        </w:rPr>
      </w:pPr>
      <w:r w:rsidRPr="00941C92">
        <w:rPr>
          <w:rStyle w:val="FootnoteReference"/>
          <w:rFonts w:ascii="Times New Roman" w:hAnsi="Times New Roman"/>
        </w:rPr>
        <w:footnoteRef/>
      </w:r>
      <w:r w:rsidRPr="00955D73">
        <w:rPr>
          <w:rFonts w:ascii="Times New Roman" w:hAnsi="Times New Roman"/>
          <w:lang w:val="fr-BE"/>
        </w:rPr>
        <w:t xml:space="preserve"> </w:t>
      </w:r>
      <w:hyperlink r:id="rId6" w:history="1">
        <w:r w:rsidRPr="00955D73" w:rsidR="00E67C18">
          <w:rPr>
            <w:rStyle w:val="Hyperlink"/>
            <w:rFonts w:ascii="Times New Roman" w:hAnsi="Times New Roman"/>
            <w:lang w:val="fr-BE"/>
          </w:rPr>
          <w:t>Regulation - 2025/2643 - EN - EUR-Lex</w:t>
        </w:r>
      </w:hyperlink>
    </w:p>
  </w:footnote>
  <w:footnote w:id="9">
    <w:p w:rsidR="00FC0A55" w:rsidRPr="00955D73" w14:paraId="0C86180E" w14:textId="05814C24">
      <w:pPr>
        <w:pStyle w:val="FootnoteText"/>
        <w:rPr>
          <w:lang w:val="fr-BE"/>
        </w:rPr>
      </w:pPr>
      <w:r w:rsidRPr="00941C92">
        <w:rPr>
          <w:rStyle w:val="FootnoteReference"/>
          <w:rFonts w:ascii="Times New Roman" w:hAnsi="Times New Roman"/>
        </w:rPr>
        <w:footnoteRef/>
      </w:r>
      <w:r w:rsidRPr="00955D73">
        <w:rPr>
          <w:rFonts w:ascii="Times New Roman" w:hAnsi="Times New Roman"/>
          <w:lang w:val="fr-BE"/>
        </w:rPr>
        <w:t xml:space="preserve"> </w:t>
      </w:r>
      <w:r w:rsidRPr="00955D73" w:rsidR="00E67C18">
        <w:rPr>
          <w:rFonts w:ascii="Times New Roman" w:hAnsi="Times New Roman"/>
          <w:lang w:val="fr-BE"/>
        </w:rPr>
        <w:t xml:space="preserve"> </w:t>
      </w:r>
      <w:hyperlink r:id="rId7" w:history="1">
        <w:r w:rsidRPr="00955D73" w:rsidR="00E67C18">
          <w:rPr>
            <w:rStyle w:val="Hyperlink"/>
            <w:rFonts w:ascii="Times New Roman" w:hAnsi="Times New Roman"/>
            <w:lang w:val="fr-BE"/>
          </w:rPr>
          <w:t>EUR-Lex - 52025DC0820 - EN - EUR-Lex</w:t>
        </w:r>
      </w:hyperlink>
    </w:p>
  </w:footnote>
  <w:footnote w:id="10">
    <w:p w:rsidR="00FC0A55" w:rsidRPr="00955D73" w14:paraId="47E8B241" w14:textId="1EF2514E">
      <w:pPr>
        <w:pStyle w:val="FootnoteText"/>
        <w:rPr>
          <w:rFonts w:ascii="Times New Roman" w:hAnsi="Times New Roman"/>
          <w:lang w:val="fr-BE"/>
        </w:rPr>
      </w:pPr>
      <w:r w:rsidRPr="00941C92">
        <w:rPr>
          <w:rStyle w:val="FootnoteReference"/>
          <w:rFonts w:ascii="Times New Roman" w:hAnsi="Times New Roman"/>
        </w:rPr>
        <w:footnoteRef/>
      </w:r>
      <w:r w:rsidRPr="00955D73">
        <w:rPr>
          <w:rFonts w:ascii="Times New Roman" w:hAnsi="Times New Roman"/>
          <w:lang w:val="fr-BE"/>
        </w:rPr>
        <w:t xml:space="preserve"> </w:t>
      </w:r>
      <w:hyperlink r:id="rId8" w:history="1">
        <w:r w:rsidRPr="00955D73" w:rsidR="00E67C18">
          <w:rPr>
            <w:rStyle w:val="Hyperlink"/>
            <w:rFonts w:ascii="Times New Roman" w:hAnsi="Times New Roman"/>
            <w:lang w:val="fr-BE"/>
          </w:rPr>
          <w:t>EUR-Lex - 52025JC0027 - EN - EUR-Lex</w:t>
        </w:r>
      </w:hyperlink>
    </w:p>
  </w:footnote>
  <w:footnote w:id="11">
    <w:p w:rsidR="00FC0A55" w:rsidRPr="00955D73" w14:paraId="117E0FF3" w14:textId="7554E799">
      <w:pPr>
        <w:pStyle w:val="FootnoteText"/>
        <w:rPr>
          <w:lang w:val="fr-BE"/>
        </w:rPr>
      </w:pPr>
      <w:r w:rsidRPr="00941C92">
        <w:rPr>
          <w:rStyle w:val="FootnoteReference"/>
          <w:rFonts w:ascii="Times New Roman" w:hAnsi="Times New Roman"/>
        </w:rPr>
        <w:footnoteRef/>
      </w:r>
      <w:r w:rsidRPr="00955D73">
        <w:rPr>
          <w:rFonts w:ascii="Times New Roman" w:hAnsi="Times New Roman"/>
          <w:lang w:val="fr-BE"/>
        </w:rPr>
        <w:t xml:space="preserve"> </w:t>
      </w:r>
      <w:hyperlink r:id="rId9" w:history="1">
        <w:r w:rsidRPr="00955D73" w:rsidR="00E67C18">
          <w:rPr>
            <w:rStyle w:val="Hyperlink"/>
            <w:rFonts w:ascii="Times New Roman" w:hAnsi="Times New Roman"/>
            <w:lang w:val="fr-BE"/>
          </w:rPr>
          <w:t>EUR-Lex - 52025DC0845 - EN - EUR-Lex</w:t>
        </w:r>
      </w:hyperlink>
    </w:p>
  </w:footnote>
  <w:footnote w:id="12">
    <w:p w:rsidR="00FC0A55" w:rsidRPr="00955D73" w14:paraId="38897C32" w14:textId="78C9CF02">
      <w:pPr>
        <w:pStyle w:val="FootnoteText"/>
        <w:rPr>
          <w:rFonts w:ascii="Times New Roman" w:hAnsi="Times New Roman"/>
          <w:lang w:val="fr-BE"/>
        </w:rPr>
      </w:pPr>
      <w:r w:rsidRPr="00941C92">
        <w:rPr>
          <w:rStyle w:val="FootnoteReference"/>
          <w:rFonts w:ascii="Times New Roman" w:hAnsi="Times New Roman"/>
        </w:rPr>
        <w:footnoteRef/>
      </w:r>
      <w:r w:rsidRPr="00955D73">
        <w:rPr>
          <w:rFonts w:ascii="Times New Roman" w:hAnsi="Times New Roman"/>
          <w:lang w:val="fr-BE"/>
        </w:rPr>
        <w:t xml:space="preserve"> </w:t>
      </w:r>
      <w:hyperlink r:id="rId10" w:history="1">
        <w:r w:rsidRPr="00955D73" w:rsidR="0077035B">
          <w:rPr>
            <w:rStyle w:val="Hyperlink"/>
            <w:rFonts w:ascii="Times New Roman" w:hAnsi="Times New Roman"/>
            <w:lang w:val="fr-BE"/>
          </w:rPr>
          <w:t>Regulation - EU - 2025/1106 - EN - EUR-Lex</w:t>
        </w:r>
      </w:hyperlink>
    </w:p>
  </w:footnote>
  <w:footnote w:id="13">
    <w:p w:rsidR="00FC0A55" w:rsidRPr="00955D73" w14:paraId="2C01898F" w14:textId="4EAC4685">
      <w:pPr>
        <w:pStyle w:val="FootnoteText"/>
        <w:rPr>
          <w:lang w:val="fr-BE"/>
        </w:rPr>
      </w:pPr>
      <w:r w:rsidRPr="00941C92">
        <w:rPr>
          <w:rStyle w:val="FootnoteReference"/>
          <w:rFonts w:ascii="Times New Roman" w:hAnsi="Times New Roman"/>
        </w:rPr>
        <w:footnoteRef/>
      </w:r>
      <w:r w:rsidRPr="00955D73">
        <w:rPr>
          <w:rFonts w:ascii="Times New Roman" w:hAnsi="Times New Roman"/>
          <w:lang w:val="fr-BE"/>
        </w:rPr>
        <w:t xml:space="preserve"> </w:t>
      </w:r>
      <w:hyperlink r:id="rId11" w:history="1">
        <w:r w:rsidRPr="00955D73" w:rsidR="0077035B">
          <w:rPr>
            <w:rStyle w:val="Hyperlink"/>
            <w:rFonts w:ascii="Times New Roman" w:hAnsi="Times New Roman"/>
            <w:lang w:val="fr-BE"/>
          </w:rPr>
          <w:t>EUR-Lex - 02006L0112-20250414 - EN - EUR-Lex</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3C8321C"/>
    <w:multiLevelType w:val="hybridMultilevel"/>
    <w:tmpl w:val="E75EBF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6">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7">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92973D2"/>
    <w:multiLevelType w:val="hybridMultilevel"/>
    <w:tmpl w:val="7B04C9A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9">
    <w:nsid w:val="19D23947"/>
    <w:multiLevelType w:val="hybridMultilevel"/>
    <w:tmpl w:val="A4003DA6"/>
    <w:lvl w:ilvl="0">
      <w:start w:val="1"/>
      <w:numFmt w:val="bullet"/>
      <w:lvlText w:val=""/>
      <w:lvlJc w:val="left"/>
      <w:pPr>
        <w:ind w:left="1434" w:hanging="360"/>
      </w:pPr>
      <w:rPr>
        <w:rFonts w:ascii="Symbol" w:hAnsi="Symbol" w:hint="default"/>
      </w:rPr>
    </w:lvl>
    <w:lvl w:ilvl="1" w:tentative="1">
      <w:start w:val="1"/>
      <w:numFmt w:val="bullet"/>
      <w:lvlText w:val="o"/>
      <w:lvlJc w:val="left"/>
      <w:pPr>
        <w:ind w:left="2154" w:hanging="360"/>
      </w:pPr>
      <w:rPr>
        <w:rFonts w:ascii="Courier New" w:hAnsi="Courier New" w:cs="Courier New" w:hint="default"/>
      </w:rPr>
    </w:lvl>
    <w:lvl w:ilvl="2" w:tentative="1">
      <w:start w:val="1"/>
      <w:numFmt w:val="bullet"/>
      <w:lvlText w:val=""/>
      <w:lvlJc w:val="left"/>
      <w:pPr>
        <w:ind w:left="2874" w:hanging="360"/>
      </w:pPr>
      <w:rPr>
        <w:rFonts w:ascii="Wingdings" w:hAnsi="Wingdings" w:hint="default"/>
      </w:rPr>
    </w:lvl>
    <w:lvl w:ilvl="3" w:tentative="1">
      <w:start w:val="1"/>
      <w:numFmt w:val="bullet"/>
      <w:lvlText w:val=""/>
      <w:lvlJc w:val="left"/>
      <w:pPr>
        <w:ind w:left="3594" w:hanging="360"/>
      </w:pPr>
      <w:rPr>
        <w:rFonts w:ascii="Symbol" w:hAnsi="Symbol" w:hint="default"/>
      </w:rPr>
    </w:lvl>
    <w:lvl w:ilvl="4" w:tentative="1">
      <w:start w:val="1"/>
      <w:numFmt w:val="bullet"/>
      <w:lvlText w:val="o"/>
      <w:lvlJc w:val="left"/>
      <w:pPr>
        <w:ind w:left="4314" w:hanging="360"/>
      </w:pPr>
      <w:rPr>
        <w:rFonts w:ascii="Courier New" w:hAnsi="Courier New" w:cs="Courier New" w:hint="default"/>
      </w:rPr>
    </w:lvl>
    <w:lvl w:ilvl="5" w:tentative="1">
      <w:start w:val="1"/>
      <w:numFmt w:val="bullet"/>
      <w:lvlText w:val=""/>
      <w:lvlJc w:val="left"/>
      <w:pPr>
        <w:ind w:left="5034" w:hanging="360"/>
      </w:pPr>
      <w:rPr>
        <w:rFonts w:ascii="Wingdings" w:hAnsi="Wingdings" w:hint="default"/>
      </w:rPr>
    </w:lvl>
    <w:lvl w:ilvl="6" w:tentative="1">
      <w:start w:val="1"/>
      <w:numFmt w:val="bullet"/>
      <w:lvlText w:val=""/>
      <w:lvlJc w:val="left"/>
      <w:pPr>
        <w:ind w:left="5754" w:hanging="360"/>
      </w:pPr>
      <w:rPr>
        <w:rFonts w:ascii="Symbol" w:hAnsi="Symbol" w:hint="default"/>
      </w:rPr>
    </w:lvl>
    <w:lvl w:ilvl="7" w:tentative="1">
      <w:start w:val="1"/>
      <w:numFmt w:val="bullet"/>
      <w:lvlText w:val="o"/>
      <w:lvlJc w:val="left"/>
      <w:pPr>
        <w:ind w:left="6474" w:hanging="360"/>
      </w:pPr>
      <w:rPr>
        <w:rFonts w:ascii="Courier New" w:hAnsi="Courier New" w:cs="Courier New" w:hint="default"/>
      </w:rPr>
    </w:lvl>
    <w:lvl w:ilvl="8" w:tentative="1">
      <w:start w:val="1"/>
      <w:numFmt w:val="bullet"/>
      <w:lvlText w:val=""/>
      <w:lvlJc w:val="left"/>
      <w:pPr>
        <w:ind w:left="7194" w:hanging="360"/>
      </w:pPr>
      <w:rPr>
        <w:rFonts w:ascii="Wingdings" w:hAnsi="Wingdings" w:hint="default"/>
      </w:rPr>
    </w:lvl>
  </w:abstractNum>
  <w:abstractNum w:abstractNumId="1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3">
    <w:nsid w:val="2BBE5D05"/>
    <w:multiLevelType w:val="hybridMultilevel"/>
    <w:tmpl w:val="F7FE6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2F607F"/>
    <w:multiLevelType w:val="hybridMultilevel"/>
    <w:tmpl w:val="2EAE1878"/>
    <w:lvl w:ilvl="0">
      <w:start w:val="1"/>
      <w:numFmt w:val="bullet"/>
      <w:lvlText w:val="-"/>
      <w:lvlJc w:val="left"/>
      <w:pPr>
        <w:ind w:left="786" w:hanging="360"/>
      </w:pPr>
      <w:rPr>
        <w:rFonts w:ascii="Courier New" w:hAnsi="Courier New"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8">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9">
    <w:nsid w:val="51393755"/>
    <w:multiLevelType w:val="hybridMultilevel"/>
    <w:tmpl w:val="2046894C"/>
    <w:lvl w:ilvl="0">
      <w:start w:val="1"/>
      <w:numFmt w:val="bullet"/>
      <w:lvlText w:val=""/>
      <w:lvlJc w:val="left"/>
      <w:pPr>
        <w:ind w:left="4680" w:hanging="360"/>
      </w:pPr>
      <w:rPr>
        <w:rFonts w:ascii="Symbol" w:hAnsi="Symbol" w:hint="default"/>
      </w:rPr>
    </w:lvl>
    <w:lvl w:ilvl="1" w:tentative="1">
      <w:start w:val="1"/>
      <w:numFmt w:val="bullet"/>
      <w:lvlText w:val="o"/>
      <w:lvlJc w:val="left"/>
      <w:pPr>
        <w:ind w:left="5400" w:hanging="360"/>
      </w:pPr>
      <w:rPr>
        <w:rFonts w:ascii="Courier New" w:hAnsi="Courier New" w:cs="Courier New" w:hint="default"/>
      </w:rPr>
    </w:lvl>
    <w:lvl w:ilvl="2" w:tentative="1">
      <w:start w:val="1"/>
      <w:numFmt w:val="bullet"/>
      <w:lvlText w:val=""/>
      <w:lvlJc w:val="left"/>
      <w:pPr>
        <w:ind w:left="6120" w:hanging="360"/>
      </w:pPr>
      <w:rPr>
        <w:rFonts w:ascii="Wingdings" w:hAnsi="Wingdings" w:hint="default"/>
      </w:rPr>
    </w:lvl>
    <w:lvl w:ilvl="3" w:tentative="1">
      <w:start w:val="1"/>
      <w:numFmt w:val="bullet"/>
      <w:lvlText w:val=""/>
      <w:lvlJc w:val="left"/>
      <w:pPr>
        <w:ind w:left="6840" w:hanging="360"/>
      </w:pPr>
      <w:rPr>
        <w:rFonts w:ascii="Symbol" w:hAnsi="Symbol" w:hint="default"/>
      </w:rPr>
    </w:lvl>
    <w:lvl w:ilvl="4" w:tentative="1">
      <w:start w:val="1"/>
      <w:numFmt w:val="bullet"/>
      <w:lvlText w:val="o"/>
      <w:lvlJc w:val="left"/>
      <w:pPr>
        <w:ind w:left="7560" w:hanging="360"/>
      </w:pPr>
      <w:rPr>
        <w:rFonts w:ascii="Courier New" w:hAnsi="Courier New" w:cs="Courier New" w:hint="default"/>
      </w:rPr>
    </w:lvl>
    <w:lvl w:ilvl="5" w:tentative="1">
      <w:start w:val="1"/>
      <w:numFmt w:val="bullet"/>
      <w:lvlText w:val=""/>
      <w:lvlJc w:val="left"/>
      <w:pPr>
        <w:ind w:left="8280" w:hanging="360"/>
      </w:pPr>
      <w:rPr>
        <w:rFonts w:ascii="Wingdings" w:hAnsi="Wingdings" w:hint="default"/>
      </w:rPr>
    </w:lvl>
    <w:lvl w:ilvl="6" w:tentative="1">
      <w:start w:val="1"/>
      <w:numFmt w:val="bullet"/>
      <w:lvlText w:val=""/>
      <w:lvlJc w:val="left"/>
      <w:pPr>
        <w:ind w:left="9000" w:hanging="360"/>
      </w:pPr>
      <w:rPr>
        <w:rFonts w:ascii="Symbol" w:hAnsi="Symbol" w:hint="default"/>
      </w:rPr>
    </w:lvl>
    <w:lvl w:ilvl="7" w:tentative="1">
      <w:start w:val="1"/>
      <w:numFmt w:val="bullet"/>
      <w:lvlText w:val="o"/>
      <w:lvlJc w:val="left"/>
      <w:pPr>
        <w:ind w:left="9720" w:hanging="360"/>
      </w:pPr>
      <w:rPr>
        <w:rFonts w:ascii="Courier New" w:hAnsi="Courier New" w:cs="Courier New" w:hint="default"/>
      </w:rPr>
    </w:lvl>
    <w:lvl w:ilvl="8" w:tentative="1">
      <w:start w:val="1"/>
      <w:numFmt w:val="bullet"/>
      <w:lvlText w:val=""/>
      <w:lvlJc w:val="left"/>
      <w:pPr>
        <w:ind w:left="10440" w:hanging="360"/>
      </w:pPr>
      <w:rPr>
        <w:rFonts w:ascii="Wingdings" w:hAnsi="Wingdings" w:hint="default"/>
      </w:rPr>
    </w:lvl>
  </w:abstractNum>
  <w:abstractNum w:abstractNumId="20">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3">
    <w:nsid w:val="641002BF"/>
    <w:multiLevelType w:val="hybridMultilevel"/>
    <w:tmpl w:val="F1CEEE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2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55933D9"/>
    <w:multiLevelType w:val="hybridMultilevel"/>
    <w:tmpl w:val="B9D46C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767545DE"/>
    <w:multiLevelType w:val="hybridMultilevel"/>
    <w:tmpl w:val="2E307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2">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3">
    <w:nsid w:val="7C1C2230"/>
    <w:multiLevelType w:val="hybridMultilevel"/>
    <w:tmpl w:val="3F74C9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834609195">
    <w:abstractNumId w:val="6"/>
  </w:num>
  <w:num w:numId="2" w16cid:durableId="171652927">
    <w:abstractNumId w:val="1"/>
  </w:num>
  <w:num w:numId="3" w16cid:durableId="569727697">
    <w:abstractNumId w:val="32"/>
  </w:num>
  <w:num w:numId="4" w16cid:durableId="761143288">
    <w:abstractNumId w:val="12"/>
  </w:num>
  <w:num w:numId="5" w16cid:durableId="11272722">
    <w:abstractNumId w:val="26"/>
  </w:num>
  <w:num w:numId="6" w16cid:durableId="782770010">
    <w:abstractNumId w:val="10"/>
  </w:num>
  <w:num w:numId="7" w16cid:durableId="1582178939">
    <w:abstractNumId w:val="5"/>
  </w:num>
  <w:num w:numId="8" w16cid:durableId="588390446">
    <w:abstractNumId w:val="15"/>
  </w:num>
  <w:num w:numId="9" w16cid:durableId="540169940">
    <w:abstractNumId w:val="31"/>
  </w:num>
  <w:num w:numId="10" w16cid:durableId="926959529">
    <w:abstractNumId w:val="22"/>
  </w:num>
  <w:num w:numId="11" w16cid:durableId="163055828">
    <w:abstractNumId w:val="24"/>
  </w:num>
  <w:num w:numId="12" w16cid:durableId="818498099">
    <w:abstractNumId w:val="11"/>
  </w:num>
  <w:num w:numId="13" w16cid:durableId="1476601677">
    <w:abstractNumId w:val="16"/>
  </w:num>
  <w:num w:numId="14" w16cid:durableId="346908523">
    <w:abstractNumId w:val="27"/>
  </w:num>
  <w:num w:numId="15" w16cid:durableId="1867909918">
    <w:abstractNumId w:val="14"/>
  </w:num>
  <w:num w:numId="16" w16cid:durableId="887691365">
    <w:abstractNumId w:val="34"/>
  </w:num>
  <w:num w:numId="17" w16cid:durableId="109052002">
    <w:abstractNumId w:val="30"/>
  </w:num>
  <w:num w:numId="18" w16cid:durableId="932930344">
    <w:abstractNumId w:val="20"/>
  </w:num>
  <w:num w:numId="19" w16cid:durableId="1815296700">
    <w:abstractNumId w:val="21"/>
  </w:num>
  <w:num w:numId="20" w16cid:durableId="1673946011">
    <w:abstractNumId w:val="25"/>
  </w:num>
  <w:num w:numId="21" w16cid:durableId="1719279227">
    <w:abstractNumId w:val="3"/>
  </w:num>
  <w:num w:numId="22" w16cid:durableId="895117912">
    <w:abstractNumId w:val="4"/>
  </w:num>
  <w:num w:numId="23" w16cid:durableId="942031350">
    <w:abstractNumId w:val="19"/>
  </w:num>
  <w:num w:numId="24" w16cid:durableId="586352541">
    <w:abstractNumId w:val="28"/>
  </w:num>
  <w:num w:numId="25" w16cid:durableId="76560440">
    <w:abstractNumId w:val="9"/>
  </w:num>
  <w:num w:numId="26" w16cid:durableId="709111737">
    <w:abstractNumId w:val="29"/>
  </w:num>
  <w:num w:numId="27" w16cid:durableId="487749275">
    <w:abstractNumId w:val="8"/>
  </w:num>
  <w:num w:numId="28" w16cid:durableId="266236028">
    <w:abstractNumId w:val="2"/>
  </w:num>
  <w:num w:numId="29" w16cid:durableId="905267234">
    <w:abstractNumId w:val="13"/>
  </w:num>
  <w:num w:numId="30" w16cid:durableId="1995910076">
    <w:abstractNumId w:val="23"/>
  </w:num>
  <w:num w:numId="31" w16cid:durableId="2021733199">
    <w:abstractNumId w:val="32"/>
  </w:num>
  <w:num w:numId="32" w16cid:durableId="493381111">
    <w:abstractNumId w:val="17"/>
  </w:num>
  <w:num w:numId="33" w16cid:durableId="1322079617">
    <w:abstractNumId w:val="18"/>
  </w:num>
  <w:num w:numId="34" w16cid:durableId="511725369">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numRestart w:val="eachSect"/>
    <w:footnote w:id="0"/>
    <w:footnote w:id="1"/>
    <w:footnote w:id="2"/>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174"/>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8D8"/>
    <w:rsid w:val="00004C3F"/>
    <w:rsid w:val="0000525F"/>
    <w:rsid w:val="000054A7"/>
    <w:rsid w:val="00005541"/>
    <w:rsid w:val="000056D4"/>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A8D"/>
    <w:rsid w:val="00016C72"/>
    <w:rsid w:val="000170C1"/>
    <w:rsid w:val="000171BC"/>
    <w:rsid w:val="00017265"/>
    <w:rsid w:val="0001730F"/>
    <w:rsid w:val="00017430"/>
    <w:rsid w:val="000174AF"/>
    <w:rsid w:val="0001776A"/>
    <w:rsid w:val="00017883"/>
    <w:rsid w:val="00017A67"/>
    <w:rsid w:val="00017AA9"/>
    <w:rsid w:val="00017AB7"/>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658"/>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46D"/>
    <w:rsid w:val="000407AA"/>
    <w:rsid w:val="00040A13"/>
    <w:rsid w:val="00040C7A"/>
    <w:rsid w:val="00040E6E"/>
    <w:rsid w:val="0004105D"/>
    <w:rsid w:val="00041310"/>
    <w:rsid w:val="0004146E"/>
    <w:rsid w:val="000414BC"/>
    <w:rsid w:val="0004189C"/>
    <w:rsid w:val="0004193F"/>
    <w:rsid w:val="0004195A"/>
    <w:rsid w:val="00041A87"/>
    <w:rsid w:val="00041DA3"/>
    <w:rsid w:val="00041F1F"/>
    <w:rsid w:val="0004209B"/>
    <w:rsid w:val="000420DB"/>
    <w:rsid w:val="000421A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64A"/>
    <w:rsid w:val="00072D12"/>
    <w:rsid w:val="00072E6E"/>
    <w:rsid w:val="00072F6B"/>
    <w:rsid w:val="00073100"/>
    <w:rsid w:val="00073283"/>
    <w:rsid w:val="000732A8"/>
    <w:rsid w:val="00073445"/>
    <w:rsid w:val="0007344D"/>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D5"/>
    <w:rsid w:val="000807AE"/>
    <w:rsid w:val="000807B5"/>
    <w:rsid w:val="00080AD9"/>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526A"/>
    <w:rsid w:val="000853EB"/>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94"/>
    <w:rsid w:val="000901F1"/>
    <w:rsid w:val="0009096A"/>
    <w:rsid w:val="00090B6B"/>
    <w:rsid w:val="00090D4B"/>
    <w:rsid w:val="00090EA4"/>
    <w:rsid w:val="00090FC6"/>
    <w:rsid w:val="000910D7"/>
    <w:rsid w:val="00091408"/>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343"/>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D2"/>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20E"/>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5D5"/>
    <w:rsid w:val="000C4733"/>
    <w:rsid w:val="000C4791"/>
    <w:rsid w:val="000C4804"/>
    <w:rsid w:val="000C486E"/>
    <w:rsid w:val="000C4A3F"/>
    <w:rsid w:val="000C4BEC"/>
    <w:rsid w:val="000C4CD3"/>
    <w:rsid w:val="000C52B2"/>
    <w:rsid w:val="000C53D3"/>
    <w:rsid w:val="000C53D4"/>
    <w:rsid w:val="000C5518"/>
    <w:rsid w:val="000C5720"/>
    <w:rsid w:val="000C5898"/>
    <w:rsid w:val="000C61AB"/>
    <w:rsid w:val="000C628E"/>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3DA6"/>
    <w:rsid w:val="000D414D"/>
    <w:rsid w:val="000D416D"/>
    <w:rsid w:val="000D41F3"/>
    <w:rsid w:val="000D4395"/>
    <w:rsid w:val="000D4534"/>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06"/>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599"/>
    <w:rsid w:val="000E18B0"/>
    <w:rsid w:val="000E198B"/>
    <w:rsid w:val="000E1A41"/>
    <w:rsid w:val="000E1A9E"/>
    <w:rsid w:val="000E1BF8"/>
    <w:rsid w:val="000E1D21"/>
    <w:rsid w:val="000E1EE0"/>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0A"/>
    <w:rsid w:val="000F4D76"/>
    <w:rsid w:val="000F4E7E"/>
    <w:rsid w:val="000F514F"/>
    <w:rsid w:val="000F52C9"/>
    <w:rsid w:val="000F54AD"/>
    <w:rsid w:val="000F5A73"/>
    <w:rsid w:val="000F5F64"/>
    <w:rsid w:val="000F61D2"/>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6E"/>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85F"/>
    <w:rsid w:val="00141A02"/>
    <w:rsid w:val="00141C08"/>
    <w:rsid w:val="00141CA1"/>
    <w:rsid w:val="0014201B"/>
    <w:rsid w:val="00142062"/>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6B81"/>
    <w:rsid w:val="0014708A"/>
    <w:rsid w:val="00147197"/>
    <w:rsid w:val="001476D4"/>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53D"/>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36D"/>
    <w:rsid w:val="001738A9"/>
    <w:rsid w:val="00173BC9"/>
    <w:rsid w:val="00173BFF"/>
    <w:rsid w:val="00173E07"/>
    <w:rsid w:val="00174654"/>
    <w:rsid w:val="001747EB"/>
    <w:rsid w:val="00174CD1"/>
    <w:rsid w:val="001750CD"/>
    <w:rsid w:val="001752C8"/>
    <w:rsid w:val="001754EE"/>
    <w:rsid w:val="00175520"/>
    <w:rsid w:val="001755D6"/>
    <w:rsid w:val="001755FC"/>
    <w:rsid w:val="00175895"/>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116"/>
    <w:rsid w:val="001807A9"/>
    <w:rsid w:val="00180812"/>
    <w:rsid w:val="0018082C"/>
    <w:rsid w:val="00180C02"/>
    <w:rsid w:val="00180C73"/>
    <w:rsid w:val="00180CA5"/>
    <w:rsid w:val="00180DB8"/>
    <w:rsid w:val="00180DD5"/>
    <w:rsid w:val="001810AC"/>
    <w:rsid w:val="00181350"/>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E17"/>
    <w:rsid w:val="00193FA0"/>
    <w:rsid w:val="0019484D"/>
    <w:rsid w:val="00194A0F"/>
    <w:rsid w:val="00194B51"/>
    <w:rsid w:val="001950DD"/>
    <w:rsid w:val="00195512"/>
    <w:rsid w:val="00196088"/>
    <w:rsid w:val="001962D1"/>
    <w:rsid w:val="00196902"/>
    <w:rsid w:val="00196BE4"/>
    <w:rsid w:val="00196CC1"/>
    <w:rsid w:val="00196D19"/>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BED"/>
    <w:rsid w:val="001A1CA7"/>
    <w:rsid w:val="001A1DC1"/>
    <w:rsid w:val="001A2019"/>
    <w:rsid w:val="001A2024"/>
    <w:rsid w:val="001A2787"/>
    <w:rsid w:val="001A2A80"/>
    <w:rsid w:val="001A2C40"/>
    <w:rsid w:val="001A2D05"/>
    <w:rsid w:val="001A2EA0"/>
    <w:rsid w:val="001A3205"/>
    <w:rsid w:val="001A332F"/>
    <w:rsid w:val="001A3653"/>
    <w:rsid w:val="001A3A1C"/>
    <w:rsid w:val="001A3A62"/>
    <w:rsid w:val="001A3C4B"/>
    <w:rsid w:val="001A4016"/>
    <w:rsid w:val="001A40E0"/>
    <w:rsid w:val="001A4259"/>
    <w:rsid w:val="001A446E"/>
    <w:rsid w:val="001A45AB"/>
    <w:rsid w:val="001A4C2D"/>
    <w:rsid w:val="001A4CFE"/>
    <w:rsid w:val="001A4D24"/>
    <w:rsid w:val="001A4FE4"/>
    <w:rsid w:val="001A5720"/>
    <w:rsid w:val="001A58FB"/>
    <w:rsid w:val="001A59BE"/>
    <w:rsid w:val="001A5EB0"/>
    <w:rsid w:val="001A5EFC"/>
    <w:rsid w:val="001A5FC1"/>
    <w:rsid w:val="001A6000"/>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985"/>
    <w:rsid w:val="001C0EBE"/>
    <w:rsid w:val="001C10DE"/>
    <w:rsid w:val="001C11EB"/>
    <w:rsid w:val="001C13D8"/>
    <w:rsid w:val="001C15ED"/>
    <w:rsid w:val="001C1764"/>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4A99"/>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6F5F"/>
    <w:rsid w:val="001D72EF"/>
    <w:rsid w:val="001D7541"/>
    <w:rsid w:val="001D7715"/>
    <w:rsid w:val="001D7D0A"/>
    <w:rsid w:val="001E0259"/>
    <w:rsid w:val="001E035B"/>
    <w:rsid w:val="001E03CE"/>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E7F29"/>
    <w:rsid w:val="001F0008"/>
    <w:rsid w:val="001F00BC"/>
    <w:rsid w:val="001F04D8"/>
    <w:rsid w:val="001F087E"/>
    <w:rsid w:val="001F08E5"/>
    <w:rsid w:val="001F09AF"/>
    <w:rsid w:val="001F0A12"/>
    <w:rsid w:val="001F0C8D"/>
    <w:rsid w:val="001F0DC9"/>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709"/>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C8D"/>
    <w:rsid w:val="00210F5F"/>
    <w:rsid w:val="00210FDF"/>
    <w:rsid w:val="00210FF4"/>
    <w:rsid w:val="002111C6"/>
    <w:rsid w:val="00211279"/>
    <w:rsid w:val="002118CB"/>
    <w:rsid w:val="0021193D"/>
    <w:rsid w:val="0021199C"/>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D55"/>
    <w:rsid w:val="00213F32"/>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1D"/>
    <w:rsid w:val="00227056"/>
    <w:rsid w:val="00227511"/>
    <w:rsid w:val="002276B7"/>
    <w:rsid w:val="00227749"/>
    <w:rsid w:val="00227750"/>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2EE2"/>
    <w:rsid w:val="00243051"/>
    <w:rsid w:val="002432D1"/>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5D6"/>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F47"/>
    <w:rsid w:val="00253F7D"/>
    <w:rsid w:val="00253FB8"/>
    <w:rsid w:val="00254470"/>
    <w:rsid w:val="002544C2"/>
    <w:rsid w:val="0025459C"/>
    <w:rsid w:val="002546A9"/>
    <w:rsid w:val="00254775"/>
    <w:rsid w:val="00254AA1"/>
    <w:rsid w:val="00255137"/>
    <w:rsid w:val="0025526A"/>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3A"/>
    <w:rsid w:val="00262AC3"/>
    <w:rsid w:val="00262ACD"/>
    <w:rsid w:val="00262BA1"/>
    <w:rsid w:val="00262C69"/>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7CA"/>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14B"/>
    <w:rsid w:val="00275261"/>
    <w:rsid w:val="0027528D"/>
    <w:rsid w:val="00275370"/>
    <w:rsid w:val="002756D4"/>
    <w:rsid w:val="00275BAA"/>
    <w:rsid w:val="00275E50"/>
    <w:rsid w:val="00276574"/>
    <w:rsid w:val="00276944"/>
    <w:rsid w:val="00276AF9"/>
    <w:rsid w:val="00276CAD"/>
    <w:rsid w:val="0027701F"/>
    <w:rsid w:val="00277198"/>
    <w:rsid w:val="002772F2"/>
    <w:rsid w:val="00277399"/>
    <w:rsid w:val="002777D6"/>
    <w:rsid w:val="0027789B"/>
    <w:rsid w:val="00277C97"/>
    <w:rsid w:val="00277DBC"/>
    <w:rsid w:val="00277F8B"/>
    <w:rsid w:val="00280616"/>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37"/>
    <w:rsid w:val="002924ED"/>
    <w:rsid w:val="0029256D"/>
    <w:rsid w:val="00292578"/>
    <w:rsid w:val="00292752"/>
    <w:rsid w:val="0029277C"/>
    <w:rsid w:val="002927D0"/>
    <w:rsid w:val="002928F4"/>
    <w:rsid w:val="002929EE"/>
    <w:rsid w:val="00292AE0"/>
    <w:rsid w:val="00292D8F"/>
    <w:rsid w:val="00292EF9"/>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25C"/>
    <w:rsid w:val="00294327"/>
    <w:rsid w:val="00294809"/>
    <w:rsid w:val="00294A66"/>
    <w:rsid w:val="00294E7D"/>
    <w:rsid w:val="002952D8"/>
    <w:rsid w:val="00295404"/>
    <w:rsid w:val="00295489"/>
    <w:rsid w:val="002954EC"/>
    <w:rsid w:val="002957C4"/>
    <w:rsid w:val="0029582E"/>
    <w:rsid w:val="00295995"/>
    <w:rsid w:val="00295A12"/>
    <w:rsid w:val="00295A33"/>
    <w:rsid w:val="00295B63"/>
    <w:rsid w:val="00295D26"/>
    <w:rsid w:val="00296014"/>
    <w:rsid w:val="002962E6"/>
    <w:rsid w:val="00296D2B"/>
    <w:rsid w:val="00296E72"/>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3EA2"/>
    <w:rsid w:val="002A4132"/>
    <w:rsid w:val="002A4221"/>
    <w:rsid w:val="002A466C"/>
    <w:rsid w:val="002A46B9"/>
    <w:rsid w:val="002A4EA4"/>
    <w:rsid w:val="002A5068"/>
    <w:rsid w:val="002A52D1"/>
    <w:rsid w:val="002A59C4"/>
    <w:rsid w:val="002A5B34"/>
    <w:rsid w:val="002A5BCC"/>
    <w:rsid w:val="002A648C"/>
    <w:rsid w:val="002A6A37"/>
    <w:rsid w:val="002A728E"/>
    <w:rsid w:val="002A7347"/>
    <w:rsid w:val="002A75AE"/>
    <w:rsid w:val="002A7744"/>
    <w:rsid w:val="002A7A3E"/>
    <w:rsid w:val="002A7B9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5C23"/>
    <w:rsid w:val="002B606D"/>
    <w:rsid w:val="002B60CB"/>
    <w:rsid w:val="002B627D"/>
    <w:rsid w:val="002B649E"/>
    <w:rsid w:val="002B64A3"/>
    <w:rsid w:val="002B65C7"/>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F0"/>
    <w:rsid w:val="002C17DF"/>
    <w:rsid w:val="002C1C93"/>
    <w:rsid w:val="002C1D99"/>
    <w:rsid w:val="002C2151"/>
    <w:rsid w:val="002C230C"/>
    <w:rsid w:val="002C2311"/>
    <w:rsid w:val="002C235E"/>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3BF"/>
    <w:rsid w:val="002E37B5"/>
    <w:rsid w:val="002E380E"/>
    <w:rsid w:val="002E3B41"/>
    <w:rsid w:val="002E3DF0"/>
    <w:rsid w:val="002E4171"/>
    <w:rsid w:val="002E4608"/>
    <w:rsid w:val="002E4671"/>
    <w:rsid w:val="002E4E82"/>
    <w:rsid w:val="002E4EE2"/>
    <w:rsid w:val="002E5335"/>
    <w:rsid w:val="002E5734"/>
    <w:rsid w:val="002E5811"/>
    <w:rsid w:val="002E5AF7"/>
    <w:rsid w:val="002E5CF2"/>
    <w:rsid w:val="002E5F3B"/>
    <w:rsid w:val="002E660A"/>
    <w:rsid w:val="002E675D"/>
    <w:rsid w:val="002E6799"/>
    <w:rsid w:val="002E6C40"/>
    <w:rsid w:val="002E6CCF"/>
    <w:rsid w:val="002E6E72"/>
    <w:rsid w:val="002E706B"/>
    <w:rsid w:val="002E7523"/>
    <w:rsid w:val="002E7AA9"/>
    <w:rsid w:val="002E7ABC"/>
    <w:rsid w:val="002E7BCD"/>
    <w:rsid w:val="002E7D0A"/>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B8F"/>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44B"/>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55B"/>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FD"/>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F51"/>
    <w:rsid w:val="003122E8"/>
    <w:rsid w:val="00312635"/>
    <w:rsid w:val="00312B96"/>
    <w:rsid w:val="00312BA3"/>
    <w:rsid w:val="00313B56"/>
    <w:rsid w:val="00313B7C"/>
    <w:rsid w:val="00313C32"/>
    <w:rsid w:val="00314017"/>
    <w:rsid w:val="00314034"/>
    <w:rsid w:val="00314397"/>
    <w:rsid w:val="003144BA"/>
    <w:rsid w:val="00314523"/>
    <w:rsid w:val="00314645"/>
    <w:rsid w:val="00314890"/>
    <w:rsid w:val="003149A3"/>
    <w:rsid w:val="00314B2A"/>
    <w:rsid w:val="00315000"/>
    <w:rsid w:val="0031550B"/>
    <w:rsid w:val="00315540"/>
    <w:rsid w:val="00315A9D"/>
    <w:rsid w:val="00315E08"/>
    <w:rsid w:val="00316684"/>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B"/>
    <w:rsid w:val="00323BC5"/>
    <w:rsid w:val="00323BEB"/>
    <w:rsid w:val="00324673"/>
    <w:rsid w:val="00324B9B"/>
    <w:rsid w:val="00324D46"/>
    <w:rsid w:val="00324DE1"/>
    <w:rsid w:val="003250DD"/>
    <w:rsid w:val="003257CD"/>
    <w:rsid w:val="00325B0D"/>
    <w:rsid w:val="00325B56"/>
    <w:rsid w:val="00325D65"/>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DB9"/>
    <w:rsid w:val="0033227C"/>
    <w:rsid w:val="003322F4"/>
    <w:rsid w:val="0033265D"/>
    <w:rsid w:val="0033272D"/>
    <w:rsid w:val="003328DC"/>
    <w:rsid w:val="00332BE1"/>
    <w:rsid w:val="00332D95"/>
    <w:rsid w:val="00333302"/>
    <w:rsid w:val="0033353C"/>
    <w:rsid w:val="00333880"/>
    <w:rsid w:val="0033389B"/>
    <w:rsid w:val="003338D8"/>
    <w:rsid w:val="0033391C"/>
    <w:rsid w:val="00333CAD"/>
    <w:rsid w:val="00333F29"/>
    <w:rsid w:val="0033435C"/>
    <w:rsid w:val="00334AA7"/>
    <w:rsid w:val="0033504D"/>
    <w:rsid w:val="00335190"/>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6E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EE"/>
    <w:rsid w:val="003502F1"/>
    <w:rsid w:val="003503E7"/>
    <w:rsid w:val="00350557"/>
    <w:rsid w:val="00350967"/>
    <w:rsid w:val="00350A35"/>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9B2"/>
    <w:rsid w:val="00352E69"/>
    <w:rsid w:val="00352EE8"/>
    <w:rsid w:val="00352EF6"/>
    <w:rsid w:val="003530CF"/>
    <w:rsid w:val="003530D4"/>
    <w:rsid w:val="00353333"/>
    <w:rsid w:val="00353907"/>
    <w:rsid w:val="00353C8B"/>
    <w:rsid w:val="00353E7D"/>
    <w:rsid w:val="003542D4"/>
    <w:rsid w:val="003543DA"/>
    <w:rsid w:val="00354514"/>
    <w:rsid w:val="0035483F"/>
    <w:rsid w:val="00354B03"/>
    <w:rsid w:val="00354B65"/>
    <w:rsid w:val="00354B6B"/>
    <w:rsid w:val="00354B7A"/>
    <w:rsid w:val="00354F05"/>
    <w:rsid w:val="00355439"/>
    <w:rsid w:val="003555F5"/>
    <w:rsid w:val="00355B3F"/>
    <w:rsid w:val="0035616C"/>
    <w:rsid w:val="00356450"/>
    <w:rsid w:val="003565E4"/>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02E"/>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61"/>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7DB"/>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9BE"/>
    <w:rsid w:val="00387AA7"/>
    <w:rsid w:val="00387F13"/>
    <w:rsid w:val="00387FA6"/>
    <w:rsid w:val="00390051"/>
    <w:rsid w:val="003902B6"/>
    <w:rsid w:val="003903E6"/>
    <w:rsid w:val="0039094B"/>
    <w:rsid w:val="00390BF7"/>
    <w:rsid w:val="00390C65"/>
    <w:rsid w:val="00390E4B"/>
    <w:rsid w:val="003911BC"/>
    <w:rsid w:val="00391227"/>
    <w:rsid w:val="003912A4"/>
    <w:rsid w:val="003912C4"/>
    <w:rsid w:val="00391378"/>
    <w:rsid w:val="003914C8"/>
    <w:rsid w:val="003915B0"/>
    <w:rsid w:val="003915F3"/>
    <w:rsid w:val="003917A8"/>
    <w:rsid w:val="00391914"/>
    <w:rsid w:val="00391CD1"/>
    <w:rsid w:val="003922BF"/>
    <w:rsid w:val="00392A69"/>
    <w:rsid w:val="00392E4E"/>
    <w:rsid w:val="00393034"/>
    <w:rsid w:val="003930EB"/>
    <w:rsid w:val="003931D8"/>
    <w:rsid w:val="00393229"/>
    <w:rsid w:val="00393509"/>
    <w:rsid w:val="00393569"/>
    <w:rsid w:val="00393C42"/>
    <w:rsid w:val="00393EFB"/>
    <w:rsid w:val="003942F1"/>
    <w:rsid w:val="00394705"/>
    <w:rsid w:val="0039480F"/>
    <w:rsid w:val="00394B28"/>
    <w:rsid w:val="00394B89"/>
    <w:rsid w:val="00395151"/>
    <w:rsid w:val="0039525E"/>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5C0"/>
    <w:rsid w:val="00397D6F"/>
    <w:rsid w:val="003A0146"/>
    <w:rsid w:val="003A03F0"/>
    <w:rsid w:val="003A0743"/>
    <w:rsid w:val="003A0824"/>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44FE"/>
    <w:rsid w:val="003B46B5"/>
    <w:rsid w:val="003B4849"/>
    <w:rsid w:val="003B4A40"/>
    <w:rsid w:val="003B4A70"/>
    <w:rsid w:val="003B4D62"/>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31"/>
    <w:rsid w:val="003C2E50"/>
    <w:rsid w:val="003C3016"/>
    <w:rsid w:val="003C319E"/>
    <w:rsid w:val="003C33A3"/>
    <w:rsid w:val="003C387E"/>
    <w:rsid w:val="003C3ACE"/>
    <w:rsid w:val="003C3CCD"/>
    <w:rsid w:val="003C3D25"/>
    <w:rsid w:val="003C3F26"/>
    <w:rsid w:val="003C403A"/>
    <w:rsid w:val="003C40A4"/>
    <w:rsid w:val="003C44E3"/>
    <w:rsid w:val="003C45A6"/>
    <w:rsid w:val="003C4DC1"/>
    <w:rsid w:val="003C4ED1"/>
    <w:rsid w:val="003C4EEA"/>
    <w:rsid w:val="003C511B"/>
    <w:rsid w:val="003C53A9"/>
    <w:rsid w:val="003C53B5"/>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72D"/>
    <w:rsid w:val="003D37D4"/>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860"/>
    <w:rsid w:val="003E3A1D"/>
    <w:rsid w:val="003E3A8B"/>
    <w:rsid w:val="003E3B82"/>
    <w:rsid w:val="003E3CC2"/>
    <w:rsid w:val="003E404F"/>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9EB"/>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F60"/>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30012"/>
    <w:rsid w:val="004302B7"/>
    <w:rsid w:val="0043054F"/>
    <w:rsid w:val="00430567"/>
    <w:rsid w:val="004308E5"/>
    <w:rsid w:val="004309E8"/>
    <w:rsid w:val="00430DFD"/>
    <w:rsid w:val="00431096"/>
    <w:rsid w:val="00431E7C"/>
    <w:rsid w:val="004322D4"/>
    <w:rsid w:val="00432570"/>
    <w:rsid w:val="0043269D"/>
    <w:rsid w:val="00432A76"/>
    <w:rsid w:val="00432F05"/>
    <w:rsid w:val="004330BC"/>
    <w:rsid w:val="00433381"/>
    <w:rsid w:val="00433783"/>
    <w:rsid w:val="0043396B"/>
    <w:rsid w:val="00433C0B"/>
    <w:rsid w:val="00434174"/>
    <w:rsid w:val="0043417D"/>
    <w:rsid w:val="00434627"/>
    <w:rsid w:val="0043479C"/>
    <w:rsid w:val="00434A59"/>
    <w:rsid w:val="00434D4B"/>
    <w:rsid w:val="00434E88"/>
    <w:rsid w:val="00435099"/>
    <w:rsid w:val="004350A2"/>
    <w:rsid w:val="00435101"/>
    <w:rsid w:val="00435175"/>
    <w:rsid w:val="004351AE"/>
    <w:rsid w:val="00435632"/>
    <w:rsid w:val="00435734"/>
    <w:rsid w:val="0043584E"/>
    <w:rsid w:val="004358C5"/>
    <w:rsid w:val="0043594B"/>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B19"/>
    <w:rsid w:val="00441C3C"/>
    <w:rsid w:val="00442386"/>
    <w:rsid w:val="004428BD"/>
    <w:rsid w:val="00442B2E"/>
    <w:rsid w:val="00442BD9"/>
    <w:rsid w:val="00442D21"/>
    <w:rsid w:val="00443182"/>
    <w:rsid w:val="004431E9"/>
    <w:rsid w:val="00443287"/>
    <w:rsid w:val="00443392"/>
    <w:rsid w:val="004433C5"/>
    <w:rsid w:val="0044359F"/>
    <w:rsid w:val="00443630"/>
    <w:rsid w:val="0044365B"/>
    <w:rsid w:val="0044368D"/>
    <w:rsid w:val="00443ADC"/>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21C"/>
    <w:rsid w:val="004463A3"/>
    <w:rsid w:val="0044680C"/>
    <w:rsid w:val="00446A40"/>
    <w:rsid w:val="00446CE8"/>
    <w:rsid w:val="004477EF"/>
    <w:rsid w:val="00447895"/>
    <w:rsid w:val="00447A16"/>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3CBC"/>
    <w:rsid w:val="00453FF4"/>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87"/>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4D"/>
    <w:rsid w:val="00465877"/>
    <w:rsid w:val="00465A90"/>
    <w:rsid w:val="00465AEB"/>
    <w:rsid w:val="00465CC2"/>
    <w:rsid w:val="00466357"/>
    <w:rsid w:val="004665D2"/>
    <w:rsid w:val="0046689D"/>
    <w:rsid w:val="00466AB7"/>
    <w:rsid w:val="00466B35"/>
    <w:rsid w:val="00466C93"/>
    <w:rsid w:val="00466D14"/>
    <w:rsid w:val="00466DE0"/>
    <w:rsid w:val="00466DF8"/>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8E5"/>
    <w:rsid w:val="004909B7"/>
    <w:rsid w:val="00490E8E"/>
    <w:rsid w:val="00491088"/>
    <w:rsid w:val="00491255"/>
    <w:rsid w:val="00491432"/>
    <w:rsid w:val="0049143C"/>
    <w:rsid w:val="00491721"/>
    <w:rsid w:val="00491A0A"/>
    <w:rsid w:val="00491E7D"/>
    <w:rsid w:val="00491FDA"/>
    <w:rsid w:val="0049203F"/>
    <w:rsid w:val="00492218"/>
    <w:rsid w:val="00492284"/>
    <w:rsid w:val="004924A9"/>
    <w:rsid w:val="00492788"/>
    <w:rsid w:val="00492A71"/>
    <w:rsid w:val="00492AA1"/>
    <w:rsid w:val="00492D47"/>
    <w:rsid w:val="00492DA2"/>
    <w:rsid w:val="00492E70"/>
    <w:rsid w:val="00492E75"/>
    <w:rsid w:val="004934CD"/>
    <w:rsid w:val="00493A74"/>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8F6"/>
    <w:rsid w:val="004A4B32"/>
    <w:rsid w:val="004A4CFD"/>
    <w:rsid w:val="004A537E"/>
    <w:rsid w:val="004A545D"/>
    <w:rsid w:val="004A5541"/>
    <w:rsid w:val="004A5660"/>
    <w:rsid w:val="004A5E07"/>
    <w:rsid w:val="004A5F03"/>
    <w:rsid w:val="004A5F07"/>
    <w:rsid w:val="004A6334"/>
    <w:rsid w:val="004A643D"/>
    <w:rsid w:val="004A6C66"/>
    <w:rsid w:val="004A713E"/>
    <w:rsid w:val="004A72C3"/>
    <w:rsid w:val="004A73E9"/>
    <w:rsid w:val="004A7680"/>
    <w:rsid w:val="004A77AA"/>
    <w:rsid w:val="004A77B4"/>
    <w:rsid w:val="004A782C"/>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77F"/>
    <w:rsid w:val="004B28A2"/>
    <w:rsid w:val="004B2BFD"/>
    <w:rsid w:val="004B2D73"/>
    <w:rsid w:val="004B33B9"/>
    <w:rsid w:val="004B340E"/>
    <w:rsid w:val="004B3420"/>
    <w:rsid w:val="004B37E4"/>
    <w:rsid w:val="004B399F"/>
    <w:rsid w:val="004B39D5"/>
    <w:rsid w:val="004B39F4"/>
    <w:rsid w:val="004B42FD"/>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EC1"/>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1EB5"/>
    <w:rsid w:val="004C1EF5"/>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B8C"/>
    <w:rsid w:val="004C7F3E"/>
    <w:rsid w:val="004D05F3"/>
    <w:rsid w:val="004D08BF"/>
    <w:rsid w:val="004D0B9F"/>
    <w:rsid w:val="004D0C77"/>
    <w:rsid w:val="004D0DD6"/>
    <w:rsid w:val="004D0FF1"/>
    <w:rsid w:val="004D1027"/>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E24"/>
    <w:rsid w:val="004D3FDF"/>
    <w:rsid w:val="004D4312"/>
    <w:rsid w:val="004D4544"/>
    <w:rsid w:val="004D4647"/>
    <w:rsid w:val="004D4C47"/>
    <w:rsid w:val="004D5477"/>
    <w:rsid w:val="004D5745"/>
    <w:rsid w:val="004D5CD9"/>
    <w:rsid w:val="004D5E82"/>
    <w:rsid w:val="004D5F42"/>
    <w:rsid w:val="004D602D"/>
    <w:rsid w:val="004D6687"/>
    <w:rsid w:val="004D6CF4"/>
    <w:rsid w:val="004D6E44"/>
    <w:rsid w:val="004D6EDA"/>
    <w:rsid w:val="004D6EE2"/>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38F"/>
    <w:rsid w:val="004E2726"/>
    <w:rsid w:val="004E281C"/>
    <w:rsid w:val="004E283A"/>
    <w:rsid w:val="004E2886"/>
    <w:rsid w:val="004E2A17"/>
    <w:rsid w:val="004E2ADF"/>
    <w:rsid w:val="004E2CE5"/>
    <w:rsid w:val="004E2E3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AA8"/>
    <w:rsid w:val="004F4C1A"/>
    <w:rsid w:val="004F4F3E"/>
    <w:rsid w:val="004F514F"/>
    <w:rsid w:val="004F58C9"/>
    <w:rsid w:val="004F5A1A"/>
    <w:rsid w:val="004F5A9E"/>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3"/>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730"/>
    <w:rsid w:val="005147BB"/>
    <w:rsid w:val="005147F4"/>
    <w:rsid w:val="00514A3A"/>
    <w:rsid w:val="00514A9C"/>
    <w:rsid w:val="00514E17"/>
    <w:rsid w:val="005152C9"/>
    <w:rsid w:val="0051551E"/>
    <w:rsid w:val="0051560D"/>
    <w:rsid w:val="00515737"/>
    <w:rsid w:val="0051587A"/>
    <w:rsid w:val="00516066"/>
    <w:rsid w:val="00516265"/>
    <w:rsid w:val="00516D9F"/>
    <w:rsid w:val="00516DBA"/>
    <w:rsid w:val="00516E9F"/>
    <w:rsid w:val="00516F49"/>
    <w:rsid w:val="00516FE4"/>
    <w:rsid w:val="0051702A"/>
    <w:rsid w:val="00517357"/>
    <w:rsid w:val="005175AE"/>
    <w:rsid w:val="0051783B"/>
    <w:rsid w:val="00517B20"/>
    <w:rsid w:val="00517CB7"/>
    <w:rsid w:val="00520154"/>
    <w:rsid w:val="005202BD"/>
    <w:rsid w:val="005204F4"/>
    <w:rsid w:val="005207FC"/>
    <w:rsid w:val="00520D7C"/>
    <w:rsid w:val="00521034"/>
    <w:rsid w:val="005214ED"/>
    <w:rsid w:val="0052157B"/>
    <w:rsid w:val="0052164E"/>
    <w:rsid w:val="0052187E"/>
    <w:rsid w:val="005219B7"/>
    <w:rsid w:val="00521AB9"/>
    <w:rsid w:val="0052209B"/>
    <w:rsid w:val="005221B2"/>
    <w:rsid w:val="005223A5"/>
    <w:rsid w:val="0052243A"/>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3006E"/>
    <w:rsid w:val="005300DA"/>
    <w:rsid w:val="00530157"/>
    <w:rsid w:val="00530208"/>
    <w:rsid w:val="00530472"/>
    <w:rsid w:val="005308E1"/>
    <w:rsid w:val="00530A79"/>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48F"/>
    <w:rsid w:val="005358B3"/>
    <w:rsid w:val="00535B25"/>
    <w:rsid w:val="00535C32"/>
    <w:rsid w:val="00535D4D"/>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4C"/>
    <w:rsid w:val="005459D3"/>
    <w:rsid w:val="00545C38"/>
    <w:rsid w:val="00545D61"/>
    <w:rsid w:val="005462CB"/>
    <w:rsid w:val="00546375"/>
    <w:rsid w:val="0054653E"/>
    <w:rsid w:val="00546B02"/>
    <w:rsid w:val="00546D0E"/>
    <w:rsid w:val="00546D78"/>
    <w:rsid w:val="0054707A"/>
    <w:rsid w:val="005473EA"/>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786"/>
    <w:rsid w:val="0055194B"/>
    <w:rsid w:val="00551A60"/>
    <w:rsid w:val="00551B63"/>
    <w:rsid w:val="00551FED"/>
    <w:rsid w:val="00552C21"/>
    <w:rsid w:val="00552DB9"/>
    <w:rsid w:val="00552E5E"/>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10C"/>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0FB1"/>
    <w:rsid w:val="005712A4"/>
    <w:rsid w:val="005718A8"/>
    <w:rsid w:val="00571942"/>
    <w:rsid w:val="00571B5A"/>
    <w:rsid w:val="005721A4"/>
    <w:rsid w:val="00572203"/>
    <w:rsid w:val="005722BC"/>
    <w:rsid w:val="005723B6"/>
    <w:rsid w:val="005723BB"/>
    <w:rsid w:val="0057289B"/>
    <w:rsid w:val="005731E9"/>
    <w:rsid w:val="00573302"/>
    <w:rsid w:val="00573647"/>
    <w:rsid w:val="00573903"/>
    <w:rsid w:val="005739D7"/>
    <w:rsid w:val="00573B1A"/>
    <w:rsid w:val="00573BC0"/>
    <w:rsid w:val="00573D33"/>
    <w:rsid w:val="00573DC5"/>
    <w:rsid w:val="00574223"/>
    <w:rsid w:val="00574D66"/>
    <w:rsid w:val="00574DC0"/>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454"/>
    <w:rsid w:val="00583944"/>
    <w:rsid w:val="00583E5F"/>
    <w:rsid w:val="00584205"/>
    <w:rsid w:val="00584757"/>
    <w:rsid w:val="00584838"/>
    <w:rsid w:val="005848B7"/>
    <w:rsid w:val="00584BFE"/>
    <w:rsid w:val="00584D23"/>
    <w:rsid w:val="00584D98"/>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6DF"/>
    <w:rsid w:val="0059077C"/>
    <w:rsid w:val="00590885"/>
    <w:rsid w:val="00591000"/>
    <w:rsid w:val="0059119C"/>
    <w:rsid w:val="005911E2"/>
    <w:rsid w:val="005916D5"/>
    <w:rsid w:val="005918AF"/>
    <w:rsid w:val="00591940"/>
    <w:rsid w:val="00591C6E"/>
    <w:rsid w:val="00591CC1"/>
    <w:rsid w:val="00591CC9"/>
    <w:rsid w:val="00591EF0"/>
    <w:rsid w:val="005926E2"/>
    <w:rsid w:val="00592AA8"/>
    <w:rsid w:val="005931F5"/>
    <w:rsid w:val="00593202"/>
    <w:rsid w:val="0059340C"/>
    <w:rsid w:val="00593546"/>
    <w:rsid w:val="00593998"/>
    <w:rsid w:val="005939C6"/>
    <w:rsid w:val="005940A3"/>
    <w:rsid w:val="00594376"/>
    <w:rsid w:val="00594451"/>
    <w:rsid w:val="0059465D"/>
    <w:rsid w:val="0059486B"/>
    <w:rsid w:val="005949B6"/>
    <w:rsid w:val="00594A50"/>
    <w:rsid w:val="005951D7"/>
    <w:rsid w:val="0059526A"/>
    <w:rsid w:val="005958A4"/>
    <w:rsid w:val="00595993"/>
    <w:rsid w:val="00595A40"/>
    <w:rsid w:val="00595CF0"/>
    <w:rsid w:val="00595ECA"/>
    <w:rsid w:val="0059622C"/>
    <w:rsid w:val="0059629E"/>
    <w:rsid w:val="005967D4"/>
    <w:rsid w:val="0059681A"/>
    <w:rsid w:val="00596B26"/>
    <w:rsid w:val="00596B65"/>
    <w:rsid w:val="00596CA5"/>
    <w:rsid w:val="00596DEF"/>
    <w:rsid w:val="00596E2F"/>
    <w:rsid w:val="00597096"/>
    <w:rsid w:val="0059734D"/>
    <w:rsid w:val="00597394"/>
    <w:rsid w:val="0059741D"/>
    <w:rsid w:val="0059783C"/>
    <w:rsid w:val="00597C14"/>
    <w:rsid w:val="005A00C3"/>
    <w:rsid w:val="005A03EA"/>
    <w:rsid w:val="005A049F"/>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2C3"/>
    <w:rsid w:val="005C2352"/>
    <w:rsid w:val="005C24FF"/>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8FD"/>
    <w:rsid w:val="005C5A7E"/>
    <w:rsid w:val="005C5B7B"/>
    <w:rsid w:val="005C5BE0"/>
    <w:rsid w:val="005C5C25"/>
    <w:rsid w:val="005C5DF6"/>
    <w:rsid w:val="005C5EE0"/>
    <w:rsid w:val="005C6425"/>
    <w:rsid w:val="005C65AB"/>
    <w:rsid w:val="005C684A"/>
    <w:rsid w:val="005C69BE"/>
    <w:rsid w:val="005C6A03"/>
    <w:rsid w:val="005C6ADA"/>
    <w:rsid w:val="005C6C3D"/>
    <w:rsid w:val="005C6D2E"/>
    <w:rsid w:val="005C6DDF"/>
    <w:rsid w:val="005C6FFE"/>
    <w:rsid w:val="005C71A6"/>
    <w:rsid w:val="005C71EA"/>
    <w:rsid w:val="005C730E"/>
    <w:rsid w:val="005C74DA"/>
    <w:rsid w:val="005C78FE"/>
    <w:rsid w:val="005C7BF3"/>
    <w:rsid w:val="005C7DFF"/>
    <w:rsid w:val="005D0215"/>
    <w:rsid w:val="005D027C"/>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E018B"/>
    <w:rsid w:val="005E0660"/>
    <w:rsid w:val="005E07EA"/>
    <w:rsid w:val="005E0815"/>
    <w:rsid w:val="005E0A1F"/>
    <w:rsid w:val="005E0D4F"/>
    <w:rsid w:val="005E0E6C"/>
    <w:rsid w:val="005E1480"/>
    <w:rsid w:val="005E1512"/>
    <w:rsid w:val="005E15E3"/>
    <w:rsid w:val="005E1A55"/>
    <w:rsid w:val="005E1E55"/>
    <w:rsid w:val="005E1ED3"/>
    <w:rsid w:val="005E2005"/>
    <w:rsid w:val="005E224F"/>
    <w:rsid w:val="005E2460"/>
    <w:rsid w:val="005E262C"/>
    <w:rsid w:val="005E2915"/>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EC2"/>
    <w:rsid w:val="005E6F07"/>
    <w:rsid w:val="005E739B"/>
    <w:rsid w:val="005E74B4"/>
    <w:rsid w:val="005E79D7"/>
    <w:rsid w:val="005E7E6E"/>
    <w:rsid w:val="005E7E8D"/>
    <w:rsid w:val="005F006A"/>
    <w:rsid w:val="005F00E1"/>
    <w:rsid w:val="005F00FC"/>
    <w:rsid w:val="005F0231"/>
    <w:rsid w:val="005F02B2"/>
    <w:rsid w:val="005F0426"/>
    <w:rsid w:val="005F0691"/>
    <w:rsid w:val="005F09F5"/>
    <w:rsid w:val="005F0A4B"/>
    <w:rsid w:val="005F0A74"/>
    <w:rsid w:val="005F0BF7"/>
    <w:rsid w:val="005F1311"/>
    <w:rsid w:val="005F14F7"/>
    <w:rsid w:val="005F1558"/>
    <w:rsid w:val="005F188D"/>
    <w:rsid w:val="005F1D8D"/>
    <w:rsid w:val="005F21C9"/>
    <w:rsid w:val="005F241F"/>
    <w:rsid w:val="005F247D"/>
    <w:rsid w:val="005F26B1"/>
    <w:rsid w:val="005F2961"/>
    <w:rsid w:val="005F2EF6"/>
    <w:rsid w:val="005F30BF"/>
    <w:rsid w:val="005F372C"/>
    <w:rsid w:val="005F3739"/>
    <w:rsid w:val="005F3E71"/>
    <w:rsid w:val="005F3FB8"/>
    <w:rsid w:val="005F4312"/>
    <w:rsid w:val="005F4523"/>
    <w:rsid w:val="005F4642"/>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5F7ECA"/>
    <w:rsid w:val="0060026E"/>
    <w:rsid w:val="00600389"/>
    <w:rsid w:val="0060043C"/>
    <w:rsid w:val="00600815"/>
    <w:rsid w:val="006009AC"/>
    <w:rsid w:val="006009F3"/>
    <w:rsid w:val="00600E8B"/>
    <w:rsid w:val="00600E99"/>
    <w:rsid w:val="006011BA"/>
    <w:rsid w:val="0060144C"/>
    <w:rsid w:val="00601957"/>
    <w:rsid w:val="00602081"/>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1FA"/>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CD1"/>
    <w:rsid w:val="00624D77"/>
    <w:rsid w:val="00624DAB"/>
    <w:rsid w:val="0062509A"/>
    <w:rsid w:val="0062595E"/>
    <w:rsid w:val="00625C6D"/>
    <w:rsid w:val="00625F42"/>
    <w:rsid w:val="00626004"/>
    <w:rsid w:val="006262F3"/>
    <w:rsid w:val="006264E6"/>
    <w:rsid w:val="006269A8"/>
    <w:rsid w:val="00626A30"/>
    <w:rsid w:val="00626CEC"/>
    <w:rsid w:val="00626D47"/>
    <w:rsid w:val="0062703F"/>
    <w:rsid w:val="006270A1"/>
    <w:rsid w:val="006270A7"/>
    <w:rsid w:val="006272A4"/>
    <w:rsid w:val="00627705"/>
    <w:rsid w:val="0062773E"/>
    <w:rsid w:val="0062796F"/>
    <w:rsid w:val="006279C8"/>
    <w:rsid w:val="00627D4A"/>
    <w:rsid w:val="006300E3"/>
    <w:rsid w:val="0063013E"/>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0CF"/>
    <w:rsid w:val="006334FA"/>
    <w:rsid w:val="00633969"/>
    <w:rsid w:val="00633A06"/>
    <w:rsid w:val="00633A5F"/>
    <w:rsid w:val="00633CAE"/>
    <w:rsid w:val="00633E70"/>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89"/>
    <w:rsid w:val="006439A0"/>
    <w:rsid w:val="006439E9"/>
    <w:rsid w:val="00643AE4"/>
    <w:rsid w:val="00643DE6"/>
    <w:rsid w:val="00644553"/>
    <w:rsid w:val="00644E7A"/>
    <w:rsid w:val="00644E7E"/>
    <w:rsid w:val="00644E87"/>
    <w:rsid w:val="0064511E"/>
    <w:rsid w:val="00645339"/>
    <w:rsid w:val="00645512"/>
    <w:rsid w:val="006457C8"/>
    <w:rsid w:val="00645D23"/>
    <w:rsid w:val="00645D2C"/>
    <w:rsid w:val="00646231"/>
    <w:rsid w:val="00646235"/>
    <w:rsid w:val="00646259"/>
    <w:rsid w:val="0064625A"/>
    <w:rsid w:val="006469BA"/>
    <w:rsid w:val="00646E88"/>
    <w:rsid w:val="00646EE8"/>
    <w:rsid w:val="00646FE0"/>
    <w:rsid w:val="0064706F"/>
    <w:rsid w:val="0064732A"/>
    <w:rsid w:val="006474B3"/>
    <w:rsid w:val="006474F2"/>
    <w:rsid w:val="0064789A"/>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96C"/>
    <w:rsid w:val="00660BE4"/>
    <w:rsid w:val="00660D14"/>
    <w:rsid w:val="00660E89"/>
    <w:rsid w:val="00660EFE"/>
    <w:rsid w:val="00661804"/>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B7F"/>
    <w:rsid w:val="00664CFD"/>
    <w:rsid w:val="00665A2E"/>
    <w:rsid w:val="00665AD4"/>
    <w:rsid w:val="00665C42"/>
    <w:rsid w:val="00665C96"/>
    <w:rsid w:val="00666084"/>
    <w:rsid w:val="006661EA"/>
    <w:rsid w:val="00666215"/>
    <w:rsid w:val="00666499"/>
    <w:rsid w:val="0066655F"/>
    <w:rsid w:val="006665CB"/>
    <w:rsid w:val="0066661F"/>
    <w:rsid w:val="00666B90"/>
    <w:rsid w:val="006675B0"/>
    <w:rsid w:val="00667961"/>
    <w:rsid w:val="00667D30"/>
    <w:rsid w:val="0067002B"/>
    <w:rsid w:val="00670147"/>
    <w:rsid w:val="0067029D"/>
    <w:rsid w:val="00670403"/>
    <w:rsid w:val="006704C3"/>
    <w:rsid w:val="00670B0C"/>
    <w:rsid w:val="00670E3C"/>
    <w:rsid w:val="00670F2F"/>
    <w:rsid w:val="00671028"/>
    <w:rsid w:val="00671299"/>
    <w:rsid w:val="006713DF"/>
    <w:rsid w:val="0067143B"/>
    <w:rsid w:val="00671487"/>
    <w:rsid w:val="00671D6A"/>
    <w:rsid w:val="00671EA3"/>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3D"/>
    <w:rsid w:val="00680ED3"/>
    <w:rsid w:val="00680F0D"/>
    <w:rsid w:val="00680F69"/>
    <w:rsid w:val="00681293"/>
    <w:rsid w:val="006816AC"/>
    <w:rsid w:val="006816CF"/>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4FC1"/>
    <w:rsid w:val="00685012"/>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D33"/>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1C7"/>
    <w:rsid w:val="00697310"/>
    <w:rsid w:val="00697441"/>
    <w:rsid w:val="0069759A"/>
    <w:rsid w:val="006A01DE"/>
    <w:rsid w:val="006A024D"/>
    <w:rsid w:val="006A0927"/>
    <w:rsid w:val="006A0A0A"/>
    <w:rsid w:val="006A0C73"/>
    <w:rsid w:val="006A0D67"/>
    <w:rsid w:val="006A114D"/>
    <w:rsid w:val="006A153A"/>
    <w:rsid w:val="006A1831"/>
    <w:rsid w:val="006A1981"/>
    <w:rsid w:val="006A1C0D"/>
    <w:rsid w:val="006A1DDD"/>
    <w:rsid w:val="006A1F34"/>
    <w:rsid w:val="006A2071"/>
    <w:rsid w:val="006A2238"/>
    <w:rsid w:val="006A22D0"/>
    <w:rsid w:val="006A2370"/>
    <w:rsid w:val="006A2479"/>
    <w:rsid w:val="006A25BC"/>
    <w:rsid w:val="006A264A"/>
    <w:rsid w:val="006A299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AA5"/>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2F96"/>
    <w:rsid w:val="006B3151"/>
    <w:rsid w:val="006B31C4"/>
    <w:rsid w:val="006B320C"/>
    <w:rsid w:val="006B3462"/>
    <w:rsid w:val="006B36B3"/>
    <w:rsid w:val="006B3832"/>
    <w:rsid w:val="006B3891"/>
    <w:rsid w:val="006B3A2C"/>
    <w:rsid w:val="006B3AB6"/>
    <w:rsid w:val="006B3ADC"/>
    <w:rsid w:val="006B3AFD"/>
    <w:rsid w:val="006B3CAB"/>
    <w:rsid w:val="006B3CFC"/>
    <w:rsid w:val="006B3FAE"/>
    <w:rsid w:val="006B42AA"/>
    <w:rsid w:val="006B44CB"/>
    <w:rsid w:val="006B46BC"/>
    <w:rsid w:val="006B49B3"/>
    <w:rsid w:val="006B49D2"/>
    <w:rsid w:val="006B4CE5"/>
    <w:rsid w:val="006B570A"/>
    <w:rsid w:val="006B5715"/>
    <w:rsid w:val="006B5A61"/>
    <w:rsid w:val="006B648C"/>
    <w:rsid w:val="006B6546"/>
    <w:rsid w:val="006B65A0"/>
    <w:rsid w:val="006B6728"/>
    <w:rsid w:val="006B6CB7"/>
    <w:rsid w:val="006B6D0B"/>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653"/>
    <w:rsid w:val="006E27DA"/>
    <w:rsid w:val="006E2875"/>
    <w:rsid w:val="006E2D3E"/>
    <w:rsid w:val="006E329A"/>
    <w:rsid w:val="006E3477"/>
    <w:rsid w:val="006E358D"/>
    <w:rsid w:val="006E3A90"/>
    <w:rsid w:val="006E3CC7"/>
    <w:rsid w:val="006E4585"/>
    <w:rsid w:val="006E4900"/>
    <w:rsid w:val="006E4923"/>
    <w:rsid w:val="006E4960"/>
    <w:rsid w:val="006E4C15"/>
    <w:rsid w:val="006E4DC4"/>
    <w:rsid w:val="006E4FEC"/>
    <w:rsid w:val="006E5332"/>
    <w:rsid w:val="006E533F"/>
    <w:rsid w:val="006E53A3"/>
    <w:rsid w:val="006E5584"/>
    <w:rsid w:val="006E5696"/>
    <w:rsid w:val="006E5BBA"/>
    <w:rsid w:val="006E6338"/>
    <w:rsid w:val="006E66A7"/>
    <w:rsid w:val="006E68C1"/>
    <w:rsid w:val="006E6EAF"/>
    <w:rsid w:val="006E6F14"/>
    <w:rsid w:val="006E79B9"/>
    <w:rsid w:val="006F007E"/>
    <w:rsid w:val="006F02FD"/>
    <w:rsid w:val="006F0BD9"/>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6A32"/>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0EC4"/>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3F9F"/>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8E4"/>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0B5A"/>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75"/>
    <w:rsid w:val="00743EFB"/>
    <w:rsid w:val="00743FA6"/>
    <w:rsid w:val="00744A81"/>
    <w:rsid w:val="00744AF4"/>
    <w:rsid w:val="00744C07"/>
    <w:rsid w:val="00744EE4"/>
    <w:rsid w:val="007457BD"/>
    <w:rsid w:val="0074586F"/>
    <w:rsid w:val="007459BF"/>
    <w:rsid w:val="00745A22"/>
    <w:rsid w:val="00745A65"/>
    <w:rsid w:val="00745CA3"/>
    <w:rsid w:val="00745D71"/>
    <w:rsid w:val="0074607B"/>
    <w:rsid w:val="007460AE"/>
    <w:rsid w:val="00746214"/>
    <w:rsid w:val="007463AA"/>
    <w:rsid w:val="00746512"/>
    <w:rsid w:val="007468D5"/>
    <w:rsid w:val="007469E9"/>
    <w:rsid w:val="00746F46"/>
    <w:rsid w:val="007471F8"/>
    <w:rsid w:val="00747516"/>
    <w:rsid w:val="0074755D"/>
    <w:rsid w:val="007476F0"/>
    <w:rsid w:val="00747949"/>
    <w:rsid w:val="00747BB2"/>
    <w:rsid w:val="00747D86"/>
    <w:rsid w:val="00747E51"/>
    <w:rsid w:val="00750897"/>
    <w:rsid w:val="00750981"/>
    <w:rsid w:val="00750C2F"/>
    <w:rsid w:val="00750D2E"/>
    <w:rsid w:val="00750F81"/>
    <w:rsid w:val="00751098"/>
    <w:rsid w:val="0075111B"/>
    <w:rsid w:val="007513EE"/>
    <w:rsid w:val="00751B89"/>
    <w:rsid w:val="00751B8F"/>
    <w:rsid w:val="00751C7C"/>
    <w:rsid w:val="00751F34"/>
    <w:rsid w:val="0075295E"/>
    <w:rsid w:val="007529BE"/>
    <w:rsid w:val="00752ACF"/>
    <w:rsid w:val="00752E3A"/>
    <w:rsid w:val="00752E8D"/>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8A1"/>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518"/>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5B"/>
    <w:rsid w:val="007703E0"/>
    <w:rsid w:val="007709E7"/>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257"/>
    <w:rsid w:val="00776283"/>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3FE0"/>
    <w:rsid w:val="00784389"/>
    <w:rsid w:val="007844DF"/>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B12"/>
    <w:rsid w:val="00786CE9"/>
    <w:rsid w:val="00786D0E"/>
    <w:rsid w:val="00786D77"/>
    <w:rsid w:val="00787634"/>
    <w:rsid w:val="0078784E"/>
    <w:rsid w:val="00787999"/>
    <w:rsid w:val="0079035A"/>
    <w:rsid w:val="007906A1"/>
    <w:rsid w:val="007906F9"/>
    <w:rsid w:val="007907BA"/>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40"/>
    <w:rsid w:val="00796862"/>
    <w:rsid w:val="00796CFC"/>
    <w:rsid w:val="00796D4B"/>
    <w:rsid w:val="00797165"/>
    <w:rsid w:val="007974B1"/>
    <w:rsid w:val="00797545"/>
    <w:rsid w:val="007975F5"/>
    <w:rsid w:val="0079760D"/>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2FA1"/>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1265"/>
    <w:rsid w:val="007B1443"/>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A86"/>
    <w:rsid w:val="007B3DE7"/>
    <w:rsid w:val="007B4246"/>
    <w:rsid w:val="007B43A1"/>
    <w:rsid w:val="007B4499"/>
    <w:rsid w:val="007B473D"/>
    <w:rsid w:val="007B4BFD"/>
    <w:rsid w:val="007B4D6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5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648"/>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363"/>
    <w:rsid w:val="007F0776"/>
    <w:rsid w:val="007F07F4"/>
    <w:rsid w:val="007F07FD"/>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B7A"/>
    <w:rsid w:val="007F5C43"/>
    <w:rsid w:val="007F5D52"/>
    <w:rsid w:val="007F5EAD"/>
    <w:rsid w:val="007F5F33"/>
    <w:rsid w:val="007F6552"/>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44D"/>
    <w:rsid w:val="00803776"/>
    <w:rsid w:val="008037DB"/>
    <w:rsid w:val="008039AB"/>
    <w:rsid w:val="00803B4B"/>
    <w:rsid w:val="008040B3"/>
    <w:rsid w:val="008040BC"/>
    <w:rsid w:val="008040E8"/>
    <w:rsid w:val="00804470"/>
    <w:rsid w:val="008045AD"/>
    <w:rsid w:val="008048AD"/>
    <w:rsid w:val="00804913"/>
    <w:rsid w:val="00804ABA"/>
    <w:rsid w:val="00804B84"/>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2BD"/>
    <w:rsid w:val="0081147E"/>
    <w:rsid w:val="00811B90"/>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EE1"/>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A43"/>
    <w:rsid w:val="00821C68"/>
    <w:rsid w:val="00821C76"/>
    <w:rsid w:val="00821C8D"/>
    <w:rsid w:val="00821CA8"/>
    <w:rsid w:val="00822050"/>
    <w:rsid w:val="0082225E"/>
    <w:rsid w:val="00822425"/>
    <w:rsid w:val="0082242E"/>
    <w:rsid w:val="00822787"/>
    <w:rsid w:val="00822798"/>
    <w:rsid w:val="008227E1"/>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78"/>
    <w:rsid w:val="008257AA"/>
    <w:rsid w:val="0082585C"/>
    <w:rsid w:val="008259D7"/>
    <w:rsid w:val="00825B33"/>
    <w:rsid w:val="00825C27"/>
    <w:rsid w:val="00825CBB"/>
    <w:rsid w:val="00825DFA"/>
    <w:rsid w:val="00825FA7"/>
    <w:rsid w:val="008263BD"/>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48B"/>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EF0"/>
    <w:rsid w:val="00846069"/>
    <w:rsid w:val="008460AE"/>
    <w:rsid w:val="008462C7"/>
    <w:rsid w:val="0084644F"/>
    <w:rsid w:val="008464D2"/>
    <w:rsid w:val="008465E1"/>
    <w:rsid w:val="008465E6"/>
    <w:rsid w:val="00846905"/>
    <w:rsid w:val="00846A7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C0"/>
    <w:rsid w:val="00853D05"/>
    <w:rsid w:val="00853D12"/>
    <w:rsid w:val="00853F0F"/>
    <w:rsid w:val="00853F97"/>
    <w:rsid w:val="008540EB"/>
    <w:rsid w:val="0085431B"/>
    <w:rsid w:val="0085444A"/>
    <w:rsid w:val="008544B5"/>
    <w:rsid w:val="00854566"/>
    <w:rsid w:val="00854AC2"/>
    <w:rsid w:val="00854BC0"/>
    <w:rsid w:val="00854C05"/>
    <w:rsid w:val="00855838"/>
    <w:rsid w:val="008558EF"/>
    <w:rsid w:val="008559A4"/>
    <w:rsid w:val="008559FD"/>
    <w:rsid w:val="00855C66"/>
    <w:rsid w:val="00855D46"/>
    <w:rsid w:val="008560CE"/>
    <w:rsid w:val="008561F9"/>
    <w:rsid w:val="00856992"/>
    <w:rsid w:val="00856A09"/>
    <w:rsid w:val="00856AA3"/>
    <w:rsid w:val="00856CBA"/>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2F25"/>
    <w:rsid w:val="00863378"/>
    <w:rsid w:val="008637E9"/>
    <w:rsid w:val="00863958"/>
    <w:rsid w:val="00863D7C"/>
    <w:rsid w:val="00863DF7"/>
    <w:rsid w:val="00863E90"/>
    <w:rsid w:val="00863EF6"/>
    <w:rsid w:val="0086409B"/>
    <w:rsid w:val="00864268"/>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35F"/>
    <w:rsid w:val="00866B94"/>
    <w:rsid w:val="00866E42"/>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C99"/>
    <w:rsid w:val="00870CF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7B4"/>
    <w:rsid w:val="00880834"/>
    <w:rsid w:val="00880CBB"/>
    <w:rsid w:val="00880FD7"/>
    <w:rsid w:val="0088127C"/>
    <w:rsid w:val="0088159C"/>
    <w:rsid w:val="00881887"/>
    <w:rsid w:val="008818E4"/>
    <w:rsid w:val="008819B2"/>
    <w:rsid w:val="00881D73"/>
    <w:rsid w:val="00881FA5"/>
    <w:rsid w:val="008822D5"/>
    <w:rsid w:val="00882364"/>
    <w:rsid w:val="008823A3"/>
    <w:rsid w:val="008824F9"/>
    <w:rsid w:val="008826DC"/>
    <w:rsid w:val="00882967"/>
    <w:rsid w:val="00882BE0"/>
    <w:rsid w:val="00882C14"/>
    <w:rsid w:val="00882E4B"/>
    <w:rsid w:val="00883483"/>
    <w:rsid w:val="008839E4"/>
    <w:rsid w:val="00883A4A"/>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1592"/>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168"/>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A0E"/>
    <w:rsid w:val="00897ED1"/>
    <w:rsid w:val="00897F20"/>
    <w:rsid w:val="00897F7D"/>
    <w:rsid w:val="008A0301"/>
    <w:rsid w:val="008A0453"/>
    <w:rsid w:val="008A061D"/>
    <w:rsid w:val="008A07CE"/>
    <w:rsid w:val="008A07F0"/>
    <w:rsid w:val="008A0C6F"/>
    <w:rsid w:val="008A0D22"/>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45"/>
    <w:rsid w:val="008A49B1"/>
    <w:rsid w:val="008A4F1E"/>
    <w:rsid w:val="008A529E"/>
    <w:rsid w:val="008A56DC"/>
    <w:rsid w:val="008A5771"/>
    <w:rsid w:val="008A5E33"/>
    <w:rsid w:val="008A5ED4"/>
    <w:rsid w:val="008A63B0"/>
    <w:rsid w:val="008A65AB"/>
    <w:rsid w:val="008A6623"/>
    <w:rsid w:val="008A663D"/>
    <w:rsid w:val="008A680F"/>
    <w:rsid w:val="008A6A40"/>
    <w:rsid w:val="008A728F"/>
    <w:rsid w:val="008A73C1"/>
    <w:rsid w:val="008A74D2"/>
    <w:rsid w:val="008A76A5"/>
    <w:rsid w:val="008B007B"/>
    <w:rsid w:val="008B0452"/>
    <w:rsid w:val="008B0518"/>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D53"/>
    <w:rsid w:val="008B4FC7"/>
    <w:rsid w:val="008B5102"/>
    <w:rsid w:val="008B51AE"/>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37"/>
    <w:rsid w:val="008D1351"/>
    <w:rsid w:val="008D1B09"/>
    <w:rsid w:val="008D1B67"/>
    <w:rsid w:val="008D1DA5"/>
    <w:rsid w:val="008D204F"/>
    <w:rsid w:val="008D20E2"/>
    <w:rsid w:val="008D215C"/>
    <w:rsid w:val="008D2521"/>
    <w:rsid w:val="008D2C41"/>
    <w:rsid w:val="008D3301"/>
    <w:rsid w:val="008D3347"/>
    <w:rsid w:val="008D394B"/>
    <w:rsid w:val="008D3AC8"/>
    <w:rsid w:val="008D48E9"/>
    <w:rsid w:val="008D4E81"/>
    <w:rsid w:val="008D4F44"/>
    <w:rsid w:val="008D5053"/>
    <w:rsid w:val="008D51EC"/>
    <w:rsid w:val="008D5326"/>
    <w:rsid w:val="008D53DC"/>
    <w:rsid w:val="008D5517"/>
    <w:rsid w:val="008D5530"/>
    <w:rsid w:val="008D5681"/>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23B"/>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92"/>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34"/>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98D"/>
    <w:rsid w:val="00921CAD"/>
    <w:rsid w:val="00922481"/>
    <w:rsid w:val="009226FB"/>
    <w:rsid w:val="00922ECF"/>
    <w:rsid w:val="00923092"/>
    <w:rsid w:val="009231BC"/>
    <w:rsid w:val="009231DC"/>
    <w:rsid w:val="0092330D"/>
    <w:rsid w:val="009234A1"/>
    <w:rsid w:val="00923756"/>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9B7"/>
    <w:rsid w:val="00933BCC"/>
    <w:rsid w:val="00933D05"/>
    <w:rsid w:val="00933E0F"/>
    <w:rsid w:val="009342D9"/>
    <w:rsid w:val="009342F2"/>
    <w:rsid w:val="00934309"/>
    <w:rsid w:val="0093463D"/>
    <w:rsid w:val="00934709"/>
    <w:rsid w:val="00934800"/>
    <w:rsid w:val="0093481E"/>
    <w:rsid w:val="0093485C"/>
    <w:rsid w:val="00934C2A"/>
    <w:rsid w:val="00934E49"/>
    <w:rsid w:val="00934F9A"/>
    <w:rsid w:val="009353B9"/>
    <w:rsid w:val="00935410"/>
    <w:rsid w:val="009355EC"/>
    <w:rsid w:val="009355F5"/>
    <w:rsid w:val="00935B2B"/>
    <w:rsid w:val="00935B74"/>
    <w:rsid w:val="00935F85"/>
    <w:rsid w:val="00936658"/>
    <w:rsid w:val="00936CCE"/>
    <w:rsid w:val="00936CF4"/>
    <w:rsid w:val="00936D6F"/>
    <w:rsid w:val="00936E80"/>
    <w:rsid w:val="009370A1"/>
    <w:rsid w:val="00937175"/>
    <w:rsid w:val="00937760"/>
    <w:rsid w:val="009377E4"/>
    <w:rsid w:val="00937BB5"/>
    <w:rsid w:val="0094008E"/>
    <w:rsid w:val="009400E2"/>
    <w:rsid w:val="00940266"/>
    <w:rsid w:val="00940537"/>
    <w:rsid w:val="009406DE"/>
    <w:rsid w:val="009407CC"/>
    <w:rsid w:val="00940CDC"/>
    <w:rsid w:val="00940EBC"/>
    <w:rsid w:val="00940F49"/>
    <w:rsid w:val="0094112C"/>
    <w:rsid w:val="009412BE"/>
    <w:rsid w:val="009413F8"/>
    <w:rsid w:val="00941920"/>
    <w:rsid w:val="009419EE"/>
    <w:rsid w:val="00941C92"/>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C6C"/>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870"/>
    <w:rsid w:val="00950937"/>
    <w:rsid w:val="00950AD0"/>
    <w:rsid w:val="00950AEF"/>
    <w:rsid w:val="009510C4"/>
    <w:rsid w:val="0095114E"/>
    <w:rsid w:val="0095147A"/>
    <w:rsid w:val="009516C4"/>
    <w:rsid w:val="009519AD"/>
    <w:rsid w:val="009519DA"/>
    <w:rsid w:val="00951B64"/>
    <w:rsid w:val="00951CE5"/>
    <w:rsid w:val="00952202"/>
    <w:rsid w:val="009525CB"/>
    <w:rsid w:val="009529F3"/>
    <w:rsid w:val="00952A1B"/>
    <w:rsid w:val="00952E5F"/>
    <w:rsid w:val="00952F3A"/>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73"/>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B"/>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C8"/>
    <w:rsid w:val="00963EC6"/>
    <w:rsid w:val="0096417C"/>
    <w:rsid w:val="009645D2"/>
    <w:rsid w:val="00964834"/>
    <w:rsid w:val="00964EA4"/>
    <w:rsid w:val="00964F50"/>
    <w:rsid w:val="009653A7"/>
    <w:rsid w:val="009654D8"/>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87"/>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15"/>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234E"/>
    <w:rsid w:val="00992394"/>
    <w:rsid w:val="0099264F"/>
    <w:rsid w:val="00992B2B"/>
    <w:rsid w:val="00992B68"/>
    <w:rsid w:val="00992D80"/>
    <w:rsid w:val="00993007"/>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BDB"/>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0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925"/>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2CB"/>
    <w:rsid w:val="009B53BD"/>
    <w:rsid w:val="009B57EC"/>
    <w:rsid w:val="009B5BA4"/>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11F9"/>
    <w:rsid w:val="009C123D"/>
    <w:rsid w:val="009C1250"/>
    <w:rsid w:val="009C1251"/>
    <w:rsid w:val="009C1551"/>
    <w:rsid w:val="009C1694"/>
    <w:rsid w:val="009C181E"/>
    <w:rsid w:val="009C18C4"/>
    <w:rsid w:val="009C1A28"/>
    <w:rsid w:val="009C1CDC"/>
    <w:rsid w:val="009C1D89"/>
    <w:rsid w:val="009C1E4E"/>
    <w:rsid w:val="009C20FD"/>
    <w:rsid w:val="009C22B2"/>
    <w:rsid w:val="009C22E7"/>
    <w:rsid w:val="009C235B"/>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6AC"/>
    <w:rsid w:val="009C4B49"/>
    <w:rsid w:val="009C4BBB"/>
    <w:rsid w:val="009C4C6C"/>
    <w:rsid w:val="009C5039"/>
    <w:rsid w:val="009C5067"/>
    <w:rsid w:val="009C50A7"/>
    <w:rsid w:val="009C55B8"/>
    <w:rsid w:val="009C5633"/>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90A"/>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7E2"/>
    <w:rsid w:val="009E187B"/>
    <w:rsid w:val="009E19FF"/>
    <w:rsid w:val="009E1CA3"/>
    <w:rsid w:val="009E1D65"/>
    <w:rsid w:val="009E1DD1"/>
    <w:rsid w:val="009E1E6F"/>
    <w:rsid w:val="009E216E"/>
    <w:rsid w:val="009E2245"/>
    <w:rsid w:val="009E22DA"/>
    <w:rsid w:val="009E276A"/>
    <w:rsid w:val="009E27E3"/>
    <w:rsid w:val="009E29A1"/>
    <w:rsid w:val="009E2BAE"/>
    <w:rsid w:val="009E2D74"/>
    <w:rsid w:val="009E2FE1"/>
    <w:rsid w:val="009E2FF2"/>
    <w:rsid w:val="009E3297"/>
    <w:rsid w:val="009E3E52"/>
    <w:rsid w:val="009E3EBA"/>
    <w:rsid w:val="009E430F"/>
    <w:rsid w:val="009E449A"/>
    <w:rsid w:val="009E44BB"/>
    <w:rsid w:val="009E4A53"/>
    <w:rsid w:val="009E4CA1"/>
    <w:rsid w:val="009E4CC5"/>
    <w:rsid w:val="009E4DBD"/>
    <w:rsid w:val="009E4F89"/>
    <w:rsid w:val="009E5394"/>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FC"/>
    <w:rsid w:val="009E7C1D"/>
    <w:rsid w:val="009E7FA1"/>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00A"/>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5E73"/>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936"/>
    <w:rsid w:val="009F7A94"/>
    <w:rsid w:val="009F7D59"/>
    <w:rsid w:val="009F7D5D"/>
    <w:rsid w:val="00A008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598"/>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34F"/>
    <w:rsid w:val="00A135A8"/>
    <w:rsid w:val="00A13725"/>
    <w:rsid w:val="00A1386E"/>
    <w:rsid w:val="00A138EF"/>
    <w:rsid w:val="00A13C1F"/>
    <w:rsid w:val="00A141BA"/>
    <w:rsid w:val="00A14210"/>
    <w:rsid w:val="00A142AE"/>
    <w:rsid w:val="00A148BF"/>
    <w:rsid w:val="00A14A24"/>
    <w:rsid w:val="00A15108"/>
    <w:rsid w:val="00A1521B"/>
    <w:rsid w:val="00A15C50"/>
    <w:rsid w:val="00A15CF5"/>
    <w:rsid w:val="00A15F89"/>
    <w:rsid w:val="00A1649C"/>
    <w:rsid w:val="00A1660F"/>
    <w:rsid w:val="00A16616"/>
    <w:rsid w:val="00A16B1D"/>
    <w:rsid w:val="00A16C9D"/>
    <w:rsid w:val="00A16EBB"/>
    <w:rsid w:val="00A1735A"/>
    <w:rsid w:val="00A174E3"/>
    <w:rsid w:val="00A1785B"/>
    <w:rsid w:val="00A178CF"/>
    <w:rsid w:val="00A17926"/>
    <w:rsid w:val="00A17D9B"/>
    <w:rsid w:val="00A17DAE"/>
    <w:rsid w:val="00A203C1"/>
    <w:rsid w:val="00A203E2"/>
    <w:rsid w:val="00A20603"/>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A95"/>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57"/>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D8A"/>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A32"/>
    <w:rsid w:val="00A56B05"/>
    <w:rsid w:val="00A56B33"/>
    <w:rsid w:val="00A57103"/>
    <w:rsid w:val="00A5715D"/>
    <w:rsid w:val="00A57162"/>
    <w:rsid w:val="00A571C1"/>
    <w:rsid w:val="00A57935"/>
    <w:rsid w:val="00A57B78"/>
    <w:rsid w:val="00A57CF9"/>
    <w:rsid w:val="00A602AD"/>
    <w:rsid w:val="00A60708"/>
    <w:rsid w:val="00A60B9E"/>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2CB"/>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70023"/>
    <w:rsid w:val="00A70394"/>
    <w:rsid w:val="00A703A0"/>
    <w:rsid w:val="00A704B9"/>
    <w:rsid w:val="00A7054C"/>
    <w:rsid w:val="00A7057A"/>
    <w:rsid w:val="00A7097F"/>
    <w:rsid w:val="00A70A7D"/>
    <w:rsid w:val="00A70C6A"/>
    <w:rsid w:val="00A70C81"/>
    <w:rsid w:val="00A70C8D"/>
    <w:rsid w:val="00A71042"/>
    <w:rsid w:val="00A710EA"/>
    <w:rsid w:val="00A71343"/>
    <w:rsid w:val="00A714A4"/>
    <w:rsid w:val="00A71875"/>
    <w:rsid w:val="00A71AFA"/>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C6B"/>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4B4"/>
    <w:rsid w:val="00A82730"/>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45D4"/>
    <w:rsid w:val="00A94765"/>
    <w:rsid w:val="00A947DF"/>
    <w:rsid w:val="00A94ACE"/>
    <w:rsid w:val="00A94BF2"/>
    <w:rsid w:val="00A94FA4"/>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AA"/>
    <w:rsid w:val="00AA0FDB"/>
    <w:rsid w:val="00AA1092"/>
    <w:rsid w:val="00AA13DA"/>
    <w:rsid w:val="00AA1532"/>
    <w:rsid w:val="00AA181B"/>
    <w:rsid w:val="00AA1907"/>
    <w:rsid w:val="00AA1B55"/>
    <w:rsid w:val="00AA2221"/>
    <w:rsid w:val="00AA2801"/>
    <w:rsid w:val="00AA29BD"/>
    <w:rsid w:val="00AA2BE2"/>
    <w:rsid w:val="00AA32B9"/>
    <w:rsid w:val="00AA3671"/>
    <w:rsid w:val="00AA3A33"/>
    <w:rsid w:val="00AA3AFC"/>
    <w:rsid w:val="00AA3CC0"/>
    <w:rsid w:val="00AA3EF2"/>
    <w:rsid w:val="00AA42AC"/>
    <w:rsid w:val="00AA450F"/>
    <w:rsid w:val="00AA462B"/>
    <w:rsid w:val="00AA467D"/>
    <w:rsid w:val="00AA47BA"/>
    <w:rsid w:val="00AA4802"/>
    <w:rsid w:val="00AA4A95"/>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5E2"/>
    <w:rsid w:val="00AB56A2"/>
    <w:rsid w:val="00AB58D2"/>
    <w:rsid w:val="00AB5D50"/>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2E"/>
    <w:rsid w:val="00AD069D"/>
    <w:rsid w:val="00AD081B"/>
    <w:rsid w:val="00AD084B"/>
    <w:rsid w:val="00AD0A55"/>
    <w:rsid w:val="00AD101C"/>
    <w:rsid w:val="00AD1295"/>
    <w:rsid w:val="00AD14C1"/>
    <w:rsid w:val="00AD16FC"/>
    <w:rsid w:val="00AD1A5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5F2"/>
    <w:rsid w:val="00AD6845"/>
    <w:rsid w:val="00AD68C1"/>
    <w:rsid w:val="00AD6C00"/>
    <w:rsid w:val="00AD6C74"/>
    <w:rsid w:val="00AD7053"/>
    <w:rsid w:val="00AD748B"/>
    <w:rsid w:val="00AD7659"/>
    <w:rsid w:val="00AD7895"/>
    <w:rsid w:val="00AD79F1"/>
    <w:rsid w:val="00AD79F4"/>
    <w:rsid w:val="00AD7B8E"/>
    <w:rsid w:val="00AE00E2"/>
    <w:rsid w:val="00AE01CF"/>
    <w:rsid w:val="00AE01E4"/>
    <w:rsid w:val="00AE0677"/>
    <w:rsid w:val="00AE0A3A"/>
    <w:rsid w:val="00AE0C87"/>
    <w:rsid w:val="00AE0DCC"/>
    <w:rsid w:val="00AE1315"/>
    <w:rsid w:val="00AE1646"/>
    <w:rsid w:val="00AE1842"/>
    <w:rsid w:val="00AE1C39"/>
    <w:rsid w:val="00AE2025"/>
    <w:rsid w:val="00AE2421"/>
    <w:rsid w:val="00AE26DD"/>
    <w:rsid w:val="00AE2A19"/>
    <w:rsid w:val="00AE2E4E"/>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0A"/>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4EA7"/>
    <w:rsid w:val="00B0510E"/>
    <w:rsid w:val="00B05139"/>
    <w:rsid w:val="00B052F6"/>
    <w:rsid w:val="00B05423"/>
    <w:rsid w:val="00B05D68"/>
    <w:rsid w:val="00B05FEC"/>
    <w:rsid w:val="00B06248"/>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1E"/>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17D"/>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4F0"/>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93E"/>
    <w:rsid w:val="00B21A36"/>
    <w:rsid w:val="00B21A6C"/>
    <w:rsid w:val="00B21B7A"/>
    <w:rsid w:val="00B21CBC"/>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3E7"/>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ACA"/>
    <w:rsid w:val="00B37DE1"/>
    <w:rsid w:val="00B37DFC"/>
    <w:rsid w:val="00B37EA2"/>
    <w:rsid w:val="00B37EB1"/>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2C2"/>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E4F"/>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1AA"/>
    <w:rsid w:val="00B6050E"/>
    <w:rsid w:val="00B60670"/>
    <w:rsid w:val="00B60689"/>
    <w:rsid w:val="00B60950"/>
    <w:rsid w:val="00B609BB"/>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E1"/>
    <w:rsid w:val="00B6392E"/>
    <w:rsid w:val="00B63BA9"/>
    <w:rsid w:val="00B63C03"/>
    <w:rsid w:val="00B64103"/>
    <w:rsid w:val="00B641A2"/>
    <w:rsid w:val="00B6429C"/>
    <w:rsid w:val="00B64AB2"/>
    <w:rsid w:val="00B651B0"/>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DF7"/>
    <w:rsid w:val="00B72E6C"/>
    <w:rsid w:val="00B72F50"/>
    <w:rsid w:val="00B731DE"/>
    <w:rsid w:val="00B731EC"/>
    <w:rsid w:val="00B732C5"/>
    <w:rsid w:val="00B7354A"/>
    <w:rsid w:val="00B739B0"/>
    <w:rsid w:val="00B739F7"/>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6067"/>
    <w:rsid w:val="00B76260"/>
    <w:rsid w:val="00B76399"/>
    <w:rsid w:val="00B76706"/>
    <w:rsid w:val="00B76E0E"/>
    <w:rsid w:val="00B76E32"/>
    <w:rsid w:val="00B76EBD"/>
    <w:rsid w:val="00B76ECE"/>
    <w:rsid w:val="00B77545"/>
    <w:rsid w:val="00B775BE"/>
    <w:rsid w:val="00B776CD"/>
    <w:rsid w:val="00B77801"/>
    <w:rsid w:val="00B80197"/>
    <w:rsid w:val="00B801A8"/>
    <w:rsid w:val="00B80214"/>
    <w:rsid w:val="00B80476"/>
    <w:rsid w:val="00B804E8"/>
    <w:rsid w:val="00B8064C"/>
    <w:rsid w:val="00B806CB"/>
    <w:rsid w:val="00B80742"/>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DDE"/>
    <w:rsid w:val="00B83E46"/>
    <w:rsid w:val="00B843B6"/>
    <w:rsid w:val="00B84689"/>
    <w:rsid w:val="00B849C9"/>
    <w:rsid w:val="00B84A62"/>
    <w:rsid w:val="00B84ED3"/>
    <w:rsid w:val="00B84F34"/>
    <w:rsid w:val="00B84F7F"/>
    <w:rsid w:val="00B853C7"/>
    <w:rsid w:val="00B85414"/>
    <w:rsid w:val="00B85465"/>
    <w:rsid w:val="00B85747"/>
    <w:rsid w:val="00B85D09"/>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3C6"/>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39E"/>
    <w:rsid w:val="00BA17E4"/>
    <w:rsid w:val="00BA1A10"/>
    <w:rsid w:val="00BA1B35"/>
    <w:rsid w:val="00BA1B99"/>
    <w:rsid w:val="00BA1C72"/>
    <w:rsid w:val="00BA2109"/>
    <w:rsid w:val="00BA2337"/>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246"/>
    <w:rsid w:val="00BA7262"/>
    <w:rsid w:val="00BA7269"/>
    <w:rsid w:val="00BA757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73C"/>
    <w:rsid w:val="00BC4B45"/>
    <w:rsid w:val="00BC4B70"/>
    <w:rsid w:val="00BC555E"/>
    <w:rsid w:val="00BC575C"/>
    <w:rsid w:val="00BC5923"/>
    <w:rsid w:val="00BC5A95"/>
    <w:rsid w:val="00BC5AD6"/>
    <w:rsid w:val="00BC5DA8"/>
    <w:rsid w:val="00BC61C4"/>
    <w:rsid w:val="00BC65D9"/>
    <w:rsid w:val="00BC683D"/>
    <w:rsid w:val="00BC69AA"/>
    <w:rsid w:val="00BC6B48"/>
    <w:rsid w:val="00BC6CC5"/>
    <w:rsid w:val="00BC6D68"/>
    <w:rsid w:val="00BC6DC4"/>
    <w:rsid w:val="00BC7240"/>
    <w:rsid w:val="00BC74D6"/>
    <w:rsid w:val="00BC76EA"/>
    <w:rsid w:val="00BC77EF"/>
    <w:rsid w:val="00BC79A6"/>
    <w:rsid w:val="00BC79B3"/>
    <w:rsid w:val="00BC7C7C"/>
    <w:rsid w:val="00BD0322"/>
    <w:rsid w:val="00BD05D8"/>
    <w:rsid w:val="00BD06E7"/>
    <w:rsid w:val="00BD0A2B"/>
    <w:rsid w:val="00BD0C7F"/>
    <w:rsid w:val="00BD0CAD"/>
    <w:rsid w:val="00BD179D"/>
    <w:rsid w:val="00BD1838"/>
    <w:rsid w:val="00BD1BAB"/>
    <w:rsid w:val="00BD1CFD"/>
    <w:rsid w:val="00BD20C3"/>
    <w:rsid w:val="00BD216D"/>
    <w:rsid w:val="00BD2C5F"/>
    <w:rsid w:val="00BD2C72"/>
    <w:rsid w:val="00BD2CF3"/>
    <w:rsid w:val="00BD3003"/>
    <w:rsid w:val="00BD30D1"/>
    <w:rsid w:val="00BD33D9"/>
    <w:rsid w:val="00BD36DF"/>
    <w:rsid w:val="00BD377D"/>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D9A"/>
    <w:rsid w:val="00BD4FEC"/>
    <w:rsid w:val="00BD503E"/>
    <w:rsid w:val="00BD542C"/>
    <w:rsid w:val="00BD5550"/>
    <w:rsid w:val="00BD559C"/>
    <w:rsid w:val="00BD56B8"/>
    <w:rsid w:val="00BD5802"/>
    <w:rsid w:val="00BD618C"/>
    <w:rsid w:val="00BD6441"/>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B6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AF5"/>
    <w:rsid w:val="00BE7CF2"/>
    <w:rsid w:val="00BE7DC5"/>
    <w:rsid w:val="00BF000B"/>
    <w:rsid w:val="00BF0046"/>
    <w:rsid w:val="00BF0052"/>
    <w:rsid w:val="00BF026E"/>
    <w:rsid w:val="00BF044C"/>
    <w:rsid w:val="00BF0757"/>
    <w:rsid w:val="00BF0A16"/>
    <w:rsid w:val="00BF0BA0"/>
    <w:rsid w:val="00BF0E35"/>
    <w:rsid w:val="00BF0F33"/>
    <w:rsid w:val="00BF0F81"/>
    <w:rsid w:val="00BF132A"/>
    <w:rsid w:val="00BF16CF"/>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D5"/>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3DC"/>
    <w:rsid w:val="00BF7598"/>
    <w:rsid w:val="00BF7886"/>
    <w:rsid w:val="00C000A3"/>
    <w:rsid w:val="00C0042E"/>
    <w:rsid w:val="00C006A0"/>
    <w:rsid w:val="00C008E5"/>
    <w:rsid w:val="00C00CE9"/>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AF1"/>
    <w:rsid w:val="00C04DD1"/>
    <w:rsid w:val="00C0502A"/>
    <w:rsid w:val="00C05121"/>
    <w:rsid w:val="00C05248"/>
    <w:rsid w:val="00C056C9"/>
    <w:rsid w:val="00C057EB"/>
    <w:rsid w:val="00C05900"/>
    <w:rsid w:val="00C05AE7"/>
    <w:rsid w:val="00C05EFF"/>
    <w:rsid w:val="00C05FFB"/>
    <w:rsid w:val="00C06179"/>
    <w:rsid w:val="00C06186"/>
    <w:rsid w:val="00C0645D"/>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36C"/>
    <w:rsid w:val="00C154CD"/>
    <w:rsid w:val="00C15507"/>
    <w:rsid w:val="00C15671"/>
    <w:rsid w:val="00C158D3"/>
    <w:rsid w:val="00C158DA"/>
    <w:rsid w:val="00C160CD"/>
    <w:rsid w:val="00C165B2"/>
    <w:rsid w:val="00C16703"/>
    <w:rsid w:val="00C16A3C"/>
    <w:rsid w:val="00C16AB2"/>
    <w:rsid w:val="00C16C05"/>
    <w:rsid w:val="00C17036"/>
    <w:rsid w:val="00C17215"/>
    <w:rsid w:val="00C173AD"/>
    <w:rsid w:val="00C1758F"/>
    <w:rsid w:val="00C176CB"/>
    <w:rsid w:val="00C17B66"/>
    <w:rsid w:val="00C17DE5"/>
    <w:rsid w:val="00C17E68"/>
    <w:rsid w:val="00C17F3E"/>
    <w:rsid w:val="00C20059"/>
    <w:rsid w:val="00C208D5"/>
    <w:rsid w:val="00C20B43"/>
    <w:rsid w:val="00C20CAB"/>
    <w:rsid w:val="00C20F7A"/>
    <w:rsid w:val="00C21163"/>
    <w:rsid w:val="00C2128A"/>
    <w:rsid w:val="00C214C5"/>
    <w:rsid w:val="00C214E6"/>
    <w:rsid w:val="00C2151A"/>
    <w:rsid w:val="00C219FD"/>
    <w:rsid w:val="00C21A38"/>
    <w:rsid w:val="00C21EAB"/>
    <w:rsid w:val="00C21F15"/>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621"/>
    <w:rsid w:val="00C2479D"/>
    <w:rsid w:val="00C247BF"/>
    <w:rsid w:val="00C24BE2"/>
    <w:rsid w:val="00C24ED1"/>
    <w:rsid w:val="00C24F1D"/>
    <w:rsid w:val="00C24F6C"/>
    <w:rsid w:val="00C25159"/>
    <w:rsid w:val="00C253E2"/>
    <w:rsid w:val="00C2574E"/>
    <w:rsid w:val="00C25D5F"/>
    <w:rsid w:val="00C26040"/>
    <w:rsid w:val="00C2662E"/>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1D7"/>
    <w:rsid w:val="00C31313"/>
    <w:rsid w:val="00C313F4"/>
    <w:rsid w:val="00C3143C"/>
    <w:rsid w:val="00C31610"/>
    <w:rsid w:val="00C31810"/>
    <w:rsid w:val="00C3184B"/>
    <w:rsid w:val="00C31886"/>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5EB"/>
    <w:rsid w:val="00C35967"/>
    <w:rsid w:val="00C359A9"/>
    <w:rsid w:val="00C35D60"/>
    <w:rsid w:val="00C35D6A"/>
    <w:rsid w:val="00C35E06"/>
    <w:rsid w:val="00C35E1E"/>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CDB"/>
    <w:rsid w:val="00C40F89"/>
    <w:rsid w:val="00C41695"/>
    <w:rsid w:val="00C4197B"/>
    <w:rsid w:val="00C41B04"/>
    <w:rsid w:val="00C41D69"/>
    <w:rsid w:val="00C41F7A"/>
    <w:rsid w:val="00C42042"/>
    <w:rsid w:val="00C423DB"/>
    <w:rsid w:val="00C423E2"/>
    <w:rsid w:val="00C4265D"/>
    <w:rsid w:val="00C42674"/>
    <w:rsid w:val="00C428A6"/>
    <w:rsid w:val="00C42D3F"/>
    <w:rsid w:val="00C43908"/>
    <w:rsid w:val="00C43B4A"/>
    <w:rsid w:val="00C43C91"/>
    <w:rsid w:val="00C44069"/>
    <w:rsid w:val="00C44208"/>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0A6"/>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A55"/>
    <w:rsid w:val="00C60C67"/>
    <w:rsid w:val="00C60C90"/>
    <w:rsid w:val="00C612E0"/>
    <w:rsid w:val="00C61516"/>
    <w:rsid w:val="00C61646"/>
    <w:rsid w:val="00C616E3"/>
    <w:rsid w:val="00C61856"/>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92D"/>
    <w:rsid w:val="00C64AF1"/>
    <w:rsid w:val="00C64B75"/>
    <w:rsid w:val="00C64CA8"/>
    <w:rsid w:val="00C64E07"/>
    <w:rsid w:val="00C652DA"/>
    <w:rsid w:val="00C65572"/>
    <w:rsid w:val="00C65655"/>
    <w:rsid w:val="00C657DD"/>
    <w:rsid w:val="00C65A5E"/>
    <w:rsid w:val="00C65A69"/>
    <w:rsid w:val="00C65A6A"/>
    <w:rsid w:val="00C65D4F"/>
    <w:rsid w:val="00C6607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6787B"/>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BB9"/>
    <w:rsid w:val="00C76C31"/>
    <w:rsid w:val="00C76E57"/>
    <w:rsid w:val="00C770CE"/>
    <w:rsid w:val="00C7724F"/>
    <w:rsid w:val="00C77281"/>
    <w:rsid w:val="00C777A7"/>
    <w:rsid w:val="00C777E9"/>
    <w:rsid w:val="00C77804"/>
    <w:rsid w:val="00C805D9"/>
    <w:rsid w:val="00C80950"/>
    <w:rsid w:val="00C80A72"/>
    <w:rsid w:val="00C80AF3"/>
    <w:rsid w:val="00C8110D"/>
    <w:rsid w:val="00C81331"/>
    <w:rsid w:val="00C81975"/>
    <w:rsid w:val="00C81BF0"/>
    <w:rsid w:val="00C82166"/>
    <w:rsid w:val="00C8240A"/>
    <w:rsid w:val="00C82540"/>
    <w:rsid w:val="00C82624"/>
    <w:rsid w:val="00C82EBF"/>
    <w:rsid w:val="00C82ED3"/>
    <w:rsid w:val="00C82FB5"/>
    <w:rsid w:val="00C83405"/>
    <w:rsid w:val="00C83613"/>
    <w:rsid w:val="00C83958"/>
    <w:rsid w:val="00C83F9A"/>
    <w:rsid w:val="00C83FEA"/>
    <w:rsid w:val="00C84324"/>
    <w:rsid w:val="00C8434D"/>
    <w:rsid w:val="00C84898"/>
    <w:rsid w:val="00C848A0"/>
    <w:rsid w:val="00C84A98"/>
    <w:rsid w:val="00C84AE5"/>
    <w:rsid w:val="00C84D61"/>
    <w:rsid w:val="00C850F8"/>
    <w:rsid w:val="00C85145"/>
    <w:rsid w:val="00C85608"/>
    <w:rsid w:val="00C859B5"/>
    <w:rsid w:val="00C85B6F"/>
    <w:rsid w:val="00C86183"/>
    <w:rsid w:val="00C86245"/>
    <w:rsid w:val="00C86370"/>
    <w:rsid w:val="00C867AE"/>
    <w:rsid w:val="00C867E1"/>
    <w:rsid w:val="00C86D7B"/>
    <w:rsid w:val="00C86EEC"/>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33F"/>
    <w:rsid w:val="00C9268B"/>
    <w:rsid w:val="00C9268C"/>
    <w:rsid w:val="00C9268D"/>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97F96"/>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6CB0"/>
    <w:rsid w:val="00CA71E6"/>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590"/>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849"/>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412"/>
    <w:rsid w:val="00CE7572"/>
    <w:rsid w:val="00CE76EE"/>
    <w:rsid w:val="00CE7B52"/>
    <w:rsid w:val="00CE7E70"/>
    <w:rsid w:val="00CF0243"/>
    <w:rsid w:val="00CF02A7"/>
    <w:rsid w:val="00CF02FB"/>
    <w:rsid w:val="00CF0607"/>
    <w:rsid w:val="00CF0E85"/>
    <w:rsid w:val="00CF0FAC"/>
    <w:rsid w:val="00CF0FFE"/>
    <w:rsid w:val="00CF101F"/>
    <w:rsid w:val="00CF132F"/>
    <w:rsid w:val="00CF1390"/>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003"/>
    <w:rsid w:val="00CF5023"/>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9C"/>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555"/>
    <w:rsid w:val="00D1788B"/>
    <w:rsid w:val="00D178E0"/>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33"/>
    <w:rsid w:val="00D225E7"/>
    <w:rsid w:val="00D229C9"/>
    <w:rsid w:val="00D22D1B"/>
    <w:rsid w:val="00D22DEE"/>
    <w:rsid w:val="00D22E7A"/>
    <w:rsid w:val="00D22FAE"/>
    <w:rsid w:val="00D23458"/>
    <w:rsid w:val="00D234CA"/>
    <w:rsid w:val="00D23750"/>
    <w:rsid w:val="00D23769"/>
    <w:rsid w:val="00D2381F"/>
    <w:rsid w:val="00D23A25"/>
    <w:rsid w:val="00D23BE3"/>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1BF"/>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27E96"/>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6B3"/>
    <w:rsid w:val="00D32912"/>
    <w:rsid w:val="00D32A27"/>
    <w:rsid w:val="00D32BBE"/>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47FFE"/>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8A5"/>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1A9"/>
    <w:rsid w:val="00D5468E"/>
    <w:rsid w:val="00D5468F"/>
    <w:rsid w:val="00D54BF9"/>
    <w:rsid w:val="00D54E5B"/>
    <w:rsid w:val="00D54FE9"/>
    <w:rsid w:val="00D5500B"/>
    <w:rsid w:val="00D5547D"/>
    <w:rsid w:val="00D55572"/>
    <w:rsid w:val="00D5560D"/>
    <w:rsid w:val="00D557C6"/>
    <w:rsid w:val="00D557EE"/>
    <w:rsid w:val="00D5583B"/>
    <w:rsid w:val="00D55AA4"/>
    <w:rsid w:val="00D55AB3"/>
    <w:rsid w:val="00D5640B"/>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C5B"/>
    <w:rsid w:val="00D60EED"/>
    <w:rsid w:val="00D60F21"/>
    <w:rsid w:val="00D615AD"/>
    <w:rsid w:val="00D617CC"/>
    <w:rsid w:val="00D6183D"/>
    <w:rsid w:val="00D61A02"/>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4F91"/>
    <w:rsid w:val="00D65064"/>
    <w:rsid w:val="00D6563A"/>
    <w:rsid w:val="00D656B9"/>
    <w:rsid w:val="00D65BA6"/>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18"/>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4ED"/>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8F7"/>
    <w:rsid w:val="00D879F1"/>
    <w:rsid w:val="00D87A6E"/>
    <w:rsid w:val="00D87EAA"/>
    <w:rsid w:val="00D900EF"/>
    <w:rsid w:val="00D90555"/>
    <w:rsid w:val="00D907B3"/>
    <w:rsid w:val="00D9089A"/>
    <w:rsid w:val="00D90932"/>
    <w:rsid w:val="00D90C91"/>
    <w:rsid w:val="00D90CD2"/>
    <w:rsid w:val="00D912E6"/>
    <w:rsid w:val="00D913F5"/>
    <w:rsid w:val="00D915EE"/>
    <w:rsid w:val="00D91D74"/>
    <w:rsid w:val="00D91E68"/>
    <w:rsid w:val="00D9201D"/>
    <w:rsid w:val="00D925AB"/>
    <w:rsid w:val="00D92877"/>
    <w:rsid w:val="00D9294C"/>
    <w:rsid w:val="00D92A24"/>
    <w:rsid w:val="00D92AB6"/>
    <w:rsid w:val="00D92BFF"/>
    <w:rsid w:val="00D92DE5"/>
    <w:rsid w:val="00D92F09"/>
    <w:rsid w:val="00D930B9"/>
    <w:rsid w:val="00D93630"/>
    <w:rsid w:val="00D937F1"/>
    <w:rsid w:val="00D93FD0"/>
    <w:rsid w:val="00D940D6"/>
    <w:rsid w:val="00D941A4"/>
    <w:rsid w:val="00D942BE"/>
    <w:rsid w:val="00D944AD"/>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2C3"/>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50"/>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4C81"/>
    <w:rsid w:val="00DC511F"/>
    <w:rsid w:val="00DC551C"/>
    <w:rsid w:val="00DC58BD"/>
    <w:rsid w:val="00DC5931"/>
    <w:rsid w:val="00DC5A0D"/>
    <w:rsid w:val="00DC5C6C"/>
    <w:rsid w:val="00DC5E12"/>
    <w:rsid w:val="00DC5F93"/>
    <w:rsid w:val="00DC6203"/>
    <w:rsid w:val="00DC6387"/>
    <w:rsid w:val="00DC6685"/>
    <w:rsid w:val="00DC66C4"/>
    <w:rsid w:val="00DC685E"/>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458"/>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971"/>
    <w:rsid w:val="00DE2C38"/>
    <w:rsid w:val="00DE305A"/>
    <w:rsid w:val="00DE30C2"/>
    <w:rsid w:val="00DE33E1"/>
    <w:rsid w:val="00DE352E"/>
    <w:rsid w:val="00DE354E"/>
    <w:rsid w:val="00DE35B6"/>
    <w:rsid w:val="00DE3600"/>
    <w:rsid w:val="00DE3658"/>
    <w:rsid w:val="00DE3660"/>
    <w:rsid w:val="00DE3740"/>
    <w:rsid w:val="00DE3825"/>
    <w:rsid w:val="00DE430C"/>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74"/>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EF9"/>
    <w:rsid w:val="00DF5F70"/>
    <w:rsid w:val="00DF6122"/>
    <w:rsid w:val="00DF62DB"/>
    <w:rsid w:val="00DF656A"/>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29F3"/>
    <w:rsid w:val="00E0316F"/>
    <w:rsid w:val="00E03549"/>
    <w:rsid w:val="00E03709"/>
    <w:rsid w:val="00E0370A"/>
    <w:rsid w:val="00E03898"/>
    <w:rsid w:val="00E038F6"/>
    <w:rsid w:val="00E03AC2"/>
    <w:rsid w:val="00E04144"/>
    <w:rsid w:val="00E043DC"/>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C2D"/>
    <w:rsid w:val="00E07DD8"/>
    <w:rsid w:val="00E07E9C"/>
    <w:rsid w:val="00E07EB8"/>
    <w:rsid w:val="00E07F78"/>
    <w:rsid w:val="00E1015B"/>
    <w:rsid w:val="00E10385"/>
    <w:rsid w:val="00E103F8"/>
    <w:rsid w:val="00E10DDF"/>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EA2"/>
    <w:rsid w:val="00E16F85"/>
    <w:rsid w:val="00E172CA"/>
    <w:rsid w:val="00E1738E"/>
    <w:rsid w:val="00E174D6"/>
    <w:rsid w:val="00E17545"/>
    <w:rsid w:val="00E17A6E"/>
    <w:rsid w:val="00E20190"/>
    <w:rsid w:val="00E2034C"/>
    <w:rsid w:val="00E20392"/>
    <w:rsid w:val="00E2040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076"/>
    <w:rsid w:val="00E25A72"/>
    <w:rsid w:val="00E25B4C"/>
    <w:rsid w:val="00E25CCF"/>
    <w:rsid w:val="00E25D73"/>
    <w:rsid w:val="00E25F74"/>
    <w:rsid w:val="00E25FD4"/>
    <w:rsid w:val="00E26300"/>
    <w:rsid w:val="00E263D8"/>
    <w:rsid w:val="00E26692"/>
    <w:rsid w:val="00E26852"/>
    <w:rsid w:val="00E269D7"/>
    <w:rsid w:val="00E26D53"/>
    <w:rsid w:val="00E26D7C"/>
    <w:rsid w:val="00E26E81"/>
    <w:rsid w:val="00E2716E"/>
    <w:rsid w:val="00E27435"/>
    <w:rsid w:val="00E2767F"/>
    <w:rsid w:val="00E276DE"/>
    <w:rsid w:val="00E27A53"/>
    <w:rsid w:val="00E27C79"/>
    <w:rsid w:val="00E27D41"/>
    <w:rsid w:val="00E300BD"/>
    <w:rsid w:val="00E3083D"/>
    <w:rsid w:val="00E30897"/>
    <w:rsid w:val="00E309D2"/>
    <w:rsid w:val="00E30ACA"/>
    <w:rsid w:val="00E30DFF"/>
    <w:rsid w:val="00E30E94"/>
    <w:rsid w:val="00E31064"/>
    <w:rsid w:val="00E311E3"/>
    <w:rsid w:val="00E31508"/>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A4"/>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12"/>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47B"/>
    <w:rsid w:val="00E508AD"/>
    <w:rsid w:val="00E509AB"/>
    <w:rsid w:val="00E509DF"/>
    <w:rsid w:val="00E50CEC"/>
    <w:rsid w:val="00E50EF3"/>
    <w:rsid w:val="00E5199E"/>
    <w:rsid w:val="00E51B67"/>
    <w:rsid w:val="00E51E55"/>
    <w:rsid w:val="00E52544"/>
    <w:rsid w:val="00E52569"/>
    <w:rsid w:val="00E53101"/>
    <w:rsid w:val="00E53182"/>
    <w:rsid w:val="00E533B0"/>
    <w:rsid w:val="00E53404"/>
    <w:rsid w:val="00E53541"/>
    <w:rsid w:val="00E53810"/>
    <w:rsid w:val="00E539B9"/>
    <w:rsid w:val="00E53C2E"/>
    <w:rsid w:val="00E53CFF"/>
    <w:rsid w:val="00E53F1E"/>
    <w:rsid w:val="00E53F43"/>
    <w:rsid w:val="00E53F79"/>
    <w:rsid w:val="00E541D6"/>
    <w:rsid w:val="00E54255"/>
    <w:rsid w:val="00E542BD"/>
    <w:rsid w:val="00E5433A"/>
    <w:rsid w:val="00E54342"/>
    <w:rsid w:val="00E545E0"/>
    <w:rsid w:val="00E5465D"/>
    <w:rsid w:val="00E5483A"/>
    <w:rsid w:val="00E54B60"/>
    <w:rsid w:val="00E54D11"/>
    <w:rsid w:val="00E54EE9"/>
    <w:rsid w:val="00E550BE"/>
    <w:rsid w:val="00E55275"/>
    <w:rsid w:val="00E552C2"/>
    <w:rsid w:val="00E553FE"/>
    <w:rsid w:val="00E555C5"/>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DE"/>
    <w:rsid w:val="00E635A3"/>
    <w:rsid w:val="00E6372E"/>
    <w:rsid w:val="00E637E2"/>
    <w:rsid w:val="00E63EE0"/>
    <w:rsid w:val="00E63FEC"/>
    <w:rsid w:val="00E64107"/>
    <w:rsid w:val="00E6462F"/>
    <w:rsid w:val="00E64C0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21B"/>
    <w:rsid w:val="00E67357"/>
    <w:rsid w:val="00E674BF"/>
    <w:rsid w:val="00E678AD"/>
    <w:rsid w:val="00E67998"/>
    <w:rsid w:val="00E67BA0"/>
    <w:rsid w:val="00E67C18"/>
    <w:rsid w:val="00E67E01"/>
    <w:rsid w:val="00E70014"/>
    <w:rsid w:val="00E701EB"/>
    <w:rsid w:val="00E702C5"/>
    <w:rsid w:val="00E7034D"/>
    <w:rsid w:val="00E705A6"/>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5A"/>
    <w:rsid w:val="00E7206D"/>
    <w:rsid w:val="00E720FB"/>
    <w:rsid w:val="00E725B9"/>
    <w:rsid w:val="00E72697"/>
    <w:rsid w:val="00E72820"/>
    <w:rsid w:val="00E72926"/>
    <w:rsid w:val="00E72C50"/>
    <w:rsid w:val="00E72ECE"/>
    <w:rsid w:val="00E72F7C"/>
    <w:rsid w:val="00E73082"/>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BBB"/>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BE5"/>
    <w:rsid w:val="00E87D94"/>
    <w:rsid w:val="00E87DEA"/>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0B2"/>
    <w:rsid w:val="00E94667"/>
    <w:rsid w:val="00E946BB"/>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45F"/>
    <w:rsid w:val="00EA04DA"/>
    <w:rsid w:val="00EA0616"/>
    <w:rsid w:val="00EA0667"/>
    <w:rsid w:val="00EA0B1E"/>
    <w:rsid w:val="00EA0B68"/>
    <w:rsid w:val="00EA0D59"/>
    <w:rsid w:val="00EA0E76"/>
    <w:rsid w:val="00EA135B"/>
    <w:rsid w:val="00EA1460"/>
    <w:rsid w:val="00EA16CF"/>
    <w:rsid w:val="00EA196E"/>
    <w:rsid w:val="00EA1A07"/>
    <w:rsid w:val="00EA1A27"/>
    <w:rsid w:val="00EA1B8C"/>
    <w:rsid w:val="00EA1FF8"/>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613B"/>
    <w:rsid w:val="00EA646B"/>
    <w:rsid w:val="00EA6602"/>
    <w:rsid w:val="00EA6A6D"/>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A0D"/>
    <w:rsid w:val="00EB2F87"/>
    <w:rsid w:val="00EB2FD2"/>
    <w:rsid w:val="00EB2FDD"/>
    <w:rsid w:val="00EB3011"/>
    <w:rsid w:val="00EB303B"/>
    <w:rsid w:val="00EB3664"/>
    <w:rsid w:val="00EB3DA5"/>
    <w:rsid w:val="00EB3F1C"/>
    <w:rsid w:val="00EB416E"/>
    <w:rsid w:val="00EB4A71"/>
    <w:rsid w:val="00EB4C57"/>
    <w:rsid w:val="00EB4D0F"/>
    <w:rsid w:val="00EB534E"/>
    <w:rsid w:val="00EB5353"/>
    <w:rsid w:val="00EB59CA"/>
    <w:rsid w:val="00EB5B9D"/>
    <w:rsid w:val="00EB68EF"/>
    <w:rsid w:val="00EB6B54"/>
    <w:rsid w:val="00EB6BB7"/>
    <w:rsid w:val="00EB6BF9"/>
    <w:rsid w:val="00EB7333"/>
    <w:rsid w:val="00EB749E"/>
    <w:rsid w:val="00EB74A6"/>
    <w:rsid w:val="00EB76E7"/>
    <w:rsid w:val="00EB7788"/>
    <w:rsid w:val="00EB797E"/>
    <w:rsid w:val="00EB7AE0"/>
    <w:rsid w:val="00EB7EDD"/>
    <w:rsid w:val="00EB7EF5"/>
    <w:rsid w:val="00EB7F52"/>
    <w:rsid w:val="00EB7FF5"/>
    <w:rsid w:val="00EC01B0"/>
    <w:rsid w:val="00EC02E9"/>
    <w:rsid w:val="00EC0667"/>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232"/>
    <w:rsid w:val="00EC269B"/>
    <w:rsid w:val="00EC26D3"/>
    <w:rsid w:val="00EC2C0C"/>
    <w:rsid w:val="00EC2CA9"/>
    <w:rsid w:val="00EC3557"/>
    <w:rsid w:val="00EC37A8"/>
    <w:rsid w:val="00EC38B5"/>
    <w:rsid w:val="00EC39B2"/>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C1"/>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55D"/>
    <w:rsid w:val="00EE3916"/>
    <w:rsid w:val="00EE3964"/>
    <w:rsid w:val="00EE3B00"/>
    <w:rsid w:val="00EE442F"/>
    <w:rsid w:val="00EE4465"/>
    <w:rsid w:val="00EE45B8"/>
    <w:rsid w:val="00EE4A2C"/>
    <w:rsid w:val="00EE4AA2"/>
    <w:rsid w:val="00EE4BBF"/>
    <w:rsid w:val="00EE4EC1"/>
    <w:rsid w:val="00EE5154"/>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8E"/>
    <w:rsid w:val="00F00ABB"/>
    <w:rsid w:val="00F00AD5"/>
    <w:rsid w:val="00F00B17"/>
    <w:rsid w:val="00F012B2"/>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C8"/>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0DA5"/>
    <w:rsid w:val="00F110EE"/>
    <w:rsid w:val="00F11159"/>
    <w:rsid w:val="00F11195"/>
    <w:rsid w:val="00F11230"/>
    <w:rsid w:val="00F11A18"/>
    <w:rsid w:val="00F11B9C"/>
    <w:rsid w:val="00F11C38"/>
    <w:rsid w:val="00F11F62"/>
    <w:rsid w:val="00F12941"/>
    <w:rsid w:val="00F12BFC"/>
    <w:rsid w:val="00F13051"/>
    <w:rsid w:val="00F1306B"/>
    <w:rsid w:val="00F13119"/>
    <w:rsid w:val="00F133E9"/>
    <w:rsid w:val="00F133F2"/>
    <w:rsid w:val="00F1362E"/>
    <w:rsid w:val="00F13AF6"/>
    <w:rsid w:val="00F13B38"/>
    <w:rsid w:val="00F13EA3"/>
    <w:rsid w:val="00F13ECB"/>
    <w:rsid w:val="00F13F15"/>
    <w:rsid w:val="00F142C4"/>
    <w:rsid w:val="00F142CF"/>
    <w:rsid w:val="00F145D6"/>
    <w:rsid w:val="00F14823"/>
    <w:rsid w:val="00F14A03"/>
    <w:rsid w:val="00F14A4D"/>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487"/>
    <w:rsid w:val="00F24580"/>
    <w:rsid w:val="00F24607"/>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6ABF"/>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2F8"/>
    <w:rsid w:val="00F41608"/>
    <w:rsid w:val="00F41658"/>
    <w:rsid w:val="00F416BA"/>
    <w:rsid w:val="00F41724"/>
    <w:rsid w:val="00F41895"/>
    <w:rsid w:val="00F418EC"/>
    <w:rsid w:val="00F41971"/>
    <w:rsid w:val="00F419A1"/>
    <w:rsid w:val="00F419BB"/>
    <w:rsid w:val="00F41A96"/>
    <w:rsid w:val="00F41C8E"/>
    <w:rsid w:val="00F42490"/>
    <w:rsid w:val="00F426B7"/>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36"/>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159"/>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245"/>
    <w:rsid w:val="00F603BA"/>
    <w:rsid w:val="00F61502"/>
    <w:rsid w:val="00F61505"/>
    <w:rsid w:val="00F619A9"/>
    <w:rsid w:val="00F61CC0"/>
    <w:rsid w:val="00F61DDA"/>
    <w:rsid w:val="00F62114"/>
    <w:rsid w:val="00F623A6"/>
    <w:rsid w:val="00F623D5"/>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4BA2"/>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0C7"/>
    <w:rsid w:val="00F7615F"/>
    <w:rsid w:val="00F762ED"/>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2E1"/>
    <w:rsid w:val="00F84779"/>
    <w:rsid w:val="00F84D8D"/>
    <w:rsid w:val="00F84E62"/>
    <w:rsid w:val="00F84EA8"/>
    <w:rsid w:val="00F84EF1"/>
    <w:rsid w:val="00F8553A"/>
    <w:rsid w:val="00F858E4"/>
    <w:rsid w:val="00F859E6"/>
    <w:rsid w:val="00F85BEA"/>
    <w:rsid w:val="00F85D02"/>
    <w:rsid w:val="00F861B8"/>
    <w:rsid w:val="00F8625C"/>
    <w:rsid w:val="00F864F0"/>
    <w:rsid w:val="00F86B80"/>
    <w:rsid w:val="00F86EDE"/>
    <w:rsid w:val="00F86F57"/>
    <w:rsid w:val="00F87132"/>
    <w:rsid w:val="00F875D2"/>
    <w:rsid w:val="00F8769A"/>
    <w:rsid w:val="00F8769C"/>
    <w:rsid w:val="00F876CC"/>
    <w:rsid w:val="00F876E5"/>
    <w:rsid w:val="00F87AA6"/>
    <w:rsid w:val="00F87F8A"/>
    <w:rsid w:val="00F90144"/>
    <w:rsid w:val="00F90229"/>
    <w:rsid w:val="00F90345"/>
    <w:rsid w:val="00F9051C"/>
    <w:rsid w:val="00F90788"/>
    <w:rsid w:val="00F909DD"/>
    <w:rsid w:val="00F90C44"/>
    <w:rsid w:val="00F90C5C"/>
    <w:rsid w:val="00F90D7F"/>
    <w:rsid w:val="00F90DA1"/>
    <w:rsid w:val="00F91322"/>
    <w:rsid w:val="00F91A11"/>
    <w:rsid w:val="00F91A18"/>
    <w:rsid w:val="00F91F66"/>
    <w:rsid w:val="00F92785"/>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E72"/>
    <w:rsid w:val="00FA2708"/>
    <w:rsid w:val="00FA2727"/>
    <w:rsid w:val="00FA2771"/>
    <w:rsid w:val="00FA28AA"/>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87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934"/>
    <w:rsid w:val="00FB7B97"/>
    <w:rsid w:val="00FB7EF3"/>
    <w:rsid w:val="00FB7F6F"/>
    <w:rsid w:val="00FC0004"/>
    <w:rsid w:val="00FC0013"/>
    <w:rsid w:val="00FC00FE"/>
    <w:rsid w:val="00FC0193"/>
    <w:rsid w:val="00FC0A55"/>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8"/>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8BF"/>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1B9"/>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297"/>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E7C7F"/>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F78"/>
    <w:rsid w:val="00FF6FBA"/>
    <w:rsid w:val="00FF7211"/>
    <w:rsid w:val="00FF7E98"/>
    <w:rsid w:val="1439E2A4"/>
    <w:rsid w:val="195463ED"/>
    <w:rsid w:val="279B2F3D"/>
    <w:rsid w:val="2B97FE2C"/>
    <w:rsid w:val="2FE7B4C3"/>
    <w:rsid w:val="309DE55A"/>
    <w:rsid w:val="30C09B9D"/>
    <w:rsid w:val="316ED427"/>
    <w:rsid w:val="37C9E1BA"/>
    <w:rsid w:val="48404FCA"/>
    <w:rsid w:val="4BBB0067"/>
    <w:rsid w:val="56C947C7"/>
    <w:rsid w:val="5768A9EF"/>
    <w:rsid w:val="683D2E79"/>
    <w:rsid w:val="7C899896"/>
  </w:rsids>
  <w:docVars>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D20FEAE"/>
  <w15:docId w15:val="{7C43EF6A-3EF4-484D-8AD6-B0606574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val="en-GB"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uiPriority w:val="39"/>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0">
    <w:name w:val="Char1_0"/>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GB"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GB"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GB"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uiPriority w:val="99"/>
    <w:semiHidden/>
    <w:unhideWhenUsed/>
    <w:rsid w:val="00A56A32"/>
    <w:rPr>
      <w:color w:val="605E5C"/>
      <w:shd w:val="clear" w:color="auto" w:fill="E1DFDD"/>
    </w:rPr>
  </w:style>
  <w:style w:type="paragraph" w:customStyle="1" w:styleId="Normal12a">
    <w:name w:val="Normal12a"/>
    <w:basedOn w:val="Normal"/>
    <w:rsid w:val="00DE2971"/>
    <w:pPr>
      <w:jc w:val="left"/>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eli/dir/2009/81/2026-01-01" TargetMode="External" /><Relationship Id="rId10" Type="http://schemas.openxmlformats.org/officeDocument/2006/relationships/hyperlink" Target="https://eur-lex.europa.eu/eli/reg/2025/1106/oj/eng" TargetMode="External" /><Relationship Id="rId11" Type="http://schemas.openxmlformats.org/officeDocument/2006/relationships/hyperlink" Target="https://eur-lex.europa.eu/eli/dir/2006/112/2025-04-14" TargetMode="External" /><Relationship Id="rId2" Type="http://schemas.openxmlformats.org/officeDocument/2006/relationships/hyperlink" Target="https://eur-lex.europa.eu/legal-content/EN/TXT/?uri=celex:52025DC0870" TargetMode="External" /><Relationship Id="rId3" Type="http://schemas.openxmlformats.org/officeDocument/2006/relationships/hyperlink" Target="https://eur-lex.europa.eu/legal-content/EN/TXT/?uri=celex:52026PC0135" TargetMode="External" /><Relationship Id="rId4" Type="http://schemas.openxmlformats.org/officeDocument/2006/relationships/hyperlink" Target="https://eur-lex.europa.eu/eli/treaty/tfeu_2016/art_346/oj/eng" TargetMode="External" /><Relationship Id="rId5" Type="http://schemas.openxmlformats.org/officeDocument/2006/relationships/hyperlink" Target="https://eur-lex.europa.eu/legal-content/EN/TXT/?uri=CELEX:52006DC0779" TargetMode="External" /><Relationship Id="rId6" Type="http://schemas.openxmlformats.org/officeDocument/2006/relationships/hyperlink" Target="https://eur-lex.europa.eu/eli/reg/2025/2643/oj/eng" TargetMode="External" /><Relationship Id="rId7" Type="http://schemas.openxmlformats.org/officeDocument/2006/relationships/hyperlink" Target="https://eur-lex.europa.eu/legal-content/EN/TXT/?uri=celex:52025DC0820" TargetMode="External" /><Relationship Id="rId8" Type="http://schemas.openxmlformats.org/officeDocument/2006/relationships/hyperlink" Target="https://eur-lex.europa.eu/legal-content/EN/TXT/?uri=celex:52025JC0027" TargetMode="External" /><Relationship Id="rId9" Type="http://schemas.openxmlformats.org/officeDocument/2006/relationships/hyperlink" Target="https://eur-lex.europa.eu/legal-content/EN/TXT/?uri=celex:52025DC0845"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D76292-0FA6-45E1-B267-6027DC266F05}">
  <ds:schemaRefs>
    <ds:schemaRef ds:uri="http://schemas.microsoft.com/sharepoint/v3/contenttype/forms"/>
  </ds:schemaRefs>
</ds:datastoreItem>
</file>

<file path=customXml/itemProps2.xml><?xml version="1.0" encoding="utf-8"?>
<ds:datastoreItem xmlns:ds="http://schemas.openxmlformats.org/officeDocument/2006/customXml" ds:itemID="{44DEAACB-59B4-4214-B149-5090E3DC30E3}">
  <ds:schemaRefs>
    <ds:schemaRef ds:uri="http://schemas.openxmlformats.org/officeDocument/2006/bibliography"/>
  </ds:schemaRefs>
</ds:datastoreItem>
</file>

<file path=customXml/itemProps3.xml><?xml version="1.0" encoding="utf-8"?>
<ds:datastoreItem xmlns:ds="http://schemas.openxmlformats.org/officeDocument/2006/customXml" ds:itemID="{87FB227B-992D-4541-849B-158134705C0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102C9374-4FAC-4F7F-BBF8-2675CCA60944}">
  <ds:schemaRefs/>
</ds:datastoreItem>
</file>

<file path=docProps/app.xml><?xml version="1.0" encoding="utf-8"?>
<Properties xmlns="http://schemas.openxmlformats.org/officeDocument/2006/extended-properties" xmlns:vt="http://schemas.openxmlformats.org/officeDocument/2006/docPropsVTypes">
  <Template>TEL.DOTM</Template>
  <TotalTime>2</TotalTime>
  <Pages>6</Pages>
  <Words>2554</Words>
  <Characters>14280</Characters>
  <Application>Microsoft Office Word</Application>
  <DocSecurity>0</DocSecurity>
  <Lines>210</Lines>
  <Paragraphs>30</Paragraphs>
  <ScaleCrop>false</ScaleCrop>
  <Company>European Commission</Company>
  <LinksUpToDate>false</LinksUpToDate>
  <CharactersWithSpaces>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4</cp:revision>
  <cp:lastPrinted>2026-04-30T14:10:00Z</cp:lastPrinted>
  <dcterms:created xsi:type="dcterms:W3CDTF">2026-07-09T09:30:00Z</dcterms:created>
  <dcterms:modified xsi:type="dcterms:W3CDTF">2026-07-28T08:30:00Z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0cc34465-c23b-45ab-a16d-3a3b8e9cf5a9</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Privileged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2023-02-09T16:17:08Z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