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A56A32" w:rsidRPr="00C9233F" w:rsidP="00783FE0" w14:paraId="28B8B45F" w14:textId="69E0D267">
      <w:pPr>
        <w:pStyle w:val="ATHeading3"/>
        <w:keepNext w:val="0"/>
        <w:keepLines w:val="0"/>
        <w:widowControl w:val="0"/>
        <w:jc w:val="center"/>
        <w:rPr>
          <w:szCs w:val="24"/>
        </w:rPr>
      </w:pPr>
      <w:r>
        <w:t>Suite donnée à la résolution non législative du Parlement européen sur l’élimination des obstacles au marché unique de la défense</w:t>
      </w:r>
    </w:p>
    <w:p w:rsidR="00A56A32" w:rsidRPr="00A70C8D" w:rsidP="00A56A32" w14:paraId="50C7B249" w14:textId="77777777">
      <w:pPr>
        <w:rPr>
          <w:rFonts w:ascii="Times New Roman" w:hAnsi="Times New Roman"/>
          <w:szCs w:val="24"/>
        </w:rPr>
      </w:pPr>
    </w:p>
    <w:p w:rsidR="004A6C66" w:rsidRPr="00955D73" w:rsidP="007F5B7A" w14:paraId="273C0310" w14:textId="2D831C27">
      <w:pPr>
        <w:numPr>
          <w:ilvl w:val="0"/>
          <w:numId w:val="27"/>
        </w:numPr>
        <w:ind w:left="567" w:hanging="567"/>
        <w:rPr>
          <w:rFonts w:ascii="Times New Roman" w:hAnsi="Times New Roman"/>
          <w:bCs/>
          <w:szCs w:val="24"/>
        </w:rPr>
      </w:pPr>
      <w:r>
        <w:rPr>
          <w:rFonts w:ascii="Times New Roman" w:hAnsi="Times New Roman"/>
          <w:b/>
        </w:rPr>
        <w:t>Rapporteur:</w:t>
      </w:r>
      <w:r>
        <w:rPr>
          <w:rFonts w:ascii="Times New Roman" w:hAnsi="Times New Roman"/>
          <w:b/>
        </w:rPr>
        <w:t xml:space="preserve"> </w:t>
      </w:r>
      <w:r>
        <w:rPr>
          <w:rFonts w:ascii="Times New Roman" w:hAnsi="Times New Roman"/>
        </w:rPr>
        <w:t>Tobias CREMER (S&amp;D / DE)</w:t>
      </w:r>
    </w:p>
    <w:p w:rsidR="008A4945" w:rsidRPr="00955D73" w:rsidP="007F5B7A" w14:paraId="4E0B3917" w14:textId="3C82B535">
      <w:pPr>
        <w:pStyle w:val="Default"/>
        <w:numPr>
          <w:ilvl w:val="0"/>
          <w:numId w:val="27"/>
        </w:numPr>
        <w:spacing w:after="240"/>
        <w:ind w:left="567" w:hanging="567"/>
        <w:jc w:val="both"/>
        <w:rPr>
          <w:color w:val="auto"/>
        </w:rPr>
      </w:pPr>
      <w:r>
        <w:rPr>
          <w:b/>
        </w:rPr>
        <w:t>Références:</w:t>
      </w:r>
      <w:r>
        <w:rPr>
          <w:b/>
        </w:rPr>
        <w:t xml:space="preserve"> </w:t>
      </w:r>
      <w:bookmarkStart w:id="0" w:name="_Hlk225149347"/>
      <w:r>
        <w:t>2025/2143(INI) /</w:t>
      </w:r>
      <w:r>
        <w:rPr>
          <w:i/>
        </w:rPr>
        <w:t xml:space="preserve"> </w:t>
      </w:r>
      <w:r>
        <w:t>A10-0017/2026 / P10_</w:t>
      </w:r>
      <w:r>
        <w:t>TA(</w:t>
      </w:r>
      <w:r>
        <w:t>2026)0079</w:t>
      </w:r>
      <w:bookmarkStart w:id="1" w:name="_Hlk225148999"/>
      <w:bookmarkEnd w:id="0"/>
    </w:p>
    <w:bookmarkEnd w:id="1"/>
    <w:p w:rsidR="005A00C3" w:rsidRPr="00C9233F" w:rsidP="00A824B4" w14:paraId="0A458E87" w14:textId="2B6E724E">
      <w:pPr>
        <w:numPr>
          <w:ilvl w:val="0"/>
          <w:numId w:val="27"/>
        </w:numPr>
        <w:ind w:left="567" w:hanging="567"/>
        <w:rPr>
          <w:rFonts w:ascii="Times New Roman" w:hAnsi="Times New Roman"/>
          <w:szCs w:val="24"/>
        </w:rPr>
      </w:pPr>
      <w:r>
        <w:rPr>
          <w:rFonts w:ascii="Times New Roman" w:hAnsi="Times New Roman"/>
          <w:b/>
        </w:rPr>
        <w:t xml:space="preserve">Date d’adoption de la </w:t>
      </w:r>
      <w:r>
        <w:rPr>
          <w:rFonts w:ascii="Times New Roman" w:hAnsi="Times New Roman"/>
          <w:b/>
        </w:rPr>
        <w:t>résolution:</w:t>
      </w:r>
      <w:r>
        <w:rPr>
          <w:rFonts w:ascii="Times New Roman" w:hAnsi="Times New Roman"/>
          <w:b/>
        </w:rPr>
        <w:t xml:space="preserve"> </w:t>
      </w:r>
      <w:r>
        <w:rPr>
          <w:rFonts w:ascii="Times New Roman" w:hAnsi="Times New Roman"/>
        </w:rPr>
        <w:t>11 mars 2026</w:t>
      </w:r>
    </w:p>
    <w:p w:rsidR="00EC0A27" w:rsidRPr="00C9233F" w:rsidP="00A824B4" w14:paraId="29798771" w14:textId="04FDA1F6">
      <w:pPr>
        <w:numPr>
          <w:ilvl w:val="0"/>
          <w:numId w:val="27"/>
        </w:numPr>
        <w:ind w:left="567" w:hanging="567"/>
        <w:rPr>
          <w:rFonts w:ascii="Times New Roman" w:hAnsi="Times New Roman"/>
          <w:i/>
          <w:szCs w:val="24"/>
        </w:rPr>
      </w:pPr>
      <w:r>
        <w:rPr>
          <w:rFonts w:ascii="Times New Roman" w:hAnsi="Times New Roman"/>
          <w:b/>
        </w:rPr>
        <w:t xml:space="preserve">Commission parlementaire </w:t>
      </w:r>
      <w:r>
        <w:rPr>
          <w:rFonts w:ascii="Times New Roman" w:hAnsi="Times New Roman"/>
          <w:b/>
        </w:rPr>
        <w:t>compétente:</w:t>
      </w:r>
      <w:r>
        <w:rPr>
          <w:rFonts w:ascii="Times New Roman" w:hAnsi="Times New Roman"/>
        </w:rPr>
        <w:t xml:space="preserve"> commission de la</w:t>
      </w:r>
      <w:r>
        <w:rPr>
          <w:rFonts w:ascii="Times New Roman" w:hAnsi="Times New Roman"/>
          <w:i/>
        </w:rPr>
        <w:t xml:space="preserve"> </w:t>
      </w:r>
      <w:r>
        <w:rPr>
          <w:rFonts w:ascii="Times New Roman" w:hAnsi="Times New Roman"/>
        </w:rPr>
        <w:t>sécurité et de la défense (SEDE)</w:t>
      </w:r>
      <w:r>
        <w:rPr>
          <w:rFonts w:ascii="Times New Roman" w:hAnsi="Times New Roman"/>
          <w:i/>
        </w:rPr>
        <w:t xml:space="preserve"> </w:t>
      </w:r>
    </w:p>
    <w:p w:rsidR="004A6C66" w:rsidRPr="00C9233F" w:rsidP="00A824B4" w14:paraId="364DCEF2" w14:textId="264254F2">
      <w:pPr>
        <w:widowControl w:val="0"/>
        <w:numPr>
          <w:ilvl w:val="0"/>
          <w:numId w:val="27"/>
        </w:numPr>
        <w:ind w:left="567" w:hanging="567"/>
        <w:rPr>
          <w:rFonts w:ascii="Times New Roman" w:hAnsi="Times New Roman"/>
          <w:i/>
          <w:szCs w:val="24"/>
        </w:rPr>
      </w:pPr>
      <w:r>
        <w:rPr>
          <w:rFonts w:ascii="Times New Roman" w:hAnsi="Times New Roman"/>
          <w:b/>
        </w:rPr>
        <w:t xml:space="preserve">Analyse/évaluation succincte de la résolution et des demandes qu’elle </w:t>
      </w:r>
      <w:r>
        <w:rPr>
          <w:rFonts w:ascii="Times New Roman" w:hAnsi="Times New Roman"/>
          <w:b/>
        </w:rPr>
        <w:t>contient:</w:t>
      </w:r>
      <w:r>
        <w:rPr>
          <w:rFonts w:ascii="Times New Roman" w:hAnsi="Times New Roman"/>
        </w:rPr>
        <w:t xml:space="preserve"> </w:t>
      </w:r>
    </w:p>
    <w:p w:rsidR="00EA646B" w:rsidP="195463ED" w14:paraId="33990D4D" w14:textId="690660D8">
      <w:pPr>
        <w:ind w:left="567"/>
        <w:rPr>
          <w:rFonts w:ascii="Times New Roman" w:hAnsi="Times New Roman"/>
        </w:rPr>
      </w:pPr>
      <w:r>
        <w:rPr>
          <w:rFonts w:ascii="Times New Roman" w:hAnsi="Times New Roman"/>
        </w:rPr>
        <w:t>Dans sa résolution, le Parlement souligne la nécessité d’un marché unique européen de la défense plus fort et plus intégré, afin de mettre en place une dissuasion crédible et de renforcer la base industrielle et technologique de défense européenne (BITDE). Dans ce contexte, il note que l’Union et ses États membres doivent remettre à plat leur coopération et leur coordination en matière de défense pour faire face aux défis et menaces auxquels ils sont confrontés. Il s’agit notamment de modifier fondamentalement leur perception de la production de l’industrie de la défense, étant donné que la structure actuelle du paysage industriel de la défense conduit à des doubles emplois inutiles, à des dépendances extérieures ainsi qu’à des inefficacités. Afin de lever les obstacles, tant du côté de l’offre que du côté de la demande, le Parlement formule une série de recommandations. En premier lieu, il souligne la nécessité de doter les programmes de défense de l’Union d’un financement suffisant au titre du prochain cadre financier pluriannuel (CFP). Par ailleurs, il recommande d’adopter une approche</w:t>
      </w:r>
      <w:r>
        <w:rPr>
          <w:rFonts w:ascii="Times New Roman" w:hAnsi="Times New Roman"/>
        </w:rPr>
        <w:t xml:space="preserve"> «Acheter</w:t>
      </w:r>
      <w:r>
        <w:rPr>
          <w:rFonts w:ascii="Times New Roman" w:hAnsi="Times New Roman"/>
        </w:rPr>
        <w:t xml:space="preserve"> </w:t>
      </w:r>
      <w:r>
        <w:rPr>
          <w:rFonts w:ascii="Times New Roman" w:hAnsi="Times New Roman"/>
        </w:rPr>
        <w:t>européen»</w:t>
      </w:r>
      <w:r>
        <w:rPr>
          <w:rFonts w:ascii="Times New Roman" w:hAnsi="Times New Roman"/>
        </w:rPr>
        <w:t>, qui accorde la priorité aux acquisitions conjointes et à l’augmentation de la production. À cet égard, il indique que l’Ukraine doit être considérée comme faisant partie intégrante du marché unique de la défense. Il souligne également la nécessité de simplifier et de réviser les règles de passation des marchés, ainsi que de simplifier et d’harmoniser les règles et de supprimer les obstacles liés aux transferts intra-UE de produits liés à la défense. Le Parlement met en outre l’accent sur la création d’un environnement plus favorable à la production dans le domaine de la défense, par exemple en mettant en place une initiative européenne d</w:t>
      </w:r>
      <w:r>
        <w:rPr>
          <w:rFonts w:ascii="Times New Roman" w:hAnsi="Times New Roman"/>
        </w:rPr>
        <w:t>’«accélérateur</w:t>
      </w:r>
      <w:r>
        <w:rPr>
          <w:rFonts w:ascii="Times New Roman" w:hAnsi="Times New Roman"/>
        </w:rPr>
        <w:t xml:space="preserve"> d’innovation en matière de </w:t>
      </w:r>
      <w:r>
        <w:rPr>
          <w:rFonts w:ascii="Times New Roman" w:hAnsi="Times New Roman"/>
        </w:rPr>
        <w:t>défense»</w:t>
      </w:r>
      <w:r>
        <w:rPr>
          <w:rFonts w:ascii="Times New Roman" w:hAnsi="Times New Roman"/>
        </w:rPr>
        <w:t>, en fournissant un soutien ciblé, en particulier pour l’essai de prototypes de nouveaux produits, et en envisageant un financement pour combler l’écart de commercialisation. Par ailleurs, selon les mesures proposées, l’Union doit jouer un rôle plus proactif en soutenant les investissements dans les technologies et les produits à double usage. En ce qui concerne les chaînes d’approvisionnement du secteur de la défense, diverses mesures visant à renforcer leur résilience sont exposées dans la résolution. Dans l’ensemble, le Parlement souligne la nécessité d’améliorer la coopération et l’échange d’informations. Enfin, afin de garantir une planification cohérente et complémentaire ainsi que des capacités de défense interopérables, il appelle de ses vœux un accord de coopération global entre l’Union et l’OTAN en matière de normalisation ainsi qu’en matière de planification et de développement des capacités.</w:t>
      </w:r>
    </w:p>
    <w:p w:rsidR="00D178E0" w:rsidRPr="00C9233F" w:rsidP="48404FCA" w14:paraId="6A6B4709" w14:textId="77777777">
      <w:pPr>
        <w:keepNext/>
        <w:widowControl w:val="0"/>
        <w:numPr>
          <w:ilvl w:val="0"/>
          <w:numId w:val="27"/>
        </w:numPr>
        <w:ind w:left="567" w:hanging="567"/>
        <w:rPr>
          <w:rFonts w:ascii="Times New Roman" w:hAnsi="Times New Roman"/>
          <w:b/>
          <w:bCs/>
          <w:i/>
          <w:iCs/>
        </w:rPr>
      </w:pPr>
      <w:r>
        <w:rPr>
          <w:rFonts w:ascii="Times New Roman" w:hAnsi="Times New Roman"/>
          <w:b/>
        </w:rPr>
        <w:t xml:space="preserve">Réponse aux demandes contenues dans la résolution et aperçu des mesures que la Commission a prises ou envisage de </w:t>
      </w:r>
      <w:r>
        <w:rPr>
          <w:rFonts w:ascii="Times New Roman" w:hAnsi="Times New Roman"/>
          <w:b/>
        </w:rPr>
        <w:t>prendre:</w:t>
      </w:r>
      <w:r>
        <w:rPr>
          <w:rFonts w:ascii="Times New Roman" w:hAnsi="Times New Roman"/>
        </w:rPr>
        <w:t xml:space="preserve"> </w:t>
      </w:r>
    </w:p>
    <w:p w:rsidR="00DE2971" w:rsidRPr="00C9233F" w:rsidP="48404FCA" w14:paraId="7E0571DC" w14:textId="222D5C9A">
      <w:pPr>
        <w:keepNext/>
        <w:widowControl w:val="0"/>
        <w:rPr>
          <w:rFonts w:ascii="Times New Roman" w:hAnsi="Times New Roman"/>
        </w:rPr>
      </w:pPr>
      <w:r>
        <w:rPr>
          <w:rFonts w:ascii="Times New Roman" w:hAnsi="Times New Roman"/>
        </w:rPr>
        <w:t>En ce qui concerne le paragraphe 16, la Commission entend présenter en 2026 une proposition législative sur la révision de la directive relative à la passation de marchés dans les domaines de la défense et de la sécurité à caractère sensible (directive 2009/81/CE</w:t>
      </w:r>
      <w:r>
        <w:rPr>
          <w:rStyle w:val="FootnoteReference"/>
        </w:rPr>
        <w:footnoteReference w:id="3"/>
      </w:r>
      <w:r>
        <w:rPr>
          <w:rFonts w:ascii="Times New Roman" w:hAnsi="Times New Roman"/>
        </w:rPr>
        <w:t>), comme indiqué dans son programme de travail pour 2026</w:t>
      </w:r>
      <w:r>
        <w:rPr>
          <w:rStyle w:val="FootnoteReference"/>
        </w:rPr>
        <w:footnoteReference w:id="4"/>
      </w:r>
      <w:r>
        <w:rPr>
          <w:rFonts w:ascii="Times New Roman" w:hAnsi="Times New Roman"/>
        </w:rPr>
        <w:t>. Cette révision sera axée sur la poursuite de la simplification des règles de l’UE relatives à la passation de marchés dans les domaines de la défense et de la sécurité à caractère sensible. Dans cet esprit, elle veillera notamment à ce que les procédures relatives à la passation des marchés dans le domaine de la défense, qui doivent être utilisées par les pouvoirs adjudicateurs ou entités adjudicatrices des États membres, soient adaptées à l’achat de solutions innovantes. En parallèle, la Commission continue de soutenir l’innovation dans le domaine de la défense. Par exemple, le 25 mars 2026, elle a proposé une nouvelle action dans ce domaine, intitulée</w:t>
      </w:r>
      <w:r>
        <w:rPr>
          <w:rFonts w:ascii="Times New Roman" w:hAnsi="Times New Roman"/>
        </w:rPr>
        <w:t xml:space="preserve"> «Programme</w:t>
      </w:r>
      <w:r>
        <w:rPr>
          <w:rFonts w:ascii="Times New Roman" w:hAnsi="Times New Roman"/>
        </w:rPr>
        <w:t xml:space="preserve"> pour l’innovation agile et rapide dans le domaine de la </w:t>
      </w:r>
      <w:r>
        <w:rPr>
          <w:rFonts w:ascii="Times New Roman" w:hAnsi="Times New Roman"/>
        </w:rPr>
        <w:t>défense»</w:t>
      </w:r>
      <w:r>
        <w:rPr>
          <w:rStyle w:val="FootnoteReference"/>
        </w:rPr>
        <w:footnoteReference w:id="5"/>
      </w:r>
      <w:r>
        <w:rPr>
          <w:rFonts w:ascii="Times New Roman" w:hAnsi="Times New Roman"/>
        </w:rPr>
        <w:t xml:space="preserve"> (AGILE). Elle utilisera les mêmes mécanismes accélérés et ciblés également prévus pour le Fonds européen pour la compétitivité (FEC), y compris les activités qui succéderont au Fonds européen de la défense (FED), au programme pour l’industrie européenne de la défense (EDIP) et au programme AGILE proposé.</w:t>
      </w:r>
    </w:p>
    <w:p w:rsidR="00DF656A" w:rsidRPr="00C9233F" w:rsidP="00891592" w14:paraId="40D15761" w14:textId="60DF005A">
      <w:pPr>
        <w:widowControl w:val="0"/>
        <w:rPr>
          <w:rFonts w:ascii="Times New Roman" w:hAnsi="Times New Roman"/>
          <w:iCs/>
          <w:szCs w:val="24"/>
        </w:rPr>
      </w:pPr>
      <w:r>
        <w:rPr>
          <w:rFonts w:ascii="Times New Roman" w:hAnsi="Times New Roman"/>
        </w:rPr>
        <w:t>En ce qui concerne le paragraphe 18, la Commission prend acte de la demande du Parlement de formuler une recommandation d’interprétation de l’article 346 du traité FUE</w:t>
      </w:r>
      <w:r>
        <w:rPr>
          <w:rStyle w:val="FootnoteReference"/>
        </w:rPr>
        <w:footnoteReference w:id="6"/>
      </w:r>
      <w:r>
        <w:rPr>
          <w:rFonts w:ascii="Times New Roman" w:hAnsi="Times New Roman"/>
        </w:rPr>
        <w:t>. En 2006, elle a publié une communication interprétative</w:t>
      </w:r>
      <w:r>
        <w:rPr>
          <w:rStyle w:val="FootnoteReference"/>
        </w:rPr>
        <w:footnoteReference w:id="7"/>
      </w:r>
      <w:r>
        <w:rPr>
          <w:rFonts w:ascii="Times New Roman" w:hAnsi="Times New Roman"/>
        </w:rPr>
        <w:t xml:space="preserve"> sur l’application de cette disposition dans le domaine des marchés publics de la défense (à l’époque, article 296 du traité instituant la Communauté européenne). Elle relève qu’au considérant 3 de la directive 2009/81/CE, les colégislateurs invitaient les États membres à tenir compte de cette communication interprétative, qui reste valable. La Commission relève également que le contenu des considérants 16 et 17 de la directive 2009/81/CE rappelle déjà qu’il convient d’interpréter la possibilité de recourir à l’article 346 du traité FUE (ainsi qu’aux autres exceptions spécifiques prévues par le traité) «de manière à ne pas étendre leurs effets au-delà de ce qui est strictement nécessaire pour la protection des intérêts légitimes que ces articles permettent de sauvegarder</w:t>
      </w:r>
      <w:r>
        <w:rPr>
          <w:rFonts w:ascii="Times New Roman" w:hAnsi="Times New Roman"/>
        </w:rPr>
        <w:t>.»</w:t>
      </w:r>
      <w:r>
        <w:rPr>
          <w:rFonts w:ascii="Times New Roman" w:hAnsi="Times New Roman"/>
        </w:rPr>
        <w:t xml:space="preserve"> Compte tenu de ce qui précède, la Commission estime qu’un nouveau document réinterprétant l’article 346 du traité FUE n’est pas nécessaire.</w:t>
      </w:r>
    </w:p>
    <w:p w:rsidR="00891592" w:rsidRPr="00C9233F" w:rsidP="00891592" w14:paraId="4CE85DBA" w14:textId="2F2E54E0">
      <w:pPr>
        <w:widowControl w:val="0"/>
        <w:rPr>
          <w:rFonts w:ascii="Times New Roman" w:hAnsi="Times New Roman"/>
          <w:iCs/>
          <w:szCs w:val="24"/>
        </w:rPr>
      </w:pPr>
      <w:r>
        <w:rPr>
          <w:rFonts w:ascii="Times New Roman" w:hAnsi="Times New Roman"/>
        </w:rPr>
        <w:t>En ce qui concerne le paragraphe 20, la Commission reconnaît l’importance de promouvoir un environnement entrepreneurial bénéfique pour toutes les parties prenantes. Comme indiqué ci-dessus, elle vient de présenter une proposition de règlement établissant un nouveau programme pour l’innovation agile et rapide dans le domaine de la défense (AGILE), qui vise à soutenir le développement rapide de technologies et de produits de défense émergents et de rupture et à garantir leur adoption sur le marché par les utilisateurs finaux, notamment par essai et validation.</w:t>
      </w:r>
    </w:p>
    <w:p w:rsidR="00C31886" w:rsidRPr="00C9233F" w:rsidP="00891592" w14:paraId="3006ADFC" w14:textId="24179877">
      <w:pPr>
        <w:widowControl w:val="0"/>
        <w:rPr>
          <w:rFonts w:ascii="Times New Roman" w:hAnsi="Times New Roman"/>
          <w:iCs/>
          <w:szCs w:val="24"/>
        </w:rPr>
      </w:pPr>
      <w:r>
        <w:rPr>
          <w:rFonts w:ascii="Times New Roman" w:hAnsi="Times New Roman"/>
        </w:rPr>
        <w:t>En ce qui concerne la propriété intellectuelle, les programmes de recherche et développement de la Commission dans le domaine de la défense, comme AGILE et le FED, sont conçus pour protéger les droits de propriété intellectuelle de l’industrie, laquelle conserve la propriété intellectuelle, sauf dans le cadre d’actions liées aux marchés publics. Certaines exigences prévoient que les résultats des actions bénéficiant d’un soutien ne soient pas soumis à un contrôle ou à des restrictions de la part de pays tiers ou d’entités non associés afin qu’ils puissent être utilisés dans l’ensemble de l’Union.</w:t>
      </w:r>
    </w:p>
    <w:p w:rsidR="00C31886" w:rsidRPr="00C9233F" w:rsidP="00891592" w14:paraId="6CDFC1F4" w14:textId="4D16585C">
      <w:pPr>
        <w:widowControl w:val="0"/>
        <w:rPr>
          <w:rFonts w:ascii="Times New Roman" w:hAnsi="Times New Roman"/>
          <w:iCs/>
          <w:szCs w:val="24"/>
        </w:rPr>
      </w:pPr>
      <w:r>
        <w:rPr>
          <w:rFonts w:ascii="Times New Roman" w:hAnsi="Times New Roman"/>
        </w:rPr>
        <w:t>En ce qui concerne le paragraphe 21, la Commission soutient l’appel du Parlement à simplifier davantage les règles et à supprimer les obstacles inutiles. Dans l’accord provisoire sur le train de mesures omnibus sur la préparation de la défense conclu le 10 juin 2026, les colégislateurs sont convenus de créer trois nouvelles licences générales de transfert (LGT) obligatoires. Ces LGT faciliteront les transferts dans le cadre du Fonds européen de la défense et renforceront la montée en puissance industrielle en soutenant la coopération transfrontière. Les colégislateurs sont également convenus d’introduire sept nouveaux cas de dérogations possibles à l’autorisation préalable. Cet accord provisoire permettra de réduire encore les coûts administratifs liés à l’octroi de licences et les retards inutiles. La Commission continue de soutenir pleinement l’objectif de la résolution de simplifier davantage les règles et de supprimer les obstacles inutiles.</w:t>
      </w:r>
    </w:p>
    <w:p w:rsidR="00C31886" w:rsidRPr="00C9233F" w:rsidP="00891592" w14:paraId="7772FB20" w14:textId="50CF2612">
      <w:pPr>
        <w:widowControl w:val="0"/>
        <w:rPr>
          <w:rFonts w:ascii="Times New Roman" w:hAnsi="Times New Roman"/>
          <w:iCs/>
          <w:szCs w:val="24"/>
        </w:rPr>
      </w:pPr>
      <w:r>
        <w:rPr>
          <w:rFonts w:ascii="Times New Roman" w:hAnsi="Times New Roman"/>
        </w:rPr>
        <w:t>En ce qui concerne la demande d’un système de reconnaissance mutuelle des habilitations et certifications de sécurité formulée au paragraphe 22, la Commission fait observer que la directive 2009/81/CE impose déjà aux États membres de reconnaître les habilitations de sécurité d’autres États membres qu’ils jugent équivalentes à celles délivrées par leurs propres autorités compétentes (voir l’article 22, in fine, et le considérant 43). Le régime actuel respecte les compétences des États membres dans ce domaine. Comme souligné dans la résolution, rien n’empêche les États membres d’élaborer une convention volontaire prévoyant la reconnaissance mutuelle en la matière.</w:t>
      </w:r>
    </w:p>
    <w:p w:rsidR="00514A9C" w:rsidRPr="00C9233F" w:rsidP="00514A9C" w14:paraId="5C9780D7" w14:textId="1F5E6286">
      <w:pPr>
        <w:widowControl w:val="0"/>
        <w:rPr>
          <w:rFonts w:ascii="Times New Roman" w:hAnsi="Times New Roman"/>
          <w:iCs/>
          <w:szCs w:val="24"/>
        </w:rPr>
      </w:pPr>
      <w:r>
        <w:rPr>
          <w:rFonts w:ascii="Times New Roman" w:hAnsi="Times New Roman"/>
        </w:rPr>
        <w:t xml:space="preserve">En ce qui concerne le paragraphe 24, la Commission reconnaît l’importance des chaînes d’approvisionnement et les risques éventuels qui y sont liés. En 2026, elle entend présenter une proposition législative sur la révision de la directive 2009/81/CE, comme indiqué dans son programme de travail pour 2026. Si cette révision se </w:t>
      </w:r>
      <w:r>
        <w:rPr>
          <w:rFonts w:ascii="Times New Roman" w:hAnsi="Times New Roman"/>
        </w:rPr>
        <w:t>concentrera sur la poursuite de la simplification des règles de l’UE relatives à la passation de marchés dans les domaines de la défense et de la sécurité à caractère sensible, elle révisera</w:t>
      </w:r>
      <w:r>
        <w:rPr>
          <w:rFonts w:ascii="Times New Roman" w:hAnsi="Times New Roman"/>
        </w:rPr>
        <w:t xml:space="preserve"> également les règles de la directive relatives à la sécurité de l’approvisionnement. Pour préparer les règles révisées, la Commission tiendra compte de la préoccupation exprimée dans la résolution du Parlement selon laquelle la résilience des chaînes d’approvisionnement doit être garantie, que ce soit par la diversification, la participation de nouveaux acteurs ou par d’autres moyens.</w:t>
      </w:r>
    </w:p>
    <w:p w:rsidR="00897F7D" w:rsidRPr="00C9233F" w:rsidP="00514A9C" w14:paraId="6A9349A5" w14:textId="505CEAC9">
      <w:pPr>
        <w:widowControl w:val="0"/>
        <w:rPr>
          <w:rFonts w:ascii="Times New Roman" w:hAnsi="Times New Roman"/>
          <w:iCs/>
          <w:szCs w:val="24"/>
        </w:rPr>
      </w:pPr>
      <w:r>
        <w:rPr>
          <w:rFonts w:ascii="Times New Roman" w:hAnsi="Times New Roman"/>
        </w:rPr>
        <w:t>En outre, dans le cadre de la mise en œuvre des dispositions du règlement EDIP</w:t>
      </w:r>
      <w:r>
        <w:rPr>
          <w:rStyle w:val="FootnoteReference"/>
        </w:rPr>
        <w:footnoteReference w:id="8"/>
      </w:r>
      <w:r>
        <w:rPr>
          <w:rFonts w:ascii="Times New Roman" w:hAnsi="Times New Roman"/>
        </w:rPr>
        <w:t xml:space="preserve"> relatives à la sécurité de l’approvisionnement, la Commission, en coopération avec le Comité de la sécurité de l’approvisionnement dans le domaine de la défense, entreprend des travaux sur la cartographie et le suivi des chaînes d’approvisionnement dans le domaine de la défense. Le Comité est composé de représentants de tous les États membres, de la Commission, du haut représentant et de l’Agence européenne de défense, et des représentants du Parlement européen sont invités à assister à ses réunions en </w:t>
      </w:r>
      <w:r>
        <w:rPr>
          <w:rFonts w:ascii="Times New Roman" w:hAnsi="Times New Roman"/>
        </w:rPr>
        <w:t xml:space="preserve">qualité d’observateurs. La Commission examinera si des mesures supplémentaires sont nécessaires dans ce contexte. </w:t>
      </w:r>
    </w:p>
    <w:p w:rsidR="00D178E0" w:rsidRPr="00C9233F" w:rsidP="00B37EB1" w14:paraId="7F8BA12F" w14:textId="384B5E89">
      <w:pPr>
        <w:widowControl w:val="0"/>
        <w:rPr>
          <w:rFonts w:ascii="Times New Roman" w:hAnsi="Times New Roman"/>
          <w:bCs/>
          <w:iCs/>
          <w:szCs w:val="24"/>
        </w:rPr>
      </w:pPr>
      <w:r>
        <w:rPr>
          <w:rFonts w:ascii="Times New Roman" w:hAnsi="Times New Roman"/>
        </w:rPr>
        <w:t>En ce qui concerne le paragraphe 26, la Commission reprend à son compte l’appel du Parlement à mieux soutenir les besoins uniques de l’industrie de la défense. La communication</w:t>
      </w:r>
      <w:r>
        <w:rPr>
          <w:rStyle w:val="FootnoteReference"/>
        </w:rPr>
        <w:footnoteReference w:id="9"/>
      </w:r>
      <w:r>
        <w:rPr>
          <w:rFonts w:ascii="Times New Roman" w:hAnsi="Times New Roman"/>
        </w:rPr>
        <w:t xml:space="preserve"> accompagnant le train de mesures omnibus sur la préparation de la défense a déjà établi des lignes directrices sur la manière d’interpréter les règles de concurrence de l’Union en vue de la préparation de la défense européenne, afin d’assurer à l’industrie de la défense le meilleur soutien possible. La Commission réexamine actuellement ses lignes directrices sur le contrôle des concentrations. Les spécificités du marché de la défense sont prises en considération dans ce réexamen.</w:t>
      </w:r>
    </w:p>
    <w:p w:rsidR="00316684" w:rsidRPr="00C9233F" w:rsidP="00B37EB1" w14:paraId="7756D791" w14:textId="397E8406">
      <w:pPr>
        <w:widowControl w:val="0"/>
        <w:rPr>
          <w:rFonts w:ascii="Times New Roman" w:hAnsi="Times New Roman"/>
          <w:iCs/>
          <w:szCs w:val="24"/>
        </w:rPr>
      </w:pPr>
      <w:r>
        <w:rPr>
          <w:rFonts w:ascii="Times New Roman" w:hAnsi="Times New Roman"/>
        </w:rPr>
        <w:t>En ce qui concerne le paragraphe 27 sur l’appel à établir des mesures d’incitation en vue de recentrer sur le territoire de l’Union les chaînes d’approvisionnement des intrants les plus critiques pour les produits de défense, la Commission a introduit et prévoit d’introduire une série de mesures. Outre ce qui a été indiqué au sujet du paragraphe 24 sur une proposition législative sur la révision de la directive 2009/81/CE, la Commission soutient le lancement d’un fonds de fonds d’un montant de 1 milliard d’euros destiné à stimuler les investissements dans les entreprises du secteur de la défense, en étroite coopération avec la Banque européenne d’investissement (BEI) et le Fonds européen d’investissement (FEI). Ce lancement a été annoncé à la fois dans la feuille de route pour la préparation de la défense</w:t>
      </w:r>
      <w:r>
        <w:rPr>
          <w:rStyle w:val="FootnoteReference"/>
        </w:rPr>
        <w:footnoteReference w:id="10"/>
      </w:r>
      <w:r>
        <w:rPr>
          <w:rFonts w:ascii="Times New Roman" w:hAnsi="Times New Roman"/>
        </w:rPr>
        <w:t xml:space="preserve"> d’octobre 2025 et dans la feuille de route pour la transformation de l’industrie de la défense de l’UE</w:t>
      </w:r>
      <w:r>
        <w:rPr>
          <w:rStyle w:val="FootnoteReference"/>
          <w:rFonts w:ascii="Times New Roman" w:hAnsi="Times New Roman"/>
          <w:iCs/>
          <w:szCs w:val="24"/>
        </w:rPr>
        <w:footnoteReference w:id="11"/>
      </w:r>
      <w:r>
        <w:rPr>
          <w:rFonts w:ascii="Times New Roman" w:hAnsi="Times New Roman"/>
        </w:rPr>
        <w:t xml:space="preserve"> de novembre 2025. </w:t>
      </w:r>
    </w:p>
    <w:p w:rsidR="00913692" w:rsidRPr="00C9233F" w:rsidP="00B37ACA" w14:paraId="0B285744" w14:textId="7E5C37C2">
      <w:pPr>
        <w:widowControl w:val="0"/>
        <w:rPr>
          <w:rFonts w:ascii="Times New Roman" w:hAnsi="Times New Roman"/>
          <w:iCs/>
          <w:szCs w:val="24"/>
        </w:rPr>
      </w:pPr>
      <w:r>
        <w:rPr>
          <w:rFonts w:ascii="Times New Roman" w:hAnsi="Times New Roman"/>
        </w:rPr>
        <w:t>En ce qui concerne le paragraphe 28, la Commission partage l’avis du Parlement selon lequel l’Union et ses États membres doivent être en mesure d’adapter rapidement les règles en matière de passation des marchés et de production de matériel de défense en cas de guerre ou de crise sécuritaire majeure et doivent pouvoir empêcher toute perturbation du marché unique. La directive 2009/81/CE prévoit déjà une procédure accélérée de passation de marché en cas de circonstances exceptionnelles telles que des situations de crise et d’urgence impérieuse, qui a été complétée par certaines dispositions (par exemple, l’article 52) du règlement EDIP. La définition de la crise figurant dans la directive englobe déjà</w:t>
      </w:r>
      <w:r>
        <w:rPr>
          <w:rFonts w:ascii="Times New Roman" w:hAnsi="Times New Roman"/>
        </w:rPr>
        <w:t xml:space="preserve"> «les</w:t>
      </w:r>
      <w:r>
        <w:rPr>
          <w:rFonts w:ascii="Times New Roman" w:hAnsi="Times New Roman"/>
        </w:rPr>
        <w:t xml:space="preserve"> événements préjudiciables attendus à l’avenir (6), y compris les conflits de haute intensité aux frontières de l’UE, et les menaces crédibles pour la sécurité de l’Union et de ses États </w:t>
      </w:r>
      <w:r>
        <w:rPr>
          <w:rFonts w:ascii="Times New Roman" w:hAnsi="Times New Roman"/>
        </w:rPr>
        <w:t>membres»</w:t>
      </w:r>
      <w:r>
        <w:rPr>
          <w:rFonts w:ascii="Times New Roman" w:hAnsi="Times New Roman"/>
        </w:rPr>
        <w:t xml:space="preserve"> (voir la communication de la Commission sur le train de mesures omnibus sur la préparation de la défense). La Commission examinera s’il est nécessaire d’adapter ces dispositions dans le cadre de la révision de la directive. </w:t>
      </w:r>
    </w:p>
    <w:p w:rsidR="00913692" w:rsidRPr="00C9233F" w:rsidP="00913692" w14:paraId="5A0FD6B1" w14:textId="140BFBC9">
      <w:pPr>
        <w:widowControl w:val="0"/>
        <w:rPr>
          <w:rFonts w:ascii="Times New Roman" w:hAnsi="Times New Roman"/>
          <w:iCs/>
          <w:szCs w:val="24"/>
        </w:rPr>
      </w:pPr>
      <w:r>
        <w:rPr>
          <w:rFonts w:ascii="Times New Roman" w:hAnsi="Times New Roman"/>
        </w:rPr>
        <w:t>De même, en ce qui concerne la circulation des produits de défense, l’article 67 du règlement EDIP dispose qu’en cas de circonstances exceptionnelles, les demandes relatives aux transferts intra-UE sont traitées de manière efficace et en temps utile. L’acte d’exécution du Conseil visé à l’article 64, paragraphe 4, dudit règlement précise le délai de traitement, qui ne dépasse pas deux semaines.</w:t>
      </w:r>
    </w:p>
    <w:p w:rsidR="00913692" w:rsidRPr="00C9233F" w:rsidP="000016BD" w14:paraId="21EA91E5" w14:textId="074D43A8">
      <w:pPr>
        <w:keepNext/>
        <w:keepLines/>
        <w:widowControl w:val="0"/>
        <w:rPr>
          <w:rFonts w:ascii="Times New Roman" w:hAnsi="Times New Roman"/>
          <w:iCs/>
          <w:szCs w:val="24"/>
        </w:rPr>
      </w:pPr>
      <w:r>
        <w:rPr>
          <w:rFonts w:ascii="Times New Roman" w:hAnsi="Times New Roman"/>
        </w:rPr>
        <w:t>La Commission note toutefois qu’en cas de guerre ou de crise sécuritaire majeure, l’article 346 du traité FUE permettrait à un État membre d’agir rapidement pour protéger les intérêts essentiels de sa sécurité.</w:t>
      </w:r>
    </w:p>
    <w:p w:rsidR="00883A4A" w:rsidRPr="00C9233F" w:rsidP="48404FCA" w14:paraId="7400C262" w14:textId="6D48B2C9">
      <w:pPr>
        <w:widowControl w:val="0"/>
        <w:rPr>
          <w:rFonts w:ascii="Times New Roman" w:hAnsi="Times New Roman"/>
        </w:rPr>
      </w:pPr>
      <w:r>
        <w:rPr>
          <w:rFonts w:ascii="Times New Roman" w:hAnsi="Times New Roman"/>
        </w:rPr>
        <w:t>En ce qui concerne le paragraphe 30, la Commission reconnaît l’importance de soutenir la commercialisation des produits de défense et de permettre des cycles d’innovation plus rapides. À cet égard, des programmes tels que l’EDIP et AGILE peuvent aider à combler cette lacune, et ces efforts pourraient être encore intensifiés dans le cadre du prochain CFP. Par exemple, l’EDIP soutient l’industrialisation et la commercialisation des produits de défense développés au moyen d’actions de coopération, tandis que la récente proposition de la Commission pour AGILE vise spécifiquement à combler l’écart entre le développement et le déploiement opérationnel, en apportant un soutien aux campagnes d’essai et de validation et en introduisant la possibilité pour les États membres d’acquérir directement des solutions soutenues par AGILE.</w:t>
      </w:r>
    </w:p>
    <w:p w:rsidR="00C9233F" w:rsidRPr="00C9233F" w:rsidP="48404FCA" w14:paraId="13620CD4" w14:textId="28899970">
      <w:pPr>
        <w:widowControl w:val="0"/>
        <w:rPr>
          <w:rFonts w:ascii="Times New Roman" w:hAnsi="Times New Roman"/>
        </w:rPr>
      </w:pPr>
      <w:r>
        <w:rPr>
          <w:rFonts w:ascii="Times New Roman" w:hAnsi="Times New Roman"/>
        </w:rPr>
        <w:t>En ce qui concerne le paragraphe 31, la Commission convient que le bon fonctionnement du marché intérieur des produits et services de défense nécessite «des règles efficaces, uniformes et équitables en matière d’acquisitions dans le domaine de la défense, un système fiable de virements intra-européens, un régime solide de sécurité d’approvisionnement, l’adoption généralisée de normes reconnues et la reconnaissance mutuelle de la certification» (voir la communication conjointe intitulée «Préserver la paix − Feuille de route pour la préparation de la défense à l’horizon 2030»). La Commission encourage déjà, dans le cadre de ses programmes en matière d’industrie de la défense et en particulier du Fonds européen de la défense, l’utilisation de normes civiles et de défense applicables, telles que les accords de normalisation de l’OTAN (STANAG). Tout en maintenant son droit d’initiative, la Commission pourrait étudier les moyens de mettre en œuvre la proposition du Parlement afin d’élaborer une législation qui créerait des normes juridiquement contraignantes dans le domaine de la défense, en consultation avec les parties prenantes concernées.</w:t>
      </w:r>
    </w:p>
    <w:p w:rsidR="00783FE0" w:rsidRPr="00EB4C57" w:rsidP="00783FE0" w14:paraId="4A033171" w14:textId="655BC8FE">
      <w:pPr>
        <w:widowControl w:val="0"/>
      </w:pPr>
      <w:r>
        <w:rPr>
          <w:rFonts w:ascii="Times New Roman" w:hAnsi="Times New Roman"/>
        </w:rPr>
        <w:t>En ce qui concerne le paragraphe 32, l’exonération de la taxe sur la valeur ajoutée (TVA) avec droit à déduction de la TVA en amont fait partie des incitations utilisées par le législateur de l’Union dans ce contexte pour encourager les comportements coopératifs. Par exemple, le règlement établissant l’instrument</w:t>
      </w:r>
      <w:r>
        <w:rPr>
          <w:rFonts w:ascii="Times New Roman" w:hAnsi="Times New Roman"/>
        </w:rPr>
        <w:t xml:space="preserve"> «Agir</w:t>
      </w:r>
      <w:r>
        <w:rPr>
          <w:rFonts w:ascii="Times New Roman" w:hAnsi="Times New Roman"/>
        </w:rPr>
        <w:t xml:space="preserve"> pour la sécurité de </w:t>
      </w:r>
      <w:r>
        <w:rPr>
          <w:rFonts w:ascii="Times New Roman" w:hAnsi="Times New Roman"/>
        </w:rPr>
        <w:t>l’Europe»</w:t>
      </w:r>
      <w:r>
        <w:rPr>
          <w:rFonts w:ascii="Times New Roman" w:hAnsi="Times New Roman"/>
        </w:rPr>
        <w:t xml:space="preserve"> (SAFE)</w:t>
      </w:r>
      <w:r>
        <w:rPr>
          <w:rStyle w:val="FootnoteReference"/>
        </w:rPr>
        <w:footnoteReference w:id="12"/>
      </w:r>
      <w:r>
        <w:rPr>
          <w:rFonts w:ascii="Times New Roman" w:hAnsi="Times New Roman"/>
        </w:rPr>
        <w:t xml:space="preserve"> prévoit que les produits de défense achetés dans le cadre d’actions d’acquisition conjointe qui bénéficient d’un soutien au titre de l’instrument SAFE devraient être exonérés de la TVA</w:t>
      </w:r>
      <w:r>
        <w:rPr>
          <w:color w:val="333333"/>
          <w:sz w:val="27"/>
          <w:shd w:val="clear" w:color="auto" w:fill="FFFFFF"/>
        </w:rPr>
        <w:t xml:space="preserve"> </w:t>
      </w:r>
      <w:r>
        <w:rPr>
          <w:rFonts w:ascii="Times New Roman" w:hAnsi="Times New Roman"/>
        </w:rPr>
        <w:t>applicable en vertu de la directive 2006/112/CE</w:t>
      </w:r>
      <w:r>
        <w:rPr>
          <w:rStyle w:val="FootnoteReference"/>
        </w:rPr>
        <w:footnoteReference w:id="13"/>
      </w:r>
      <w:r>
        <w:rPr>
          <w:rFonts w:ascii="Times New Roman" w:hAnsi="Times New Roman"/>
        </w:rPr>
        <w:t>. Cette exonération est ciblée et ne s’applique qu’aux fournitures effectuées aux fins des marchés résultant d’acquisitions au titre de l’instrument SAFE. Étant directement incluse dans le règlement SAFE, elle ne peut pas non plus entraver l’acquisition conjointe de biens et de services relevant du champ d’application du règlement.</w:t>
      </w:r>
    </w:p>
    <w:p w:rsidR="00F64BA2" w:rsidRPr="00EB4C57" w:rsidP="00B37ACA" w14:paraId="3A9331C8" w14:textId="666A5A29">
      <w:pPr>
        <w:widowControl w:val="0"/>
        <w:rPr>
          <w:rFonts w:ascii="Times New Roman" w:hAnsi="Times New Roman"/>
          <w:szCs w:val="24"/>
        </w:rPr>
      </w:pPr>
      <w:r>
        <w:rPr>
          <w:rFonts w:ascii="Times New Roman" w:hAnsi="Times New Roman"/>
        </w:rPr>
        <w:t xml:space="preserve">En outre, une exonération spécifique de la TVA est prévue dans la directive TVA [article 151, point b)] pour les fournitures destinées aux organismes internationaux reconnus comme tels par l’État membre d’accueil, y compris les fournitures faisant suite à l’acquisition conjointe d’équipements militaires, comme le prévoit l’EDIP. L’exonération de la TVA s’appliquerait dès lors qu’un consortium remplit toutes les </w:t>
      </w:r>
      <w:r>
        <w:rPr>
          <w:rFonts w:ascii="Times New Roman" w:hAnsi="Times New Roman"/>
        </w:rPr>
        <w:t>conditions pour être considéré comme un organisme international et qu’il est reconnu comme tel par son État membre d’accueil.</w:t>
      </w:r>
    </w:p>
    <w:p w:rsidR="00492218" w:rsidRPr="00C9233F" w:rsidP="00492218" w14:paraId="34096A8C" w14:textId="48EC11C1">
      <w:pPr>
        <w:widowControl w:val="0"/>
        <w:rPr>
          <w:rFonts w:ascii="Times New Roman" w:hAnsi="Times New Roman"/>
          <w:iCs/>
          <w:szCs w:val="24"/>
        </w:rPr>
      </w:pPr>
      <w:r>
        <w:rPr>
          <w:rFonts w:ascii="Times New Roman" w:hAnsi="Times New Roman"/>
        </w:rPr>
        <w:t xml:space="preserve">En ce qui concerne le paragraphe 33, la Commission, dans le cadre de ses compétences, encourage toutes les initiatives qui soutiennent le développement des compétences et comblent les déficits de compétences dans l’industrie de la défense de l’UE, telles que le pacte pour les compétences, ou la coopération transfrontière en matière de formation et d’éducation. La Commission étudie actuellement l’attractivité de l’industrie de la défense et les obstacles existants à la mobilité de la main-d’œuvre dans le secteur de l’industrie de la défense, et elle étudiera les pistes possibles pour l’avenir. </w:t>
      </w:r>
      <w:r>
        <w:tab/>
      </w:r>
    </w:p>
    <w:p w:rsidR="00492218" w:rsidRPr="00C9233F" w:rsidP="00492218" w14:paraId="5DE1BF16" w14:textId="0D62F76B">
      <w:pPr>
        <w:widowControl w:val="0"/>
        <w:rPr>
          <w:rFonts w:ascii="Times New Roman" w:hAnsi="Times New Roman"/>
          <w:iCs/>
          <w:szCs w:val="24"/>
        </w:rPr>
      </w:pPr>
      <w:r>
        <w:rPr>
          <w:rFonts w:ascii="Times New Roman" w:hAnsi="Times New Roman"/>
        </w:rPr>
        <w:t xml:space="preserve">Afin d’améliorer l’adéquation de l’offre et de la demande d’emploi et de stimuler l’intérêt des jeunes, il a été annoncé la création d’une plateforme des talents de la défense dans la feuille de route pour la transformation de l’industrie de la défense, qui doit promouvoir les possibilités d’emploi en début de carrière pour les jeunes professionnels et apporter des contributions financières aux stages dans le secteur de la défense. Ce sera l’occasion d’évaluer de manière plus approfondie les besoins concrets et l’éventuel soutien supplémentaire de la Commission. La plateforme sera mise en œuvre dans le cadre des actions de soutien mises en place au titre de l’EDIP. </w:t>
      </w:r>
    </w:p>
    <w:p w:rsidR="00EC39B2" w:rsidRPr="00C9233F" w14:paraId="795C0472" w14:textId="04BEE458">
      <w:pPr>
        <w:widowControl w:val="0"/>
        <w:rPr>
          <w:rFonts w:ascii="Times New Roman" w:hAnsi="Times New Roman"/>
          <w:iCs/>
          <w:szCs w:val="24"/>
        </w:rPr>
      </w:pPr>
      <w:r>
        <w:rPr>
          <w:rFonts w:ascii="Times New Roman" w:hAnsi="Times New Roman"/>
        </w:rPr>
        <w:t>En novembre 2025, la Commission a également lancé une initiative pilote de garantie de compétences visant à apporter un soutien aux travailleurs quittant le secteur automobile pour des secteurs en croissance, y compris la défense.</w:t>
      </w:r>
    </w:p>
    <w:p w:rsidR="00EC39B2" w:rsidRPr="00A94FA4" w:rsidP="00C423E2" w14:paraId="67F327CD" w14:textId="0F448495">
      <w:pPr>
        <w:widowControl w:val="0"/>
        <w:rPr>
          <w:rFonts w:ascii="Times New Roman" w:hAnsi="Times New Roman"/>
          <w:iCs/>
          <w:szCs w:val="24"/>
        </w:rPr>
      </w:pPr>
      <w:r>
        <w:rPr>
          <w:rFonts w:ascii="Times New Roman" w:hAnsi="Times New Roman"/>
        </w:rPr>
        <w:t>En ce qui concerne le paragraphe 34, la Commission prend acte de l’invitation à quantifier davantage les avantages financiers et opérationnels potentiels d’un marché unique de la défense, au moyen d’une analyse d’impact indépendante. Elle réitère son intention de présenter, en 2026, une proposition législative sur la révision de la directive 2009/81/CE relative aux marchés publics de la défense, qui sera accompagnée d’une analyse d’impact. Elle prévoit également de présenter en 2026 une évaluation de la directive 2009/43/CE sur les transferts intra-UE de produits liés à la défense ainsi qu’une communication sur le marché intérieur des produits et services de défense. Ces documents devraient apporter des informations sur les avantages apportés par le marché intérieur des produits et services de défense.</w:t>
      </w:r>
    </w:p>
    <w:p w:rsidR="008B51AE" w:rsidRPr="00C9233F" w:rsidP="48404FCA" w14:paraId="007EA94F" w14:textId="151BAC74">
      <w:pPr>
        <w:widowControl w:val="0"/>
        <w:rPr>
          <w:rFonts w:ascii="Times New Roman" w:hAnsi="Times New Roman"/>
        </w:rPr>
      </w:pPr>
      <w:r>
        <w:rPr>
          <w:rFonts w:ascii="Times New Roman" w:hAnsi="Times New Roman"/>
        </w:rPr>
        <w:t xml:space="preserve">La Commission renvoie en outre aux rapports </w:t>
      </w:r>
      <w:r>
        <w:rPr>
          <w:rFonts w:ascii="Times New Roman" w:hAnsi="Times New Roman"/>
          <w:i/>
        </w:rPr>
        <w:t xml:space="preserve">Safer </w:t>
      </w:r>
      <w:r>
        <w:rPr>
          <w:rFonts w:ascii="Times New Roman" w:hAnsi="Times New Roman"/>
          <w:i/>
        </w:rPr>
        <w:t>Together</w:t>
      </w:r>
      <w:r>
        <w:rPr>
          <w:rFonts w:ascii="Times New Roman" w:hAnsi="Times New Roman"/>
          <w:i/>
        </w:rPr>
        <w:t xml:space="preserve"> — </w:t>
      </w:r>
      <w:r>
        <w:rPr>
          <w:rFonts w:ascii="Times New Roman" w:hAnsi="Times New Roman"/>
          <w:i/>
        </w:rPr>
        <w:t>Strengthening</w:t>
      </w:r>
      <w:r>
        <w:rPr>
          <w:rFonts w:ascii="Times New Roman" w:hAnsi="Times New Roman"/>
          <w:i/>
        </w:rPr>
        <w:t xml:space="preserve"> </w:t>
      </w:r>
      <w:r>
        <w:rPr>
          <w:rFonts w:ascii="Times New Roman" w:hAnsi="Times New Roman"/>
          <w:i/>
        </w:rPr>
        <w:t>Europe’s</w:t>
      </w:r>
      <w:r>
        <w:rPr>
          <w:rFonts w:ascii="Times New Roman" w:hAnsi="Times New Roman"/>
          <w:i/>
        </w:rPr>
        <w:t xml:space="preserve"> </w:t>
      </w:r>
      <w:r>
        <w:rPr>
          <w:rFonts w:ascii="Times New Roman" w:hAnsi="Times New Roman"/>
          <w:i/>
        </w:rPr>
        <w:t>Civilian</w:t>
      </w:r>
      <w:r>
        <w:rPr>
          <w:rFonts w:ascii="Times New Roman" w:hAnsi="Times New Roman"/>
          <w:i/>
        </w:rPr>
        <w:t xml:space="preserve"> and </w:t>
      </w:r>
      <w:r>
        <w:rPr>
          <w:rFonts w:ascii="Times New Roman" w:hAnsi="Times New Roman"/>
          <w:i/>
        </w:rPr>
        <w:t>Military</w:t>
      </w:r>
      <w:r>
        <w:rPr>
          <w:rFonts w:ascii="Times New Roman" w:hAnsi="Times New Roman"/>
          <w:i/>
        </w:rPr>
        <w:t xml:space="preserve"> </w:t>
      </w:r>
      <w:r>
        <w:rPr>
          <w:rFonts w:ascii="Times New Roman" w:hAnsi="Times New Roman"/>
          <w:i/>
        </w:rPr>
        <w:t>Preparedness</w:t>
      </w:r>
      <w:r>
        <w:rPr>
          <w:rFonts w:ascii="Times New Roman" w:hAnsi="Times New Roman"/>
          <w:i/>
        </w:rPr>
        <w:t xml:space="preserve"> and </w:t>
      </w:r>
      <w:r>
        <w:rPr>
          <w:rFonts w:ascii="Times New Roman" w:hAnsi="Times New Roman"/>
          <w:i/>
        </w:rPr>
        <w:t>Readiness</w:t>
      </w:r>
      <w:r>
        <w:rPr>
          <w:rFonts w:ascii="Times New Roman" w:hAnsi="Times New Roman"/>
        </w:rPr>
        <w:t xml:space="preserve"> (Plus en sécurité ensemble − renforcer la préparation et l’état de préparation civils et militaires de l’Europe) de Sauli Niinistö, </w:t>
      </w:r>
      <w:r>
        <w:rPr>
          <w:rFonts w:ascii="Times New Roman" w:hAnsi="Times New Roman"/>
          <w:i/>
        </w:rPr>
        <w:t xml:space="preserve">Much more </w:t>
      </w:r>
      <w:r>
        <w:rPr>
          <w:rFonts w:ascii="Times New Roman" w:hAnsi="Times New Roman"/>
          <w:i/>
        </w:rPr>
        <w:t>than</w:t>
      </w:r>
      <w:r>
        <w:rPr>
          <w:rFonts w:ascii="Times New Roman" w:hAnsi="Times New Roman"/>
          <w:i/>
        </w:rPr>
        <w:t xml:space="preserve"> a Market</w:t>
      </w:r>
      <w:r>
        <w:rPr>
          <w:rFonts w:ascii="Times New Roman" w:hAnsi="Times New Roman"/>
        </w:rPr>
        <w:t xml:space="preserve"> (Bien plus qu’un marché) d’Enrico Letta, et </w:t>
      </w:r>
      <w:r>
        <w:rPr>
          <w:rFonts w:ascii="Times New Roman" w:hAnsi="Times New Roman"/>
          <w:i/>
        </w:rPr>
        <w:t xml:space="preserve">The future of </w:t>
      </w:r>
      <w:r>
        <w:rPr>
          <w:rFonts w:ascii="Times New Roman" w:hAnsi="Times New Roman"/>
          <w:i/>
        </w:rPr>
        <w:t>European</w:t>
      </w:r>
      <w:r>
        <w:rPr>
          <w:rFonts w:ascii="Times New Roman" w:hAnsi="Times New Roman"/>
          <w:i/>
        </w:rPr>
        <w:t xml:space="preserve"> </w:t>
      </w:r>
      <w:r>
        <w:rPr>
          <w:rFonts w:ascii="Times New Roman" w:hAnsi="Times New Roman"/>
          <w:i/>
        </w:rPr>
        <w:t>Competitiveness</w:t>
      </w:r>
      <w:r>
        <w:rPr>
          <w:rFonts w:ascii="Times New Roman" w:hAnsi="Times New Roman"/>
        </w:rPr>
        <w:t xml:space="preserve"> (L’avenir de la compétitivité européenne) de Mario Draghi. Elle attire également l’attention sur son récent </w:t>
      </w:r>
      <w:r>
        <w:rPr>
          <w:rFonts w:ascii="Times New Roman" w:hAnsi="Times New Roman"/>
          <w:i/>
        </w:rPr>
        <w:t>rapport macroéconomique européen de 2026</w:t>
      </w:r>
      <w:r>
        <w:rPr>
          <w:rFonts w:ascii="Times New Roman" w:hAnsi="Times New Roman"/>
        </w:rPr>
        <w:t>, dans lequel elle fournit des données sur les incidences macroéconomiques des dépenses de défense.</w:t>
      </w:r>
    </w:p>
    <w:p w:rsidR="00EC39B2" w:rsidRPr="00C9233F" w:rsidP="00C423E2" w14:paraId="6B56F2B2" w14:textId="5EBB5C5E">
      <w:pPr>
        <w:widowControl w:val="0"/>
        <w:rPr>
          <w:rFonts w:ascii="Times New Roman" w:hAnsi="Times New Roman"/>
          <w:iCs/>
          <w:szCs w:val="24"/>
        </w:rPr>
      </w:pPr>
      <w:r>
        <w:rPr>
          <w:rFonts w:ascii="Times New Roman" w:hAnsi="Times New Roman"/>
        </w:rPr>
        <w:t>Enfin, en ce qui concerne le paragraphe 36, la Commission a élaboré, au titre du FED, le cadre de sécurité permettant de garantir des canaux sécurisés pour l’échange d’informations classifiées avec l’industrie participant aux projets du FED. Ce cadre comprend la mise en place d’instructions de sécurité du programme (ISP) et le déploiement d’un système sécurisé de consultation interservices et d’un système SUE (secret de l’Union européenne).</w:t>
      </w:r>
    </w:p>
    <w:p w:rsidR="008B51AE" w:rsidRPr="00C9233F" w:rsidP="00B37ACA" w14:paraId="2CD81128" w14:textId="77777777">
      <w:pPr>
        <w:widowControl w:val="0"/>
        <w:rPr>
          <w:rFonts w:ascii="Times New Roman" w:hAnsi="Times New Roman"/>
          <w:iCs/>
          <w:szCs w:val="24"/>
        </w:rPr>
      </w:pPr>
    </w:p>
    <w:sectPr w:rsidSect="000A07D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021" w:right="1701"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6BE51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5E6EC2" w14:paraId="4DFA29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44051E8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E6EC2" w:rsidRPr="008A6623" w:rsidP="008A6623" w14:paraId="13721D28"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442B2E" w14:paraId="60EECEBF" w14:textId="77777777">
    <w:pPr>
      <w:pStyle w:val="Footer"/>
    </w:pPr>
    <w:r>
      <w:t xml:space="preserve">Commission européenne, 1049 Bruxelles – Belgique. </w:t>
    </w:r>
    <w:r>
      <w:t>Téléphone:</w:t>
    </w:r>
    <w:r>
      <w:t xml:space="preserve"> +32 22991111.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3539" w14:paraId="10933B0C" w14:textId="77777777">
      <w:r>
        <w:separator/>
      </w:r>
    </w:p>
  </w:footnote>
  <w:footnote w:type="continuationSeparator" w:id="1">
    <w:p w:rsidR="00E23539" w14:paraId="51877882" w14:textId="77777777">
      <w:r>
        <w:continuationSeparator/>
      </w:r>
    </w:p>
  </w:footnote>
  <w:footnote w:type="continuationNotice" w:id="2">
    <w:p w:rsidR="00E23539" w14:paraId="52C02712" w14:textId="77777777">
      <w:pPr>
        <w:spacing w:after="0"/>
      </w:pPr>
    </w:p>
  </w:footnote>
  <w:footnote w:id="3">
    <w:p w:rsidR="00FC0A55" w:rsidRPr="00955D73" w14:paraId="71CE449B" w14:textId="61FA777A">
      <w:pPr>
        <w:pStyle w:val="FootnoteText"/>
        <w:rPr>
          <w:rFonts w:ascii="Times New Roman" w:hAnsi="Times New Roman"/>
        </w:rPr>
      </w:pPr>
      <w:r>
        <w:rPr>
          <w:rStyle w:val="FootnoteReference"/>
        </w:rPr>
        <w:footnoteRef/>
      </w:r>
      <w:r>
        <w:rPr>
          <w:rFonts w:ascii="Times New Roman" w:hAnsi="Times New Roman"/>
        </w:rPr>
        <w:t xml:space="preserve"> </w:t>
      </w:r>
      <w:hyperlink r:id="rId1" w:history="1">
        <w:r>
          <w:rPr>
            <w:rStyle w:val="Hyperlink"/>
            <w:rFonts w:ascii="Times New Roman" w:hAnsi="Times New Roman"/>
          </w:rPr>
          <w:t>EUR-Lex - 02009L0081-20260101 - FR - EUR-Lex</w:t>
        </w:r>
      </w:hyperlink>
    </w:p>
  </w:footnote>
  <w:footnote w:id="4">
    <w:p w:rsidR="00FC0A55" w:rsidRPr="00955D73" w14:paraId="6F5A8333" w14:textId="7063D9C6">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 w:history="1">
        <w:r>
          <w:rPr>
            <w:rStyle w:val="Hyperlink"/>
            <w:rFonts w:ascii="Times New Roman" w:hAnsi="Times New Roman"/>
          </w:rPr>
          <w:t>EUR-Lex - 52025DC0870 - FR - EUR-Lex</w:t>
        </w:r>
      </w:hyperlink>
    </w:p>
  </w:footnote>
  <w:footnote w:id="5">
    <w:p w:rsidR="00FC0A55" w:rsidRPr="00955D73" w14:paraId="36B40C6D" w14:textId="353FEE3C">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EUR-Lex - 52026PC0135 - FR - EUR-Lex</w:t>
        </w:r>
      </w:hyperlink>
    </w:p>
  </w:footnote>
  <w:footnote w:id="6">
    <w:p w:rsidR="00FC0A55" w:rsidRPr="00955D73" w14:paraId="78F517A5" w14:textId="6054168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4" w:history="1">
        <w:r>
          <w:rPr>
            <w:rStyle w:val="Hyperlink"/>
            <w:rFonts w:ascii="Times New Roman" w:hAnsi="Times New Roman"/>
          </w:rPr>
          <w:t>EUR-Lex - 12016E346 - FR - EUR-Lex</w:t>
        </w:r>
      </w:hyperlink>
    </w:p>
  </w:footnote>
  <w:footnote w:id="7">
    <w:p w:rsidR="00FC0A55" w:rsidRPr="00955D73" w14:paraId="0AEA467D" w14:textId="5A734323">
      <w:pPr>
        <w:pStyle w:val="FootnoteText"/>
      </w:pPr>
      <w:r>
        <w:rPr>
          <w:rStyle w:val="FootnoteReference"/>
          <w:rFonts w:ascii="Times New Roman" w:hAnsi="Times New Roman"/>
        </w:rPr>
        <w:footnoteRef/>
      </w:r>
      <w:r>
        <w:rPr>
          <w:rFonts w:ascii="Times New Roman" w:hAnsi="Times New Roman"/>
        </w:rPr>
        <w:t xml:space="preserve"> </w:t>
      </w:r>
      <w:hyperlink r:id="rId5" w:history="1">
        <w:r>
          <w:rPr>
            <w:rStyle w:val="Hyperlink"/>
            <w:rFonts w:ascii="Times New Roman" w:hAnsi="Times New Roman"/>
          </w:rPr>
          <w:t>EUR-Lex - 52006DC0779 - FR - EUR-Lex</w:t>
        </w:r>
      </w:hyperlink>
    </w:p>
  </w:footnote>
  <w:footnote w:id="8">
    <w:p w:rsidR="00FC0A55" w:rsidRPr="00955D73" w14:paraId="5A60FE17" w14:textId="2DDA9089">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6" w:history="1">
        <w:r>
          <w:rPr>
            <w:rStyle w:val="Hyperlink"/>
            <w:rFonts w:ascii="Times New Roman" w:hAnsi="Times New Roman"/>
          </w:rPr>
          <w:t>Règlement - 2025/2643 - FR - EUR-Lex</w:t>
        </w:r>
      </w:hyperlink>
    </w:p>
  </w:footnote>
  <w:footnote w:id="9">
    <w:p w:rsidR="00FC0A55" w:rsidRPr="00955D73" w14:paraId="0C86180E" w14:textId="090773B3">
      <w:pPr>
        <w:pStyle w:val="FootnoteText"/>
      </w:pPr>
      <w:r>
        <w:rPr>
          <w:rStyle w:val="FootnoteReference"/>
          <w:rFonts w:ascii="Times New Roman" w:hAnsi="Times New Roman"/>
        </w:rPr>
        <w:footnoteRef/>
      </w:r>
      <w:r>
        <w:rPr>
          <w:rFonts w:ascii="Times New Roman" w:hAnsi="Times New Roman"/>
        </w:rPr>
        <w:t xml:space="preserve"> </w:t>
      </w:r>
      <w:hyperlink r:id="rId7" w:history="1">
        <w:r>
          <w:rPr>
            <w:rStyle w:val="Hyperlink"/>
            <w:rFonts w:ascii="Times New Roman" w:hAnsi="Times New Roman"/>
          </w:rPr>
          <w:t>EUR-Lex - 52025DC0820 - FR - EUR-Lex</w:t>
        </w:r>
      </w:hyperlink>
    </w:p>
  </w:footnote>
  <w:footnote w:id="10">
    <w:p w:rsidR="00FC0A55" w:rsidRPr="00955D73" w14:paraId="47E8B241" w14:textId="1EF2514E">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history="1">
        <w:r>
          <w:rPr>
            <w:rStyle w:val="Hyperlink"/>
            <w:rFonts w:ascii="Times New Roman" w:hAnsi="Times New Roman"/>
          </w:rPr>
          <w:t>EUR-Lex - 52025JC0027 - FR - EUR-Lex</w:t>
        </w:r>
      </w:hyperlink>
    </w:p>
  </w:footnote>
  <w:footnote w:id="11">
    <w:p w:rsidR="00FC0A55" w:rsidRPr="00955D73" w14:paraId="117E0FF3" w14:textId="7554E799">
      <w:pPr>
        <w:pStyle w:val="FootnoteText"/>
      </w:pPr>
      <w:r>
        <w:rPr>
          <w:rStyle w:val="FootnoteReference"/>
          <w:rFonts w:ascii="Times New Roman" w:hAnsi="Times New Roman"/>
        </w:rPr>
        <w:footnoteRef/>
      </w:r>
      <w:r>
        <w:rPr>
          <w:rFonts w:ascii="Times New Roman" w:hAnsi="Times New Roman"/>
        </w:rPr>
        <w:t xml:space="preserve"> </w:t>
      </w:r>
      <w:hyperlink r:id="rId9" w:history="1">
        <w:r>
          <w:rPr>
            <w:rStyle w:val="Hyperlink"/>
            <w:rFonts w:ascii="Times New Roman" w:hAnsi="Times New Roman"/>
          </w:rPr>
          <w:t>EUR-Lex - 52025DC0845 - FR - EUR-Lex</w:t>
        </w:r>
      </w:hyperlink>
    </w:p>
  </w:footnote>
  <w:footnote w:id="12">
    <w:p w:rsidR="00FC0A55" w:rsidRPr="00955D73" w14:paraId="38897C32" w14:textId="63C5B0E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0" w:history="1">
        <w:r>
          <w:rPr>
            <w:rStyle w:val="Hyperlink"/>
            <w:rFonts w:ascii="Times New Roman" w:hAnsi="Times New Roman"/>
          </w:rPr>
          <w:t>Règlement</w:t>
        </w:r>
        <w:r w:rsidR="00E46CE9">
          <w:rPr>
            <w:rStyle w:val="Hyperlink"/>
            <w:rFonts w:ascii="Times New Roman" w:hAnsi="Times New Roman"/>
          </w:rPr>
          <w:t xml:space="preserve"> </w:t>
        </w:r>
        <w:r>
          <w:rPr>
            <w:rStyle w:val="Hyperlink"/>
            <w:rFonts w:ascii="Times New Roman" w:hAnsi="Times New Roman"/>
          </w:rPr>
          <w:t>- UE - 2025/1106 - FR - EUR-Lex</w:t>
        </w:r>
      </w:hyperlink>
    </w:p>
  </w:footnote>
  <w:footnote w:id="13">
    <w:p w:rsidR="00FC0A55" w:rsidRPr="00955D73" w14:paraId="2C01898F" w14:textId="4EAC4685">
      <w:pPr>
        <w:pStyle w:val="FootnoteText"/>
      </w:pPr>
      <w:r>
        <w:rPr>
          <w:rStyle w:val="FootnoteReference"/>
          <w:rFonts w:ascii="Times New Roman" w:hAnsi="Times New Roman"/>
        </w:rPr>
        <w:footnoteRef/>
      </w:r>
      <w:r>
        <w:rPr>
          <w:rFonts w:ascii="Times New Roman" w:hAnsi="Times New Roman"/>
        </w:rPr>
        <w:t xml:space="preserve"> </w:t>
      </w:r>
      <w:hyperlink r:id="rId11" w:history="1">
        <w:r>
          <w:rPr>
            <w:rStyle w:val="Hyperlink"/>
            <w:rFonts w:ascii="Times New Roman" w:hAnsi="Times New Roman"/>
          </w:rPr>
          <w:t>EUR-Lex - 02006L0112-20250414 - FR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CE9" w14:paraId="1ED901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CE9" w14:paraId="11481A3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CE9" w14:paraId="5156EC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3C8321C"/>
    <w:multiLevelType w:val="hybridMultilevel"/>
    <w:tmpl w:val="E75EBF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6">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7">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92973D2"/>
    <w:multiLevelType w:val="hybridMultilevel"/>
    <w:tmpl w:val="7B04C9A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9">
    <w:nsid w:val="19D23947"/>
    <w:multiLevelType w:val="hybridMultilevel"/>
    <w:tmpl w:val="A4003DA6"/>
    <w:lvl w:ilvl="0">
      <w:start w:val="1"/>
      <w:numFmt w:val="bullet"/>
      <w:lvlText w:val=""/>
      <w:lvlJc w:val="left"/>
      <w:pPr>
        <w:ind w:left="1434" w:hanging="360"/>
      </w:pPr>
      <w:rPr>
        <w:rFonts w:ascii="Symbol" w:hAnsi="Symbol" w:hint="default"/>
      </w:rPr>
    </w:lvl>
    <w:lvl w:ilvl="1" w:tentative="1">
      <w:start w:val="1"/>
      <w:numFmt w:val="bullet"/>
      <w:lvlText w:val="o"/>
      <w:lvlJc w:val="left"/>
      <w:pPr>
        <w:ind w:left="2154" w:hanging="360"/>
      </w:pPr>
      <w:rPr>
        <w:rFonts w:ascii="Courier New" w:hAnsi="Courier New" w:cs="Courier New" w:hint="default"/>
      </w:rPr>
    </w:lvl>
    <w:lvl w:ilvl="2" w:tentative="1">
      <w:start w:val="1"/>
      <w:numFmt w:val="bullet"/>
      <w:lvlText w:val=""/>
      <w:lvlJc w:val="left"/>
      <w:pPr>
        <w:ind w:left="2874" w:hanging="360"/>
      </w:pPr>
      <w:rPr>
        <w:rFonts w:ascii="Wingdings" w:hAnsi="Wingdings" w:hint="default"/>
      </w:rPr>
    </w:lvl>
    <w:lvl w:ilvl="3" w:tentative="1">
      <w:start w:val="1"/>
      <w:numFmt w:val="bullet"/>
      <w:lvlText w:val=""/>
      <w:lvlJc w:val="left"/>
      <w:pPr>
        <w:ind w:left="3594" w:hanging="360"/>
      </w:pPr>
      <w:rPr>
        <w:rFonts w:ascii="Symbol" w:hAnsi="Symbol" w:hint="default"/>
      </w:rPr>
    </w:lvl>
    <w:lvl w:ilvl="4" w:tentative="1">
      <w:start w:val="1"/>
      <w:numFmt w:val="bullet"/>
      <w:lvlText w:val="o"/>
      <w:lvlJc w:val="left"/>
      <w:pPr>
        <w:ind w:left="4314" w:hanging="360"/>
      </w:pPr>
      <w:rPr>
        <w:rFonts w:ascii="Courier New" w:hAnsi="Courier New" w:cs="Courier New" w:hint="default"/>
      </w:rPr>
    </w:lvl>
    <w:lvl w:ilvl="5" w:tentative="1">
      <w:start w:val="1"/>
      <w:numFmt w:val="bullet"/>
      <w:lvlText w:val=""/>
      <w:lvlJc w:val="left"/>
      <w:pPr>
        <w:ind w:left="5034" w:hanging="360"/>
      </w:pPr>
      <w:rPr>
        <w:rFonts w:ascii="Wingdings" w:hAnsi="Wingdings" w:hint="default"/>
      </w:rPr>
    </w:lvl>
    <w:lvl w:ilvl="6" w:tentative="1">
      <w:start w:val="1"/>
      <w:numFmt w:val="bullet"/>
      <w:lvlText w:val=""/>
      <w:lvlJc w:val="left"/>
      <w:pPr>
        <w:ind w:left="5754" w:hanging="360"/>
      </w:pPr>
      <w:rPr>
        <w:rFonts w:ascii="Symbol" w:hAnsi="Symbol" w:hint="default"/>
      </w:rPr>
    </w:lvl>
    <w:lvl w:ilvl="7" w:tentative="1">
      <w:start w:val="1"/>
      <w:numFmt w:val="bullet"/>
      <w:lvlText w:val="o"/>
      <w:lvlJc w:val="left"/>
      <w:pPr>
        <w:ind w:left="6474" w:hanging="360"/>
      </w:pPr>
      <w:rPr>
        <w:rFonts w:ascii="Courier New" w:hAnsi="Courier New" w:cs="Courier New" w:hint="default"/>
      </w:rPr>
    </w:lvl>
    <w:lvl w:ilvl="8" w:tentative="1">
      <w:start w:val="1"/>
      <w:numFmt w:val="bullet"/>
      <w:lvlText w:val=""/>
      <w:lvlJc w:val="left"/>
      <w:pPr>
        <w:ind w:left="7194" w:hanging="360"/>
      </w:pPr>
      <w:rPr>
        <w:rFonts w:ascii="Wingdings" w:hAnsi="Wingdings" w:hint="default"/>
      </w:rPr>
    </w:lvl>
  </w:abstractNum>
  <w:abstractNum w:abstractNumId="1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3">
    <w:nsid w:val="2BBE5D05"/>
    <w:multiLevelType w:val="hybridMultilevel"/>
    <w:tmpl w:val="F7FE6A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2F607F"/>
    <w:multiLevelType w:val="hybridMultilevel"/>
    <w:tmpl w:val="2EAE1878"/>
    <w:lvl w:ilvl="0">
      <w:start w:val="1"/>
      <w:numFmt w:val="bullet"/>
      <w:lvlText w:val="-"/>
      <w:lvlJc w:val="left"/>
      <w:pPr>
        <w:ind w:left="786" w:hanging="360"/>
      </w:pPr>
      <w:rPr>
        <w:rFonts w:ascii="Courier New" w:hAnsi="Courier New"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18">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9">
    <w:nsid w:val="51393755"/>
    <w:multiLevelType w:val="hybridMultilevel"/>
    <w:tmpl w:val="2046894C"/>
    <w:lvl w:ilvl="0">
      <w:start w:val="1"/>
      <w:numFmt w:val="bullet"/>
      <w:lvlText w:val=""/>
      <w:lvlJc w:val="left"/>
      <w:pPr>
        <w:ind w:left="4680" w:hanging="360"/>
      </w:pPr>
      <w:rPr>
        <w:rFonts w:ascii="Symbol" w:hAnsi="Symbol" w:hint="default"/>
      </w:rPr>
    </w:lvl>
    <w:lvl w:ilvl="1" w:tentative="1">
      <w:start w:val="1"/>
      <w:numFmt w:val="bullet"/>
      <w:lvlText w:val="o"/>
      <w:lvlJc w:val="left"/>
      <w:pPr>
        <w:ind w:left="5400" w:hanging="360"/>
      </w:pPr>
      <w:rPr>
        <w:rFonts w:ascii="Courier New" w:hAnsi="Courier New" w:cs="Courier New" w:hint="default"/>
      </w:rPr>
    </w:lvl>
    <w:lvl w:ilvl="2" w:tentative="1">
      <w:start w:val="1"/>
      <w:numFmt w:val="bullet"/>
      <w:lvlText w:val=""/>
      <w:lvlJc w:val="left"/>
      <w:pPr>
        <w:ind w:left="6120" w:hanging="360"/>
      </w:pPr>
      <w:rPr>
        <w:rFonts w:ascii="Wingdings" w:hAnsi="Wingdings" w:hint="default"/>
      </w:rPr>
    </w:lvl>
    <w:lvl w:ilvl="3" w:tentative="1">
      <w:start w:val="1"/>
      <w:numFmt w:val="bullet"/>
      <w:lvlText w:val=""/>
      <w:lvlJc w:val="left"/>
      <w:pPr>
        <w:ind w:left="6840" w:hanging="360"/>
      </w:pPr>
      <w:rPr>
        <w:rFonts w:ascii="Symbol" w:hAnsi="Symbol" w:hint="default"/>
      </w:rPr>
    </w:lvl>
    <w:lvl w:ilvl="4" w:tentative="1">
      <w:start w:val="1"/>
      <w:numFmt w:val="bullet"/>
      <w:lvlText w:val="o"/>
      <w:lvlJc w:val="left"/>
      <w:pPr>
        <w:ind w:left="7560" w:hanging="360"/>
      </w:pPr>
      <w:rPr>
        <w:rFonts w:ascii="Courier New" w:hAnsi="Courier New" w:cs="Courier New" w:hint="default"/>
      </w:rPr>
    </w:lvl>
    <w:lvl w:ilvl="5" w:tentative="1">
      <w:start w:val="1"/>
      <w:numFmt w:val="bullet"/>
      <w:lvlText w:val=""/>
      <w:lvlJc w:val="left"/>
      <w:pPr>
        <w:ind w:left="8280" w:hanging="360"/>
      </w:pPr>
      <w:rPr>
        <w:rFonts w:ascii="Wingdings" w:hAnsi="Wingdings" w:hint="default"/>
      </w:rPr>
    </w:lvl>
    <w:lvl w:ilvl="6" w:tentative="1">
      <w:start w:val="1"/>
      <w:numFmt w:val="bullet"/>
      <w:lvlText w:val=""/>
      <w:lvlJc w:val="left"/>
      <w:pPr>
        <w:ind w:left="9000" w:hanging="360"/>
      </w:pPr>
      <w:rPr>
        <w:rFonts w:ascii="Symbol" w:hAnsi="Symbol" w:hint="default"/>
      </w:rPr>
    </w:lvl>
    <w:lvl w:ilvl="7" w:tentative="1">
      <w:start w:val="1"/>
      <w:numFmt w:val="bullet"/>
      <w:lvlText w:val="o"/>
      <w:lvlJc w:val="left"/>
      <w:pPr>
        <w:ind w:left="9720" w:hanging="360"/>
      </w:pPr>
      <w:rPr>
        <w:rFonts w:ascii="Courier New" w:hAnsi="Courier New" w:cs="Courier New" w:hint="default"/>
      </w:rPr>
    </w:lvl>
    <w:lvl w:ilvl="8" w:tentative="1">
      <w:start w:val="1"/>
      <w:numFmt w:val="bullet"/>
      <w:lvlText w:val=""/>
      <w:lvlJc w:val="left"/>
      <w:pPr>
        <w:ind w:left="10440" w:hanging="360"/>
      </w:pPr>
      <w:rPr>
        <w:rFonts w:ascii="Wingdings" w:hAnsi="Wingdings" w:hint="default"/>
      </w:rPr>
    </w:lvl>
  </w:abstractNum>
  <w:abstractNum w:abstractNumId="20">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3">
    <w:nsid w:val="641002BF"/>
    <w:multiLevelType w:val="hybridMultilevel"/>
    <w:tmpl w:val="F1CEEE5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2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55933D9"/>
    <w:multiLevelType w:val="hybridMultilevel"/>
    <w:tmpl w:val="B9D46C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767545DE"/>
    <w:multiLevelType w:val="hybridMultilevel"/>
    <w:tmpl w:val="2E3078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2">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3">
    <w:nsid w:val="7C1C2230"/>
    <w:multiLevelType w:val="hybridMultilevel"/>
    <w:tmpl w:val="3F74C9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834609195">
    <w:abstractNumId w:val="6"/>
  </w:num>
  <w:num w:numId="2" w16cid:durableId="171652927">
    <w:abstractNumId w:val="1"/>
  </w:num>
  <w:num w:numId="3" w16cid:durableId="569727697">
    <w:abstractNumId w:val="32"/>
  </w:num>
  <w:num w:numId="4" w16cid:durableId="761143288">
    <w:abstractNumId w:val="12"/>
  </w:num>
  <w:num w:numId="5" w16cid:durableId="11272722">
    <w:abstractNumId w:val="26"/>
  </w:num>
  <w:num w:numId="6" w16cid:durableId="782770010">
    <w:abstractNumId w:val="10"/>
  </w:num>
  <w:num w:numId="7" w16cid:durableId="1582178939">
    <w:abstractNumId w:val="5"/>
  </w:num>
  <w:num w:numId="8" w16cid:durableId="588390446">
    <w:abstractNumId w:val="15"/>
  </w:num>
  <w:num w:numId="9" w16cid:durableId="540169940">
    <w:abstractNumId w:val="31"/>
  </w:num>
  <w:num w:numId="10" w16cid:durableId="926959529">
    <w:abstractNumId w:val="22"/>
  </w:num>
  <w:num w:numId="11" w16cid:durableId="163055828">
    <w:abstractNumId w:val="24"/>
  </w:num>
  <w:num w:numId="12" w16cid:durableId="818498099">
    <w:abstractNumId w:val="11"/>
  </w:num>
  <w:num w:numId="13" w16cid:durableId="1476601677">
    <w:abstractNumId w:val="16"/>
  </w:num>
  <w:num w:numId="14" w16cid:durableId="346908523">
    <w:abstractNumId w:val="27"/>
  </w:num>
  <w:num w:numId="15" w16cid:durableId="1867909918">
    <w:abstractNumId w:val="14"/>
  </w:num>
  <w:num w:numId="16" w16cid:durableId="887691365">
    <w:abstractNumId w:val="34"/>
  </w:num>
  <w:num w:numId="17" w16cid:durableId="109052002">
    <w:abstractNumId w:val="30"/>
  </w:num>
  <w:num w:numId="18" w16cid:durableId="932930344">
    <w:abstractNumId w:val="20"/>
  </w:num>
  <w:num w:numId="19" w16cid:durableId="1815296700">
    <w:abstractNumId w:val="21"/>
  </w:num>
  <w:num w:numId="20" w16cid:durableId="1673946011">
    <w:abstractNumId w:val="25"/>
  </w:num>
  <w:num w:numId="21" w16cid:durableId="1719279227">
    <w:abstractNumId w:val="3"/>
  </w:num>
  <w:num w:numId="22" w16cid:durableId="895117912">
    <w:abstractNumId w:val="4"/>
  </w:num>
  <w:num w:numId="23" w16cid:durableId="942031350">
    <w:abstractNumId w:val="19"/>
  </w:num>
  <w:num w:numId="24" w16cid:durableId="586352541">
    <w:abstractNumId w:val="28"/>
  </w:num>
  <w:num w:numId="25" w16cid:durableId="76560440">
    <w:abstractNumId w:val="9"/>
  </w:num>
  <w:num w:numId="26" w16cid:durableId="709111737">
    <w:abstractNumId w:val="29"/>
  </w:num>
  <w:num w:numId="27" w16cid:durableId="487749275">
    <w:abstractNumId w:val="8"/>
  </w:num>
  <w:num w:numId="28" w16cid:durableId="266236028">
    <w:abstractNumId w:val="2"/>
  </w:num>
  <w:num w:numId="29" w16cid:durableId="905267234">
    <w:abstractNumId w:val="13"/>
  </w:num>
  <w:num w:numId="30" w16cid:durableId="1995910076">
    <w:abstractNumId w:val="23"/>
  </w:num>
  <w:num w:numId="31" w16cid:durableId="2021733199">
    <w:abstractNumId w:val="32"/>
  </w:num>
  <w:num w:numId="32" w16cid:durableId="493381111">
    <w:abstractNumId w:val="17"/>
  </w:num>
  <w:num w:numId="33" w16cid:durableId="1322079617">
    <w:abstractNumId w:val="18"/>
  </w:num>
  <w:num w:numId="34" w16cid:durableId="511725369">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numRestart w:val="eachSect"/>
    <w:footnote w:id="0"/>
    <w:footnote w:id="1"/>
    <w:footnote w:id="2"/>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174"/>
    <w:rsid w:val="00001369"/>
    <w:rsid w:val="00001630"/>
    <w:rsid w:val="000016BD"/>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8D8"/>
    <w:rsid w:val="00004C3F"/>
    <w:rsid w:val="0000525F"/>
    <w:rsid w:val="000054A7"/>
    <w:rsid w:val="00005541"/>
    <w:rsid w:val="000056D4"/>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A8D"/>
    <w:rsid w:val="00016C72"/>
    <w:rsid w:val="000170C1"/>
    <w:rsid w:val="000171BC"/>
    <w:rsid w:val="00017265"/>
    <w:rsid w:val="0001730F"/>
    <w:rsid w:val="00017430"/>
    <w:rsid w:val="000174AF"/>
    <w:rsid w:val="0001776A"/>
    <w:rsid w:val="00017883"/>
    <w:rsid w:val="00017A67"/>
    <w:rsid w:val="00017AA9"/>
    <w:rsid w:val="00017AB7"/>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658"/>
    <w:rsid w:val="00023C78"/>
    <w:rsid w:val="00023E4D"/>
    <w:rsid w:val="000240AC"/>
    <w:rsid w:val="000241F9"/>
    <w:rsid w:val="00024204"/>
    <w:rsid w:val="000242C9"/>
    <w:rsid w:val="0002435B"/>
    <w:rsid w:val="0002435F"/>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46D"/>
    <w:rsid w:val="000407AA"/>
    <w:rsid w:val="00040A13"/>
    <w:rsid w:val="00040C7A"/>
    <w:rsid w:val="00040E6E"/>
    <w:rsid w:val="0004105D"/>
    <w:rsid w:val="00041310"/>
    <w:rsid w:val="0004146E"/>
    <w:rsid w:val="000414BC"/>
    <w:rsid w:val="0004189C"/>
    <w:rsid w:val="0004193F"/>
    <w:rsid w:val="0004195A"/>
    <w:rsid w:val="00041A87"/>
    <w:rsid w:val="00041DA3"/>
    <w:rsid w:val="00041F1F"/>
    <w:rsid w:val="0004209B"/>
    <w:rsid w:val="000420DB"/>
    <w:rsid w:val="000421A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64A"/>
    <w:rsid w:val="00072D12"/>
    <w:rsid w:val="00072E6E"/>
    <w:rsid w:val="00072F6B"/>
    <w:rsid w:val="00073100"/>
    <w:rsid w:val="00073283"/>
    <w:rsid w:val="000732A8"/>
    <w:rsid w:val="00073445"/>
    <w:rsid w:val="0007344D"/>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D5"/>
    <w:rsid w:val="000807AE"/>
    <w:rsid w:val="000807B5"/>
    <w:rsid w:val="00080AD9"/>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3EAD"/>
    <w:rsid w:val="00084044"/>
    <w:rsid w:val="00084211"/>
    <w:rsid w:val="00084419"/>
    <w:rsid w:val="0008449C"/>
    <w:rsid w:val="000845D7"/>
    <w:rsid w:val="000846F8"/>
    <w:rsid w:val="00084B71"/>
    <w:rsid w:val="00084D1E"/>
    <w:rsid w:val="00084DFB"/>
    <w:rsid w:val="0008526A"/>
    <w:rsid w:val="000853EB"/>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94"/>
    <w:rsid w:val="000901F1"/>
    <w:rsid w:val="0009096A"/>
    <w:rsid w:val="00090B6B"/>
    <w:rsid w:val="00090D4B"/>
    <w:rsid w:val="00090EA4"/>
    <w:rsid w:val="00090FC6"/>
    <w:rsid w:val="000910D7"/>
    <w:rsid w:val="00091408"/>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343"/>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D2"/>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20E"/>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70BC"/>
    <w:rsid w:val="000B739A"/>
    <w:rsid w:val="000B73B7"/>
    <w:rsid w:val="000B7631"/>
    <w:rsid w:val="000B776B"/>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D3E"/>
    <w:rsid w:val="000C3E3B"/>
    <w:rsid w:val="000C4015"/>
    <w:rsid w:val="000C405D"/>
    <w:rsid w:val="000C4440"/>
    <w:rsid w:val="000C45D5"/>
    <w:rsid w:val="000C4733"/>
    <w:rsid w:val="000C4791"/>
    <w:rsid w:val="000C4804"/>
    <w:rsid w:val="000C486E"/>
    <w:rsid w:val="000C4A3F"/>
    <w:rsid w:val="000C4BEC"/>
    <w:rsid w:val="000C4CD3"/>
    <w:rsid w:val="000C52B2"/>
    <w:rsid w:val="000C53D3"/>
    <w:rsid w:val="000C53D4"/>
    <w:rsid w:val="000C5518"/>
    <w:rsid w:val="000C5720"/>
    <w:rsid w:val="000C5898"/>
    <w:rsid w:val="000C61AB"/>
    <w:rsid w:val="000C628E"/>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3DA6"/>
    <w:rsid w:val="000D414D"/>
    <w:rsid w:val="000D416D"/>
    <w:rsid w:val="000D41F3"/>
    <w:rsid w:val="000D4395"/>
    <w:rsid w:val="000D4534"/>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06"/>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599"/>
    <w:rsid w:val="000E18B0"/>
    <w:rsid w:val="000E198B"/>
    <w:rsid w:val="000E1A41"/>
    <w:rsid w:val="000E1A9E"/>
    <w:rsid w:val="000E1BF8"/>
    <w:rsid w:val="000E1D21"/>
    <w:rsid w:val="000E1EE0"/>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B0A"/>
    <w:rsid w:val="000F4B14"/>
    <w:rsid w:val="000F4D76"/>
    <w:rsid w:val="000F4E7E"/>
    <w:rsid w:val="000F514F"/>
    <w:rsid w:val="000F52C9"/>
    <w:rsid w:val="000F54AD"/>
    <w:rsid w:val="000F5A73"/>
    <w:rsid w:val="000F5F64"/>
    <w:rsid w:val="000F61D2"/>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6E"/>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1F1"/>
    <w:rsid w:val="001363F1"/>
    <w:rsid w:val="001364BC"/>
    <w:rsid w:val="00136660"/>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85F"/>
    <w:rsid w:val="00141A02"/>
    <w:rsid w:val="00141C08"/>
    <w:rsid w:val="00141CA1"/>
    <w:rsid w:val="0014201B"/>
    <w:rsid w:val="00142062"/>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6B81"/>
    <w:rsid w:val="0014708A"/>
    <w:rsid w:val="00147197"/>
    <w:rsid w:val="001476D4"/>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53D"/>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36D"/>
    <w:rsid w:val="001738A9"/>
    <w:rsid w:val="00173BC9"/>
    <w:rsid w:val="00173BFF"/>
    <w:rsid w:val="00173E07"/>
    <w:rsid w:val="00174654"/>
    <w:rsid w:val="001747EB"/>
    <w:rsid w:val="00174CD1"/>
    <w:rsid w:val="001750CD"/>
    <w:rsid w:val="001752C8"/>
    <w:rsid w:val="001754EE"/>
    <w:rsid w:val="00175520"/>
    <w:rsid w:val="001755D6"/>
    <w:rsid w:val="001755FC"/>
    <w:rsid w:val="00175895"/>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116"/>
    <w:rsid w:val="001807A9"/>
    <w:rsid w:val="00180812"/>
    <w:rsid w:val="0018082C"/>
    <w:rsid w:val="00180C02"/>
    <w:rsid w:val="00180C73"/>
    <w:rsid w:val="00180CA5"/>
    <w:rsid w:val="00180DB8"/>
    <w:rsid w:val="00180DD5"/>
    <w:rsid w:val="001810AC"/>
    <w:rsid w:val="00181350"/>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E17"/>
    <w:rsid w:val="00193FA0"/>
    <w:rsid w:val="0019484D"/>
    <w:rsid w:val="00194A0F"/>
    <w:rsid w:val="00194B51"/>
    <w:rsid w:val="001950DD"/>
    <w:rsid w:val="00195512"/>
    <w:rsid w:val="00196088"/>
    <w:rsid w:val="001962D1"/>
    <w:rsid w:val="00196902"/>
    <w:rsid w:val="00196BE4"/>
    <w:rsid w:val="00196CC1"/>
    <w:rsid w:val="00196D19"/>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BED"/>
    <w:rsid w:val="001A1CA7"/>
    <w:rsid w:val="001A1DC1"/>
    <w:rsid w:val="001A2019"/>
    <w:rsid w:val="001A2024"/>
    <w:rsid w:val="001A2787"/>
    <w:rsid w:val="001A2A80"/>
    <w:rsid w:val="001A2C40"/>
    <w:rsid w:val="001A2D05"/>
    <w:rsid w:val="001A2EA0"/>
    <w:rsid w:val="001A3205"/>
    <w:rsid w:val="001A332F"/>
    <w:rsid w:val="001A3653"/>
    <w:rsid w:val="001A3A1C"/>
    <w:rsid w:val="001A3A62"/>
    <w:rsid w:val="001A3C4B"/>
    <w:rsid w:val="001A4016"/>
    <w:rsid w:val="001A40E0"/>
    <w:rsid w:val="001A4259"/>
    <w:rsid w:val="001A446E"/>
    <w:rsid w:val="001A45AB"/>
    <w:rsid w:val="001A4C2D"/>
    <w:rsid w:val="001A4CFE"/>
    <w:rsid w:val="001A4D24"/>
    <w:rsid w:val="001A4FE4"/>
    <w:rsid w:val="001A5720"/>
    <w:rsid w:val="001A58FB"/>
    <w:rsid w:val="001A59BE"/>
    <w:rsid w:val="001A5EB0"/>
    <w:rsid w:val="001A5EFC"/>
    <w:rsid w:val="001A5FC1"/>
    <w:rsid w:val="001A6000"/>
    <w:rsid w:val="001A602A"/>
    <w:rsid w:val="001A61A3"/>
    <w:rsid w:val="001A63A1"/>
    <w:rsid w:val="001A63A2"/>
    <w:rsid w:val="001A65C7"/>
    <w:rsid w:val="001A6768"/>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0985"/>
    <w:rsid w:val="001C0EBE"/>
    <w:rsid w:val="001C10DE"/>
    <w:rsid w:val="001C11EB"/>
    <w:rsid w:val="001C13D8"/>
    <w:rsid w:val="001C15ED"/>
    <w:rsid w:val="001C1764"/>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4A99"/>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1A"/>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6F5F"/>
    <w:rsid w:val="001D72EF"/>
    <w:rsid w:val="001D7541"/>
    <w:rsid w:val="001D7715"/>
    <w:rsid w:val="001D7D0A"/>
    <w:rsid w:val="001E0259"/>
    <w:rsid w:val="001E035B"/>
    <w:rsid w:val="001E03CE"/>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E7F29"/>
    <w:rsid w:val="001F0008"/>
    <w:rsid w:val="001F00BC"/>
    <w:rsid w:val="001F04D8"/>
    <w:rsid w:val="001F087E"/>
    <w:rsid w:val="001F08E5"/>
    <w:rsid w:val="001F09AF"/>
    <w:rsid w:val="001F0A12"/>
    <w:rsid w:val="001F0C8D"/>
    <w:rsid w:val="001F0DC9"/>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709"/>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C8D"/>
    <w:rsid w:val="00210F5F"/>
    <w:rsid w:val="00210FDF"/>
    <w:rsid w:val="00210FF4"/>
    <w:rsid w:val="002111C6"/>
    <w:rsid w:val="00211279"/>
    <w:rsid w:val="002118CB"/>
    <w:rsid w:val="0021193D"/>
    <w:rsid w:val="0021199C"/>
    <w:rsid w:val="00211B2F"/>
    <w:rsid w:val="00211B32"/>
    <w:rsid w:val="00211D11"/>
    <w:rsid w:val="00211D71"/>
    <w:rsid w:val="00211FFF"/>
    <w:rsid w:val="00212195"/>
    <w:rsid w:val="00212222"/>
    <w:rsid w:val="00212706"/>
    <w:rsid w:val="002128AE"/>
    <w:rsid w:val="00212B11"/>
    <w:rsid w:val="00212FD8"/>
    <w:rsid w:val="0021304A"/>
    <w:rsid w:val="002130AE"/>
    <w:rsid w:val="002134DA"/>
    <w:rsid w:val="0021353E"/>
    <w:rsid w:val="002135B7"/>
    <w:rsid w:val="0021365E"/>
    <w:rsid w:val="002136AD"/>
    <w:rsid w:val="0021393D"/>
    <w:rsid w:val="00213A2B"/>
    <w:rsid w:val="00213AA0"/>
    <w:rsid w:val="00213D55"/>
    <w:rsid w:val="00213F32"/>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1D"/>
    <w:rsid w:val="00227056"/>
    <w:rsid w:val="00227511"/>
    <w:rsid w:val="002276B7"/>
    <w:rsid w:val="00227749"/>
    <w:rsid w:val="00227750"/>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2EE2"/>
    <w:rsid w:val="00243051"/>
    <w:rsid w:val="002432D1"/>
    <w:rsid w:val="00243799"/>
    <w:rsid w:val="002437AD"/>
    <w:rsid w:val="002437F7"/>
    <w:rsid w:val="00243AFA"/>
    <w:rsid w:val="00243D04"/>
    <w:rsid w:val="00243E8B"/>
    <w:rsid w:val="00243F0D"/>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5D6"/>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F47"/>
    <w:rsid w:val="00253F7D"/>
    <w:rsid w:val="00253FB8"/>
    <w:rsid w:val="00254470"/>
    <w:rsid w:val="002544C2"/>
    <w:rsid w:val="0025459C"/>
    <w:rsid w:val="002546A9"/>
    <w:rsid w:val="00254775"/>
    <w:rsid w:val="00254AA1"/>
    <w:rsid w:val="00255137"/>
    <w:rsid w:val="0025526A"/>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3A"/>
    <w:rsid w:val="00262AC3"/>
    <w:rsid w:val="00262ACD"/>
    <w:rsid w:val="00262BA1"/>
    <w:rsid w:val="00262C69"/>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7CA"/>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14B"/>
    <w:rsid w:val="00275261"/>
    <w:rsid w:val="0027528D"/>
    <w:rsid w:val="00275370"/>
    <w:rsid w:val="002756D4"/>
    <w:rsid w:val="00275BAA"/>
    <w:rsid w:val="00275E50"/>
    <w:rsid w:val="00276574"/>
    <w:rsid w:val="00276944"/>
    <w:rsid w:val="00276AF9"/>
    <w:rsid w:val="00276CAD"/>
    <w:rsid w:val="0027701F"/>
    <w:rsid w:val="00277198"/>
    <w:rsid w:val="002772F2"/>
    <w:rsid w:val="00277399"/>
    <w:rsid w:val="002777D6"/>
    <w:rsid w:val="0027789B"/>
    <w:rsid w:val="00277C97"/>
    <w:rsid w:val="00277DBC"/>
    <w:rsid w:val="00277F8B"/>
    <w:rsid w:val="00280616"/>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37"/>
    <w:rsid w:val="002924ED"/>
    <w:rsid w:val="0029256D"/>
    <w:rsid w:val="00292578"/>
    <w:rsid w:val="00292752"/>
    <w:rsid w:val="0029277C"/>
    <w:rsid w:val="002927D0"/>
    <w:rsid w:val="002928F4"/>
    <w:rsid w:val="002929EE"/>
    <w:rsid w:val="00292AE0"/>
    <w:rsid w:val="00292D8F"/>
    <w:rsid w:val="00292EF9"/>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25C"/>
    <w:rsid w:val="00294327"/>
    <w:rsid w:val="00294809"/>
    <w:rsid w:val="00294A66"/>
    <w:rsid w:val="00294E7D"/>
    <w:rsid w:val="002952D8"/>
    <w:rsid w:val="00295404"/>
    <w:rsid w:val="00295489"/>
    <w:rsid w:val="002954EC"/>
    <w:rsid w:val="002957C4"/>
    <w:rsid w:val="0029582E"/>
    <w:rsid w:val="00295995"/>
    <w:rsid w:val="00295A12"/>
    <w:rsid w:val="00295A33"/>
    <w:rsid w:val="00295B63"/>
    <w:rsid w:val="00295D26"/>
    <w:rsid w:val="00296014"/>
    <w:rsid w:val="002962E6"/>
    <w:rsid w:val="00296D2B"/>
    <w:rsid w:val="00296E72"/>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3EA2"/>
    <w:rsid w:val="002A4132"/>
    <w:rsid w:val="002A4221"/>
    <w:rsid w:val="002A466C"/>
    <w:rsid w:val="002A46B9"/>
    <w:rsid w:val="002A4EA4"/>
    <w:rsid w:val="002A5068"/>
    <w:rsid w:val="002A52D1"/>
    <w:rsid w:val="002A59C4"/>
    <w:rsid w:val="002A5B34"/>
    <w:rsid w:val="002A5BCC"/>
    <w:rsid w:val="002A648C"/>
    <w:rsid w:val="002A6A37"/>
    <w:rsid w:val="002A728E"/>
    <w:rsid w:val="002A7347"/>
    <w:rsid w:val="002A75AE"/>
    <w:rsid w:val="002A7744"/>
    <w:rsid w:val="002A7A3E"/>
    <w:rsid w:val="002A7B9D"/>
    <w:rsid w:val="002A7F12"/>
    <w:rsid w:val="002B038F"/>
    <w:rsid w:val="002B0486"/>
    <w:rsid w:val="002B0499"/>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5C23"/>
    <w:rsid w:val="002B606D"/>
    <w:rsid w:val="002B60CB"/>
    <w:rsid w:val="002B627D"/>
    <w:rsid w:val="002B649E"/>
    <w:rsid w:val="002B64A3"/>
    <w:rsid w:val="002B65C7"/>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5E"/>
    <w:rsid w:val="002C089B"/>
    <w:rsid w:val="002C093A"/>
    <w:rsid w:val="002C0C05"/>
    <w:rsid w:val="002C0FF0"/>
    <w:rsid w:val="002C17DF"/>
    <w:rsid w:val="002C1C93"/>
    <w:rsid w:val="002C1D99"/>
    <w:rsid w:val="002C2151"/>
    <w:rsid w:val="002C230C"/>
    <w:rsid w:val="002C2311"/>
    <w:rsid w:val="002C235E"/>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36B"/>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3BF"/>
    <w:rsid w:val="002E37B5"/>
    <w:rsid w:val="002E380E"/>
    <w:rsid w:val="002E3B41"/>
    <w:rsid w:val="002E3DF0"/>
    <w:rsid w:val="002E4171"/>
    <w:rsid w:val="002E4608"/>
    <w:rsid w:val="002E4671"/>
    <w:rsid w:val="002E4E82"/>
    <w:rsid w:val="002E4EE2"/>
    <w:rsid w:val="002E5335"/>
    <w:rsid w:val="002E5734"/>
    <w:rsid w:val="002E5811"/>
    <w:rsid w:val="002E5AF7"/>
    <w:rsid w:val="002E5CF2"/>
    <w:rsid w:val="002E5F3B"/>
    <w:rsid w:val="002E660A"/>
    <w:rsid w:val="002E675D"/>
    <w:rsid w:val="002E6799"/>
    <w:rsid w:val="002E6C40"/>
    <w:rsid w:val="002E6CCF"/>
    <w:rsid w:val="002E6E72"/>
    <w:rsid w:val="002E706B"/>
    <w:rsid w:val="002E7523"/>
    <w:rsid w:val="002E7AA9"/>
    <w:rsid w:val="002E7ABC"/>
    <w:rsid w:val="002E7BCD"/>
    <w:rsid w:val="002E7D0A"/>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B8F"/>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44B"/>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55B"/>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5FD"/>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F51"/>
    <w:rsid w:val="003122E8"/>
    <w:rsid w:val="00312635"/>
    <w:rsid w:val="00312B96"/>
    <w:rsid w:val="00312BA3"/>
    <w:rsid w:val="00313B56"/>
    <w:rsid w:val="00313B7C"/>
    <w:rsid w:val="00313C32"/>
    <w:rsid w:val="00314017"/>
    <w:rsid w:val="00314034"/>
    <w:rsid w:val="00314397"/>
    <w:rsid w:val="003144BA"/>
    <w:rsid w:val="00314523"/>
    <w:rsid w:val="00314645"/>
    <w:rsid w:val="00314890"/>
    <w:rsid w:val="003149A3"/>
    <w:rsid w:val="00314B2A"/>
    <w:rsid w:val="00315000"/>
    <w:rsid w:val="0031550B"/>
    <w:rsid w:val="00315540"/>
    <w:rsid w:val="00315A9D"/>
    <w:rsid w:val="00315E08"/>
    <w:rsid w:val="00316684"/>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50B"/>
    <w:rsid w:val="00323BC5"/>
    <w:rsid w:val="00323BEB"/>
    <w:rsid w:val="00324673"/>
    <w:rsid w:val="00324B9B"/>
    <w:rsid w:val="00324D46"/>
    <w:rsid w:val="00324DE1"/>
    <w:rsid w:val="003250DD"/>
    <w:rsid w:val="003257CD"/>
    <w:rsid w:val="00325B0D"/>
    <w:rsid w:val="00325B56"/>
    <w:rsid w:val="00325D65"/>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1DB9"/>
    <w:rsid w:val="0033227C"/>
    <w:rsid w:val="003322F4"/>
    <w:rsid w:val="0033265D"/>
    <w:rsid w:val="0033272D"/>
    <w:rsid w:val="003328DC"/>
    <w:rsid w:val="00332BE1"/>
    <w:rsid w:val="00332D95"/>
    <w:rsid w:val="00333302"/>
    <w:rsid w:val="0033353C"/>
    <w:rsid w:val="00333880"/>
    <w:rsid w:val="0033389B"/>
    <w:rsid w:val="003338D8"/>
    <w:rsid w:val="0033391C"/>
    <w:rsid w:val="00333CAD"/>
    <w:rsid w:val="00333F29"/>
    <w:rsid w:val="0033435C"/>
    <w:rsid w:val="00334AA7"/>
    <w:rsid w:val="0033504D"/>
    <w:rsid w:val="00335190"/>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6E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EE"/>
    <w:rsid w:val="003502F1"/>
    <w:rsid w:val="003503E7"/>
    <w:rsid w:val="00350557"/>
    <w:rsid w:val="00350967"/>
    <w:rsid w:val="00350A35"/>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9B2"/>
    <w:rsid w:val="00352E69"/>
    <w:rsid w:val="00352EE8"/>
    <w:rsid w:val="00352EF6"/>
    <w:rsid w:val="003530CF"/>
    <w:rsid w:val="003530D4"/>
    <w:rsid w:val="00353333"/>
    <w:rsid w:val="00353907"/>
    <w:rsid w:val="00353C8B"/>
    <w:rsid w:val="00353E7D"/>
    <w:rsid w:val="003542D4"/>
    <w:rsid w:val="003543DA"/>
    <w:rsid w:val="00354514"/>
    <w:rsid w:val="0035483F"/>
    <w:rsid w:val="00354B03"/>
    <w:rsid w:val="00354B65"/>
    <w:rsid w:val="00354B6B"/>
    <w:rsid w:val="00354B7A"/>
    <w:rsid w:val="00354F05"/>
    <w:rsid w:val="00355439"/>
    <w:rsid w:val="003555F5"/>
    <w:rsid w:val="00355B3F"/>
    <w:rsid w:val="0035616C"/>
    <w:rsid w:val="00356450"/>
    <w:rsid w:val="003565E4"/>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02E"/>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61"/>
    <w:rsid w:val="0037209F"/>
    <w:rsid w:val="003726B7"/>
    <w:rsid w:val="00372984"/>
    <w:rsid w:val="00372AE1"/>
    <w:rsid w:val="00372B4A"/>
    <w:rsid w:val="0037310C"/>
    <w:rsid w:val="00373254"/>
    <w:rsid w:val="003733D9"/>
    <w:rsid w:val="003734B6"/>
    <w:rsid w:val="00373684"/>
    <w:rsid w:val="003738DA"/>
    <w:rsid w:val="00373990"/>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E5F"/>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7DB"/>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9BE"/>
    <w:rsid w:val="00387AA7"/>
    <w:rsid w:val="00387F13"/>
    <w:rsid w:val="00387FA6"/>
    <w:rsid w:val="00390051"/>
    <w:rsid w:val="003902B6"/>
    <w:rsid w:val="003903E6"/>
    <w:rsid w:val="0039094B"/>
    <w:rsid w:val="00390BF7"/>
    <w:rsid w:val="00390C65"/>
    <w:rsid w:val="00390E4B"/>
    <w:rsid w:val="003911BC"/>
    <w:rsid w:val="00391227"/>
    <w:rsid w:val="003912A4"/>
    <w:rsid w:val="003912C4"/>
    <w:rsid w:val="00391378"/>
    <w:rsid w:val="003914C8"/>
    <w:rsid w:val="003915B0"/>
    <w:rsid w:val="003915F3"/>
    <w:rsid w:val="003917A8"/>
    <w:rsid w:val="00391914"/>
    <w:rsid w:val="00391CD1"/>
    <w:rsid w:val="003922BF"/>
    <w:rsid w:val="00392A69"/>
    <w:rsid w:val="00392E4E"/>
    <w:rsid w:val="00393034"/>
    <w:rsid w:val="003930EB"/>
    <w:rsid w:val="003931D8"/>
    <w:rsid w:val="00393229"/>
    <w:rsid w:val="00393509"/>
    <w:rsid w:val="00393569"/>
    <w:rsid w:val="00393C42"/>
    <w:rsid w:val="00393EFB"/>
    <w:rsid w:val="003942F1"/>
    <w:rsid w:val="00394705"/>
    <w:rsid w:val="0039480F"/>
    <w:rsid w:val="00394B28"/>
    <w:rsid w:val="00394B89"/>
    <w:rsid w:val="00395151"/>
    <w:rsid w:val="0039525E"/>
    <w:rsid w:val="00395514"/>
    <w:rsid w:val="0039554E"/>
    <w:rsid w:val="003957BB"/>
    <w:rsid w:val="00395C25"/>
    <w:rsid w:val="00395C2B"/>
    <w:rsid w:val="00395C4B"/>
    <w:rsid w:val="00395C7A"/>
    <w:rsid w:val="00395CC6"/>
    <w:rsid w:val="00395E22"/>
    <w:rsid w:val="00395FEF"/>
    <w:rsid w:val="003961B5"/>
    <w:rsid w:val="003962D6"/>
    <w:rsid w:val="0039638D"/>
    <w:rsid w:val="00396828"/>
    <w:rsid w:val="00396E02"/>
    <w:rsid w:val="00397119"/>
    <w:rsid w:val="0039723A"/>
    <w:rsid w:val="003975C0"/>
    <w:rsid w:val="00397D6F"/>
    <w:rsid w:val="003A0146"/>
    <w:rsid w:val="003A03F0"/>
    <w:rsid w:val="003A0743"/>
    <w:rsid w:val="003A0824"/>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F17"/>
    <w:rsid w:val="003B32F5"/>
    <w:rsid w:val="003B38CD"/>
    <w:rsid w:val="003B3A56"/>
    <w:rsid w:val="003B3D10"/>
    <w:rsid w:val="003B3F0A"/>
    <w:rsid w:val="003B44FE"/>
    <w:rsid w:val="003B46B5"/>
    <w:rsid w:val="003B4849"/>
    <w:rsid w:val="003B4A40"/>
    <w:rsid w:val="003B4A70"/>
    <w:rsid w:val="003B4D62"/>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31"/>
    <w:rsid w:val="003C2E50"/>
    <w:rsid w:val="003C3016"/>
    <w:rsid w:val="003C319E"/>
    <w:rsid w:val="003C33A3"/>
    <w:rsid w:val="003C387E"/>
    <w:rsid w:val="003C3ACE"/>
    <w:rsid w:val="003C3CCD"/>
    <w:rsid w:val="003C3D25"/>
    <w:rsid w:val="003C3F26"/>
    <w:rsid w:val="003C403A"/>
    <w:rsid w:val="003C40A4"/>
    <w:rsid w:val="003C44E3"/>
    <w:rsid w:val="003C45A6"/>
    <w:rsid w:val="003C4DC1"/>
    <w:rsid w:val="003C4ED1"/>
    <w:rsid w:val="003C4EEA"/>
    <w:rsid w:val="003C511B"/>
    <w:rsid w:val="003C53A9"/>
    <w:rsid w:val="003C53B5"/>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72D"/>
    <w:rsid w:val="003D37D4"/>
    <w:rsid w:val="003D3A0C"/>
    <w:rsid w:val="003D3E70"/>
    <w:rsid w:val="003D41F2"/>
    <w:rsid w:val="003D4937"/>
    <w:rsid w:val="003D4B9D"/>
    <w:rsid w:val="003D4E2B"/>
    <w:rsid w:val="003D4F92"/>
    <w:rsid w:val="003D576D"/>
    <w:rsid w:val="003D5CD5"/>
    <w:rsid w:val="003D6151"/>
    <w:rsid w:val="003D61CE"/>
    <w:rsid w:val="003D6235"/>
    <w:rsid w:val="003D6400"/>
    <w:rsid w:val="003D6672"/>
    <w:rsid w:val="003D670E"/>
    <w:rsid w:val="003D684E"/>
    <w:rsid w:val="003D690B"/>
    <w:rsid w:val="003D69FF"/>
    <w:rsid w:val="003D6CA1"/>
    <w:rsid w:val="003D6EE8"/>
    <w:rsid w:val="003D6F6F"/>
    <w:rsid w:val="003D70AA"/>
    <w:rsid w:val="003D728F"/>
    <w:rsid w:val="003D7461"/>
    <w:rsid w:val="003D746B"/>
    <w:rsid w:val="003D76CD"/>
    <w:rsid w:val="003D76F9"/>
    <w:rsid w:val="003D7B0C"/>
    <w:rsid w:val="003D7CF1"/>
    <w:rsid w:val="003E025F"/>
    <w:rsid w:val="003E0730"/>
    <w:rsid w:val="003E0A59"/>
    <w:rsid w:val="003E0E48"/>
    <w:rsid w:val="003E1178"/>
    <w:rsid w:val="003E14D9"/>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860"/>
    <w:rsid w:val="003E3A1D"/>
    <w:rsid w:val="003E3A8B"/>
    <w:rsid w:val="003E3B82"/>
    <w:rsid w:val="003E3CC2"/>
    <w:rsid w:val="003E404F"/>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E7E8B"/>
    <w:rsid w:val="003F006A"/>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82"/>
    <w:rsid w:val="003F39F1"/>
    <w:rsid w:val="003F3B8F"/>
    <w:rsid w:val="003F3CE3"/>
    <w:rsid w:val="003F416F"/>
    <w:rsid w:val="003F41F2"/>
    <w:rsid w:val="003F441C"/>
    <w:rsid w:val="003F443F"/>
    <w:rsid w:val="003F44C8"/>
    <w:rsid w:val="003F45EB"/>
    <w:rsid w:val="003F46B8"/>
    <w:rsid w:val="003F4D21"/>
    <w:rsid w:val="003F4DA7"/>
    <w:rsid w:val="003F527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9EB"/>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E5B"/>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F60"/>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30012"/>
    <w:rsid w:val="004302B7"/>
    <w:rsid w:val="0043054F"/>
    <w:rsid w:val="00430567"/>
    <w:rsid w:val="004308E5"/>
    <w:rsid w:val="004309E8"/>
    <w:rsid w:val="00430DFD"/>
    <w:rsid w:val="00431096"/>
    <w:rsid w:val="00431E7C"/>
    <w:rsid w:val="004322D4"/>
    <w:rsid w:val="00432570"/>
    <w:rsid w:val="0043269D"/>
    <w:rsid w:val="00432A76"/>
    <w:rsid w:val="00432F05"/>
    <w:rsid w:val="004330BC"/>
    <w:rsid w:val="00433381"/>
    <w:rsid w:val="00433783"/>
    <w:rsid w:val="0043396B"/>
    <w:rsid w:val="00433C0B"/>
    <w:rsid w:val="00434174"/>
    <w:rsid w:val="0043417D"/>
    <w:rsid w:val="00434627"/>
    <w:rsid w:val="0043479C"/>
    <w:rsid w:val="00434A59"/>
    <w:rsid w:val="00434D4B"/>
    <w:rsid w:val="00434E88"/>
    <w:rsid w:val="00435099"/>
    <w:rsid w:val="004350A2"/>
    <w:rsid w:val="00435101"/>
    <w:rsid w:val="00435175"/>
    <w:rsid w:val="004351AE"/>
    <w:rsid w:val="00435632"/>
    <w:rsid w:val="00435734"/>
    <w:rsid w:val="0043584E"/>
    <w:rsid w:val="004358C5"/>
    <w:rsid w:val="0043594B"/>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B19"/>
    <w:rsid w:val="00441C3C"/>
    <w:rsid w:val="00442386"/>
    <w:rsid w:val="004428BD"/>
    <w:rsid w:val="00442B2E"/>
    <w:rsid w:val="00442BD9"/>
    <w:rsid w:val="00442D21"/>
    <w:rsid w:val="00443182"/>
    <w:rsid w:val="004431E9"/>
    <w:rsid w:val="00443287"/>
    <w:rsid w:val="00443392"/>
    <w:rsid w:val="004433C5"/>
    <w:rsid w:val="0044359F"/>
    <w:rsid w:val="00443630"/>
    <w:rsid w:val="0044365B"/>
    <w:rsid w:val="0044368D"/>
    <w:rsid w:val="00443ADC"/>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21C"/>
    <w:rsid w:val="004463A3"/>
    <w:rsid w:val="0044680C"/>
    <w:rsid w:val="00446A40"/>
    <w:rsid w:val="00446CE8"/>
    <w:rsid w:val="004477EF"/>
    <w:rsid w:val="00447895"/>
    <w:rsid w:val="00447A16"/>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3CBC"/>
    <w:rsid w:val="00453FF4"/>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87"/>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4D"/>
    <w:rsid w:val="00465877"/>
    <w:rsid w:val="00465A90"/>
    <w:rsid w:val="00465AEB"/>
    <w:rsid w:val="00465CC2"/>
    <w:rsid w:val="00466357"/>
    <w:rsid w:val="004665D2"/>
    <w:rsid w:val="0046689D"/>
    <w:rsid w:val="00466AB7"/>
    <w:rsid w:val="00466B35"/>
    <w:rsid w:val="00466C93"/>
    <w:rsid w:val="00466D14"/>
    <w:rsid w:val="00466DE0"/>
    <w:rsid w:val="00466DF8"/>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8E5"/>
    <w:rsid w:val="004909B7"/>
    <w:rsid w:val="00490E8E"/>
    <w:rsid w:val="00491088"/>
    <w:rsid w:val="00491255"/>
    <w:rsid w:val="00491432"/>
    <w:rsid w:val="0049143C"/>
    <w:rsid w:val="00491721"/>
    <w:rsid w:val="00491A0A"/>
    <w:rsid w:val="00491E7D"/>
    <w:rsid w:val="00491FDA"/>
    <w:rsid w:val="0049203F"/>
    <w:rsid w:val="00492218"/>
    <w:rsid w:val="00492284"/>
    <w:rsid w:val="004924A9"/>
    <w:rsid w:val="00492788"/>
    <w:rsid w:val="00492A71"/>
    <w:rsid w:val="00492AA1"/>
    <w:rsid w:val="00492D47"/>
    <w:rsid w:val="00492DA2"/>
    <w:rsid w:val="00492E70"/>
    <w:rsid w:val="00492E75"/>
    <w:rsid w:val="004934CD"/>
    <w:rsid w:val="00493A74"/>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8F6"/>
    <w:rsid w:val="004A4B32"/>
    <w:rsid w:val="004A4CFD"/>
    <w:rsid w:val="004A537E"/>
    <w:rsid w:val="004A545D"/>
    <w:rsid w:val="004A5541"/>
    <w:rsid w:val="004A5660"/>
    <w:rsid w:val="004A5E07"/>
    <w:rsid w:val="004A5F03"/>
    <w:rsid w:val="004A5F07"/>
    <w:rsid w:val="004A6334"/>
    <w:rsid w:val="004A643D"/>
    <w:rsid w:val="004A6C66"/>
    <w:rsid w:val="004A713E"/>
    <w:rsid w:val="004A72C3"/>
    <w:rsid w:val="004A73E9"/>
    <w:rsid w:val="004A7680"/>
    <w:rsid w:val="004A77AA"/>
    <w:rsid w:val="004A77B4"/>
    <w:rsid w:val="004A782C"/>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77F"/>
    <w:rsid w:val="004B28A2"/>
    <w:rsid w:val="004B2BFD"/>
    <w:rsid w:val="004B2D73"/>
    <w:rsid w:val="004B33B9"/>
    <w:rsid w:val="004B340E"/>
    <w:rsid w:val="004B3420"/>
    <w:rsid w:val="004B37E4"/>
    <w:rsid w:val="004B399F"/>
    <w:rsid w:val="004B39D5"/>
    <w:rsid w:val="004B39F4"/>
    <w:rsid w:val="004B42FD"/>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EC1"/>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1EB5"/>
    <w:rsid w:val="004C1EF5"/>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B8C"/>
    <w:rsid w:val="004C7F3E"/>
    <w:rsid w:val="004D05F3"/>
    <w:rsid w:val="004D08BF"/>
    <w:rsid w:val="004D0B9F"/>
    <w:rsid w:val="004D0C77"/>
    <w:rsid w:val="004D0DD6"/>
    <w:rsid w:val="004D0FF1"/>
    <w:rsid w:val="004D1027"/>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E24"/>
    <w:rsid w:val="004D3FDF"/>
    <w:rsid w:val="004D4312"/>
    <w:rsid w:val="004D4544"/>
    <w:rsid w:val="004D4647"/>
    <w:rsid w:val="004D4C47"/>
    <w:rsid w:val="004D5477"/>
    <w:rsid w:val="004D5745"/>
    <w:rsid w:val="004D5CD9"/>
    <w:rsid w:val="004D5E82"/>
    <w:rsid w:val="004D5F42"/>
    <w:rsid w:val="004D602D"/>
    <w:rsid w:val="004D6687"/>
    <w:rsid w:val="004D6CF4"/>
    <w:rsid w:val="004D6E44"/>
    <w:rsid w:val="004D6EDA"/>
    <w:rsid w:val="004D6EE2"/>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38F"/>
    <w:rsid w:val="004E2726"/>
    <w:rsid w:val="004E281C"/>
    <w:rsid w:val="004E283A"/>
    <w:rsid w:val="004E2886"/>
    <w:rsid w:val="004E2A17"/>
    <w:rsid w:val="004E2ADF"/>
    <w:rsid w:val="004E2CE5"/>
    <w:rsid w:val="004E2E3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AA8"/>
    <w:rsid w:val="004F4C1A"/>
    <w:rsid w:val="004F4F3E"/>
    <w:rsid w:val="004F514F"/>
    <w:rsid w:val="004F58C9"/>
    <w:rsid w:val="004F5A1A"/>
    <w:rsid w:val="004F5A9E"/>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3"/>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267"/>
    <w:rsid w:val="00512314"/>
    <w:rsid w:val="005123D3"/>
    <w:rsid w:val="00512A6D"/>
    <w:rsid w:val="00512BA1"/>
    <w:rsid w:val="00513395"/>
    <w:rsid w:val="0051347D"/>
    <w:rsid w:val="0051349F"/>
    <w:rsid w:val="00513851"/>
    <w:rsid w:val="00513877"/>
    <w:rsid w:val="00513BF5"/>
    <w:rsid w:val="00513CF8"/>
    <w:rsid w:val="005140E6"/>
    <w:rsid w:val="0051411E"/>
    <w:rsid w:val="005145C5"/>
    <w:rsid w:val="00514730"/>
    <w:rsid w:val="005147BB"/>
    <w:rsid w:val="005147F4"/>
    <w:rsid w:val="00514A3A"/>
    <w:rsid w:val="00514A9C"/>
    <w:rsid w:val="00514E17"/>
    <w:rsid w:val="005152C9"/>
    <w:rsid w:val="0051551E"/>
    <w:rsid w:val="0051560D"/>
    <w:rsid w:val="00515737"/>
    <w:rsid w:val="0051587A"/>
    <w:rsid w:val="00516066"/>
    <w:rsid w:val="00516265"/>
    <w:rsid w:val="00516D9F"/>
    <w:rsid w:val="00516DBA"/>
    <w:rsid w:val="00516E9F"/>
    <w:rsid w:val="00516F49"/>
    <w:rsid w:val="00516FE4"/>
    <w:rsid w:val="0051702A"/>
    <w:rsid w:val="00517357"/>
    <w:rsid w:val="005175AE"/>
    <w:rsid w:val="0051783B"/>
    <w:rsid w:val="00517B20"/>
    <w:rsid w:val="00517CB7"/>
    <w:rsid w:val="00520154"/>
    <w:rsid w:val="005202BD"/>
    <w:rsid w:val="005204F4"/>
    <w:rsid w:val="005207FC"/>
    <w:rsid w:val="00520D7C"/>
    <w:rsid w:val="00521034"/>
    <w:rsid w:val="005214ED"/>
    <w:rsid w:val="0052157B"/>
    <w:rsid w:val="0052164E"/>
    <w:rsid w:val="0052187E"/>
    <w:rsid w:val="005219B7"/>
    <w:rsid w:val="00521AB9"/>
    <w:rsid w:val="0052209B"/>
    <w:rsid w:val="005221B2"/>
    <w:rsid w:val="005223A5"/>
    <w:rsid w:val="0052243A"/>
    <w:rsid w:val="0052299E"/>
    <w:rsid w:val="00522DDE"/>
    <w:rsid w:val="0052304E"/>
    <w:rsid w:val="00523157"/>
    <w:rsid w:val="0052349A"/>
    <w:rsid w:val="005235CB"/>
    <w:rsid w:val="005236AB"/>
    <w:rsid w:val="005237B8"/>
    <w:rsid w:val="005237BA"/>
    <w:rsid w:val="00523843"/>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4A"/>
    <w:rsid w:val="005273F0"/>
    <w:rsid w:val="00527995"/>
    <w:rsid w:val="00527B51"/>
    <w:rsid w:val="00527CA2"/>
    <w:rsid w:val="0053006E"/>
    <w:rsid w:val="005300DA"/>
    <w:rsid w:val="00530157"/>
    <w:rsid w:val="00530208"/>
    <w:rsid w:val="00530472"/>
    <w:rsid w:val="005308E1"/>
    <w:rsid w:val="00530A79"/>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48F"/>
    <w:rsid w:val="005358B3"/>
    <w:rsid w:val="00535B25"/>
    <w:rsid w:val="00535C32"/>
    <w:rsid w:val="00535D4D"/>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4C"/>
    <w:rsid w:val="005459D3"/>
    <w:rsid w:val="00545C38"/>
    <w:rsid w:val="00545D61"/>
    <w:rsid w:val="005462CB"/>
    <w:rsid w:val="00546375"/>
    <w:rsid w:val="0054653E"/>
    <w:rsid w:val="00546B02"/>
    <w:rsid w:val="00546D0E"/>
    <w:rsid w:val="00546D78"/>
    <w:rsid w:val="0054707A"/>
    <w:rsid w:val="005473EA"/>
    <w:rsid w:val="005475E1"/>
    <w:rsid w:val="0054763F"/>
    <w:rsid w:val="00547671"/>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786"/>
    <w:rsid w:val="0055194B"/>
    <w:rsid w:val="00551A60"/>
    <w:rsid w:val="00551B63"/>
    <w:rsid w:val="00551FED"/>
    <w:rsid w:val="00552C21"/>
    <w:rsid w:val="00552DB9"/>
    <w:rsid w:val="00552E5E"/>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CB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0F0F"/>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19D"/>
    <w:rsid w:val="00565272"/>
    <w:rsid w:val="00565921"/>
    <w:rsid w:val="00565D02"/>
    <w:rsid w:val="00565F56"/>
    <w:rsid w:val="0056610C"/>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0FB1"/>
    <w:rsid w:val="005712A4"/>
    <w:rsid w:val="005718A8"/>
    <w:rsid w:val="00571942"/>
    <w:rsid w:val="00571B5A"/>
    <w:rsid w:val="005721A4"/>
    <w:rsid w:val="00572203"/>
    <w:rsid w:val="005722BC"/>
    <w:rsid w:val="005723B6"/>
    <w:rsid w:val="005723BB"/>
    <w:rsid w:val="0057289B"/>
    <w:rsid w:val="005731E9"/>
    <w:rsid w:val="00573302"/>
    <w:rsid w:val="00573647"/>
    <w:rsid w:val="00573903"/>
    <w:rsid w:val="005739D7"/>
    <w:rsid w:val="00573B1A"/>
    <w:rsid w:val="00573BC0"/>
    <w:rsid w:val="00573D33"/>
    <w:rsid w:val="00573DC5"/>
    <w:rsid w:val="00574223"/>
    <w:rsid w:val="00574D66"/>
    <w:rsid w:val="00574DC0"/>
    <w:rsid w:val="00574E2E"/>
    <w:rsid w:val="00575284"/>
    <w:rsid w:val="0057546D"/>
    <w:rsid w:val="0057554A"/>
    <w:rsid w:val="00575822"/>
    <w:rsid w:val="00575973"/>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454"/>
    <w:rsid w:val="00583944"/>
    <w:rsid w:val="00583E5F"/>
    <w:rsid w:val="00584205"/>
    <w:rsid w:val="00584757"/>
    <w:rsid w:val="00584838"/>
    <w:rsid w:val="005848B7"/>
    <w:rsid w:val="00584BFE"/>
    <w:rsid w:val="00584D23"/>
    <w:rsid w:val="00584D98"/>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6DF"/>
    <w:rsid w:val="0059077C"/>
    <w:rsid w:val="00590885"/>
    <w:rsid w:val="00591000"/>
    <w:rsid w:val="0059119C"/>
    <w:rsid w:val="005911E2"/>
    <w:rsid w:val="005916D5"/>
    <w:rsid w:val="005918AF"/>
    <w:rsid w:val="00591940"/>
    <w:rsid w:val="00591C6E"/>
    <w:rsid w:val="00591CC1"/>
    <w:rsid w:val="00591CC9"/>
    <w:rsid w:val="00591EF0"/>
    <w:rsid w:val="005926E2"/>
    <w:rsid w:val="00592AA8"/>
    <w:rsid w:val="005931F5"/>
    <w:rsid w:val="00593202"/>
    <w:rsid w:val="0059340C"/>
    <w:rsid w:val="00593546"/>
    <w:rsid w:val="00593998"/>
    <w:rsid w:val="005939C6"/>
    <w:rsid w:val="005940A3"/>
    <w:rsid w:val="00594376"/>
    <w:rsid w:val="00594451"/>
    <w:rsid w:val="0059465D"/>
    <w:rsid w:val="0059486B"/>
    <w:rsid w:val="005949B6"/>
    <w:rsid w:val="00594A50"/>
    <w:rsid w:val="005951D7"/>
    <w:rsid w:val="0059526A"/>
    <w:rsid w:val="005958A4"/>
    <w:rsid w:val="00595993"/>
    <w:rsid w:val="00595A40"/>
    <w:rsid w:val="00595CF0"/>
    <w:rsid w:val="00595ECA"/>
    <w:rsid w:val="0059622C"/>
    <w:rsid w:val="0059629E"/>
    <w:rsid w:val="005967D4"/>
    <w:rsid w:val="0059681A"/>
    <w:rsid w:val="00596B26"/>
    <w:rsid w:val="00596B65"/>
    <w:rsid w:val="00596CA5"/>
    <w:rsid w:val="00596DEF"/>
    <w:rsid w:val="00596E2F"/>
    <w:rsid w:val="00597096"/>
    <w:rsid w:val="0059734D"/>
    <w:rsid w:val="00597394"/>
    <w:rsid w:val="0059741D"/>
    <w:rsid w:val="0059783C"/>
    <w:rsid w:val="00597C14"/>
    <w:rsid w:val="005A00C3"/>
    <w:rsid w:val="005A03EA"/>
    <w:rsid w:val="005A049F"/>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BF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2C3"/>
    <w:rsid w:val="005C2352"/>
    <w:rsid w:val="005C24FF"/>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8FD"/>
    <w:rsid w:val="005C5A7E"/>
    <w:rsid w:val="005C5B7B"/>
    <w:rsid w:val="005C5BE0"/>
    <w:rsid w:val="005C5C25"/>
    <w:rsid w:val="005C5DF6"/>
    <w:rsid w:val="005C5EE0"/>
    <w:rsid w:val="005C6425"/>
    <w:rsid w:val="005C65AB"/>
    <w:rsid w:val="005C684A"/>
    <w:rsid w:val="005C69BE"/>
    <w:rsid w:val="005C6A03"/>
    <w:rsid w:val="005C6ADA"/>
    <w:rsid w:val="005C6C3D"/>
    <w:rsid w:val="005C6D2E"/>
    <w:rsid w:val="005C6DDF"/>
    <w:rsid w:val="005C6FFE"/>
    <w:rsid w:val="005C71A6"/>
    <w:rsid w:val="005C71EA"/>
    <w:rsid w:val="005C730E"/>
    <w:rsid w:val="005C74DA"/>
    <w:rsid w:val="005C78FE"/>
    <w:rsid w:val="005C7BF3"/>
    <w:rsid w:val="005C7DFF"/>
    <w:rsid w:val="005D0215"/>
    <w:rsid w:val="005D027C"/>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98"/>
    <w:rsid w:val="005D660C"/>
    <w:rsid w:val="005D678B"/>
    <w:rsid w:val="005D6C8E"/>
    <w:rsid w:val="005D73A6"/>
    <w:rsid w:val="005D7574"/>
    <w:rsid w:val="005D77C7"/>
    <w:rsid w:val="005D790D"/>
    <w:rsid w:val="005D7951"/>
    <w:rsid w:val="005E018B"/>
    <w:rsid w:val="005E0660"/>
    <w:rsid w:val="005E07EA"/>
    <w:rsid w:val="005E0815"/>
    <w:rsid w:val="005E0A1F"/>
    <w:rsid w:val="005E0D4F"/>
    <w:rsid w:val="005E0E6C"/>
    <w:rsid w:val="005E1480"/>
    <w:rsid w:val="005E1512"/>
    <w:rsid w:val="005E15E3"/>
    <w:rsid w:val="005E1A55"/>
    <w:rsid w:val="005E1E55"/>
    <w:rsid w:val="005E1ED3"/>
    <w:rsid w:val="005E2005"/>
    <w:rsid w:val="005E224F"/>
    <w:rsid w:val="005E2460"/>
    <w:rsid w:val="005E262C"/>
    <w:rsid w:val="005E2915"/>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EC2"/>
    <w:rsid w:val="005E6F07"/>
    <w:rsid w:val="005E739B"/>
    <w:rsid w:val="005E74B4"/>
    <w:rsid w:val="005E79D7"/>
    <w:rsid w:val="005E7E6E"/>
    <w:rsid w:val="005E7E8D"/>
    <w:rsid w:val="005F006A"/>
    <w:rsid w:val="005F00E1"/>
    <w:rsid w:val="005F00FC"/>
    <w:rsid w:val="005F0231"/>
    <w:rsid w:val="005F02B2"/>
    <w:rsid w:val="005F0426"/>
    <w:rsid w:val="005F0691"/>
    <w:rsid w:val="005F09F5"/>
    <w:rsid w:val="005F0A4B"/>
    <w:rsid w:val="005F0A74"/>
    <w:rsid w:val="005F0BF7"/>
    <w:rsid w:val="005F1311"/>
    <w:rsid w:val="005F14F7"/>
    <w:rsid w:val="005F1558"/>
    <w:rsid w:val="005F188D"/>
    <w:rsid w:val="005F1D8D"/>
    <w:rsid w:val="005F21C9"/>
    <w:rsid w:val="005F241F"/>
    <w:rsid w:val="005F247D"/>
    <w:rsid w:val="005F26AA"/>
    <w:rsid w:val="005F26B1"/>
    <w:rsid w:val="005F2961"/>
    <w:rsid w:val="005F2EF6"/>
    <w:rsid w:val="005F30BF"/>
    <w:rsid w:val="005F372C"/>
    <w:rsid w:val="005F3739"/>
    <w:rsid w:val="005F3E71"/>
    <w:rsid w:val="005F3FB8"/>
    <w:rsid w:val="005F4312"/>
    <w:rsid w:val="005F4523"/>
    <w:rsid w:val="005F4642"/>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5F7ECA"/>
    <w:rsid w:val="0060026E"/>
    <w:rsid w:val="00600389"/>
    <w:rsid w:val="0060043C"/>
    <w:rsid w:val="00600815"/>
    <w:rsid w:val="006009AC"/>
    <w:rsid w:val="006009F3"/>
    <w:rsid w:val="00600E8B"/>
    <w:rsid w:val="00600E99"/>
    <w:rsid w:val="006011BA"/>
    <w:rsid w:val="0060144C"/>
    <w:rsid w:val="00601957"/>
    <w:rsid w:val="00602081"/>
    <w:rsid w:val="00602180"/>
    <w:rsid w:val="00602383"/>
    <w:rsid w:val="006023DB"/>
    <w:rsid w:val="006026AC"/>
    <w:rsid w:val="006026E6"/>
    <w:rsid w:val="00602BEF"/>
    <w:rsid w:val="00602E57"/>
    <w:rsid w:val="00603012"/>
    <w:rsid w:val="006030BB"/>
    <w:rsid w:val="006030BD"/>
    <w:rsid w:val="00603808"/>
    <w:rsid w:val="00603C02"/>
    <w:rsid w:val="00603C48"/>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1FA"/>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CD1"/>
    <w:rsid w:val="00624D77"/>
    <w:rsid w:val="00624DAB"/>
    <w:rsid w:val="0062509A"/>
    <w:rsid w:val="0062595E"/>
    <w:rsid w:val="00625C6D"/>
    <w:rsid w:val="00625F42"/>
    <w:rsid w:val="00626004"/>
    <w:rsid w:val="006262F3"/>
    <w:rsid w:val="006264E6"/>
    <w:rsid w:val="006269A8"/>
    <w:rsid w:val="00626A30"/>
    <w:rsid w:val="00626CEC"/>
    <w:rsid w:val="00626D47"/>
    <w:rsid w:val="0062703F"/>
    <w:rsid w:val="006270A1"/>
    <w:rsid w:val="006270A7"/>
    <w:rsid w:val="006272A4"/>
    <w:rsid w:val="00627705"/>
    <w:rsid w:val="0062773E"/>
    <w:rsid w:val="0062796F"/>
    <w:rsid w:val="006279C8"/>
    <w:rsid w:val="00627D4A"/>
    <w:rsid w:val="006300E3"/>
    <w:rsid w:val="0063013E"/>
    <w:rsid w:val="00630683"/>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0CF"/>
    <w:rsid w:val="006334FA"/>
    <w:rsid w:val="00633969"/>
    <w:rsid w:val="00633A06"/>
    <w:rsid w:val="00633A5F"/>
    <w:rsid w:val="00633CAE"/>
    <w:rsid w:val="00633E70"/>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89"/>
    <w:rsid w:val="006439A0"/>
    <w:rsid w:val="006439E9"/>
    <w:rsid w:val="00643AE4"/>
    <w:rsid w:val="00643DE6"/>
    <w:rsid w:val="00644553"/>
    <w:rsid w:val="00644E7A"/>
    <w:rsid w:val="00644E7E"/>
    <w:rsid w:val="00644E87"/>
    <w:rsid w:val="0064511E"/>
    <w:rsid w:val="00645339"/>
    <w:rsid w:val="00645512"/>
    <w:rsid w:val="006457C8"/>
    <w:rsid w:val="00645D23"/>
    <w:rsid w:val="00645D2C"/>
    <w:rsid w:val="00646231"/>
    <w:rsid w:val="00646235"/>
    <w:rsid w:val="00646259"/>
    <w:rsid w:val="0064625A"/>
    <w:rsid w:val="006469BA"/>
    <w:rsid w:val="00646E88"/>
    <w:rsid w:val="00646EE8"/>
    <w:rsid w:val="00646FE0"/>
    <w:rsid w:val="0064706F"/>
    <w:rsid w:val="0064732A"/>
    <w:rsid w:val="006474B3"/>
    <w:rsid w:val="006474F2"/>
    <w:rsid w:val="0064789A"/>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96C"/>
    <w:rsid w:val="00660BE4"/>
    <w:rsid w:val="00660D14"/>
    <w:rsid w:val="00660E89"/>
    <w:rsid w:val="00660EFE"/>
    <w:rsid w:val="00661804"/>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B7F"/>
    <w:rsid w:val="00664CFD"/>
    <w:rsid w:val="00665A2E"/>
    <w:rsid w:val="00665AD4"/>
    <w:rsid w:val="00665C42"/>
    <w:rsid w:val="00665C96"/>
    <w:rsid w:val="00666084"/>
    <w:rsid w:val="006661EA"/>
    <w:rsid w:val="00666215"/>
    <w:rsid w:val="00666499"/>
    <w:rsid w:val="0066655F"/>
    <w:rsid w:val="006665CB"/>
    <w:rsid w:val="0066661F"/>
    <w:rsid w:val="00666B90"/>
    <w:rsid w:val="006675B0"/>
    <w:rsid w:val="00667961"/>
    <w:rsid w:val="00667D30"/>
    <w:rsid w:val="0067002B"/>
    <w:rsid w:val="00670147"/>
    <w:rsid w:val="0067029D"/>
    <w:rsid w:val="00670403"/>
    <w:rsid w:val="006704C3"/>
    <w:rsid w:val="00670B0C"/>
    <w:rsid w:val="00670E3C"/>
    <w:rsid w:val="00670F2F"/>
    <w:rsid w:val="00671028"/>
    <w:rsid w:val="00671299"/>
    <w:rsid w:val="006713DF"/>
    <w:rsid w:val="0067143B"/>
    <w:rsid w:val="00671487"/>
    <w:rsid w:val="00671D6A"/>
    <w:rsid w:val="00671EA3"/>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3D"/>
    <w:rsid w:val="00680ED3"/>
    <w:rsid w:val="00680F0D"/>
    <w:rsid w:val="00680F69"/>
    <w:rsid w:val="00681293"/>
    <w:rsid w:val="006816AC"/>
    <w:rsid w:val="006816CF"/>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4FC1"/>
    <w:rsid w:val="00685012"/>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D33"/>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1C7"/>
    <w:rsid w:val="00697310"/>
    <w:rsid w:val="00697441"/>
    <w:rsid w:val="0069759A"/>
    <w:rsid w:val="006A01DE"/>
    <w:rsid w:val="006A024D"/>
    <w:rsid w:val="006A0927"/>
    <w:rsid w:val="006A0A0A"/>
    <w:rsid w:val="006A0C73"/>
    <w:rsid w:val="006A0D67"/>
    <w:rsid w:val="006A114D"/>
    <w:rsid w:val="006A153A"/>
    <w:rsid w:val="006A1831"/>
    <w:rsid w:val="006A1981"/>
    <w:rsid w:val="006A1C0D"/>
    <w:rsid w:val="006A1DDD"/>
    <w:rsid w:val="006A1F34"/>
    <w:rsid w:val="006A2071"/>
    <w:rsid w:val="006A2238"/>
    <w:rsid w:val="006A22D0"/>
    <w:rsid w:val="006A2370"/>
    <w:rsid w:val="006A2479"/>
    <w:rsid w:val="006A25BC"/>
    <w:rsid w:val="006A264A"/>
    <w:rsid w:val="006A299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2F96"/>
    <w:rsid w:val="006B3151"/>
    <w:rsid w:val="006B31C4"/>
    <w:rsid w:val="006B320C"/>
    <w:rsid w:val="006B3462"/>
    <w:rsid w:val="006B36B3"/>
    <w:rsid w:val="006B3832"/>
    <w:rsid w:val="006B3891"/>
    <w:rsid w:val="006B3A2C"/>
    <w:rsid w:val="006B3AB6"/>
    <w:rsid w:val="006B3ADC"/>
    <w:rsid w:val="006B3AFD"/>
    <w:rsid w:val="006B3CAB"/>
    <w:rsid w:val="006B3CFC"/>
    <w:rsid w:val="006B3FAE"/>
    <w:rsid w:val="006B42AA"/>
    <w:rsid w:val="006B44CB"/>
    <w:rsid w:val="006B46BC"/>
    <w:rsid w:val="006B49B3"/>
    <w:rsid w:val="006B49D2"/>
    <w:rsid w:val="006B4CE5"/>
    <w:rsid w:val="006B570A"/>
    <w:rsid w:val="006B5715"/>
    <w:rsid w:val="006B5A61"/>
    <w:rsid w:val="006B648C"/>
    <w:rsid w:val="006B6546"/>
    <w:rsid w:val="006B65A0"/>
    <w:rsid w:val="006B6728"/>
    <w:rsid w:val="006B6CB7"/>
    <w:rsid w:val="006B6D0B"/>
    <w:rsid w:val="006B6ED5"/>
    <w:rsid w:val="006B6F1F"/>
    <w:rsid w:val="006B6F7D"/>
    <w:rsid w:val="006B7082"/>
    <w:rsid w:val="006B709A"/>
    <w:rsid w:val="006B7122"/>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73"/>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653"/>
    <w:rsid w:val="006E27DA"/>
    <w:rsid w:val="006E2875"/>
    <w:rsid w:val="006E2D3E"/>
    <w:rsid w:val="006E329A"/>
    <w:rsid w:val="006E3477"/>
    <w:rsid w:val="006E358D"/>
    <w:rsid w:val="006E3A90"/>
    <w:rsid w:val="006E3CC7"/>
    <w:rsid w:val="006E4585"/>
    <w:rsid w:val="006E4900"/>
    <w:rsid w:val="006E4923"/>
    <w:rsid w:val="006E4960"/>
    <w:rsid w:val="006E4C15"/>
    <w:rsid w:val="006E4DC4"/>
    <w:rsid w:val="006E4FEC"/>
    <w:rsid w:val="006E5332"/>
    <w:rsid w:val="006E533F"/>
    <w:rsid w:val="006E53A3"/>
    <w:rsid w:val="006E5584"/>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6A32"/>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0EC4"/>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3F9F"/>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83D"/>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8E4"/>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0B5A"/>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75"/>
    <w:rsid w:val="00743EFB"/>
    <w:rsid w:val="00743FA6"/>
    <w:rsid w:val="00744A81"/>
    <w:rsid w:val="00744AF4"/>
    <w:rsid w:val="00744C07"/>
    <w:rsid w:val="00744EE4"/>
    <w:rsid w:val="007457BD"/>
    <w:rsid w:val="0074586F"/>
    <w:rsid w:val="007459BF"/>
    <w:rsid w:val="00745A22"/>
    <w:rsid w:val="00745A65"/>
    <w:rsid w:val="00745CA3"/>
    <w:rsid w:val="00745D71"/>
    <w:rsid w:val="0074607B"/>
    <w:rsid w:val="007460AE"/>
    <w:rsid w:val="00746214"/>
    <w:rsid w:val="007463AA"/>
    <w:rsid w:val="00746512"/>
    <w:rsid w:val="007468D5"/>
    <w:rsid w:val="007469E9"/>
    <w:rsid w:val="00746F46"/>
    <w:rsid w:val="007471F8"/>
    <w:rsid w:val="00747516"/>
    <w:rsid w:val="0074755D"/>
    <w:rsid w:val="007476F0"/>
    <w:rsid w:val="00747949"/>
    <w:rsid w:val="00747BB2"/>
    <w:rsid w:val="00747D86"/>
    <w:rsid w:val="00747E51"/>
    <w:rsid w:val="00750897"/>
    <w:rsid w:val="00750981"/>
    <w:rsid w:val="00750C2F"/>
    <w:rsid w:val="00750D2E"/>
    <w:rsid w:val="00750F81"/>
    <w:rsid w:val="00751098"/>
    <w:rsid w:val="0075111B"/>
    <w:rsid w:val="007513EE"/>
    <w:rsid w:val="00751B89"/>
    <w:rsid w:val="00751B8F"/>
    <w:rsid w:val="00751C7C"/>
    <w:rsid w:val="00751F34"/>
    <w:rsid w:val="0075295E"/>
    <w:rsid w:val="007529BE"/>
    <w:rsid w:val="00752ACF"/>
    <w:rsid w:val="00752E3A"/>
    <w:rsid w:val="00752E8D"/>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8A1"/>
    <w:rsid w:val="00757B34"/>
    <w:rsid w:val="00757ED3"/>
    <w:rsid w:val="00757EF0"/>
    <w:rsid w:val="00757FDF"/>
    <w:rsid w:val="00760136"/>
    <w:rsid w:val="0076014D"/>
    <w:rsid w:val="007602D0"/>
    <w:rsid w:val="007604D5"/>
    <w:rsid w:val="007604FB"/>
    <w:rsid w:val="007606EE"/>
    <w:rsid w:val="00760711"/>
    <w:rsid w:val="00760715"/>
    <w:rsid w:val="00760F11"/>
    <w:rsid w:val="0076101C"/>
    <w:rsid w:val="0076146C"/>
    <w:rsid w:val="00761518"/>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5B"/>
    <w:rsid w:val="007703E0"/>
    <w:rsid w:val="007709E7"/>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2FCF"/>
    <w:rsid w:val="0077313D"/>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257"/>
    <w:rsid w:val="00776283"/>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3FE0"/>
    <w:rsid w:val="00784389"/>
    <w:rsid w:val="007844DF"/>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B12"/>
    <w:rsid w:val="00786CE9"/>
    <w:rsid w:val="00786D0E"/>
    <w:rsid w:val="00786D77"/>
    <w:rsid w:val="00787634"/>
    <w:rsid w:val="0078784E"/>
    <w:rsid w:val="00787999"/>
    <w:rsid w:val="0079035A"/>
    <w:rsid w:val="007906A1"/>
    <w:rsid w:val="007906F9"/>
    <w:rsid w:val="007907BA"/>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40"/>
    <w:rsid w:val="00796862"/>
    <w:rsid w:val="00796CFC"/>
    <w:rsid w:val="00796D4B"/>
    <w:rsid w:val="00797165"/>
    <w:rsid w:val="007974B1"/>
    <w:rsid w:val="00797545"/>
    <w:rsid w:val="007975F5"/>
    <w:rsid w:val="0079760D"/>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2FA1"/>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1265"/>
    <w:rsid w:val="007B1443"/>
    <w:rsid w:val="007B1A21"/>
    <w:rsid w:val="007B1ACD"/>
    <w:rsid w:val="007B1DF1"/>
    <w:rsid w:val="007B21B1"/>
    <w:rsid w:val="007B234D"/>
    <w:rsid w:val="007B2840"/>
    <w:rsid w:val="007B28B4"/>
    <w:rsid w:val="007B2980"/>
    <w:rsid w:val="007B2E6D"/>
    <w:rsid w:val="007B2E7A"/>
    <w:rsid w:val="007B2FDF"/>
    <w:rsid w:val="007B30EA"/>
    <w:rsid w:val="007B33D2"/>
    <w:rsid w:val="007B354B"/>
    <w:rsid w:val="007B3A86"/>
    <w:rsid w:val="007B3DE7"/>
    <w:rsid w:val="007B4246"/>
    <w:rsid w:val="007B43A1"/>
    <w:rsid w:val="007B4499"/>
    <w:rsid w:val="007B473D"/>
    <w:rsid w:val="007B4BFD"/>
    <w:rsid w:val="007B4D6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5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648"/>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363"/>
    <w:rsid w:val="007F0776"/>
    <w:rsid w:val="007F07F4"/>
    <w:rsid w:val="007F07FD"/>
    <w:rsid w:val="007F0BF6"/>
    <w:rsid w:val="007F0CB8"/>
    <w:rsid w:val="007F0FD2"/>
    <w:rsid w:val="007F10FC"/>
    <w:rsid w:val="007F142B"/>
    <w:rsid w:val="007F190C"/>
    <w:rsid w:val="007F1911"/>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8ED"/>
    <w:rsid w:val="007F4D56"/>
    <w:rsid w:val="007F4D74"/>
    <w:rsid w:val="007F4F16"/>
    <w:rsid w:val="007F53A9"/>
    <w:rsid w:val="007F55F1"/>
    <w:rsid w:val="007F5B7A"/>
    <w:rsid w:val="007F5C43"/>
    <w:rsid w:val="007F5D52"/>
    <w:rsid w:val="007F5EAD"/>
    <w:rsid w:val="007F5F33"/>
    <w:rsid w:val="007F6552"/>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44D"/>
    <w:rsid w:val="00803776"/>
    <w:rsid w:val="008037DB"/>
    <w:rsid w:val="008039AB"/>
    <w:rsid w:val="00803B4B"/>
    <w:rsid w:val="008040B3"/>
    <w:rsid w:val="008040BC"/>
    <w:rsid w:val="008040E8"/>
    <w:rsid w:val="00804470"/>
    <w:rsid w:val="008045AD"/>
    <w:rsid w:val="008048AD"/>
    <w:rsid w:val="00804913"/>
    <w:rsid w:val="00804ABA"/>
    <w:rsid w:val="00804B84"/>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2BD"/>
    <w:rsid w:val="0081147E"/>
    <w:rsid w:val="00811B90"/>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EE1"/>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A43"/>
    <w:rsid w:val="00821C68"/>
    <w:rsid w:val="00821C76"/>
    <w:rsid w:val="00821C8D"/>
    <w:rsid w:val="00821CA8"/>
    <w:rsid w:val="00822050"/>
    <w:rsid w:val="0082225E"/>
    <w:rsid w:val="00822425"/>
    <w:rsid w:val="0082242E"/>
    <w:rsid w:val="00822787"/>
    <w:rsid w:val="00822798"/>
    <w:rsid w:val="008227E1"/>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2F"/>
    <w:rsid w:val="00824E46"/>
    <w:rsid w:val="00825189"/>
    <w:rsid w:val="0082519E"/>
    <w:rsid w:val="008252D3"/>
    <w:rsid w:val="00825335"/>
    <w:rsid w:val="008253A1"/>
    <w:rsid w:val="00825778"/>
    <w:rsid w:val="008257AA"/>
    <w:rsid w:val="0082585C"/>
    <w:rsid w:val="008259D7"/>
    <w:rsid w:val="00825B33"/>
    <w:rsid w:val="00825C27"/>
    <w:rsid w:val="00825CBB"/>
    <w:rsid w:val="00825DFA"/>
    <w:rsid w:val="00825FA7"/>
    <w:rsid w:val="008263BD"/>
    <w:rsid w:val="008264D6"/>
    <w:rsid w:val="0082663A"/>
    <w:rsid w:val="008266F1"/>
    <w:rsid w:val="00826789"/>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48B"/>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EF0"/>
    <w:rsid w:val="00846069"/>
    <w:rsid w:val="008460AE"/>
    <w:rsid w:val="008462C7"/>
    <w:rsid w:val="0084644F"/>
    <w:rsid w:val="008464D2"/>
    <w:rsid w:val="008465E1"/>
    <w:rsid w:val="008465E6"/>
    <w:rsid w:val="00846905"/>
    <w:rsid w:val="00846A7E"/>
    <w:rsid w:val="00847223"/>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BC0"/>
    <w:rsid w:val="00853D05"/>
    <w:rsid w:val="00853D12"/>
    <w:rsid w:val="00853F0F"/>
    <w:rsid w:val="00853F97"/>
    <w:rsid w:val="008540EB"/>
    <w:rsid w:val="0085431B"/>
    <w:rsid w:val="0085444A"/>
    <w:rsid w:val="008544B5"/>
    <w:rsid w:val="00854566"/>
    <w:rsid w:val="00854AC2"/>
    <w:rsid w:val="00854BC0"/>
    <w:rsid w:val="00854C05"/>
    <w:rsid w:val="00855838"/>
    <w:rsid w:val="008558EF"/>
    <w:rsid w:val="008559A4"/>
    <w:rsid w:val="008559FD"/>
    <w:rsid w:val="00855C66"/>
    <w:rsid w:val="00855D46"/>
    <w:rsid w:val="008560CE"/>
    <w:rsid w:val="008561F9"/>
    <w:rsid w:val="00856992"/>
    <w:rsid w:val="00856A09"/>
    <w:rsid w:val="00856AA3"/>
    <w:rsid w:val="00856CBA"/>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2F25"/>
    <w:rsid w:val="00863378"/>
    <w:rsid w:val="008637E9"/>
    <w:rsid w:val="00863958"/>
    <w:rsid w:val="00863D7C"/>
    <w:rsid w:val="00863DF7"/>
    <w:rsid w:val="00863E90"/>
    <w:rsid w:val="00863EF6"/>
    <w:rsid w:val="0086409B"/>
    <w:rsid w:val="00864268"/>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35F"/>
    <w:rsid w:val="00866B94"/>
    <w:rsid w:val="00866E42"/>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C99"/>
    <w:rsid w:val="00870CF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7B4"/>
    <w:rsid w:val="00880834"/>
    <w:rsid w:val="00880CBB"/>
    <w:rsid w:val="00880FD7"/>
    <w:rsid w:val="0088127C"/>
    <w:rsid w:val="0088159C"/>
    <w:rsid w:val="00881887"/>
    <w:rsid w:val="008818E4"/>
    <w:rsid w:val="008819B2"/>
    <w:rsid w:val="00881D73"/>
    <w:rsid w:val="00881FA5"/>
    <w:rsid w:val="008822D5"/>
    <w:rsid w:val="00882364"/>
    <w:rsid w:val="008823A3"/>
    <w:rsid w:val="008824F9"/>
    <w:rsid w:val="008826DC"/>
    <w:rsid w:val="00882967"/>
    <w:rsid w:val="00882BE0"/>
    <w:rsid w:val="00882C14"/>
    <w:rsid w:val="00882E4B"/>
    <w:rsid w:val="00883483"/>
    <w:rsid w:val="008839E4"/>
    <w:rsid w:val="00883A4A"/>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1592"/>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168"/>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A0E"/>
    <w:rsid w:val="00897ED1"/>
    <w:rsid w:val="00897F20"/>
    <w:rsid w:val="00897F7D"/>
    <w:rsid w:val="008A0301"/>
    <w:rsid w:val="008A0453"/>
    <w:rsid w:val="008A061D"/>
    <w:rsid w:val="008A07CE"/>
    <w:rsid w:val="008A07F0"/>
    <w:rsid w:val="008A0C6F"/>
    <w:rsid w:val="008A0D22"/>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45"/>
    <w:rsid w:val="008A49B1"/>
    <w:rsid w:val="008A4F1E"/>
    <w:rsid w:val="008A529E"/>
    <w:rsid w:val="008A56DC"/>
    <w:rsid w:val="008A5771"/>
    <w:rsid w:val="008A5E33"/>
    <w:rsid w:val="008A5ED4"/>
    <w:rsid w:val="008A63B0"/>
    <w:rsid w:val="008A65AB"/>
    <w:rsid w:val="008A6623"/>
    <w:rsid w:val="008A663D"/>
    <w:rsid w:val="008A680F"/>
    <w:rsid w:val="008A6A40"/>
    <w:rsid w:val="008A728F"/>
    <w:rsid w:val="008A73C1"/>
    <w:rsid w:val="008A74D2"/>
    <w:rsid w:val="008A76A5"/>
    <w:rsid w:val="008B007B"/>
    <w:rsid w:val="008B0452"/>
    <w:rsid w:val="008B0518"/>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D53"/>
    <w:rsid w:val="008B4FC7"/>
    <w:rsid w:val="008B5102"/>
    <w:rsid w:val="008B51AE"/>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55"/>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15C"/>
    <w:rsid w:val="008D2521"/>
    <w:rsid w:val="008D2C41"/>
    <w:rsid w:val="008D3301"/>
    <w:rsid w:val="008D3347"/>
    <w:rsid w:val="008D394B"/>
    <w:rsid w:val="008D3AC8"/>
    <w:rsid w:val="008D48E9"/>
    <w:rsid w:val="008D4E81"/>
    <w:rsid w:val="008D4F44"/>
    <w:rsid w:val="008D5053"/>
    <w:rsid w:val="008D51EC"/>
    <w:rsid w:val="008D5326"/>
    <w:rsid w:val="008D53DC"/>
    <w:rsid w:val="008D5517"/>
    <w:rsid w:val="008D5530"/>
    <w:rsid w:val="008D5681"/>
    <w:rsid w:val="008D582A"/>
    <w:rsid w:val="008D5960"/>
    <w:rsid w:val="008D5A82"/>
    <w:rsid w:val="008D5C2B"/>
    <w:rsid w:val="008D6132"/>
    <w:rsid w:val="008D6163"/>
    <w:rsid w:val="008D64F3"/>
    <w:rsid w:val="008D6627"/>
    <w:rsid w:val="008D684F"/>
    <w:rsid w:val="008D6B42"/>
    <w:rsid w:val="008D6B6B"/>
    <w:rsid w:val="008D6C57"/>
    <w:rsid w:val="008D6CA4"/>
    <w:rsid w:val="008D6CCB"/>
    <w:rsid w:val="008D6EF6"/>
    <w:rsid w:val="008D71C6"/>
    <w:rsid w:val="008D754B"/>
    <w:rsid w:val="008D7579"/>
    <w:rsid w:val="008D7731"/>
    <w:rsid w:val="008D77CB"/>
    <w:rsid w:val="008D7B61"/>
    <w:rsid w:val="008D7FB4"/>
    <w:rsid w:val="008E023B"/>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92"/>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34"/>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98D"/>
    <w:rsid w:val="00921CAD"/>
    <w:rsid w:val="00922481"/>
    <w:rsid w:val="009226FB"/>
    <w:rsid w:val="00922ECF"/>
    <w:rsid w:val="00923092"/>
    <w:rsid w:val="009231BC"/>
    <w:rsid w:val="009231DC"/>
    <w:rsid w:val="0092330D"/>
    <w:rsid w:val="009234A1"/>
    <w:rsid w:val="00923756"/>
    <w:rsid w:val="00923881"/>
    <w:rsid w:val="00923A7F"/>
    <w:rsid w:val="00923B39"/>
    <w:rsid w:val="00923CAC"/>
    <w:rsid w:val="00923D1C"/>
    <w:rsid w:val="00924208"/>
    <w:rsid w:val="009246EF"/>
    <w:rsid w:val="00924761"/>
    <w:rsid w:val="0092498B"/>
    <w:rsid w:val="009249A3"/>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9B7"/>
    <w:rsid w:val="00933BCC"/>
    <w:rsid w:val="00933D05"/>
    <w:rsid w:val="00933E0F"/>
    <w:rsid w:val="009342D9"/>
    <w:rsid w:val="009342F2"/>
    <w:rsid w:val="00934309"/>
    <w:rsid w:val="0093463D"/>
    <w:rsid w:val="00934709"/>
    <w:rsid w:val="00934800"/>
    <w:rsid w:val="0093481E"/>
    <w:rsid w:val="0093485C"/>
    <w:rsid w:val="00934C2A"/>
    <w:rsid w:val="00934E49"/>
    <w:rsid w:val="00934F9A"/>
    <w:rsid w:val="009353B9"/>
    <w:rsid w:val="00935410"/>
    <w:rsid w:val="009355EC"/>
    <w:rsid w:val="009355F5"/>
    <w:rsid w:val="00935B2B"/>
    <w:rsid w:val="00935B74"/>
    <w:rsid w:val="00935F85"/>
    <w:rsid w:val="00936658"/>
    <w:rsid w:val="00936CCE"/>
    <w:rsid w:val="00936CF4"/>
    <w:rsid w:val="00936D6F"/>
    <w:rsid w:val="00936E80"/>
    <w:rsid w:val="009370A1"/>
    <w:rsid w:val="00937175"/>
    <w:rsid w:val="00937760"/>
    <w:rsid w:val="009377E4"/>
    <w:rsid w:val="00937BB5"/>
    <w:rsid w:val="0094008E"/>
    <w:rsid w:val="009400E2"/>
    <w:rsid w:val="00940266"/>
    <w:rsid w:val="00940537"/>
    <w:rsid w:val="009406DE"/>
    <w:rsid w:val="009407CC"/>
    <w:rsid w:val="00940CDC"/>
    <w:rsid w:val="00940EBC"/>
    <w:rsid w:val="00940F49"/>
    <w:rsid w:val="0094112C"/>
    <w:rsid w:val="009412BE"/>
    <w:rsid w:val="009413F8"/>
    <w:rsid w:val="00941920"/>
    <w:rsid w:val="009419EE"/>
    <w:rsid w:val="00941C92"/>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C6C"/>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870"/>
    <w:rsid w:val="00950937"/>
    <w:rsid w:val="00950AD0"/>
    <w:rsid w:val="00950AEF"/>
    <w:rsid w:val="009510C4"/>
    <w:rsid w:val="0095114E"/>
    <w:rsid w:val="0095147A"/>
    <w:rsid w:val="009516C4"/>
    <w:rsid w:val="009519AD"/>
    <w:rsid w:val="009519DA"/>
    <w:rsid w:val="00951B64"/>
    <w:rsid w:val="00951CE5"/>
    <w:rsid w:val="00952202"/>
    <w:rsid w:val="009525CB"/>
    <w:rsid w:val="009529F3"/>
    <w:rsid w:val="00952A1B"/>
    <w:rsid w:val="00952E5F"/>
    <w:rsid w:val="00952F3A"/>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73"/>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B"/>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C8"/>
    <w:rsid w:val="00963EC6"/>
    <w:rsid w:val="0096417C"/>
    <w:rsid w:val="009645D2"/>
    <w:rsid w:val="00964834"/>
    <w:rsid w:val="00964EA4"/>
    <w:rsid w:val="00964F50"/>
    <w:rsid w:val="009653A7"/>
    <w:rsid w:val="009654D8"/>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95"/>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87"/>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15"/>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3C"/>
    <w:rsid w:val="00991D93"/>
    <w:rsid w:val="0099234E"/>
    <w:rsid w:val="00992394"/>
    <w:rsid w:val="0099264F"/>
    <w:rsid w:val="00992B2B"/>
    <w:rsid w:val="00992B68"/>
    <w:rsid w:val="00992D80"/>
    <w:rsid w:val="00993007"/>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BDB"/>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0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925"/>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2CB"/>
    <w:rsid w:val="009B53BD"/>
    <w:rsid w:val="009B57EC"/>
    <w:rsid w:val="009B5BA4"/>
    <w:rsid w:val="009B5E8D"/>
    <w:rsid w:val="009B5F42"/>
    <w:rsid w:val="009B5FC2"/>
    <w:rsid w:val="009B61B8"/>
    <w:rsid w:val="009B6596"/>
    <w:rsid w:val="009B65AD"/>
    <w:rsid w:val="009B6752"/>
    <w:rsid w:val="009B6B3D"/>
    <w:rsid w:val="009B6DA1"/>
    <w:rsid w:val="009B6F81"/>
    <w:rsid w:val="009B7003"/>
    <w:rsid w:val="009B730E"/>
    <w:rsid w:val="009B782C"/>
    <w:rsid w:val="009B7E72"/>
    <w:rsid w:val="009B7EC9"/>
    <w:rsid w:val="009C056C"/>
    <w:rsid w:val="009C0732"/>
    <w:rsid w:val="009C0A90"/>
    <w:rsid w:val="009C0BE8"/>
    <w:rsid w:val="009C11F9"/>
    <w:rsid w:val="009C123D"/>
    <w:rsid w:val="009C1250"/>
    <w:rsid w:val="009C1251"/>
    <w:rsid w:val="009C1551"/>
    <w:rsid w:val="009C1694"/>
    <w:rsid w:val="009C181E"/>
    <w:rsid w:val="009C18C4"/>
    <w:rsid w:val="009C1A28"/>
    <w:rsid w:val="009C1CDC"/>
    <w:rsid w:val="009C1D89"/>
    <w:rsid w:val="009C1E4E"/>
    <w:rsid w:val="009C20FD"/>
    <w:rsid w:val="009C22B2"/>
    <w:rsid w:val="009C22E7"/>
    <w:rsid w:val="009C235B"/>
    <w:rsid w:val="009C28FD"/>
    <w:rsid w:val="009C2E33"/>
    <w:rsid w:val="009C2F12"/>
    <w:rsid w:val="009C3222"/>
    <w:rsid w:val="009C33D9"/>
    <w:rsid w:val="009C34D0"/>
    <w:rsid w:val="009C3526"/>
    <w:rsid w:val="009C3623"/>
    <w:rsid w:val="009C3A20"/>
    <w:rsid w:val="009C3CD6"/>
    <w:rsid w:val="009C3E2F"/>
    <w:rsid w:val="009C3E4E"/>
    <w:rsid w:val="009C3E87"/>
    <w:rsid w:val="009C40AA"/>
    <w:rsid w:val="009C40EF"/>
    <w:rsid w:val="009C46AC"/>
    <w:rsid w:val="009C4B49"/>
    <w:rsid w:val="009C4BBB"/>
    <w:rsid w:val="009C4C6C"/>
    <w:rsid w:val="009C5039"/>
    <w:rsid w:val="009C5067"/>
    <w:rsid w:val="009C50A7"/>
    <w:rsid w:val="009C55B8"/>
    <w:rsid w:val="009C5633"/>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0DF0"/>
    <w:rsid w:val="009D15AE"/>
    <w:rsid w:val="009D17EA"/>
    <w:rsid w:val="009D17FA"/>
    <w:rsid w:val="009D18AC"/>
    <w:rsid w:val="009D190A"/>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7E2"/>
    <w:rsid w:val="009E187B"/>
    <w:rsid w:val="009E19FF"/>
    <w:rsid w:val="009E1CA3"/>
    <w:rsid w:val="009E1D65"/>
    <w:rsid w:val="009E1DD1"/>
    <w:rsid w:val="009E1E6F"/>
    <w:rsid w:val="009E216E"/>
    <w:rsid w:val="009E2245"/>
    <w:rsid w:val="009E22DA"/>
    <w:rsid w:val="009E276A"/>
    <w:rsid w:val="009E27E3"/>
    <w:rsid w:val="009E29A1"/>
    <w:rsid w:val="009E2BAE"/>
    <w:rsid w:val="009E2D74"/>
    <w:rsid w:val="009E2FE1"/>
    <w:rsid w:val="009E2FF2"/>
    <w:rsid w:val="009E3297"/>
    <w:rsid w:val="009E3E52"/>
    <w:rsid w:val="009E3EBA"/>
    <w:rsid w:val="009E430F"/>
    <w:rsid w:val="009E449A"/>
    <w:rsid w:val="009E44BB"/>
    <w:rsid w:val="009E4A53"/>
    <w:rsid w:val="009E4CA1"/>
    <w:rsid w:val="009E4CC5"/>
    <w:rsid w:val="009E4DBD"/>
    <w:rsid w:val="009E4F89"/>
    <w:rsid w:val="009E5394"/>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BAF"/>
    <w:rsid w:val="009E6CDE"/>
    <w:rsid w:val="009E72D8"/>
    <w:rsid w:val="009E734D"/>
    <w:rsid w:val="009E7364"/>
    <w:rsid w:val="009E74F7"/>
    <w:rsid w:val="009E76F9"/>
    <w:rsid w:val="009E77FC"/>
    <w:rsid w:val="009E7C1D"/>
    <w:rsid w:val="009E7FA1"/>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00A"/>
    <w:rsid w:val="009F410E"/>
    <w:rsid w:val="009F4261"/>
    <w:rsid w:val="009F4450"/>
    <w:rsid w:val="009F48C0"/>
    <w:rsid w:val="009F4955"/>
    <w:rsid w:val="009F4E2E"/>
    <w:rsid w:val="009F4E3D"/>
    <w:rsid w:val="009F50A4"/>
    <w:rsid w:val="009F52C4"/>
    <w:rsid w:val="009F5447"/>
    <w:rsid w:val="009F557B"/>
    <w:rsid w:val="009F568B"/>
    <w:rsid w:val="009F5828"/>
    <w:rsid w:val="009F5A25"/>
    <w:rsid w:val="009F5A79"/>
    <w:rsid w:val="009F5E73"/>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936"/>
    <w:rsid w:val="009F7A94"/>
    <w:rsid w:val="009F7D59"/>
    <w:rsid w:val="009F7D5D"/>
    <w:rsid w:val="00A008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598"/>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34F"/>
    <w:rsid w:val="00A135A8"/>
    <w:rsid w:val="00A13725"/>
    <w:rsid w:val="00A1386E"/>
    <w:rsid w:val="00A138EF"/>
    <w:rsid w:val="00A13C1F"/>
    <w:rsid w:val="00A141BA"/>
    <w:rsid w:val="00A14210"/>
    <w:rsid w:val="00A142AE"/>
    <w:rsid w:val="00A148BF"/>
    <w:rsid w:val="00A14A24"/>
    <w:rsid w:val="00A15108"/>
    <w:rsid w:val="00A1521B"/>
    <w:rsid w:val="00A15C50"/>
    <w:rsid w:val="00A15CF5"/>
    <w:rsid w:val="00A15F89"/>
    <w:rsid w:val="00A1649C"/>
    <w:rsid w:val="00A1660F"/>
    <w:rsid w:val="00A16616"/>
    <w:rsid w:val="00A16B1D"/>
    <w:rsid w:val="00A16C9D"/>
    <w:rsid w:val="00A16EBB"/>
    <w:rsid w:val="00A1735A"/>
    <w:rsid w:val="00A174E3"/>
    <w:rsid w:val="00A1785B"/>
    <w:rsid w:val="00A178CF"/>
    <w:rsid w:val="00A17926"/>
    <w:rsid w:val="00A17D9B"/>
    <w:rsid w:val="00A17DAE"/>
    <w:rsid w:val="00A203C1"/>
    <w:rsid w:val="00A203E2"/>
    <w:rsid w:val="00A20603"/>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A95"/>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57"/>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D8A"/>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A32"/>
    <w:rsid w:val="00A56B05"/>
    <w:rsid w:val="00A56B33"/>
    <w:rsid w:val="00A57103"/>
    <w:rsid w:val="00A5715D"/>
    <w:rsid w:val="00A57162"/>
    <w:rsid w:val="00A571C1"/>
    <w:rsid w:val="00A57935"/>
    <w:rsid w:val="00A57B78"/>
    <w:rsid w:val="00A57CF9"/>
    <w:rsid w:val="00A602AD"/>
    <w:rsid w:val="00A60708"/>
    <w:rsid w:val="00A60B9E"/>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2CB"/>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70023"/>
    <w:rsid w:val="00A70394"/>
    <w:rsid w:val="00A703A0"/>
    <w:rsid w:val="00A704B9"/>
    <w:rsid w:val="00A7054C"/>
    <w:rsid w:val="00A7057A"/>
    <w:rsid w:val="00A7097F"/>
    <w:rsid w:val="00A70A7D"/>
    <w:rsid w:val="00A70C6A"/>
    <w:rsid w:val="00A70C81"/>
    <w:rsid w:val="00A70C8D"/>
    <w:rsid w:val="00A71042"/>
    <w:rsid w:val="00A710EA"/>
    <w:rsid w:val="00A71343"/>
    <w:rsid w:val="00A714A4"/>
    <w:rsid w:val="00A71875"/>
    <w:rsid w:val="00A71AFA"/>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C6B"/>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4B4"/>
    <w:rsid w:val="00A82730"/>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480"/>
    <w:rsid w:val="00A928CC"/>
    <w:rsid w:val="00A92B1E"/>
    <w:rsid w:val="00A92DBF"/>
    <w:rsid w:val="00A9343B"/>
    <w:rsid w:val="00A945D4"/>
    <w:rsid w:val="00A94765"/>
    <w:rsid w:val="00A947DF"/>
    <w:rsid w:val="00A94ACE"/>
    <w:rsid w:val="00A94BF2"/>
    <w:rsid w:val="00A94FA4"/>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AA"/>
    <w:rsid w:val="00AA0FDB"/>
    <w:rsid w:val="00AA1092"/>
    <w:rsid w:val="00AA13DA"/>
    <w:rsid w:val="00AA1532"/>
    <w:rsid w:val="00AA181B"/>
    <w:rsid w:val="00AA1907"/>
    <w:rsid w:val="00AA1B55"/>
    <w:rsid w:val="00AA2221"/>
    <w:rsid w:val="00AA2801"/>
    <w:rsid w:val="00AA29BD"/>
    <w:rsid w:val="00AA2BE2"/>
    <w:rsid w:val="00AA32B9"/>
    <w:rsid w:val="00AA3671"/>
    <w:rsid w:val="00AA3A33"/>
    <w:rsid w:val="00AA3AFC"/>
    <w:rsid w:val="00AA3CC0"/>
    <w:rsid w:val="00AA3EF2"/>
    <w:rsid w:val="00AA42AC"/>
    <w:rsid w:val="00AA450F"/>
    <w:rsid w:val="00AA462B"/>
    <w:rsid w:val="00AA467D"/>
    <w:rsid w:val="00AA47BA"/>
    <w:rsid w:val="00AA4802"/>
    <w:rsid w:val="00AA4A95"/>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5E2"/>
    <w:rsid w:val="00AB56A2"/>
    <w:rsid w:val="00AB58D2"/>
    <w:rsid w:val="00AB5D50"/>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A0"/>
    <w:rsid w:val="00AC7A16"/>
    <w:rsid w:val="00AC7B50"/>
    <w:rsid w:val="00AC7C5A"/>
    <w:rsid w:val="00AC7E54"/>
    <w:rsid w:val="00AD0009"/>
    <w:rsid w:val="00AD012E"/>
    <w:rsid w:val="00AD069D"/>
    <w:rsid w:val="00AD081B"/>
    <w:rsid w:val="00AD084B"/>
    <w:rsid w:val="00AD0A55"/>
    <w:rsid w:val="00AD101C"/>
    <w:rsid w:val="00AD1295"/>
    <w:rsid w:val="00AD14C1"/>
    <w:rsid w:val="00AD16FC"/>
    <w:rsid w:val="00AD1A5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5F2"/>
    <w:rsid w:val="00AD6845"/>
    <w:rsid w:val="00AD68C1"/>
    <w:rsid w:val="00AD6C00"/>
    <w:rsid w:val="00AD6C74"/>
    <w:rsid w:val="00AD7053"/>
    <w:rsid w:val="00AD748B"/>
    <w:rsid w:val="00AD7659"/>
    <w:rsid w:val="00AD7895"/>
    <w:rsid w:val="00AD79F1"/>
    <w:rsid w:val="00AD79F4"/>
    <w:rsid w:val="00AD7B8E"/>
    <w:rsid w:val="00AE00E2"/>
    <w:rsid w:val="00AE01CF"/>
    <w:rsid w:val="00AE01E4"/>
    <w:rsid w:val="00AE0677"/>
    <w:rsid w:val="00AE0A3A"/>
    <w:rsid w:val="00AE0C87"/>
    <w:rsid w:val="00AE0DCC"/>
    <w:rsid w:val="00AE1315"/>
    <w:rsid w:val="00AE1646"/>
    <w:rsid w:val="00AE1842"/>
    <w:rsid w:val="00AE1C39"/>
    <w:rsid w:val="00AE2025"/>
    <w:rsid w:val="00AE2421"/>
    <w:rsid w:val="00AE26DD"/>
    <w:rsid w:val="00AE2A19"/>
    <w:rsid w:val="00AE2E4E"/>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0A"/>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27"/>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4EA7"/>
    <w:rsid w:val="00B0510E"/>
    <w:rsid w:val="00B05139"/>
    <w:rsid w:val="00B052F6"/>
    <w:rsid w:val="00B05423"/>
    <w:rsid w:val="00B05D68"/>
    <w:rsid w:val="00B05FEC"/>
    <w:rsid w:val="00B06248"/>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1E"/>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7A9"/>
    <w:rsid w:val="00B12B3E"/>
    <w:rsid w:val="00B12F0E"/>
    <w:rsid w:val="00B12F3B"/>
    <w:rsid w:val="00B13015"/>
    <w:rsid w:val="00B1317D"/>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4F0"/>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93E"/>
    <w:rsid w:val="00B21A36"/>
    <w:rsid w:val="00B21A6C"/>
    <w:rsid w:val="00B21B7A"/>
    <w:rsid w:val="00B21CBC"/>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AA"/>
    <w:rsid w:val="00B261DE"/>
    <w:rsid w:val="00B2621B"/>
    <w:rsid w:val="00B2623A"/>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3E7"/>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ACA"/>
    <w:rsid w:val="00B37DE1"/>
    <w:rsid w:val="00B37DFC"/>
    <w:rsid w:val="00B37EA2"/>
    <w:rsid w:val="00B37EB1"/>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2C2"/>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E4F"/>
    <w:rsid w:val="00B47F0C"/>
    <w:rsid w:val="00B502DE"/>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1AA"/>
    <w:rsid w:val="00B6050E"/>
    <w:rsid w:val="00B60670"/>
    <w:rsid w:val="00B60689"/>
    <w:rsid w:val="00B60950"/>
    <w:rsid w:val="00B609BB"/>
    <w:rsid w:val="00B60D86"/>
    <w:rsid w:val="00B60DEB"/>
    <w:rsid w:val="00B6114D"/>
    <w:rsid w:val="00B6132E"/>
    <w:rsid w:val="00B613EC"/>
    <w:rsid w:val="00B615D3"/>
    <w:rsid w:val="00B61650"/>
    <w:rsid w:val="00B61EB6"/>
    <w:rsid w:val="00B62148"/>
    <w:rsid w:val="00B62226"/>
    <w:rsid w:val="00B626A3"/>
    <w:rsid w:val="00B62746"/>
    <w:rsid w:val="00B62954"/>
    <w:rsid w:val="00B62DAF"/>
    <w:rsid w:val="00B62E1E"/>
    <w:rsid w:val="00B62FE1"/>
    <w:rsid w:val="00B6392E"/>
    <w:rsid w:val="00B63BA9"/>
    <w:rsid w:val="00B63C03"/>
    <w:rsid w:val="00B64103"/>
    <w:rsid w:val="00B641A2"/>
    <w:rsid w:val="00B6429C"/>
    <w:rsid w:val="00B64AB2"/>
    <w:rsid w:val="00B651B0"/>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DF7"/>
    <w:rsid w:val="00B72E6C"/>
    <w:rsid w:val="00B72F50"/>
    <w:rsid w:val="00B731DE"/>
    <w:rsid w:val="00B731EC"/>
    <w:rsid w:val="00B732C5"/>
    <w:rsid w:val="00B7354A"/>
    <w:rsid w:val="00B739B0"/>
    <w:rsid w:val="00B739F7"/>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E18"/>
    <w:rsid w:val="00B76067"/>
    <w:rsid w:val="00B76260"/>
    <w:rsid w:val="00B76399"/>
    <w:rsid w:val="00B76706"/>
    <w:rsid w:val="00B76E0E"/>
    <w:rsid w:val="00B76E32"/>
    <w:rsid w:val="00B76EBD"/>
    <w:rsid w:val="00B76ECE"/>
    <w:rsid w:val="00B77545"/>
    <w:rsid w:val="00B775BE"/>
    <w:rsid w:val="00B776CD"/>
    <w:rsid w:val="00B77801"/>
    <w:rsid w:val="00B80197"/>
    <w:rsid w:val="00B801A8"/>
    <w:rsid w:val="00B80214"/>
    <w:rsid w:val="00B80476"/>
    <w:rsid w:val="00B804E8"/>
    <w:rsid w:val="00B8064C"/>
    <w:rsid w:val="00B806CB"/>
    <w:rsid w:val="00B80742"/>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DDE"/>
    <w:rsid w:val="00B83E46"/>
    <w:rsid w:val="00B843B6"/>
    <w:rsid w:val="00B84689"/>
    <w:rsid w:val="00B849C9"/>
    <w:rsid w:val="00B84A62"/>
    <w:rsid w:val="00B84ED3"/>
    <w:rsid w:val="00B84F34"/>
    <w:rsid w:val="00B84F7F"/>
    <w:rsid w:val="00B853C7"/>
    <w:rsid w:val="00B85414"/>
    <w:rsid w:val="00B85465"/>
    <w:rsid w:val="00B85747"/>
    <w:rsid w:val="00B85D09"/>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3C6"/>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83D"/>
    <w:rsid w:val="00B96C7F"/>
    <w:rsid w:val="00B96E51"/>
    <w:rsid w:val="00B970A0"/>
    <w:rsid w:val="00B97189"/>
    <w:rsid w:val="00B972E1"/>
    <w:rsid w:val="00B972F6"/>
    <w:rsid w:val="00B973EA"/>
    <w:rsid w:val="00B97429"/>
    <w:rsid w:val="00B977E4"/>
    <w:rsid w:val="00B97A18"/>
    <w:rsid w:val="00B97B3D"/>
    <w:rsid w:val="00BA015D"/>
    <w:rsid w:val="00BA0229"/>
    <w:rsid w:val="00BA0860"/>
    <w:rsid w:val="00BA0A8E"/>
    <w:rsid w:val="00BA0ECC"/>
    <w:rsid w:val="00BA139E"/>
    <w:rsid w:val="00BA17E4"/>
    <w:rsid w:val="00BA1A10"/>
    <w:rsid w:val="00BA1B35"/>
    <w:rsid w:val="00BA1B99"/>
    <w:rsid w:val="00BA1C72"/>
    <w:rsid w:val="00BA2109"/>
    <w:rsid w:val="00BA2337"/>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6F40"/>
    <w:rsid w:val="00BA7246"/>
    <w:rsid w:val="00BA7262"/>
    <w:rsid w:val="00BA7269"/>
    <w:rsid w:val="00BA757B"/>
    <w:rsid w:val="00BA7A42"/>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73C"/>
    <w:rsid w:val="00BC4B45"/>
    <w:rsid w:val="00BC4B70"/>
    <w:rsid w:val="00BC555E"/>
    <w:rsid w:val="00BC575C"/>
    <w:rsid w:val="00BC5923"/>
    <w:rsid w:val="00BC5A95"/>
    <w:rsid w:val="00BC5AD6"/>
    <w:rsid w:val="00BC5DA8"/>
    <w:rsid w:val="00BC61C4"/>
    <w:rsid w:val="00BC65D9"/>
    <w:rsid w:val="00BC683D"/>
    <w:rsid w:val="00BC69AA"/>
    <w:rsid w:val="00BC6B48"/>
    <w:rsid w:val="00BC6CC5"/>
    <w:rsid w:val="00BC6D68"/>
    <w:rsid w:val="00BC6DC4"/>
    <w:rsid w:val="00BC7240"/>
    <w:rsid w:val="00BC74D6"/>
    <w:rsid w:val="00BC76EA"/>
    <w:rsid w:val="00BC77EF"/>
    <w:rsid w:val="00BC79A6"/>
    <w:rsid w:val="00BC79B3"/>
    <w:rsid w:val="00BC7C7C"/>
    <w:rsid w:val="00BD0322"/>
    <w:rsid w:val="00BD05D8"/>
    <w:rsid w:val="00BD06E7"/>
    <w:rsid w:val="00BD0A2B"/>
    <w:rsid w:val="00BD0C7F"/>
    <w:rsid w:val="00BD0CAD"/>
    <w:rsid w:val="00BD179D"/>
    <w:rsid w:val="00BD1838"/>
    <w:rsid w:val="00BD1BAB"/>
    <w:rsid w:val="00BD1CFD"/>
    <w:rsid w:val="00BD20C3"/>
    <w:rsid w:val="00BD216D"/>
    <w:rsid w:val="00BD2C5F"/>
    <w:rsid w:val="00BD2C72"/>
    <w:rsid w:val="00BD2CF3"/>
    <w:rsid w:val="00BD3003"/>
    <w:rsid w:val="00BD30D1"/>
    <w:rsid w:val="00BD33D9"/>
    <w:rsid w:val="00BD36DF"/>
    <w:rsid w:val="00BD377D"/>
    <w:rsid w:val="00BD3886"/>
    <w:rsid w:val="00BD3A20"/>
    <w:rsid w:val="00BD3C13"/>
    <w:rsid w:val="00BD3D49"/>
    <w:rsid w:val="00BD3E51"/>
    <w:rsid w:val="00BD3E6C"/>
    <w:rsid w:val="00BD3EC7"/>
    <w:rsid w:val="00BD3F08"/>
    <w:rsid w:val="00BD3F85"/>
    <w:rsid w:val="00BD4202"/>
    <w:rsid w:val="00BD4222"/>
    <w:rsid w:val="00BD446A"/>
    <w:rsid w:val="00BD460A"/>
    <w:rsid w:val="00BD47E4"/>
    <w:rsid w:val="00BD4D9A"/>
    <w:rsid w:val="00BD4FEC"/>
    <w:rsid w:val="00BD503E"/>
    <w:rsid w:val="00BD542C"/>
    <w:rsid w:val="00BD5550"/>
    <w:rsid w:val="00BD559C"/>
    <w:rsid w:val="00BD56B8"/>
    <w:rsid w:val="00BD5802"/>
    <w:rsid w:val="00BD618C"/>
    <w:rsid w:val="00BD6441"/>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B6A"/>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AF5"/>
    <w:rsid w:val="00BE7CF2"/>
    <w:rsid w:val="00BE7DC5"/>
    <w:rsid w:val="00BF000B"/>
    <w:rsid w:val="00BF0046"/>
    <w:rsid w:val="00BF0052"/>
    <w:rsid w:val="00BF026E"/>
    <w:rsid w:val="00BF044C"/>
    <w:rsid w:val="00BF0757"/>
    <w:rsid w:val="00BF0A16"/>
    <w:rsid w:val="00BF0BA0"/>
    <w:rsid w:val="00BF0E35"/>
    <w:rsid w:val="00BF0F33"/>
    <w:rsid w:val="00BF0F81"/>
    <w:rsid w:val="00BF132A"/>
    <w:rsid w:val="00BF16CF"/>
    <w:rsid w:val="00BF198A"/>
    <w:rsid w:val="00BF19BB"/>
    <w:rsid w:val="00BF1AF8"/>
    <w:rsid w:val="00BF24D5"/>
    <w:rsid w:val="00BF2509"/>
    <w:rsid w:val="00BF260B"/>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D5"/>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3DC"/>
    <w:rsid w:val="00BF7598"/>
    <w:rsid w:val="00BF7886"/>
    <w:rsid w:val="00C000A3"/>
    <w:rsid w:val="00C0042E"/>
    <w:rsid w:val="00C006A0"/>
    <w:rsid w:val="00C008E5"/>
    <w:rsid w:val="00C00CE9"/>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C18"/>
    <w:rsid w:val="00C03F43"/>
    <w:rsid w:val="00C03F48"/>
    <w:rsid w:val="00C03FD8"/>
    <w:rsid w:val="00C04513"/>
    <w:rsid w:val="00C04557"/>
    <w:rsid w:val="00C04AF1"/>
    <w:rsid w:val="00C04DD1"/>
    <w:rsid w:val="00C0502A"/>
    <w:rsid w:val="00C05121"/>
    <w:rsid w:val="00C05248"/>
    <w:rsid w:val="00C056C9"/>
    <w:rsid w:val="00C057EB"/>
    <w:rsid w:val="00C05900"/>
    <w:rsid w:val="00C05AE7"/>
    <w:rsid w:val="00C05EFF"/>
    <w:rsid w:val="00C05FFB"/>
    <w:rsid w:val="00C06179"/>
    <w:rsid w:val="00C06186"/>
    <w:rsid w:val="00C0645D"/>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36C"/>
    <w:rsid w:val="00C154CD"/>
    <w:rsid w:val="00C15507"/>
    <w:rsid w:val="00C15671"/>
    <w:rsid w:val="00C158D3"/>
    <w:rsid w:val="00C158DA"/>
    <w:rsid w:val="00C160CD"/>
    <w:rsid w:val="00C165B2"/>
    <w:rsid w:val="00C16703"/>
    <w:rsid w:val="00C16A3C"/>
    <w:rsid w:val="00C16AB2"/>
    <w:rsid w:val="00C16C05"/>
    <w:rsid w:val="00C17036"/>
    <w:rsid w:val="00C17215"/>
    <w:rsid w:val="00C173AD"/>
    <w:rsid w:val="00C1758F"/>
    <w:rsid w:val="00C176CB"/>
    <w:rsid w:val="00C17B66"/>
    <w:rsid w:val="00C17DE5"/>
    <w:rsid w:val="00C17E68"/>
    <w:rsid w:val="00C17F3E"/>
    <w:rsid w:val="00C20059"/>
    <w:rsid w:val="00C208D5"/>
    <w:rsid w:val="00C20B43"/>
    <w:rsid w:val="00C20CAB"/>
    <w:rsid w:val="00C20F7A"/>
    <w:rsid w:val="00C21163"/>
    <w:rsid w:val="00C2128A"/>
    <w:rsid w:val="00C214C5"/>
    <w:rsid w:val="00C214E6"/>
    <w:rsid w:val="00C2151A"/>
    <w:rsid w:val="00C219FD"/>
    <w:rsid w:val="00C21A38"/>
    <w:rsid w:val="00C21EAB"/>
    <w:rsid w:val="00C21F15"/>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621"/>
    <w:rsid w:val="00C2479D"/>
    <w:rsid w:val="00C247BF"/>
    <w:rsid w:val="00C24BE2"/>
    <w:rsid w:val="00C24ED1"/>
    <w:rsid w:val="00C24F1D"/>
    <w:rsid w:val="00C24F6C"/>
    <w:rsid w:val="00C25159"/>
    <w:rsid w:val="00C253E2"/>
    <w:rsid w:val="00C2574E"/>
    <w:rsid w:val="00C25D5F"/>
    <w:rsid w:val="00C26040"/>
    <w:rsid w:val="00C2662E"/>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1D7"/>
    <w:rsid w:val="00C31313"/>
    <w:rsid w:val="00C313F4"/>
    <w:rsid w:val="00C3143C"/>
    <w:rsid w:val="00C31610"/>
    <w:rsid w:val="00C31810"/>
    <w:rsid w:val="00C3184B"/>
    <w:rsid w:val="00C31886"/>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5EB"/>
    <w:rsid w:val="00C35967"/>
    <w:rsid w:val="00C359A9"/>
    <w:rsid w:val="00C35D60"/>
    <w:rsid w:val="00C35D6A"/>
    <w:rsid w:val="00C35E06"/>
    <w:rsid w:val="00C35E1E"/>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CDB"/>
    <w:rsid w:val="00C40F89"/>
    <w:rsid w:val="00C41695"/>
    <w:rsid w:val="00C4197B"/>
    <w:rsid w:val="00C41B04"/>
    <w:rsid w:val="00C41D69"/>
    <w:rsid w:val="00C41F7A"/>
    <w:rsid w:val="00C42042"/>
    <w:rsid w:val="00C423DB"/>
    <w:rsid w:val="00C423E2"/>
    <w:rsid w:val="00C4265D"/>
    <w:rsid w:val="00C42674"/>
    <w:rsid w:val="00C428A6"/>
    <w:rsid w:val="00C42D3F"/>
    <w:rsid w:val="00C43908"/>
    <w:rsid w:val="00C43B4A"/>
    <w:rsid w:val="00C43C91"/>
    <w:rsid w:val="00C44069"/>
    <w:rsid w:val="00C44208"/>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BD9"/>
    <w:rsid w:val="00C54C19"/>
    <w:rsid w:val="00C54DFB"/>
    <w:rsid w:val="00C55124"/>
    <w:rsid w:val="00C552C8"/>
    <w:rsid w:val="00C5537A"/>
    <w:rsid w:val="00C55395"/>
    <w:rsid w:val="00C55402"/>
    <w:rsid w:val="00C5552B"/>
    <w:rsid w:val="00C5579F"/>
    <w:rsid w:val="00C5599F"/>
    <w:rsid w:val="00C55A42"/>
    <w:rsid w:val="00C55BED"/>
    <w:rsid w:val="00C55D4D"/>
    <w:rsid w:val="00C560A6"/>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A55"/>
    <w:rsid w:val="00C60C67"/>
    <w:rsid w:val="00C60C90"/>
    <w:rsid w:val="00C612E0"/>
    <w:rsid w:val="00C61516"/>
    <w:rsid w:val="00C61646"/>
    <w:rsid w:val="00C616E3"/>
    <w:rsid w:val="00C61856"/>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7CC"/>
    <w:rsid w:val="00C6492D"/>
    <w:rsid w:val="00C64AF1"/>
    <w:rsid w:val="00C64B75"/>
    <w:rsid w:val="00C64CA8"/>
    <w:rsid w:val="00C64E07"/>
    <w:rsid w:val="00C652DA"/>
    <w:rsid w:val="00C65572"/>
    <w:rsid w:val="00C65655"/>
    <w:rsid w:val="00C657DD"/>
    <w:rsid w:val="00C65A5E"/>
    <w:rsid w:val="00C65A69"/>
    <w:rsid w:val="00C65A6A"/>
    <w:rsid w:val="00C65D4F"/>
    <w:rsid w:val="00C6607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6787B"/>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BB9"/>
    <w:rsid w:val="00C76C31"/>
    <w:rsid w:val="00C76E57"/>
    <w:rsid w:val="00C770CE"/>
    <w:rsid w:val="00C7724F"/>
    <w:rsid w:val="00C77281"/>
    <w:rsid w:val="00C777A7"/>
    <w:rsid w:val="00C777E9"/>
    <w:rsid w:val="00C77804"/>
    <w:rsid w:val="00C805D9"/>
    <w:rsid w:val="00C80950"/>
    <w:rsid w:val="00C80A72"/>
    <w:rsid w:val="00C80AF3"/>
    <w:rsid w:val="00C8110D"/>
    <w:rsid w:val="00C81331"/>
    <w:rsid w:val="00C81975"/>
    <w:rsid w:val="00C81BF0"/>
    <w:rsid w:val="00C82166"/>
    <w:rsid w:val="00C8240A"/>
    <w:rsid w:val="00C82540"/>
    <w:rsid w:val="00C82624"/>
    <w:rsid w:val="00C82EBF"/>
    <w:rsid w:val="00C82ED3"/>
    <w:rsid w:val="00C82FB5"/>
    <w:rsid w:val="00C83405"/>
    <w:rsid w:val="00C83613"/>
    <w:rsid w:val="00C83958"/>
    <w:rsid w:val="00C83F9A"/>
    <w:rsid w:val="00C83FEA"/>
    <w:rsid w:val="00C84324"/>
    <w:rsid w:val="00C8434D"/>
    <w:rsid w:val="00C84898"/>
    <w:rsid w:val="00C848A0"/>
    <w:rsid w:val="00C84A98"/>
    <w:rsid w:val="00C84AE5"/>
    <w:rsid w:val="00C84D61"/>
    <w:rsid w:val="00C850F8"/>
    <w:rsid w:val="00C85145"/>
    <w:rsid w:val="00C85608"/>
    <w:rsid w:val="00C859B5"/>
    <w:rsid w:val="00C85B6F"/>
    <w:rsid w:val="00C86183"/>
    <w:rsid w:val="00C86245"/>
    <w:rsid w:val="00C86370"/>
    <w:rsid w:val="00C867AE"/>
    <w:rsid w:val="00C867E1"/>
    <w:rsid w:val="00C86D7B"/>
    <w:rsid w:val="00C86EEC"/>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33F"/>
    <w:rsid w:val="00C9268B"/>
    <w:rsid w:val="00C9268C"/>
    <w:rsid w:val="00C9268D"/>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97F96"/>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6C"/>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6CB0"/>
    <w:rsid w:val="00CA71E6"/>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590"/>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849"/>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412"/>
    <w:rsid w:val="00CE7572"/>
    <w:rsid w:val="00CE76EE"/>
    <w:rsid w:val="00CE7B52"/>
    <w:rsid w:val="00CE7E70"/>
    <w:rsid w:val="00CF0243"/>
    <w:rsid w:val="00CF02A7"/>
    <w:rsid w:val="00CF02FB"/>
    <w:rsid w:val="00CF0607"/>
    <w:rsid w:val="00CF0E85"/>
    <w:rsid w:val="00CF0FAC"/>
    <w:rsid w:val="00CF0FFE"/>
    <w:rsid w:val="00CF101F"/>
    <w:rsid w:val="00CF132F"/>
    <w:rsid w:val="00CF1390"/>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003"/>
    <w:rsid w:val="00CF5023"/>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9C"/>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555"/>
    <w:rsid w:val="00D1788B"/>
    <w:rsid w:val="00D178E0"/>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33"/>
    <w:rsid w:val="00D225E7"/>
    <w:rsid w:val="00D229C9"/>
    <w:rsid w:val="00D22D1B"/>
    <w:rsid w:val="00D22DEE"/>
    <w:rsid w:val="00D22E7A"/>
    <w:rsid w:val="00D22FAE"/>
    <w:rsid w:val="00D23458"/>
    <w:rsid w:val="00D234CA"/>
    <w:rsid w:val="00D23750"/>
    <w:rsid w:val="00D23769"/>
    <w:rsid w:val="00D2381F"/>
    <w:rsid w:val="00D23A25"/>
    <w:rsid w:val="00D23BE3"/>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1BF"/>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27E96"/>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6B3"/>
    <w:rsid w:val="00D32912"/>
    <w:rsid w:val="00D32A27"/>
    <w:rsid w:val="00D32BBE"/>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47FFE"/>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8A5"/>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1A9"/>
    <w:rsid w:val="00D5468E"/>
    <w:rsid w:val="00D5468F"/>
    <w:rsid w:val="00D54BF9"/>
    <w:rsid w:val="00D54E5B"/>
    <w:rsid w:val="00D54FE9"/>
    <w:rsid w:val="00D5500B"/>
    <w:rsid w:val="00D5547D"/>
    <w:rsid w:val="00D55572"/>
    <w:rsid w:val="00D5560D"/>
    <w:rsid w:val="00D557C6"/>
    <w:rsid w:val="00D557EE"/>
    <w:rsid w:val="00D5583B"/>
    <w:rsid w:val="00D55AA4"/>
    <w:rsid w:val="00D55AB3"/>
    <w:rsid w:val="00D5640B"/>
    <w:rsid w:val="00D56C12"/>
    <w:rsid w:val="00D57040"/>
    <w:rsid w:val="00D57446"/>
    <w:rsid w:val="00D57696"/>
    <w:rsid w:val="00D576BC"/>
    <w:rsid w:val="00D579A6"/>
    <w:rsid w:val="00D579CC"/>
    <w:rsid w:val="00D57A73"/>
    <w:rsid w:val="00D57D22"/>
    <w:rsid w:val="00D60235"/>
    <w:rsid w:val="00D60339"/>
    <w:rsid w:val="00D6035A"/>
    <w:rsid w:val="00D6053E"/>
    <w:rsid w:val="00D60564"/>
    <w:rsid w:val="00D6083C"/>
    <w:rsid w:val="00D60870"/>
    <w:rsid w:val="00D6088B"/>
    <w:rsid w:val="00D60C5B"/>
    <w:rsid w:val="00D60EED"/>
    <w:rsid w:val="00D60F21"/>
    <w:rsid w:val="00D615AD"/>
    <w:rsid w:val="00D617CC"/>
    <w:rsid w:val="00D6183D"/>
    <w:rsid w:val="00D61A02"/>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4F91"/>
    <w:rsid w:val="00D65064"/>
    <w:rsid w:val="00D6563A"/>
    <w:rsid w:val="00D656B9"/>
    <w:rsid w:val="00D65BA6"/>
    <w:rsid w:val="00D65E4D"/>
    <w:rsid w:val="00D66132"/>
    <w:rsid w:val="00D66287"/>
    <w:rsid w:val="00D662C9"/>
    <w:rsid w:val="00D665A3"/>
    <w:rsid w:val="00D66C87"/>
    <w:rsid w:val="00D66CDA"/>
    <w:rsid w:val="00D66CDB"/>
    <w:rsid w:val="00D66EFF"/>
    <w:rsid w:val="00D66F39"/>
    <w:rsid w:val="00D67710"/>
    <w:rsid w:val="00D677CA"/>
    <w:rsid w:val="00D67C18"/>
    <w:rsid w:val="00D70039"/>
    <w:rsid w:val="00D70174"/>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18"/>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4ED"/>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8F7"/>
    <w:rsid w:val="00D879F1"/>
    <w:rsid w:val="00D87A6E"/>
    <w:rsid w:val="00D87EAA"/>
    <w:rsid w:val="00D900EF"/>
    <w:rsid w:val="00D90555"/>
    <w:rsid w:val="00D907B3"/>
    <w:rsid w:val="00D9089A"/>
    <w:rsid w:val="00D90932"/>
    <w:rsid w:val="00D90C91"/>
    <w:rsid w:val="00D90CD2"/>
    <w:rsid w:val="00D912E6"/>
    <w:rsid w:val="00D913F5"/>
    <w:rsid w:val="00D915EE"/>
    <w:rsid w:val="00D91D74"/>
    <w:rsid w:val="00D91E68"/>
    <w:rsid w:val="00D9201D"/>
    <w:rsid w:val="00D925AB"/>
    <w:rsid w:val="00D92877"/>
    <w:rsid w:val="00D9294C"/>
    <w:rsid w:val="00D92A24"/>
    <w:rsid w:val="00D92AB6"/>
    <w:rsid w:val="00D92BFF"/>
    <w:rsid w:val="00D92DE5"/>
    <w:rsid w:val="00D92F09"/>
    <w:rsid w:val="00D930B9"/>
    <w:rsid w:val="00D93630"/>
    <w:rsid w:val="00D937F1"/>
    <w:rsid w:val="00D93FD0"/>
    <w:rsid w:val="00D940D6"/>
    <w:rsid w:val="00D941A4"/>
    <w:rsid w:val="00D942BE"/>
    <w:rsid w:val="00D944AD"/>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15"/>
    <w:rsid w:val="00DA08BB"/>
    <w:rsid w:val="00DA09AF"/>
    <w:rsid w:val="00DA09D2"/>
    <w:rsid w:val="00DA0B44"/>
    <w:rsid w:val="00DA10CD"/>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2C3"/>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50"/>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1FC"/>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4C81"/>
    <w:rsid w:val="00DC511F"/>
    <w:rsid w:val="00DC551C"/>
    <w:rsid w:val="00DC58BD"/>
    <w:rsid w:val="00DC5931"/>
    <w:rsid w:val="00DC5A0D"/>
    <w:rsid w:val="00DC5C6C"/>
    <w:rsid w:val="00DC5E12"/>
    <w:rsid w:val="00DC5F93"/>
    <w:rsid w:val="00DC6203"/>
    <w:rsid w:val="00DC6387"/>
    <w:rsid w:val="00DC6685"/>
    <w:rsid w:val="00DC66C4"/>
    <w:rsid w:val="00DC685E"/>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3C23"/>
    <w:rsid w:val="00DD4022"/>
    <w:rsid w:val="00DD419B"/>
    <w:rsid w:val="00DD42BA"/>
    <w:rsid w:val="00DD453D"/>
    <w:rsid w:val="00DD4556"/>
    <w:rsid w:val="00DD473F"/>
    <w:rsid w:val="00DD478F"/>
    <w:rsid w:val="00DD4901"/>
    <w:rsid w:val="00DD49C0"/>
    <w:rsid w:val="00DD49E2"/>
    <w:rsid w:val="00DD4BE6"/>
    <w:rsid w:val="00DD513E"/>
    <w:rsid w:val="00DD5458"/>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971"/>
    <w:rsid w:val="00DE2C38"/>
    <w:rsid w:val="00DE305A"/>
    <w:rsid w:val="00DE30C2"/>
    <w:rsid w:val="00DE33E1"/>
    <w:rsid w:val="00DE352E"/>
    <w:rsid w:val="00DE354E"/>
    <w:rsid w:val="00DE35B6"/>
    <w:rsid w:val="00DE3600"/>
    <w:rsid w:val="00DE3658"/>
    <w:rsid w:val="00DE3660"/>
    <w:rsid w:val="00DE3740"/>
    <w:rsid w:val="00DE3825"/>
    <w:rsid w:val="00DE430C"/>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74"/>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EF9"/>
    <w:rsid w:val="00DF5F70"/>
    <w:rsid w:val="00DF6122"/>
    <w:rsid w:val="00DF62DB"/>
    <w:rsid w:val="00DF656A"/>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427"/>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29F3"/>
    <w:rsid w:val="00E0316F"/>
    <w:rsid w:val="00E03549"/>
    <w:rsid w:val="00E03709"/>
    <w:rsid w:val="00E0370A"/>
    <w:rsid w:val="00E03898"/>
    <w:rsid w:val="00E038F6"/>
    <w:rsid w:val="00E03AC2"/>
    <w:rsid w:val="00E04144"/>
    <w:rsid w:val="00E043DC"/>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C2D"/>
    <w:rsid w:val="00E07DD8"/>
    <w:rsid w:val="00E07E9C"/>
    <w:rsid w:val="00E07EB8"/>
    <w:rsid w:val="00E07F78"/>
    <w:rsid w:val="00E1015B"/>
    <w:rsid w:val="00E10385"/>
    <w:rsid w:val="00E103F8"/>
    <w:rsid w:val="00E10DDF"/>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EA2"/>
    <w:rsid w:val="00E16F85"/>
    <w:rsid w:val="00E172CA"/>
    <w:rsid w:val="00E1738E"/>
    <w:rsid w:val="00E174D6"/>
    <w:rsid w:val="00E17545"/>
    <w:rsid w:val="00E17A6E"/>
    <w:rsid w:val="00E20190"/>
    <w:rsid w:val="00E2034C"/>
    <w:rsid w:val="00E20392"/>
    <w:rsid w:val="00E2040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539"/>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076"/>
    <w:rsid w:val="00E25A72"/>
    <w:rsid w:val="00E25B4C"/>
    <w:rsid w:val="00E25CCF"/>
    <w:rsid w:val="00E25D73"/>
    <w:rsid w:val="00E25F74"/>
    <w:rsid w:val="00E25FD4"/>
    <w:rsid w:val="00E26300"/>
    <w:rsid w:val="00E263D8"/>
    <w:rsid w:val="00E26692"/>
    <w:rsid w:val="00E26852"/>
    <w:rsid w:val="00E269D7"/>
    <w:rsid w:val="00E26D53"/>
    <w:rsid w:val="00E26D7C"/>
    <w:rsid w:val="00E26E81"/>
    <w:rsid w:val="00E2716E"/>
    <w:rsid w:val="00E27435"/>
    <w:rsid w:val="00E2767F"/>
    <w:rsid w:val="00E276DE"/>
    <w:rsid w:val="00E27A53"/>
    <w:rsid w:val="00E27C79"/>
    <w:rsid w:val="00E27D41"/>
    <w:rsid w:val="00E300BD"/>
    <w:rsid w:val="00E3083D"/>
    <w:rsid w:val="00E30897"/>
    <w:rsid w:val="00E309D2"/>
    <w:rsid w:val="00E30ACA"/>
    <w:rsid w:val="00E30DFF"/>
    <w:rsid w:val="00E30E94"/>
    <w:rsid w:val="00E31064"/>
    <w:rsid w:val="00E311E3"/>
    <w:rsid w:val="00E31508"/>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A4"/>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12"/>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CE9"/>
    <w:rsid w:val="00E46D65"/>
    <w:rsid w:val="00E4702F"/>
    <w:rsid w:val="00E47530"/>
    <w:rsid w:val="00E47550"/>
    <w:rsid w:val="00E477B9"/>
    <w:rsid w:val="00E47A00"/>
    <w:rsid w:val="00E47B48"/>
    <w:rsid w:val="00E47F05"/>
    <w:rsid w:val="00E500A1"/>
    <w:rsid w:val="00E5019D"/>
    <w:rsid w:val="00E501CA"/>
    <w:rsid w:val="00E502F0"/>
    <w:rsid w:val="00E50475"/>
    <w:rsid w:val="00E5047B"/>
    <w:rsid w:val="00E508AD"/>
    <w:rsid w:val="00E509AB"/>
    <w:rsid w:val="00E509DF"/>
    <w:rsid w:val="00E50CEC"/>
    <w:rsid w:val="00E50EF3"/>
    <w:rsid w:val="00E5199E"/>
    <w:rsid w:val="00E51B67"/>
    <w:rsid w:val="00E51E55"/>
    <w:rsid w:val="00E52544"/>
    <w:rsid w:val="00E52569"/>
    <w:rsid w:val="00E53101"/>
    <w:rsid w:val="00E53182"/>
    <w:rsid w:val="00E533B0"/>
    <w:rsid w:val="00E53404"/>
    <w:rsid w:val="00E53541"/>
    <w:rsid w:val="00E53810"/>
    <w:rsid w:val="00E539B9"/>
    <w:rsid w:val="00E53C2E"/>
    <w:rsid w:val="00E53CFF"/>
    <w:rsid w:val="00E53F1E"/>
    <w:rsid w:val="00E53F43"/>
    <w:rsid w:val="00E53F79"/>
    <w:rsid w:val="00E541D6"/>
    <w:rsid w:val="00E54255"/>
    <w:rsid w:val="00E542BD"/>
    <w:rsid w:val="00E5433A"/>
    <w:rsid w:val="00E54342"/>
    <w:rsid w:val="00E545E0"/>
    <w:rsid w:val="00E5465D"/>
    <w:rsid w:val="00E5483A"/>
    <w:rsid w:val="00E54B60"/>
    <w:rsid w:val="00E54D11"/>
    <w:rsid w:val="00E54EE9"/>
    <w:rsid w:val="00E550BE"/>
    <w:rsid w:val="00E55275"/>
    <w:rsid w:val="00E552C2"/>
    <w:rsid w:val="00E553FE"/>
    <w:rsid w:val="00E555C5"/>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DE"/>
    <w:rsid w:val="00E635A3"/>
    <w:rsid w:val="00E6372E"/>
    <w:rsid w:val="00E637E2"/>
    <w:rsid w:val="00E63859"/>
    <w:rsid w:val="00E63EE0"/>
    <w:rsid w:val="00E63FEC"/>
    <w:rsid w:val="00E64107"/>
    <w:rsid w:val="00E6462F"/>
    <w:rsid w:val="00E64C05"/>
    <w:rsid w:val="00E64EF3"/>
    <w:rsid w:val="00E64F2A"/>
    <w:rsid w:val="00E65083"/>
    <w:rsid w:val="00E653A1"/>
    <w:rsid w:val="00E65564"/>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21B"/>
    <w:rsid w:val="00E67357"/>
    <w:rsid w:val="00E674BF"/>
    <w:rsid w:val="00E678AD"/>
    <w:rsid w:val="00E67998"/>
    <w:rsid w:val="00E67BA0"/>
    <w:rsid w:val="00E67C18"/>
    <w:rsid w:val="00E67E01"/>
    <w:rsid w:val="00E70014"/>
    <w:rsid w:val="00E701EB"/>
    <w:rsid w:val="00E702C5"/>
    <w:rsid w:val="00E7034D"/>
    <w:rsid w:val="00E705A6"/>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5A"/>
    <w:rsid w:val="00E7206D"/>
    <w:rsid w:val="00E720FB"/>
    <w:rsid w:val="00E725B9"/>
    <w:rsid w:val="00E72697"/>
    <w:rsid w:val="00E72820"/>
    <w:rsid w:val="00E72926"/>
    <w:rsid w:val="00E72C50"/>
    <w:rsid w:val="00E72ECE"/>
    <w:rsid w:val="00E72F7C"/>
    <w:rsid w:val="00E73082"/>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BBB"/>
    <w:rsid w:val="00E75FC2"/>
    <w:rsid w:val="00E7620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CAD"/>
    <w:rsid w:val="00E77FA8"/>
    <w:rsid w:val="00E80015"/>
    <w:rsid w:val="00E8026D"/>
    <w:rsid w:val="00E8030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BE5"/>
    <w:rsid w:val="00E87D94"/>
    <w:rsid w:val="00E87DEA"/>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0B2"/>
    <w:rsid w:val="00E94667"/>
    <w:rsid w:val="00E946BB"/>
    <w:rsid w:val="00E9543D"/>
    <w:rsid w:val="00E95626"/>
    <w:rsid w:val="00E95723"/>
    <w:rsid w:val="00E95859"/>
    <w:rsid w:val="00E95AE1"/>
    <w:rsid w:val="00E95B16"/>
    <w:rsid w:val="00E95BFB"/>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2C9"/>
    <w:rsid w:val="00E97485"/>
    <w:rsid w:val="00E97584"/>
    <w:rsid w:val="00E9772C"/>
    <w:rsid w:val="00E97795"/>
    <w:rsid w:val="00E977AA"/>
    <w:rsid w:val="00E977DB"/>
    <w:rsid w:val="00E97864"/>
    <w:rsid w:val="00E97D5E"/>
    <w:rsid w:val="00E97E68"/>
    <w:rsid w:val="00EA0241"/>
    <w:rsid w:val="00EA045F"/>
    <w:rsid w:val="00EA04DA"/>
    <w:rsid w:val="00EA0616"/>
    <w:rsid w:val="00EA0667"/>
    <w:rsid w:val="00EA0B1E"/>
    <w:rsid w:val="00EA0B68"/>
    <w:rsid w:val="00EA0D59"/>
    <w:rsid w:val="00EA0E76"/>
    <w:rsid w:val="00EA135B"/>
    <w:rsid w:val="00EA1460"/>
    <w:rsid w:val="00EA16CF"/>
    <w:rsid w:val="00EA196E"/>
    <w:rsid w:val="00EA1A07"/>
    <w:rsid w:val="00EA1A27"/>
    <w:rsid w:val="00EA1B8C"/>
    <w:rsid w:val="00EA1FF8"/>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613B"/>
    <w:rsid w:val="00EA646B"/>
    <w:rsid w:val="00EA6602"/>
    <w:rsid w:val="00EA6A6D"/>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A0D"/>
    <w:rsid w:val="00EB2F87"/>
    <w:rsid w:val="00EB2FD2"/>
    <w:rsid w:val="00EB2FDD"/>
    <w:rsid w:val="00EB3011"/>
    <w:rsid w:val="00EB303B"/>
    <w:rsid w:val="00EB3664"/>
    <w:rsid w:val="00EB3DA5"/>
    <w:rsid w:val="00EB3F1C"/>
    <w:rsid w:val="00EB416E"/>
    <w:rsid w:val="00EB4A71"/>
    <w:rsid w:val="00EB4C57"/>
    <w:rsid w:val="00EB4D0F"/>
    <w:rsid w:val="00EB534E"/>
    <w:rsid w:val="00EB5353"/>
    <w:rsid w:val="00EB59CA"/>
    <w:rsid w:val="00EB5B9D"/>
    <w:rsid w:val="00EB68EF"/>
    <w:rsid w:val="00EB6B54"/>
    <w:rsid w:val="00EB6BB7"/>
    <w:rsid w:val="00EB6BF9"/>
    <w:rsid w:val="00EB7333"/>
    <w:rsid w:val="00EB749E"/>
    <w:rsid w:val="00EB74A6"/>
    <w:rsid w:val="00EB76E7"/>
    <w:rsid w:val="00EB7788"/>
    <w:rsid w:val="00EB797E"/>
    <w:rsid w:val="00EB7AE0"/>
    <w:rsid w:val="00EB7EDD"/>
    <w:rsid w:val="00EB7EF5"/>
    <w:rsid w:val="00EB7F52"/>
    <w:rsid w:val="00EB7FF5"/>
    <w:rsid w:val="00EC01B0"/>
    <w:rsid w:val="00EC02E9"/>
    <w:rsid w:val="00EC0667"/>
    <w:rsid w:val="00EC0743"/>
    <w:rsid w:val="00EC094E"/>
    <w:rsid w:val="00EC0A27"/>
    <w:rsid w:val="00EC0B35"/>
    <w:rsid w:val="00EC0EB6"/>
    <w:rsid w:val="00EC0ED6"/>
    <w:rsid w:val="00EC13C2"/>
    <w:rsid w:val="00EC16BB"/>
    <w:rsid w:val="00EC1834"/>
    <w:rsid w:val="00EC1861"/>
    <w:rsid w:val="00EC19EA"/>
    <w:rsid w:val="00EC19F4"/>
    <w:rsid w:val="00EC1A4F"/>
    <w:rsid w:val="00EC1B80"/>
    <w:rsid w:val="00EC1DEF"/>
    <w:rsid w:val="00EC2232"/>
    <w:rsid w:val="00EC269B"/>
    <w:rsid w:val="00EC26D3"/>
    <w:rsid w:val="00EC2C0C"/>
    <w:rsid w:val="00EC2CA9"/>
    <w:rsid w:val="00EC3557"/>
    <w:rsid w:val="00EC37A8"/>
    <w:rsid w:val="00EC38B5"/>
    <w:rsid w:val="00EC39B2"/>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C1"/>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55D"/>
    <w:rsid w:val="00EE3916"/>
    <w:rsid w:val="00EE3964"/>
    <w:rsid w:val="00EE3B00"/>
    <w:rsid w:val="00EE442F"/>
    <w:rsid w:val="00EE4465"/>
    <w:rsid w:val="00EE45B8"/>
    <w:rsid w:val="00EE4A2C"/>
    <w:rsid w:val="00EE4AA2"/>
    <w:rsid w:val="00EE4BBF"/>
    <w:rsid w:val="00EE4EC1"/>
    <w:rsid w:val="00EE5154"/>
    <w:rsid w:val="00EE56C9"/>
    <w:rsid w:val="00EE5ADD"/>
    <w:rsid w:val="00EE5D24"/>
    <w:rsid w:val="00EE5F0D"/>
    <w:rsid w:val="00EE623A"/>
    <w:rsid w:val="00EE664D"/>
    <w:rsid w:val="00EE67DD"/>
    <w:rsid w:val="00EE6C68"/>
    <w:rsid w:val="00EE6F30"/>
    <w:rsid w:val="00EE72D1"/>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8E"/>
    <w:rsid w:val="00F00ABB"/>
    <w:rsid w:val="00F00AD5"/>
    <w:rsid w:val="00F00B17"/>
    <w:rsid w:val="00F012B2"/>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9C8"/>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0DA5"/>
    <w:rsid w:val="00F110EE"/>
    <w:rsid w:val="00F11159"/>
    <w:rsid w:val="00F11195"/>
    <w:rsid w:val="00F11230"/>
    <w:rsid w:val="00F11A18"/>
    <w:rsid w:val="00F11B9C"/>
    <w:rsid w:val="00F11C38"/>
    <w:rsid w:val="00F11F62"/>
    <w:rsid w:val="00F12941"/>
    <w:rsid w:val="00F12BFC"/>
    <w:rsid w:val="00F13051"/>
    <w:rsid w:val="00F1306B"/>
    <w:rsid w:val="00F13119"/>
    <w:rsid w:val="00F133E9"/>
    <w:rsid w:val="00F133F2"/>
    <w:rsid w:val="00F1362E"/>
    <w:rsid w:val="00F13AF6"/>
    <w:rsid w:val="00F13B38"/>
    <w:rsid w:val="00F13EA3"/>
    <w:rsid w:val="00F13ECB"/>
    <w:rsid w:val="00F13F15"/>
    <w:rsid w:val="00F142C4"/>
    <w:rsid w:val="00F142CF"/>
    <w:rsid w:val="00F145D6"/>
    <w:rsid w:val="00F14823"/>
    <w:rsid w:val="00F14A03"/>
    <w:rsid w:val="00F14A4D"/>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487"/>
    <w:rsid w:val="00F24580"/>
    <w:rsid w:val="00F24607"/>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41"/>
    <w:rsid w:val="00F338BB"/>
    <w:rsid w:val="00F33B7B"/>
    <w:rsid w:val="00F33BD4"/>
    <w:rsid w:val="00F34561"/>
    <w:rsid w:val="00F34AA8"/>
    <w:rsid w:val="00F34ADB"/>
    <w:rsid w:val="00F35160"/>
    <w:rsid w:val="00F351CA"/>
    <w:rsid w:val="00F35587"/>
    <w:rsid w:val="00F35A7F"/>
    <w:rsid w:val="00F35FE0"/>
    <w:rsid w:val="00F36149"/>
    <w:rsid w:val="00F3623A"/>
    <w:rsid w:val="00F36674"/>
    <w:rsid w:val="00F36ABF"/>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2F8"/>
    <w:rsid w:val="00F41608"/>
    <w:rsid w:val="00F41658"/>
    <w:rsid w:val="00F416BA"/>
    <w:rsid w:val="00F41724"/>
    <w:rsid w:val="00F41895"/>
    <w:rsid w:val="00F418EC"/>
    <w:rsid w:val="00F41971"/>
    <w:rsid w:val="00F419A1"/>
    <w:rsid w:val="00F419BB"/>
    <w:rsid w:val="00F41A96"/>
    <w:rsid w:val="00F41C8E"/>
    <w:rsid w:val="00F42490"/>
    <w:rsid w:val="00F426B7"/>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36"/>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159"/>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245"/>
    <w:rsid w:val="00F603BA"/>
    <w:rsid w:val="00F61502"/>
    <w:rsid w:val="00F61505"/>
    <w:rsid w:val="00F619A9"/>
    <w:rsid w:val="00F61CC0"/>
    <w:rsid w:val="00F61DDA"/>
    <w:rsid w:val="00F62114"/>
    <w:rsid w:val="00F623A6"/>
    <w:rsid w:val="00F623D5"/>
    <w:rsid w:val="00F624BA"/>
    <w:rsid w:val="00F62577"/>
    <w:rsid w:val="00F62583"/>
    <w:rsid w:val="00F62986"/>
    <w:rsid w:val="00F62A20"/>
    <w:rsid w:val="00F62CC8"/>
    <w:rsid w:val="00F63311"/>
    <w:rsid w:val="00F63851"/>
    <w:rsid w:val="00F63A58"/>
    <w:rsid w:val="00F63E86"/>
    <w:rsid w:val="00F64115"/>
    <w:rsid w:val="00F6434A"/>
    <w:rsid w:val="00F646F5"/>
    <w:rsid w:val="00F64751"/>
    <w:rsid w:val="00F64BA2"/>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0C7"/>
    <w:rsid w:val="00F7615F"/>
    <w:rsid w:val="00F762ED"/>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2E1"/>
    <w:rsid w:val="00F84779"/>
    <w:rsid w:val="00F84D8D"/>
    <w:rsid w:val="00F84E62"/>
    <w:rsid w:val="00F84EA8"/>
    <w:rsid w:val="00F84EF1"/>
    <w:rsid w:val="00F8553A"/>
    <w:rsid w:val="00F858E4"/>
    <w:rsid w:val="00F859E6"/>
    <w:rsid w:val="00F85BEA"/>
    <w:rsid w:val="00F85D02"/>
    <w:rsid w:val="00F861B8"/>
    <w:rsid w:val="00F8625C"/>
    <w:rsid w:val="00F864F0"/>
    <w:rsid w:val="00F86B80"/>
    <w:rsid w:val="00F86EDE"/>
    <w:rsid w:val="00F86F57"/>
    <w:rsid w:val="00F87132"/>
    <w:rsid w:val="00F875D2"/>
    <w:rsid w:val="00F8769A"/>
    <w:rsid w:val="00F8769C"/>
    <w:rsid w:val="00F876CC"/>
    <w:rsid w:val="00F876E5"/>
    <w:rsid w:val="00F87AA6"/>
    <w:rsid w:val="00F87F8A"/>
    <w:rsid w:val="00F90144"/>
    <w:rsid w:val="00F90229"/>
    <w:rsid w:val="00F90345"/>
    <w:rsid w:val="00F9051C"/>
    <w:rsid w:val="00F90788"/>
    <w:rsid w:val="00F909DD"/>
    <w:rsid w:val="00F90C44"/>
    <w:rsid w:val="00F90C5C"/>
    <w:rsid w:val="00F90D7F"/>
    <w:rsid w:val="00F90DA1"/>
    <w:rsid w:val="00F91322"/>
    <w:rsid w:val="00F91A11"/>
    <w:rsid w:val="00F91A18"/>
    <w:rsid w:val="00F91F66"/>
    <w:rsid w:val="00F92785"/>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0B8"/>
    <w:rsid w:val="00F954AB"/>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1E72"/>
    <w:rsid w:val="00FA2708"/>
    <w:rsid w:val="00FA2727"/>
    <w:rsid w:val="00FA2771"/>
    <w:rsid w:val="00FA28AA"/>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87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934"/>
    <w:rsid w:val="00FB7B97"/>
    <w:rsid w:val="00FB7EF3"/>
    <w:rsid w:val="00FB7F6F"/>
    <w:rsid w:val="00FC0004"/>
    <w:rsid w:val="00FC0013"/>
    <w:rsid w:val="00FC00FE"/>
    <w:rsid w:val="00FC0193"/>
    <w:rsid w:val="00FC0A55"/>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608"/>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8"/>
    <w:rsid w:val="00FC672F"/>
    <w:rsid w:val="00FC6C6D"/>
    <w:rsid w:val="00FC6C8E"/>
    <w:rsid w:val="00FC6CCF"/>
    <w:rsid w:val="00FC720C"/>
    <w:rsid w:val="00FC73EB"/>
    <w:rsid w:val="00FD0BB7"/>
    <w:rsid w:val="00FD0CD2"/>
    <w:rsid w:val="00FD0E43"/>
    <w:rsid w:val="00FD0F39"/>
    <w:rsid w:val="00FD144E"/>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8BF"/>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1B9"/>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297"/>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E7C7F"/>
    <w:rsid w:val="00FF0004"/>
    <w:rsid w:val="00FF0264"/>
    <w:rsid w:val="00FF037E"/>
    <w:rsid w:val="00FF04A0"/>
    <w:rsid w:val="00FF082C"/>
    <w:rsid w:val="00FF0A08"/>
    <w:rsid w:val="00FF0BD3"/>
    <w:rsid w:val="00FF0FD8"/>
    <w:rsid w:val="00FF100D"/>
    <w:rsid w:val="00FF1015"/>
    <w:rsid w:val="00FF1171"/>
    <w:rsid w:val="00FF1807"/>
    <w:rsid w:val="00FF184D"/>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32"/>
    <w:rsid w:val="00FF6A9D"/>
    <w:rsid w:val="00FF6BB9"/>
    <w:rsid w:val="00FF6F78"/>
    <w:rsid w:val="00FF6FBA"/>
    <w:rsid w:val="00FF7211"/>
    <w:rsid w:val="00FF7E98"/>
    <w:rsid w:val="1439E2A4"/>
    <w:rsid w:val="195463ED"/>
    <w:rsid w:val="279B2F3D"/>
    <w:rsid w:val="2B97FE2C"/>
    <w:rsid w:val="2FE7B4C3"/>
    <w:rsid w:val="309DE55A"/>
    <w:rsid w:val="30C09B9D"/>
    <w:rsid w:val="316ED427"/>
    <w:rsid w:val="37C9E1BA"/>
    <w:rsid w:val="48404FCA"/>
    <w:rsid w:val="4BBB0067"/>
    <w:rsid w:val="56C947C7"/>
    <w:rsid w:val="5768A9EF"/>
    <w:rsid w:val="683D2E79"/>
    <w:rsid w:val="7C899896"/>
  </w:rsids>
  <w:docVars>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D20FEAE"/>
  <w15:docId w15:val="{7C43EF6A-3EF4-484D-8AD6-B0606574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eastAsia="en-GB"/>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uiPriority w:val="39"/>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Char1 Char"/>
    <w:uiPriority w:val="99"/>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BA139E"/>
  </w:style>
  <w:style w:type="character" w:customStyle="1" w:styleId="playersrapportertext">
    <w:name w:val="players_rapporter_text"/>
    <w:rsid w:val="003F006A"/>
  </w:style>
  <w:style w:type="character" w:styleId="UnresolvedMention">
    <w:name w:val="Unresolved Mention"/>
    <w:uiPriority w:val="99"/>
    <w:semiHidden/>
    <w:unhideWhenUsed/>
    <w:rsid w:val="00A56A32"/>
    <w:rPr>
      <w:color w:val="605E5C"/>
      <w:shd w:val="clear" w:color="auto" w:fill="E1DFDD"/>
    </w:rPr>
  </w:style>
  <w:style w:type="paragraph" w:customStyle="1" w:styleId="Normal12a">
    <w:name w:val="Normal12a"/>
    <w:basedOn w:val="Normal"/>
    <w:rsid w:val="00DE2971"/>
    <w:pPr>
      <w:jc w:val="left"/>
    </w:pPr>
    <w:rPr>
      <w:rFonts w:ascii="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FR/TXT/?uri=CELEX:02009L0081-20260101" TargetMode="External" /><Relationship Id="rId10" Type="http://schemas.openxmlformats.org/officeDocument/2006/relationships/hyperlink" Target="https://eur-lex.europa.eu/eli/reg/2025/1106/oj/fra" TargetMode="External" /><Relationship Id="rId11" Type="http://schemas.openxmlformats.org/officeDocument/2006/relationships/hyperlink" Target="https://eur-lex.europa.eu/legal-content/FR/TXT/?uri=CELEX:02006L0112-20250414" TargetMode="External" /><Relationship Id="rId2" Type="http://schemas.openxmlformats.org/officeDocument/2006/relationships/hyperlink" Target="https://eur-lex.europa.eu/legal-content/FR/TXT/?uri=CELEX:52025DC0870" TargetMode="External" /><Relationship Id="rId3" Type="http://schemas.openxmlformats.org/officeDocument/2006/relationships/hyperlink" Target="https://eur-lex.europa.eu/legal-content/FR/TXT/?uri=CELEX:52026PC0135" TargetMode="External" /><Relationship Id="rId4" Type="http://schemas.openxmlformats.org/officeDocument/2006/relationships/hyperlink" Target="https://eur-lex.europa.eu/eli/treaty/tfeu_2016/art_346/oj/fra" TargetMode="External" /><Relationship Id="rId5" Type="http://schemas.openxmlformats.org/officeDocument/2006/relationships/hyperlink" Target="https://eur-lex.europa.eu/legal-content/FR/TXT/?uri=CELEX:52006DC0779" TargetMode="External" /><Relationship Id="rId6" Type="http://schemas.openxmlformats.org/officeDocument/2006/relationships/hyperlink" Target="https://eur-lex.europa.eu/eli/reg/2025/2643/oj/fra" TargetMode="External" /><Relationship Id="rId7" Type="http://schemas.openxmlformats.org/officeDocument/2006/relationships/hyperlink" Target="https://eur-lex.europa.eu/legal-content/FR/TXT/?uri=CELEX:52025DC0820" TargetMode="External" /><Relationship Id="rId8" Type="http://schemas.openxmlformats.org/officeDocument/2006/relationships/hyperlink" Target="https://eur-lex.europa.eu/legal-content/FR/TXT/?uri=CELEX:52025JC0027" TargetMode="External" /><Relationship Id="rId9" Type="http://schemas.openxmlformats.org/officeDocument/2006/relationships/hyperlink" Target="https://eur-lex.europa.eu/legal-content/FR/TXT/?uri=CELEX:52025DC0845"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FB227B-992D-4541-849B-158134705C0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44DEAACB-59B4-4214-B149-5090E3DC30E3}">
  <ds:schemaRefs>
    <ds:schemaRef ds:uri="http://schemas.openxmlformats.org/officeDocument/2006/bibliography"/>
  </ds:schemaRefs>
</ds:datastoreItem>
</file>

<file path=customXml/itemProps3.xml><?xml version="1.0" encoding="utf-8"?>
<ds:datastoreItem xmlns:ds="http://schemas.openxmlformats.org/officeDocument/2006/customXml" ds:itemID="{D4D76292-0FA6-45E1-B267-6027DC266F05}">
  <ds:schemaRefs>
    <ds:schemaRef ds:uri="http://schemas.microsoft.com/sharepoint/v3/contenttype/forms"/>
  </ds:schemaRefs>
</ds:datastoreItem>
</file>

<file path=customXml/itemProps4.xml><?xml version="1.0" encoding="utf-8"?>
<ds:datastoreItem xmlns:ds="http://schemas.openxmlformats.org/officeDocument/2006/customXml" ds:itemID="{C0A983B7-D266-4F18-A34C-4E873458C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6</Pages>
  <Words>3099</Words>
  <Characters>17328</Characters>
  <Application>Microsoft Office Word</Application>
  <DocSecurity>0</DocSecurity>
  <Lines>254</Lines>
  <Paragraphs>36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2</cp:revision>
  <cp:lastPrinted>2026-04-30T14:10:00Z</cp:lastPrinted>
  <dcterms:created xsi:type="dcterms:W3CDTF">2026-07-28T07:20:00Z</dcterms:created>
  <dcterms:modified xsi:type="dcterms:W3CDTF">2026-07-28T07:20:00Z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0cc34465-c23b-45ab-a16d-3a3b8e9cf5a9</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Privileged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2023-02-09T16:17:08Z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