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P="00671A40" w14:paraId="58E9F37A" w14:textId="160CC38E">
      <w:pPr>
        <w:pStyle w:val="ATHeading3"/>
        <w:jc w:val="center"/>
      </w:pPr>
      <w:r>
        <w:t xml:space="preserve">Suite donnée à la résolution non législative du Parlement européen </w:t>
      </w:r>
      <w:bookmarkStart w:id="0" w:name="Sujet"/>
      <w:r>
        <w:t>sur l’entrepreneuriat féminin dans les zones rurales et insulaires et les régions ultrapériphériques</w:t>
      </w:r>
      <w:bookmarkEnd w:id="0"/>
    </w:p>
    <w:p w:rsidR="00575974" w:rsidRPr="00575974" w:rsidP="00575974" w14:paraId="79E3351C" w14:textId="77777777"/>
    <w:p w:rsidR="00963420" w:rsidRPr="00630F9E" w:rsidP="0084310E" w14:paraId="222E65B7" w14:textId="66842C19">
      <w:pPr>
        <w:numPr>
          <w:ilvl w:val="0"/>
          <w:numId w:val="34"/>
        </w:numPr>
        <w:ind w:left="567" w:hanging="567"/>
        <w:rPr>
          <w:rFonts w:ascii="Times New Roman" w:hAnsi="Times New Roman"/>
          <w:i/>
          <w:szCs w:val="24"/>
        </w:rPr>
      </w:pPr>
      <w:r>
        <w:rPr>
          <w:rFonts w:ascii="Times New Roman" w:hAnsi="Times New Roman"/>
          <w:b/>
        </w:rPr>
        <w:t>Rapporteure:</w:t>
      </w:r>
      <w:r>
        <w:rPr>
          <w:rFonts w:ascii="Times New Roman" w:hAnsi="Times New Roman"/>
        </w:rPr>
        <w:t xml:space="preserve"> Elżbieta Katarzyna ŁUKACIJEWSKA (PPE / PL)</w:t>
      </w:r>
    </w:p>
    <w:p w:rsidR="00563F16" w:rsidRPr="0028472F" w:rsidP="000A6997" w14:paraId="3021C497" w14:textId="3FC8F75F">
      <w:pPr>
        <w:pStyle w:val="Default"/>
        <w:numPr>
          <w:ilvl w:val="0"/>
          <w:numId w:val="34"/>
        </w:numPr>
        <w:spacing w:after="240"/>
        <w:ind w:left="567" w:hanging="567"/>
        <w:jc w:val="both"/>
        <w:rPr>
          <w:color w:val="auto"/>
        </w:rPr>
      </w:pPr>
      <w:r>
        <w:rPr>
          <w:b/>
          <w:color w:val="auto"/>
        </w:rPr>
        <w:t>Références:</w:t>
      </w:r>
      <w:r>
        <w:rPr>
          <w:color w:val="auto"/>
        </w:rPr>
        <w:t xml:space="preserve"> </w:t>
      </w:r>
      <w:r>
        <w:t>2024/2124(INI) / A10-0058/2026 / P10_TA(2026)0158</w:t>
      </w:r>
      <w:r>
        <w:tab/>
      </w:r>
    </w:p>
    <w:p w:rsidR="001F0B89" w:rsidP="0084310E" w14:paraId="61D85C18" w14:textId="0C1EE18D">
      <w:pPr>
        <w:numPr>
          <w:ilvl w:val="0"/>
          <w:numId w:val="34"/>
        </w:numPr>
        <w:ind w:left="567" w:hanging="567"/>
        <w:rPr>
          <w:rFonts w:ascii="Times New Roman" w:hAnsi="Times New Roman"/>
          <w:szCs w:val="24"/>
        </w:rPr>
      </w:pPr>
      <w:r>
        <w:rPr>
          <w:rFonts w:ascii="Times New Roman" w:hAnsi="Times New Roman"/>
          <w:b/>
        </w:rPr>
        <w:t>Date d’adoption de la résolution:</w:t>
      </w:r>
      <w:r>
        <w:rPr>
          <w:rFonts w:ascii="Times New Roman" w:hAnsi="Times New Roman"/>
        </w:rPr>
        <w:t xml:space="preserve"> 30 avril 2026</w:t>
      </w:r>
    </w:p>
    <w:p w:rsidR="00963420" w:rsidRPr="000A6997" w:rsidP="0084310E" w14:paraId="4451E813" w14:textId="30E71C31">
      <w:pPr>
        <w:numPr>
          <w:ilvl w:val="0"/>
          <w:numId w:val="34"/>
        </w:numPr>
        <w:ind w:left="567" w:hanging="567"/>
        <w:rPr>
          <w:rFonts w:ascii="Times New Roman" w:hAnsi="Times New Roman"/>
          <w:iCs/>
          <w:szCs w:val="24"/>
        </w:rPr>
      </w:pPr>
      <w:r>
        <w:rPr>
          <w:rFonts w:ascii="Times New Roman" w:hAnsi="Times New Roman"/>
          <w:b/>
        </w:rPr>
        <w:t>Commission parlementaire compétente:</w:t>
      </w:r>
      <w:r>
        <w:rPr>
          <w:rFonts w:ascii="Times New Roman" w:hAnsi="Times New Roman"/>
        </w:rPr>
        <w:t xml:space="preserve"> commission</w:t>
      </w:r>
      <w:r>
        <w:rPr>
          <w:rFonts w:ascii="Times New Roman" w:hAnsi="Times New Roman"/>
          <w:i/>
        </w:rPr>
        <w:t xml:space="preserve"> </w:t>
      </w:r>
      <w:r>
        <w:rPr>
          <w:rFonts w:ascii="Times New Roman" w:hAnsi="Times New Roman"/>
        </w:rPr>
        <w:t>des droits des femmes et de l’égalité des genres (FEMM)</w:t>
      </w:r>
    </w:p>
    <w:p w:rsidR="007833F8" w:rsidRPr="007833F8" w:rsidP="00205957" w14:paraId="00C0D134" w14:textId="77777777">
      <w:pPr>
        <w:widowControl w:val="0"/>
        <w:numPr>
          <w:ilvl w:val="0"/>
          <w:numId w:val="34"/>
        </w:numPr>
        <w:ind w:left="567" w:hanging="567"/>
        <w:rPr>
          <w:rFonts w:ascii="Times New Roman" w:hAnsi="Times New Roman"/>
          <w:b/>
          <w:szCs w:val="24"/>
        </w:rPr>
      </w:pPr>
      <w:r>
        <w:rPr>
          <w:rFonts w:ascii="Times New Roman" w:hAnsi="Times New Roman"/>
          <w:b/>
        </w:rPr>
        <w:t xml:space="preserve">Analyse/évaluation succincte de la résolution et des demandes qu’elle contient: </w:t>
      </w:r>
    </w:p>
    <w:p w:rsidR="007833F8" w:rsidP="007833F8" w14:paraId="5C87650C" w14:textId="77777777">
      <w:pPr>
        <w:widowControl w:val="0"/>
        <w:rPr>
          <w:rFonts w:ascii="Times New Roman" w:hAnsi="Times New Roman"/>
          <w:b/>
          <w:szCs w:val="24"/>
        </w:rPr>
      </w:pPr>
      <w:r>
        <w:rPr>
          <w:rFonts w:ascii="Times New Roman" w:hAnsi="Times New Roman"/>
        </w:rPr>
        <w:t>Dans sa résolution, le Parlement reconnaît que les femmes des régions rurales, insulaires et ultrapériphériques sont des acteurs économiques importants et souligne qu’elles sont encore confrontées à des obstacles persistants en matière de financement, de garde d’enfants, de transports, d’accès au numérique, de compétences et de protection contre la violence sexiste. Selon la résolution, combler ces lacunes est non seulement une question d’équité, mais aussi de compétitivité et de cohésion pour l’Union européenne.</w:t>
      </w:r>
    </w:p>
    <w:p w:rsidR="00C8140E" w:rsidRPr="00C8140E" w:rsidP="007833F8" w14:paraId="78A747E1" w14:textId="7FE948FA">
      <w:pPr>
        <w:widowControl w:val="0"/>
        <w:rPr>
          <w:rFonts w:ascii="Times New Roman" w:hAnsi="Times New Roman"/>
          <w:bCs/>
          <w:szCs w:val="24"/>
        </w:rPr>
      </w:pPr>
      <w:r>
        <w:rPr>
          <w:rFonts w:ascii="Times New Roman" w:hAnsi="Times New Roman"/>
        </w:rPr>
        <w:t>Le Parlement demande de renforcer l’accès au financement et aux investissements en élargissant l’accès au financement pour les entreprises rurales dirigées par des femmes, notamment le capital-risque, les microcrédits et les fonds publics-privés (</w:t>
      </w:r>
      <w:r>
        <w:rPr>
          <w:rFonts w:ascii="Times New Roman" w:hAnsi="Times New Roman"/>
          <w:b/>
        </w:rPr>
        <w:t>paragraphes 1, 12 et 24</w:t>
      </w:r>
      <w:r>
        <w:rPr>
          <w:rFonts w:ascii="Times New Roman" w:hAnsi="Times New Roman"/>
        </w:rPr>
        <w:t>); en comblant l’écart de financement entre les hommes et les femmes dans le capital-risque, parallèlement à des instruments de financement tenant compte de la dimension de genre (</w:t>
      </w:r>
      <w:r>
        <w:rPr>
          <w:rFonts w:ascii="Times New Roman" w:hAnsi="Times New Roman"/>
          <w:b/>
        </w:rPr>
        <w:t>paragraphes 12 et 86</w:t>
      </w:r>
      <w:r>
        <w:rPr>
          <w:rFonts w:ascii="Times New Roman" w:hAnsi="Times New Roman"/>
        </w:rPr>
        <w:t>); en simplifiant les charges administratives pour les petites entreprises dirigées par des femmes, y compris, par exemple, les services de conseil à guichet unique (</w:t>
      </w:r>
      <w:r>
        <w:rPr>
          <w:rFonts w:ascii="Times New Roman" w:hAnsi="Times New Roman"/>
          <w:b/>
        </w:rPr>
        <w:t>paragraphes 28 et 74</w:t>
      </w:r>
      <w:r>
        <w:rPr>
          <w:rFonts w:ascii="Times New Roman" w:hAnsi="Times New Roman"/>
        </w:rPr>
        <w:t>); et en promouvant la reconnaissance mutuelle de l’éligibilité au financement dans tous les États membres, ainsi qu’en réservant des budgets aux femmes vivant dans des zones rurales dans le cadre financier pluriannuel (CFP) pour l’après-2027, la politique agricole commune (PAC), Horizon Europe et le programme pour une Europe numérique (</w:t>
      </w:r>
      <w:r>
        <w:rPr>
          <w:rFonts w:ascii="Times New Roman" w:hAnsi="Times New Roman"/>
          <w:b/>
        </w:rPr>
        <w:t>paragraphes 26 et 84</w:t>
      </w:r>
      <w:r>
        <w:rPr>
          <w:rFonts w:ascii="Times New Roman" w:hAnsi="Times New Roman"/>
        </w:rPr>
        <w:t>).</w:t>
      </w:r>
    </w:p>
    <w:p w:rsidR="00C8140E" w:rsidP="007833F8" w14:paraId="69D18141" w14:textId="337A301C">
      <w:pPr>
        <w:widowControl w:val="0"/>
        <w:rPr>
          <w:rFonts w:ascii="Times New Roman" w:hAnsi="Times New Roman"/>
          <w:bCs/>
          <w:szCs w:val="24"/>
        </w:rPr>
      </w:pPr>
      <w:r>
        <w:rPr>
          <w:rFonts w:ascii="Times New Roman" w:hAnsi="Times New Roman"/>
        </w:rPr>
        <w:t>Le Parlement met l’accent sur la suppression des obstacles structurels pour garantir un accès égalitaire aux terres, au crédit et aux fonds de la PAC en luttant contre les obstacles juridiques et fiscaux, en introduisant des objectifs en matière de représentation des femmes et des incitations financières pour les jeunes agricultrices, en s’attaquant aux normes sociétales par l’intermédiaire de recommandations politiques et en concevant des outils et équipements agricoles adaptés aux hommes et aux femmes (</w:t>
      </w:r>
      <w:r>
        <w:rPr>
          <w:rFonts w:ascii="Times New Roman" w:hAnsi="Times New Roman"/>
          <w:b/>
        </w:rPr>
        <w:t>paragraphes 20, 22, 55, 56 et 62</w:t>
      </w:r>
      <w:r>
        <w:rPr>
          <w:rFonts w:ascii="Times New Roman" w:hAnsi="Times New Roman"/>
        </w:rPr>
        <w:t>).</w:t>
      </w:r>
    </w:p>
    <w:p w:rsidR="009A10C3" w:rsidP="006B0544" w14:paraId="7E3B1B03" w14:textId="17BF9CB7">
      <w:pPr>
        <w:widowControl w:val="0"/>
        <w:rPr>
          <w:rFonts w:ascii="Times New Roman" w:hAnsi="Times New Roman"/>
          <w:bCs/>
          <w:szCs w:val="24"/>
        </w:rPr>
      </w:pPr>
      <w:r>
        <w:rPr>
          <w:rFonts w:ascii="Times New Roman" w:hAnsi="Times New Roman"/>
        </w:rPr>
        <w:t>Le Parlement appelle à stimuler l’éducation ainsi que les compétences numériques et entrepreneuriales. Il souhaite élargir l’accès des femmes aux sciences, aux technologies, à l’ingénierie, aux arts et aux mathématiques (STIAM) ainsi qu’à la formation numérique, et intégrer l’égalité de genre dans les programmes scolaires (</w:t>
      </w:r>
      <w:r>
        <w:rPr>
          <w:rFonts w:ascii="Times New Roman" w:hAnsi="Times New Roman"/>
          <w:b/>
        </w:rPr>
        <w:t>paragraphes 3, 29, 41, 45</w:t>
      </w:r>
      <w:r>
        <w:rPr>
          <w:rFonts w:ascii="Times New Roman" w:hAnsi="Times New Roman"/>
        </w:rPr>
        <w:t>).</w:t>
      </w:r>
    </w:p>
    <w:p w:rsidR="009A10C3" w:rsidP="007833F8" w14:paraId="6769B2ED" w14:textId="15197353">
      <w:pPr>
        <w:widowControl w:val="0"/>
        <w:rPr>
          <w:rFonts w:ascii="Times New Roman" w:hAnsi="Times New Roman"/>
          <w:bCs/>
          <w:szCs w:val="24"/>
        </w:rPr>
      </w:pPr>
      <w:r>
        <w:rPr>
          <w:rFonts w:ascii="Times New Roman" w:hAnsi="Times New Roman"/>
        </w:rPr>
        <w:t xml:space="preserve">Le Parlement appelle à investir dans les infrastructures rurales pour des services de garde d’enfants, de soins aux personnes âgées et de soins de santé abordables afin de combler l’écart entre les hommes et les femmes en matière d’emploi dans les zones rurales, pour des transports sûrs et fiables et une connectivité numérique afin de lutter contre l’isolement et la violence sexiste. Il appelle également à mettre en place des modèles de logement et de soins </w:t>
      </w:r>
      <w:r>
        <w:rPr>
          <w:rFonts w:ascii="Times New Roman" w:hAnsi="Times New Roman"/>
        </w:rPr>
        <w:t>intergénérationnels de façon à soutenir les jeunes familles et les populations vieillissantes, et à mettre en œuvre la directive concernant l’équilibre entre vie professionnelle et vie privée</w:t>
      </w:r>
      <w:r>
        <w:rPr>
          <w:rStyle w:val="FootnoteReference"/>
          <w:rFonts w:ascii="Times New Roman" w:hAnsi="Times New Roman"/>
          <w:bCs/>
          <w:szCs w:val="24"/>
          <w:lang w:val="en-IE"/>
        </w:rPr>
        <w:footnoteReference w:id="3"/>
      </w:r>
      <w:r>
        <w:rPr>
          <w:rFonts w:ascii="Times New Roman" w:hAnsi="Times New Roman"/>
        </w:rPr>
        <w:t xml:space="preserve"> et les objectifs de Barcelone en matière de garde d’enfants</w:t>
      </w:r>
      <w:r>
        <w:rPr>
          <w:rStyle w:val="FootnoteReference"/>
          <w:rFonts w:ascii="Times New Roman" w:hAnsi="Times New Roman"/>
          <w:bCs/>
          <w:szCs w:val="24"/>
          <w:lang w:val="en-IE"/>
        </w:rPr>
        <w:footnoteReference w:id="4"/>
      </w:r>
      <w:r>
        <w:rPr>
          <w:rFonts w:ascii="Times New Roman" w:hAnsi="Times New Roman"/>
        </w:rPr>
        <w:t xml:space="preserve"> afin de réduire les charges liées aux soins non rémunérés (</w:t>
      </w:r>
      <w:r>
        <w:rPr>
          <w:rFonts w:ascii="Times New Roman" w:hAnsi="Times New Roman"/>
          <w:b/>
        </w:rPr>
        <w:t>paragraphes 64, 65, 69 et 78</w:t>
      </w:r>
      <w:r>
        <w:rPr>
          <w:rFonts w:ascii="Times New Roman" w:hAnsi="Times New Roman"/>
        </w:rPr>
        <w:t>).</w:t>
      </w:r>
    </w:p>
    <w:p w:rsidR="004F2C3B" w:rsidP="004F2C3B" w14:paraId="72DC7514" w14:textId="77777777">
      <w:pPr>
        <w:widowControl w:val="0"/>
        <w:rPr>
          <w:rFonts w:ascii="Times New Roman" w:hAnsi="Times New Roman"/>
          <w:b/>
          <w:szCs w:val="24"/>
        </w:rPr>
      </w:pPr>
      <w:r>
        <w:rPr>
          <w:rFonts w:ascii="Times New Roman" w:hAnsi="Times New Roman"/>
        </w:rPr>
        <w:t>Afin de renforcer la visibilité des femmes dans les zones rurales et insulaires et les régions ultrapériphériques et d’améliorer la collecte de données, le Parlement appelle à collecter des données ventilées par sexe sur les propriétaires terriens, les dirigeants d’exploitations agricoles et les travaux informels de manière à éclairer les politiques (</w:t>
      </w:r>
      <w:r>
        <w:rPr>
          <w:rFonts w:ascii="Times New Roman" w:hAnsi="Times New Roman"/>
          <w:b/>
        </w:rPr>
        <w:t>paragraphes 30, 54 et 84</w:t>
      </w:r>
      <w:r>
        <w:rPr>
          <w:rFonts w:ascii="Times New Roman" w:hAnsi="Times New Roman"/>
        </w:rPr>
        <w:t>), ainsi qu’à soutenir les coopératives et les réseaux de femmes dans les secteurs de l’agroalimentaire, de l’artisanat et du tourisme afin de préserver le patrimoine culturel et de stimuler les économies locales (</w:t>
      </w:r>
      <w:r>
        <w:rPr>
          <w:rFonts w:ascii="Times New Roman" w:hAnsi="Times New Roman"/>
          <w:b/>
        </w:rPr>
        <w:t>paragraphes 6 et 45).</w:t>
      </w:r>
    </w:p>
    <w:p w:rsidR="004F2C3B" w:rsidRPr="009A10C3" w:rsidP="5B2E7BA8" w14:paraId="320F9089" w14:textId="20E9DFDA">
      <w:pPr>
        <w:widowControl w:val="0"/>
        <w:rPr>
          <w:rFonts w:ascii="Times New Roman" w:hAnsi="Times New Roman"/>
        </w:rPr>
      </w:pPr>
      <w:r>
        <w:rPr>
          <w:rFonts w:ascii="Times New Roman" w:hAnsi="Times New Roman"/>
        </w:rPr>
        <w:t>En reconnaissant le rôle des femmes dans la préservation de l’artisanat traditionnel et la promotion de l’agritourisme en tant que moteurs économiques (</w:t>
      </w:r>
      <w:r>
        <w:rPr>
          <w:rFonts w:ascii="Times New Roman" w:hAnsi="Times New Roman"/>
          <w:b/>
        </w:rPr>
        <w:t>paragraphes 36, 40 et 45</w:t>
      </w:r>
      <w:r>
        <w:rPr>
          <w:rFonts w:ascii="Times New Roman" w:hAnsi="Times New Roman"/>
        </w:rPr>
        <w:t>), le Parlement demande d’apporter un soutien accru à la promotion de l’autonomisation culturelle et sociale des femmes des zones rurales et insulaires et des régions ultrapériphériques.</w:t>
      </w:r>
    </w:p>
    <w:p w:rsidR="009A10C3" w:rsidRPr="009A10C3" w:rsidP="007833F8" w14:paraId="4AA5F92B" w14:textId="0D3A8921">
      <w:pPr>
        <w:widowControl w:val="0"/>
        <w:rPr>
          <w:rFonts w:ascii="Times New Roman" w:hAnsi="Times New Roman"/>
          <w:bCs/>
          <w:szCs w:val="24"/>
        </w:rPr>
      </w:pPr>
      <w:r>
        <w:rPr>
          <w:rFonts w:ascii="Times New Roman" w:hAnsi="Times New Roman"/>
        </w:rPr>
        <w:t>Le Parlement souligne l’importance de la lutte contre la violence sexiste et la discrimination fondée sur le genre. Il demande le renforcement des protections prévues par la convention d’Istanbul et la directive (UE) 2024/1385, y compris, par exemple, les unités d’aide mobiles et les lignes d’assistance téléphonique rurales (</w:t>
      </w:r>
      <w:r>
        <w:rPr>
          <w:rFonts w:ascii="Times New Roman" w:hAnsi="Times New Roman"/>
          <w:b/>
        </w:rPr>
        <w:t>paragraphes 78 et 82</w:t>
      </w:r>
      <w:r>
        <w:rPr>
          <w:rFonts w:ascii="Times New Roman" w:hAnsi="Times New Roman"/>
        </w:rPr>
        <w:t>), et l’organisation de campagnes ciblées visant à remettre en question les rôles traditionnels des hommes et des femmes et à combattre le harcèlement sur les lieux de travail situés en zone rurale (</w:t>
      </w:r>
      <w:r>
        <w:rPr>
          <w:rFonts w:ascii="Times New Roman" w:hAnsi="Times New Roman"/>
          <w:b/>
        </w:rPr>
        <w:t>paragraphes 78 et 83</w:t>
      </w:r>
      <w:r>
        <w:rPr>
          <w:rFonts w:ascii="Times New Roman" w:hAnsi="Times New Roman"/>
        </w:rPr>
        <w:t>).</w:t>
      </w:r>
    </w:p>
    <w:p w:rsidR="00963420" w:rsidRPr="00E92499" w:rsidP="0084310E" w14:paraId="780B6643" w14:textId="7059592A">
      <w:pPr>
        <w:widowControl w:val="0"/>
        <w:numPr>
          <w:ilvl w:val="0"/>
          <w:numId w:val="34"/>
        </w:numPr>
        <w:ind w:left="567" w:hanging="567"/>
        <w:rPr>
          <w:rFonts w:ascii="Times New Roman" w:hAnsi="Times New Roman"/>
          <w:b/>
          <w:szCs w:val="24"/>
        </w:rPr>
      </w:pPr>
      <w:r>
        <w:rPr>
          <w:rFonts w:ascii="Times New Roman" w:hAnsi="Times New Roman"/>
          <w:b/>
        </w:rPr>
        <w:t>Réponse à ces demandes et aperçu des mesures que la Commission a prises ou envisage de prendre:</w:t>
      </w:r>
    </w:p>
    <w:p w:rsidR="0017412D" w:rsidRPr="0091686D" w:rsidP="00E92499" w14:paraId="7B0AD2F4" w14:textId="78424B5A">
      <w:pPr>
        <w:widowControl w:val="0"/>
        <w:rPr>
          <w:rFonts w:ascii="Times New Roman" w:hAnsi="Times New Roman"/>
        </w:rPr>
      </w:pPr>
      <w:r>
        <w:rPr>
          <w:rFonts w:ascii="Times New Roman" w:hAnsi="Times New Roman"/>
        </w:rPr>
        <w:t xml:space="preserve">Conformément à l’objectif de dépenses en cours d’examen, la proposition de la Commission relative à un cadre financier pluriannuel (CFP) ambitieux et dynamique pour la période 2028-2034 vise à promouvoir une approche plus intégrée et plus globale du développement rural, qui comprend la fourniture de services sociaux à la population rurale, y compris les femmes. En outre, la Commission propose qu’au moins 10 % de l’enveloppe des plans de partenariat national et régional (plans PNR) [en dehors des montants affectés à la PAC, à la politique commune de la pêche (PCP) et au Fonds social pour le climat et à la facilité de l’UE] soit consacré à un «objectif rural» pour lequel les États membres et les régions sont censés élaborer un programme cohérent de mesures visant à répondre aux besoins et défis spécifiques des zones rurales. Ensemble, ces mesures devraient renforcer la fourniture de services sociaux aux communautés rurales, y compris les femmes. L’article 7 de la proposition de règlement PNR définit les principes horizontaux applicables au règlement, y compris l’obligation pour les États membres de respecter, dans la mise en œuvre du Fonds, les principes de l’état de droit et la charte des droits fondamentaux de l’Union européenne, ainsi que les principes de non-discrimination et d’égalité de genre. Par ailleurs, l’article 56 </w:t>
      </w:r>
      <w:r>
        <w:rPr>
          <w:rFonts w:ascii="Times New Roman" w:hAnsi="Times New Roman"/>
        </w:rPr>
        <w:t xml:space="preserve">de cette proposition de règlement engage le comité de suivi à approuver, pour le ou les chapitres sous sa responsabilité, les critères appliqués et les procédures, ce qui garantit notamment l’égalité de genre, en tenant compte de la charte des droits fondamentaux de l’Union européenne. Dans ce contexte, l’égalité de genre est également inscrite au titre de principe horizontal dans la proposition de règlement sur la performance. Cette proposition comprend des dispositions pour tous les programmes relevant du budget de l’Union concernant l’application de principes horizontaux, tels que l’égalité de genre. Le cadre unique de suivi des dépenses et de performance permettra de mesurer avec davantage de précision la contribution du budget à l’égalité de genre et ainsi de contribuer au renforcement de l’égalité de genre dans le prochain CFP. La référence à un soutien plus ciblé aux femmes dans le cadre de la proposition relative à la PAC 2028-2034, énoncée à l’article 6, paragraphe 2, ainsi que les dispositions relatives aux services de remplacement sur l’exploitation figurant à l’article 17 de la proposition de règlement relatif à la PAC, complétées par la proposition de règlement PNR, en particulier la reconnaissance de l’égalité de genre en tant que principe horizontal et l’exigence d’un suivi des dépenses en matière d’égalité de genre, forment un cadre solide pour faire progresser l’égalité de genre, y compris dans l’agriculture et les zones rurales. La Commission adoptera au troisième trimestre de 2026 une nouvelle stratégie pour les régions ultrapériphériques, qui définira les priorités de la Commission afin de mieux cibler les défis et les contraintes de ces régions et d’exploiter leur potentiel. Ses objectifs comprennent notamment l’amélioration de l’équité sociale et le soutien aux personnes vivant dans ces régions. </w:t>
      </w:r>
      <w:r>
        <w:rPr>
          <w:rFonts w:ascii="Times New Roman" w:hAnsi="Times New Roman"/>
          <w:b/>
        </w:rPr>
        <w:t>(Paragraphes 1, 76, 74, 72 et 55)</w:t>
      </w:r>
    </w:p>
    <w:p w:rsidR="00E92499" w:rsidP="00E92499" w14:paraId="539B65E3" w14:textId="0EBCC629">
      <w:pPr>
        <w:widowControl w:val="0"/>
        <w:rPr>
          <w:rFonts w:ascii="Times New Roman" w:hAnsi="Times New Roman"/>
          <w:bCs/>
          <w:szCs w:val="24"/>
        </w:rPr>
      </w:pPr>
      <w:r>
        <w:rPr>
          <w:rFonts w:ascii="Times New Roman" w:hAnsi="Times New Roman"/>
        </w:rPr>
        <w:t>Au cours de la période de programmation 2021-2027, le Fonds social européen plus (FSE+) investit dans des mesures et des réformes en faveur de l’égalité de genre et de la participation pleine et égale des femmes au marché du travail et à l’entrepreneuriat dans l’ensemble de l’Union, y compris dans ses zones rurales, reculées et insulaires. Quelque 2 milliards d’euros seront spécifiquement investis dans la participation des femmes au marché du travail et la non-ségrégation, tandis que les femmes bénéficieront également d’autres investissements du FSE+ dans l’éducation et l’accueil de la petite enfance (environ 2,4 milliards d’euros), de mesures favorisant l’équilibre entre vie professionnelle et vie privée (environ 2 milliards d’euros) et de mesures en faveur de l’emploi indépendant et de la création d’entreprises (environ 4 milliards d’euros), entre autres. (</w:t>
      </w:r>
      <w:r>
        <w:rPr>
          <w:rFonts w:ascii="Times New Roman" w:hAnsi="Times New Roman"/>
          <w:b/>
        </w:rPr>
        <w:t>Paragraphe 2</w:t>
      </w:r>
      <w:r>
        <w:rPr>
          <w:rFonts w:ascii="Times New Roman" w:hAnsi="Times New Roman"/>
        </w:rPr>
        <w:t>)</w:t>
      </w:r>
    </w:p>
    <w:p w:rsidR="00E92499" w:rsidRPr="00B57D23" w:rsidP="00C461D9" w14:paraId="15DB3A91" w14:textId="1F00F1F7">
      <w:pPr>
        <w:widowControl w:val="0"/>
        <w:rPr>
          <w:rFonts w:ascii="Times New Roman" w:hAnsi="Times New Roman"/>
          <w:bCs/>
          <w:szCs w:val="24"/>
        </w:rPr>
      </w:pPr>
      <w:r>
        <w:rPr>
          <w:rFonts w:ascii="Times New Roman" w:hAnsi="Times New Roman"/>
        </w:rPr>
        <w:t>La vision à long terme pour les zones rurales de l’Union et son plan d’action rural visent à favoriser la cohésion territoriale, à attirer des entreprises innovantes et à soutenir des activités économiques diversifiées dans les zones rurales. L’initiative phare actualisée du plan d’action rural sur l’entrepreneuriat et l’économie sociale promeut l’entrepreneuriat, les petites et moyennes entreprises (PME) et les organisations de l’économie sociale dans les zones rurales grâce à la coopération, aux bonnes pratiques et à l’échange de connaissances. L’initiative phare «Activités de recherche et d’innovation en faveur des communautés rurales» a financé plus de 70 projets de recherche et d’innovation (R&amp;I), dont trois portant sur l’innovation menée par des femmes. (</w:t>
      </w:r>
      <w:r>
        <w:rPr>
          <w:rFonts w:ascii="Times New Roman" w:hAnsi="Times New Roman"/>
          <w:b/>
        </w:rPr>
        <w:t>Paragraphe 2</w:t>
      </w:r>
      <w:r>
        <w:rPr>
          <w:rFonts w:ascii="Times New Roman" w:hAnsi="Times New Roman"/>
        </w:rPr>
        <w:t>)</w:t>
      </w:r>
    </w:p>
    <w:p w:rsidR="00B57D23" w:rsidP="008445F2" w14:paraId="16B78174" w14:textId="024F4E21">
      <w:pPr>
        <w:widowControl w:val="0"/>
        <w:rPr>
          <w:rFonts w:ascii="Times New Roman" w:hAnsi="Times New Roman"/>
          <w:bCs/>
          <w:szCs w:val="24"/>
        </w:rPr>
      </w:pPr>
      <w:r>
        <w:rPr>
          <w:rFonts w:ascii="Times New Roman" w:hAnsi="Times New Roman"/>
        </w:rPr>
        <w:t xml:space="preserve">Selon la recommandation du Conseil du 24 novembre 2020 en matière d’enseignement et de formation professionnels (EFP) en faveur de la compétitivité durable, de l’équité sociale et de la résilience (2020/C 417/01), les programmes d’EFP devraient offrir une combinaison équilibrée de compétences professionnelles, notamment techniques, et de compétences clés, notamment entrepreneuriales. En outre, des mesures ciblées devraient être instaurées pour favoriser l’équilibre hommes-femmes dans les professions traditionnellement considérées comme «masculines» ou «féminines» et pour lutter ensemble contre les stéréotypes sexistes et les autres. Les programmes d’EFP devraient être inclusifs et accessibles pour les groupes vulnérables de la population, parmi lesquels les personnes handicapées et les personnes peu qualifiées/formées, les minorités, les migrants et les personnes moins favorisées en raison de </w:t>
      </w:r>
      <w:r>
        <w:rPr>
          <w:rFonts w:ascii="Times New Roman" w:hAnsi="Times New Roman"/>
        </w:rPr>
        <w:t>leur éloignement géographique et/ou de leur situation socio-économique défavorable. Ils devraient être accessibles aux personnes vivant dans des zones rurales ou reculées. La déclaration de Herning (2025)</w:t>
      </w:r>
      <w:r>
        <w:rPr>
          <w:rStyle w:val="FootnoteReference"/>
          <w:rFonts w:ascii="Times New Roman" w:hAnsi="Times New Roman"/>
          <w:bCs/>
          <w:szCs w:val="24"/>
          <w:lang w:val="en-IE"/>
        </w:rPr>
        <w:footnoteReference w:id="5"/>
      </w:r>
      <w:r>
        <w:rPr>
          <w:rFonts w:ascii="Times New Roman" w:hAnsi="Times New Roman"/>
        </w:rPr>
        <w:t xml:space="preserve"> a confirmé le rôle de l’enseignement général initial dans le développement des compétences de base et transversales, garantissant un niveau approprié de ces compétences dans l’EFP initial, y compris les compétences entrepreneuriales. (</w:t>
      </w:r>
      <w:r>
        <w:rPr>
          <w:rFonts w:ascii="Times New Roman" w:hAnsi="Times New Roman"/>
          <w:b/>
        </w:rPr>
        <w:t>Paragraphe 4</w:t>
      </w:r>
      <w:r>
        <w:rPr>
          <w:rFonts w:ascii="Times New Roman" w:hAnsi="Times New Roman"/>
        </w:rPr>
        <w:t>)</w:t>
      </w:r>
    </w:p>
    <w:p w:rsidR="00680B3A" w:rsidP="00680B3A" w14:paraId="77441936" w14:textId="77777777">
      <w:pPr>
        <w:widowControl w:val="0"/>
        <w:rPr>
          <w:rFonts w:ascii="Times New Roman" w:hAnsi="Times New Roman"/>
        </w:rPr>
      </w:pPr>
      <w:r>
        <w:rPr>
          <w:rFonts w:ascii="Times New Roman" w:hAnsi="Times New Roman"/>
        </w:rPr>
        <w:t>Le troisième pilier d’Horizon Europe, intitulé «Europe innovante», vise à renforcer la capacité d’innovation de l’Europe et à soutenir le développement et l’expansion d’innovations radicales. Il est mis en œuvre au moyen de trois volets principaux: le Conseil européen de l’innovation (CEI), l’Institut européen d’innovation et de technologie (EIT) et le programme «Écosystèmes européens d’innovation» (EEI). Ensemble, ces instruments contribuent à rendre le paysage européen de l’innovation plus inclusif et plus compétitif.</w:t>
      </w:r>
    </w:p>
    <w:p w:rsidR="00680B3A" w:rsidRPr="00EB7CE2" w:rsidP="00680B3A" w14:paraId="50F67522" w14:textId="1DA098C1">
      <w:pPr>
        <w:widowControl w:val="0"/>
        <w:rPr>
          <w:rFonts w:ascii="Times New Roman" w:hAnsi="Times New Roman"/>
        </w:rPr>
      </w:pPr>
      <w:r>
        <w:rPr>
          <w:rFonts w:ascii="Times New Roman" w:hAnsi="Times New Roman"/>
        </w:rPr>
        <w:t>«Supernovas», une initiative de l’EIT et de ses communautés de la connaissance et de l’innovation, vise à faire entrer davantage de femmes dans le monde de l’entrepreneuriat et de l’investissement. Ce programme donne aux jeunes pousses dirigées par des femmes les moyens d’agir tout en cultivant la prochaine génération de femmes investisseuses en capital-risque et investisseuses providentielles. (</w:t>
      </w:r>
      <w:r>
        <w:rPr>
          <w:rFonts w:ascii="Times New Roman" w:hAnsi="Times New Roman"/>
          <w:b/>
        </w:rPr>
        <w:t>Paragraphe 4</w:t>
      </w:r>
      <w:r>
        <w:rPr>
          <w:rFonts w:ascii="Times New Roman" w:hAnsi="Times New Roman"/>
        </w:rPr>
        <w:t>) Le CEI soutient cette feuille de route par l’intermédiaire de Women TechEU (subventions en faveur des start-up de la deep tech dirigées par des femmes), de son Accélérateur (financement mixte et fonds propres, 28 % des dernières entreprises sélectionnées étant dirigées par des femmes), de son pré-accélérateur (ciblant les pays de l’élargissement et les régions ultrapériphériques) et de son programme «Women Leadership» (compétences en matière de direction et de collecte de fonds pour les femmes fondatrices), ce qui reflète collectivement un engagement systémique à combler l’écart entre les hommes et les femmes en matière d’innovation radicale, à l’appui direct de la boussole pour la compétitivité.</w:t>
      </w:r>
    </w:p>
    <w:p w:rsidR="00680B3A" w:rsidP="00680B3A" w14:paraId="5766DA2E" w14:textId="77777777">
      <w:pPr>
        <w:widowControl w:val="0"/>
        <w:rPr>
          <w:rFonts w:ascii="Times New Roman" w:hAnsi="Times New Roman"/>
        </w:rPr>
      </w:pPr>
      <w:r>
        <w:rPr>
          <w:rFonts w:ascii="Times New Roman" w:hAnsi="Times New Roman"/>
        </w:rPr>
        <w:t>Le volet «Écosystèmes européens d’innovation» d’Horizon Europe met l’accent sur la mise en place d’écosystèmes d’innovation interconnectés et inclusifs dans toute l’Europe en s’appuyant sur les atouts existants des écosystèmes nationaux, régionaux et locaux et en attirant de nouveaux acteurs et territoires moins bien représentés, y compris les transitions écologique, numérique et sociale. Les régions rurales et les femmes innovatrices font partie des «acteurs sous-représentés» explicitement ciblés.</w:t>
      </w:r>
    </w:p>
    <w:p w:rsidR="008445F2" w:rsidP="00680B3A" w14:paraId="10AE4640" w14:textId="3510D5B8">
      <w:pPr>
        <w:widowControl w:val="0"/>
        <w:rPr>
          <w:rFonts w:ascii="Times New Roman" w:hAnsi="Times New Roman"/>
          <w:bCs/>
          <w:szCs w:val="24"/>
        </w:rPr>
      </w:pPr>
      <w:r>
        <w:rPr>
          <w:rFonts w:ascii="Times New Roman" w:hAnsi="Times New Roman"/>
        </w:rPr>
        <w:t>La Commission européenne finance des projets dans le cadre d’Horizon Europe sur l’intelligence artificielle générative (IA) en Afrique, pour donner aux femmes entrepreneurs les moyens d’agir, et dans les régions éloignées et ultrapériphériques de l’Union, en dotant les entreprises technologiques locales des outils nécessaires pour tirer parti de l’IA générative en faveur de solutions innovantes, en particulier dans les domaines de l’optimisation agricole et des compétences et de l’apprentissage numériques, qui profitent aux communautés rurales à faibles ressources. (</w:t>
      </w:r>
      <w:r>
        <w:rPr>
          <w:rFonts w:ascii="Times New Roman" w:hAnsi="Times New Roman"/>
          <w:b/>
        </w:rPr>
        <w:t>Paragraphe 4</w:t>
      </w:r>
      <w:r>
        <w:rPr>
          <w:rFonts w:ascii="Times New Roman" w:hAnsi="Times New Roman"/>
        </w:rPr>
        <w:t>)</w:t>
      </w:r>
    </w:p>
    <w:p w:rsidR="008445F2" w:rsidRPr="008445F2" w:rsidP="008445F2" w14:paraId="159226DA" w14:textId="6B7D8F6F">
      <w:pPr>
        <w:rPr>
          <w:rFonts w:ascii="Times New Roman" w:hAnsi="Times New Roman"/>
          <w:bCs/>
          <w:szCs w:val="24"/>
        </w:rPr>
      </w:pPr>
      <w:r>
        <w:rPr>
          <w:rFonts w:ascii="Times New Roman" w:hAnsi="Times New Roman"/>
        </w:rPr>
        <w:t xml:space="preserve">La Commission promeut l’égalité de genre et l’émancipation économique des femmes au moyen de ses accords de libre-échange (ALE). Il s’agit notamment des engagements contraignants et exécutoires visant à mettre effectivement en œuvre les obligations découlant d’accords internationaux tels que la convention sur l’élimination de toutes les formes de discrimination à l’égard des femmes et les conventions pertinentes de </w:t>
      </w:r>
      <w:r>
        <w:rPr>
          <w:rFonts w:ascii="Times New Roman" w:hAnsi="Times New Roman"/>
        </w:rPr>
        <w:t>l’Organisation internationale du travail (OIT). La Commission analyse la dimension de genre dans le cadre de ses évaluations de l’impact sur le développement durable afin d’alimenter les négociations sur les ALE, ainsi que dans le cadre de ses évaluations ex post. Elle joue également un rôle actif au sein du groupe de travail informel sur le commerce et l’égalité entre les hommes et les femmes de l’Organisation mondiale du commerce (OMC) et finance actuellement un projet mis en œuvre par le Centre du commerce international (CCI) sur l’intégration d’une perspective de genre dans les politiques commerciales. (</w:t>
      </w:r>
      <w:r>
        <w:rPr>
          <w:rFonts w:ascii="Times New Roman" w:hAnsi="Times New Roman"/>
          <w:b/>
        </w:rPr>
        <w:t>Paragraphe 5</w:t>
      </w:r>
      <w:r>
        <w:rPr>
          <w:rFonts w:ascii="Times New Roman" w:hAnsi="Times New Roman"/>
        </w:rPr>
        <w:t>)</w:t>
      </w:r>
    </w:p>
    <w:p w:rsidR="00E92499" w:rsidRPr="008445F2" w:rsidP="00E92499" w14:paraId="3FCCE9A9" w14:textId="28D63502">
      <w:pPr>
        <w:widowControl w:val="0"/>
        <w:rPr>
          <w:rFonts w:ascii="Times New Roman" w:hAnsi="Times New Roman"/>
          <w:bCs/>
          <w:szCs w:val="24"/>
        </w:rPr>
      </w:pPr>
      <w:r>
        <w:rPr>
          <w:rFonts w:ascii="Times New Roman" w:hAnsi="Times New Roman"/>
        </w:rPr>
        <w:t>La Commission a lancé la plateforme relative aux femmes dans l’agriculture le 8 mars 2026. Les activités de cette dernière, y compris les rapports, seront déterminées par les futurs membres. La Commission tiendra le Parlement européen informé de ces activités. (</w:t>
      </w:r>
      <w:r>
        <w:rPr>
          <w:rFonts w:ascii="Times New Roman" w:hAnsi="Times New Roman"/>
          <w:b/>
        </w:rPr>
        <w:t>Paragraphe 7</w:t>
      </w:r>
      <w:r>
        <w:rPr>
          <w:rFonts w:ascii="Times New Roman" w:hAnsi="Times New Roman"/>
        </w:rPr>
        <w:t>)</w:t>
      </w:r>
    </w:p>
    <w:p w:rsidR="00E92499" w:rsidP="00E92499" w14:paraId="332CC32D" w14:textId="1CE7BE47">
      <w:pPr>
        <w:widowControl w:val="0"/>
        <w:rPr>
          <w:rFonts w:ascii="Times New Roman" w:hAnsi="Times New Roman"/>
          <w:bCs/>
          <w:szCs w:val="24"/>
        </w:rPr>
      </w:pPr>
      <w:r>
        <w:rPr>
          <w:rFonts w:ascii="Times New Roman" w:hAnsi="Times New Roman"/>
        </w:rPr>
        <w:t>Le soutien de l’Institut européen pour l’égalité entre les hommes et les femmes (EIGE) à la mise en œuvre des priorités stratégiques de l’Union en matière d’égalité de genre comprend des analyses sur les écarts entre les hommes et les femmes dans le secteur des soins et en matière d’accès aux services de soins, sur leurs écarts de rémunération et de pension, ainsi que l’indice d’égalité de genre et des statistiques sur les femmes et les hommes dans les processus décisionnels. La Commission continue de soutenir les travaux de l’EIGE en matière de recherche, de collecte de données et d’analyse des principaux obstacles à la participation égale des femmes à l’emploi et à l’entrepreneuriat. (</w:t>
      </w:r>
      <w:r>
        <w:rPr>
          <w:rFonts w:ascii="Times New Roman" w:hAnsi="Times New Roman"/>
          <w:b/>
        </w:rPr>
        <w:t>Paragraphe 9</w:t>
      </w:r>
      <w:r>
        <w:rPr>
          <w:rFonts w:ascii="Times New Roman" w:hAnsi="Times New Roman"/>
        </w:rPr>
        <w:t>)</w:t>
      </w:r>
    </w:p>
    <w:p w:rsidR="0010111C" w:rsidRPr="0010111C" w:rsidP="0010111C" w14:paraId="6525BB6E" w14:textId="017B7BEB">
      <w:pPr>
        <w:widowControl w:val="0"/>
        <w:rPr>
          <w:rFonts w:ascii="Times New Roman" w:hAnsi="Times New Roman"/>
          <w:bCs/>
          <w:szCs w:val="24"/>
        </w:rPr>
      </w:pPr>
      <w:r>
        <w:rPr>
          <w:rFonts w:ascii="Times New Roman" w:hAnsi="Times New Roman"/>
        </w:rPr>
        <w:t>Plusieurs actions de l’initiative phare du plan d’action rural en matière de R&amp;I pour les communautés rurales contribuent déjà à la réalisation de cet objectif. Dans le cadre du pôle 6 «Alimentation, bioéconomie, ressources naturelles, agriculture et environnement» d’Horizon Europe, la Commission a financé trois projets consacrés à l’innovation menée par des femmes, qui ont permis de mettre au point des outils intéressants, présentés ci-après.</w:t>
      </w:r>
    </w:p>
    <w:p w:rsidR="0010111C" w:rsidRPr="0010111C" w:rsidP="5B2E7BA8" w14:paraId="77844924" w14:textId="60C71B6F">
      <w:pPr>
        <w:widowControl w:val="0"/>
        <w:rPr>
          <w:rFonts w:ascii="Times New Roman" w:hAnsi="Times New Roman"/>
        </w:rPr>
      </w:pPr>
      <w:r>
        <w:rPr>
          <w:rFonts w:ascii="Times New Roman" w:hAnsi="Times New Roman"/>
        </w:rPr>
        <w:t xml:space="preserve">La communauté de pratique FLIARA est un réseau qui rassemble les personnes afin de soutenir et d’accélérer l’innovation menée par des femmes dans les zones rurales. Elle compte 20 ambassadrices FLIARA, des femmes innovatrices exceptionnelles choisies dans tous les pays étudiés dans le cadre du projet. L’académie en ligne «GRASS CEILING» offre des activités de formation (cours en ligne ouvert à tous − CLOM et webinaire) et d’autres ressources (publications scientifiques, vidéos, etc.). Le projet SWIFT a développé 16 pôles d’innovation dirigés par des femmes dans 12 pays. </w:t>
      </w:r>
    </w:p>
    <w:p w:rsidR="0010111C" w:rsidRPr="008445F2" w:rsidP="0010111C" w14:paraId="4E07A2EB" w14:textId="3186E655">
      <w:pPr>
        <w:widowControl w:val="0"/>
        <w:rPr>
          <w:rFonts w:ascii="Times New Roman" w:hAnsi="Times New Roman"/>
          <w:bCs/>
          <w:szCs w:val="24"/>
        </w:rPr>
      </w:pPr>
      <w:r>
        <w:rPr>
          <w:rFonts w:ascii="Times New Roman" w:hAnsi="Times New Roman"/>
        </w:rPr>
        <w:t>Par ailleurs, le forum européen «Startup Village» offre une plateforme ouverte qui permet aux acteurs ruraux d’échanger leurs connaissances, de partager leurs expériences et d’apprendre les uns des autres. De plus, dans le cadre de la plateforme communautaire du pacte rural, un groupe communautaire sur les femmes vivant dans des zones rurales a été créé. En outre, le réseau européen de la PAC offre un espace d’échange sur l’innovation agricole et rurale et sur les activités du partenariat européen d’innovation pour la productivité et le développement durable de l’agriculture (PEI-AGRI), avec des activités consacrées aux femmes. La plateforme relative aux femmes dans l’agriculture, récemment créée, encouragera les activités de mentorat et d’apprentissage par les pairs. (</w:t>
      </w:r>
      <w:r>
        <w:rPr>
          <w:rFonts w:ascii="Times New Roman" w:hAnsi="Times New Roman"/>
          <w:b/>
        </w:rPr>
        <w:t>Paragraphes 3 et 9</w:t>
      </w:r>
      <w:r>
        <w:rPr>
          <w:rFonts w:ascii="Times New Roman" w:hAnsi="Times New Roman"/>
        </w:rPr>
        <w:t>)</w:t>
      </w:r>
    </w:p>
    <w:p w:rsidR="00E92499" w:rsidRPr="0010111C" w:rsidP="00E92499" w14:paraId="70BC1E5B" w14:textId="473D66C4">
      <w:pPr>
        <w:widowControl w:val="0"/>
        <w:rPr>
          <w:rFonts w:ascii="Times New Roman" w:hAnsi="Times New Roman"/>
          <w:bCs/>
          <w:szCs w:val="24"/>
        </w:rPr>
      </w:pPr>
      <w:r>
        <w:rPr>
          <w:rFonts w:ascii="Times New Roman" w:hAnsi="Times New Roman"/>
        </w:rPr>
        <w:t>La Commission continue de soutenir les travaux de l’Institut européen pour l’égalité entre les hommes et les femmes (EIGE) sur l’intégration de la dimension de genre et la fourniture, par cette agence, d’un soutien technique, d’orientations et d’outils aux institutions de l’Union et aux États membres. (</w:t>
      </w:r>
      <w:r>
        <w:rPr>
          <w:rFonts w:ascii="Times New Roman" w:hAnsi="Times New Roman"/>
          <w:b/>
        </w:rPr>
        <w:t>Paragraphe 10</w:t>
      </w:r>
      <w:r>
        <w:rPr>
          <w:rFonts w:ascii="Times New Roman" w:hAnsi="Times New Roman"/>
        </w:rPr>
        <w:t>)</w:t>
      </w:r>
    </w:p>
    <w:p w:rsidR="00E92499" w:rsidRPr="0010111C" w:rsidP="00E92499" w14:paraId="7BE5710E" w14:textId="199C4C5D">
      <w:pPr>
        <w:widowControl w:val="0"/>
        <w:rPr>
          <w:rFonts w:ascii="Times New Roman" w:hAnsi="Times New Roman"/>
          <w:bCs/>
          <w:szCs w:val="24"/>
        </w:rPr>
      </w:pPr>
      <w:r>
        <w:rPr>
          <w:rFonts w:ascii="Times New Roman" w:hAnsi="Times New Roman"/>
        </w:rPr>
        <w:t xml:space="preserve">Le Fonds européen d’investissement (FEI) soutient déjà les entreprises dirigées par des </w:t>
      </w:r>
      <w:r>
        <w:rPr>
          <w:rFonts w:ascii="Times New Roman" w:hAnsi="Times New Roman"/>
        </w:rPr>
        <w:t>femmes en orientant les capitaux par l’intermédiaire du programme «Gender Smart Equity Investment» (capital-investissement sensible au genre) et en intégrant des critères d’égalité de genre dans ses investissements InvestEU afin de favoriser des équipes de gestion inclusives pour les femmes. Le programme «Gender Smart Equity Investment» a été spécialement conçu pour renforcer la place des femmes aux postes de direction dans les sociétés européennes de capital-risque et de capital-investissement. Idéalement, un nouveau fonds ne devrait pas faire double emploi avec les initiatives existantes, qui peuvent bien entendu être renforcées. (</w:t>
      </w:r>
      <w:r>
        <w:rPr>
          <w:rFonts w:ascii="Times New Roman" w:hAnsi="Times New Roman"/>
          <w:b/>
        </w:rPr>
        <w:t>Paragraphe 12</w:t>
      </w:r>
      <w:r>
        <w:rPr>
          <w:rFonts w:ascii="Times New Roman" w:hAnsi="Times New Roman"/>
        </w:rPr>
        <w:t>)</w:t>
      </w:r>
    </w:p>
    <w:p w:rsidR="00E92499" w:rsidP="00E92499" w14:paraId="2C2F2AC9" w14:textId="3E584F35">
      <w:pPr>
        <w:widowControl w:val="0"/>
        <w:rPr>
          <w:rFonts w:ascii="Times New Roman" w:hAnsi="Times New Roman"/>
          <w:bCs/>
          <w:szCs w:val="24"/>
        </w:rPr>
      </w:pPr>
      <w:r>
        <w:rPr>
          <w:rFonts w:ascii="Times New Roman" w:hAnsi="Times New Roman"/>
        </w:rPr>
        <w:t>Dans le cadre du programme pour une Europe numérique, au cours de la période 2021-2027, la Commission a soutenu des projets sur les compétences numériques avancées dans le but de promouvoir l’accès des femmes au domaine numérique et d’augmenter le nombre de femmes spécialistes des TIC. (</w:t>
      </w:r>
      <w:r>
        <w:rPr>
          <w:rFonts w:ascii="Times New Roman" w:hAnsi="Times New Roman"/>
          <w:b/>
        </w:rPr>
        <w:t>Paragraphe 14</w:t>
      </w:r>
      <w:r>
        <w:rPr>
          <w:rFonts w:ascii="Times New Roman" w:hAnsi="Times New Roman"/>
        </w:rPr>
        <w:t>)</w:t>
      </w:r>
    </w:p>
    <w:p w:rsidR="00575974" w:rsidRPr="0010111C" w:rsidP="00575974" w14:paraId="060B87C4" w14:textId="1C2A597D">
      <w:pPr>
        <w:widowControl w:val="0"/>
        <w:rPr>
          <w:rFonts w:ascii="Times New Roman" w:hAnsi="Times New Roman"/>
          <w:bCs/>
          <w:szCs w:val="24"/>
        </w:rPr>
      </w:pPr>
      <w:r>
        <w:rPr>
          <w:rFonts w:ascii="Times New Roman" w:hAnsi="Times New Roman"/>
        </w:rPr>
        <w:t>Le plan stratégique pour l’éducation dans les STIM contribue à combler l’écart de genre présent dans l’enseignement et les carrières dans les domaines des sciences, des technologies, de l’ingénierie et des mathématiques (STIM). Des initiatives telles que la semaine des STIM aideront à surmonter les stéréotypes de genre et les préjugés culturels liés à l’éducation et aux carrières dans les STIM et à tirer parti des modèles pour inciter les prochaines générations à étudier et à travailler dans ces domaines. Le plan d’action en matière d’éducation numérique comprenait des actions visant à aider les jeunes étudiantes à développer leurs compétences numériques et entrepreneuriales, telles que les événements «Girls Go STEM»</w:t>
      </w:r>
      <w:r>
        <w:rPr>
          <w:rStyle w:val="FootnoteReference"/>
          <w:rFonts w:ascii="Times New Roman" w:hAnsi="Times New Roman"/>
          <w:bCs/>
          <w:szCs w:val="24"/>
          <w:lang w:val="en-IE"/>
        </w:rPr>
        <w:footnoteReference w:id="6"/>
      </w:r>
      <w:r>
        <w:rPr>
          <w:rFonts w:ascii="Times New Roman" w:hAnsi="Times New Roman"/>
        </w:rPr>
        <w:t xml:space="preserve"> et «ESTEAM Fests» organisés par l’EIT dans différents États membres de l’Union. (</w:t>
      </w:r>
      <w:r>
        <w:rPr>
          <w:rFonts w:ascii="Times New Roman" w:hAnsi="Times New Roman"/>
          <w:b/>
        </w:rPr>
        <w:t>Paragraphes 14, 15</w:t>
      </w:r>
      <w:r>
        <w:rPr>
          <w:rFonts w:ascii="Times New Roman" w:hAnsi="Times New Roman"/>
        </w:rPr>
        <w:t>)</w:t>
      </w:r>
    </w:p>
    <w:p w:rsidR="00E92499" w:rsidRPr="0010111C" w:rsidP="00E92499" w14:paraId="28892EDF" w14:textId="05F315EC">
      <w:pPr>
        <w:widowControl w:val="0"/>
        <w:rPr>
          <w:rFonts w:ascii="Times New Roman" w:hAnsi="Times New Roman"/>
          <w:bCs/>
          <w:szCs w:val="24"/>
        </w:rPr>
      </w:pPr>
      <w:r>
        <w:rPr>
          <w:rFonts w:ascii="Times New Roman" w:hAnsi="Times New Roman"/>
        </w:rPr>
        <w:t>En vertu de la proposition de la Commission relative à la PAC pour la période 2028-2034, les jeunes agriculteurs bénéficieraient d’une augmentation de l’aide au revenu dégressive fondée sur la surface, d’aides à l’installation et d’un soutien à l’investissement avec une intensité d’aide supérieure. Ces mesures pourraient être complétées par d’autres outils tels que des instruments financiers pour les jeunes agriculteurs, une coopération en matière de transmission d’exploitations agricoles ou des services de conseil adaptés aux jeunes agriculteurs. Au-delà de la PAC, la Commission soutient les entreprises dirigées par des femmes par l’intermédiaire du programme pour le marché unique, en finançant des initiatives telles que le réseau Entreprise Europe (EEN), qui fournit aux femmes entrepreneurs des services ciblés, notamment des formations, un accompagnement, un accès au financement, une facilitation des investissements privés, et des partenariats commerciaux internationaux. De même, le programme Erasmus pour jeunes entrepreneurs encourage le talent entrepreneurial féminin en proposant un apprentissage pratique, un mentorat et des échanges transfrontières, avec une majorité de femmes parmi les nouveaux entrepreneurs candidats. (</w:t>
      </w:r>
      <w:r>
        <w:rPr>
          <w:rFonts w:ascii="Times New Roman" w:hAnsi="Times New Roman"/>
          <w:b/>
        </w:rPr>
        <w:t>Paragraphe 22</w:t>
      </w:r>
      <w:r>
        <w:rPr>
          <w:rFonts w:ascii="Times New Roman" w:hAnsi="Times New Roman"/>
        </w:rPr>
        <w:t>)</w:t>
      </w:r>
    </w:p>
    <w:p w:rsidR="00E92499" w:rsidP="00E92499" w14:paraId="3326E608" w14:textId="1BF378E8">
      <w:pPr>
        <w:widowControl w:val="0"/>
        <w:rPr>
          <w:rFonts w:ascii="Times New Roman" w:hAnsi="Times New Roman"/>
          <w:bCs/>
          <w:szCs w:val="24"/>
        </w:rPr>
      </w:pPr>
      <w:r>
        <w:rPr>
          <w:rFonts w:ascii="Times New Roman" w:hAnsi="Times New Roman"/>
        </w:rPr>
        <w:t>La Commission souligne que, dans le cadre de la gestion partagée, les États membres déterminent les dotations au sein de leurs enveloppes. Elle peut encourager des mesures ciblées (par exemple, au titre du Fonds européen agricole pour le développement rural − Feader, ou du Fonds européen de développement régional − FEDER) tout en respectant l’autonomie des États membres dans la conception des programmes. Des indicateurs adéquats refléteront la participation des femmes entrepreneurs. (</w:t>
      </w:r>
      <w:r>
        <w:rPr>
          <w:rFonts w:ascii="Times New Roman" w:hAnsi="Times New Roman"/>
          <w:b/>
        </w:rPr>
        <w:t>Paragraphe 25</w:t>
      </w:r>
      <w:r>
        <w:rPr>
          <w:rFonts w:ascii="Times New Roman" w:hAnsi="Times New Roman"/>
        </w:rPr>
        <w:t>)</w:t>
      </w:r>
    </w:p>
    <w:p w:rsidR="0010111C" w:rsidRPr="0010111C" w:rsidP="00E92499" w14:paraId="2B5850EC" w14:textId="6DFA87F5">
      <w:pPr>
        <w:widowControl w:val="0"/>
        <w:rPr>
          <w:rFonts w:ascii="Times New Roman" w:hAnsi="Times New Roman"/>
          <w:bCs/>
          <w:szCs w:val="24"/>
        </w:rPr>
      </w:pPr>
      <w:r>
        <w:rPr>
          <w:rFonts w:ascii="Times New Roman" w:hAnsi="Times New Roman"/>
        </w:rPr>
        <w:t>Par l’intermédiaire de la stratégie renforcée en faveur des droits des personnes handicapées à l’horizon 2030, publiée le 6 mai 2026, la Commission s’engage à améliorer la mise en œuvre du train de mesures en faveur de l’emploi des personnes handicapées, en partageant les bonnes pratiques et en publiant de nouvelles orientations sur l’emploi des femmes handicapées, ainsi que le passage de l’éducation à l’emploi, et l’IA et les technologies d’assistance sur le lieu de travail. (</w:t>
      </w:r>
      <w:r>
        <w:rPr>
          <w:rFonts w:ascii="Times New Roman" w:hAnsi="Times New Roman"/>
          <w:b/>
        </w:rPr>
        <w:t>Paragraphe 25</w:t>
      </w:r>
      <w:r>
        <w:rPr>
          <w:rFonts w:ascii="Times New Roman" w:hAnsi="Times New Roman"/>
        </w:rPr>
        <w:t>)</w:t>
      </w:r>
    </w:p>
    <w:p w:rsidR="00E92499" w:rsidP="0010111C" w14:paraId="7653A216" w14:textId="29EEC715">
      <w:pPr>
        <w:widowControl w:val="0"/>
        <w:rPr>
          <w:rFonts w:ascii="Times New Roman" w:hAnsi="Times New Roman"/>
          <w:bCs/>
          <w:szCs w:val="24"/>
        </w:rPr>
      </w:pPr>
      <w:r>
        <w:rPr>
          <w:rFonts w:ascii="Times New Roman" w:hAnsi="Times New Roman"/>
        </w:rPr>
        <w:t>Les besoins des régions ultrapériphériques continueront d’être clairement identifiés dans les plans de partenariat national et régional (PNR) proposés. Aux termes du titre VI de la proposition, les États membres concernés mettent en œuvre des mesures pour relever les défis auxquels sont confrontées leurs régions ultrapériphériques respectives. L’approche intégrée proposée vise à faciliter les synergies entre les politiques agricole, régionale, de recherche, numérique et d’innovation tout en veillant à ce que les défis spécifiques qui se posent aux régions rurales et ultrapériphériques soient dûment pris en considération. L’entrepreneuriat féminin peut être soutenu au moyen d’instruments adaptés, notamment la PAC, ainsi que d’autres programmes de l’Union qui favorisent la cohésion territoriale, l’innovation et l’inclusion numérique. (</w:t>
      </w:r>
      <w:r>
        <w:rPr>
          <w:rFonts w:ascii="Times New Roman" w:hAnsi="Times New Roman"/>
          <w:b/>
        </w:rPr>
        <w:t>Paragraphe 26</w:t>
      </w:r>
      <w:r>
        <w:rPr>
          <w:rFonts w:ascii="Times New Roman" w:hAnsi="Times New Roman"/>
        </w:rPr>
        <w:t xml:space="preserve">) </w:t>
      </w:r>
    </w:p>
    <w:p w:rsidR="00E4041E" w:rsidP="00E4041E" w14:paraId="5D701CBC" w14:textId="4600F50B">
      <w:pPr>
        <w:widowControl w:val="0"/>
        <w:rPr>
          <w:rFonts w:ascii="Times New Roman" w:hAnsi="Times New Roman"/>
          <w:bCs/>
          <w:szCs w:val="24"/>
        </w:rPr>
      </w:pPr>
      <w:r>
        <w:rPr>
          <w:rFonts w:ascii="Times New Roman" w:hAnsi="Times New Roman"/>
        </w:rPr>
        <w:t xml:space="preserve">La Commission souligne la valeur ajoutée de l’initiative LEADER (Liaison entre actions de développement de l’économie rurale), dans la mesure où il est proposé que cet instrument devienne obligatoire dans la future PAC, avec une marge de manœuvre laissée aux États membres pour allouer les fonds. La Commission a proposé de réserver au minimum 10 % des montants non cantonnés des plans PNR en faveur des zones rurales, afin de financer des mesures telles que LEADER dans le cadre d’une réponse politique globale qui prend en compte les besoins et les défis des zones rurales. </w:t>
      </w:r>
      <w:bookmarkStart w:id="1" w:name="_Hlk230244405"/>
      <w:r>
        <w:rPr>
          <w:rFonts w:ascii="Times New Roman" w:hAnsi="Times New Roman"/>
        </w:rPr>
        <w:t>(</w:t>
      </w:r>
      <w:r>
        <w:rPr>
          <w:rFonts w:ascii="Times New Roman" w:hAnsi="Times New Roman"/>
          <w:b/>
        </w:rPr>
        <w:t>Paragraphe 26</w:t>
      </w:r>
      <w:r>
        <w:rPr>
          <w:rFonts w:ascii="Times New Roman" w:hAnsi="Times New Roman"/>
        </w:rPr>
        <w:t>)</w:t>
      </w:r>
      <w:bookmarkEnd w:id="1"/>
    </w:p>
    <w:p w:rsidR="00E4041E" w:rsidRPr="0010111C" w:rsidP="00E4041E" w14:paraId="2B48B851" w14:textId="4E181D99">
      <w:pPr>
        <w:widowControl w:val="0"/>
        <w:rPr>
          <w:rFonts w:ascii="Times New Roman" w:hAnsi="Times New Roman"/>
          <w:bCs/>
          <w:szCs w:val="24"/>
        </w:rPr>
      </w:pPr>
      <w:r>
        <w:rPr>
          <w:rFonts w:ascii="Times New Roman" w:hAnsi="Times New Roman"/>
        </w:rPr>
        <w:t>La Commission continue de promouvoir les bonnes pratiques en matière de simplification parmi les États membres, notamment par l’intermédiaire du réseau européen de la PAC. Elle a proposé de recourir davantage aux options de coûts simplifiés dans le cadre de LEADER après 2027, certaines d’entre elles devenant obligatoires. La Commission suit et encourage la participation des femmes aux groupes d’action locale (GAL) et leurs prises de décision. Des données détaillées sont disponibles pour chaque GAL et État membre de l’Union et forment une base pour poursuivre les travaux avec les États membres. (</w:t>
      </w:r>
      <w:r>
        <w:rPr>
          <w:rFonts w:ascii="Times New Roman" w:hAnsi="Times New Roman"/>
          <w:b/>
        </w:rPr>
        <w:t>Paragraphe 26</w:t>
      </w:r>
      <w:r>
        <w:rPr>
          <w:rFonts w:ascii="Times New Roman" w:hAnsi="Times New Roman"/>
        </w:rPr>
        <w:t>)</w:t>
      </w:r>
    </w:p>
    <w:p w:rsidR="00E92499" w:rsidP="00E4041E" w14:paraId="5D2D991F" w14:textId="258304C1">
      <w:pPr>
        <w:widowControl w:val="0"/>
        <w:rPr>
          <w:rFonts w:ascii="Times New Roman" w:hAnsi="Times New Roman"/>
          <w:bCs/>
          <w:szCs w:val="24"/>
        </w:rPr>
      </w:pPr>
      <w:r>
        <w:rPr>
          <w:rFonts w:ascii="Times New Roman" w:hAnsi="Times New Roman"/>
        </w:rPr>
        <w:t>La stratégie de la Commission en faveur de l’égalité entre les hommes et les femmes 2026-2030 contient des actions destinées à promouvoir la participation des femmes au marché du travail et à la vie publique, ainsi qu’à lutter contre les stéréotypes de genre. La directive (UE) 2024/1385 impose aux États membres d’adopter des mesures préventives visant à lutter contre les stéréotypes de genre préjudiciables, à promouvoir l’égalité de genre, le respect mutuel et le droit à l’intégrité de la personne, et à encourager toutes les personnes, en particulier les hommes et les garçons, à se comporter en modèles à suivre pour soutenir les changements de comportement correspondants au sein de la société dans son ensemble. Elle impose également aux États membres de mettre à disposition et de distribuer du matériel éducatif sur le consentement qui favorise la compréhension du fait que le consentement doit être donné volontairement comme résultante du libre arbitre de la personne, du respect mutuel, et du droit à l’intégrité sexuelle et à l’autonomie corporelle. (</w:t>
      </w:r>
      <w:r>
        <w:rPr>
          <w:rFonts w:ascii="Times New Roman" w:hAnsi="Times New Roman"/>
          <w:b/>
        </w:rPr>
        <w:t>Paragraphe 29</w:t>
      </w:r>
      <w:r>
        <w:rPr>
          <w:rFonts w:ascii="Times New Roman" w:hAnsi="Times New Roman"/>
        </w:rPr>
        <w:t>)</w:t>
      </w:r>
    </w:p>
    <w:p w:rsidR="00677A75" w:rsidRPr="00E4041E" w:rsidP="00677A75" w14:paraId="672EFE4B" w14:textId="1FB7D1C0">
      <w:pPr>
        <w:widowControl w:val="0"/>
        <w:rPr>
          <w:rFonts w:ascii="Times New Roman" w:hAnsi="Times New Roman"/>
          <w:bCs/>
          <w:szCs w:val="24"/>
        </w:rPr>
      </w:pPr>
      <w:r>
        <w:rPr>
          <w:rFonts w:ascii="Times New Roman" w:hAnsi="Times New Roman"/>
        </w:rPr>
        <w:t xml:space="preserve">Si le plan STIM vise à accroître la qualité et l’attractivité de l’éducation dans les STIM (afin de renforcer le réservoir de talents dans ces secteurs stratégiques qui souffrent d’un grave déficit de compétences), il encourage aussi une approche des STIM pédagogique, qui rende ces matières plus attrayantes, en particulier pour les étudiantes. Dans le cadre du plan d’action en matière d’éducation numérique, la recommandation du Conseil de 2023 relative à l’enseignement des aptitudes et compétences numériques dans le domaine de l’éducation </w:t>
      </w:r>
      <w:r>
        <w:rPr>
          <w:rFonts w:ascii="Times New Roman" w:hAnsi="Times New Roman"/>
        </w:rPr>
        <w:t>et de la formation souligne la nécessité d’accroître l’attractivité des études et des carrières dans le domaine des technologies de l’information et de la communication (TIC) et dans les secteurs numériques pour les femmes, en fournissant une orientation complète en matière d’études et de carrière. (</w:t>
      </w:r>
      <w:r>
        <w:rPr>
          <w:rFonts w:ascii="Times New Roman" w:hAnsi="Times New Roman"/>
          <w:b/>
        </w:rPr>
        <w:t>Paragraphe 29</w:t>
      </w:r>
      <w:r>
        <w:rPr>
          <w:rFonts w:ascii="Times New Roman" w:hAnsi="Times New Roman"/>
        </w:rPr>
        <w:t>)</w:t>
      </w:r>
    </w:p>
    <w:p w:rsidR="00E4041E" w:rsidRPr="00E4041E" w:rsidP="00E4041E" w14:paraId="094A9CF7" w14:textId="33A0FC7E">
      <w:pPr>
        <w:widowControl w:val="0"/>
        <w:rPr>
          <w:rFonts w:ascii="Times New Roman" w:hAnsi="Times New Roman"/>
          <w:bCs/>
          <w:szCs w:val="24"/>
        </w:rPr>
      </w:pPr>
      <w:r>
        <w:rPr>
          <w:rFonts w:ascii="Times New Roman" w:hAnsi="Times New Roman"/>
        </w:rPr>
        <w:t>La Commission s’engage à collecter systématiquement des données ventilées par sexe, étant donné qu’une politique d’égalité de genre fondée sur des données probantes nécessite des données ventilées solides. (</w:t>
      </w:r>
      <w:r>
        <w:rPr>
          <w:rFonts w:ascii="Times New Roman" w:hAnsi="Times New Roman"/>
          <w:b/>
        </w:rPr>
        <w:t>Paragraphe 30</w:t>
      </w:r>
      <w:r>
        <w:rPr>
          <w:rFonts w:ascii="Times New Roman" w:hAnsi="Times New Roman"/>
        </w:rPr>
        <w:t>)</w:t>
      </w:r>
    </w:p>
    <w:p w:rsidR="00E92499" w:rsidP="00E4041E" w14:paraId="39582D34" w14:textId="48584BF7">
      <w:pPr>
        <w:widowControl w:val="0"/>
        <w:rPr>
          <w:rFonts w:ascii="Times New Roman" w:hAnsi="Times New Roman"/>
          <w:bCs/>
          <w:szCs w:val="24"/>
        </w:rPr>
      </w:pPr>
      <w:r>
        <w:rPr>
          <w:rFonts w:ascii="Times New Roman" w:hAnsi="Times New Roman"/>
        </w:rPr>
        <w:t>Les statistiques de l’enquête sur les forces de travail de l’UE (EFT-UE), fondées sur le règlement d’exécution (UE) 2019/2240 de la Commission, fournissent des données trimestrielles et annuelles ventilées par sexe, âge, pays, région, degré d’urbanisation, secteur d’activité économique, statut professionnel et profession. Ces données statistiques constituent une source abondante d’informations sur la situation des femmes dans les zones rurales sur le marché du travail</w:t>
      </w:r>
      <w:r>
        <w:rPr>
          <w:rStyle w:val="FootnoteReference"/>
          <w:rFonts w:ascii="Times New Roman" w:hAnsi="Times New Roman"/>
          <w:bCs/>
          <w:szCs w:val="24"/>
          <w:lang w:val="en-IE"/>
        </w:rPr>
        <w:footnoteReference w:id="7"/>
      </w:r>
      <w:r>
        <w:rPr>
          <w:rFonts w:ascii="Times New Roman" w:hAnsi="Times New Roman"/>
        </w:rPr>
        <w:t>. Eurostat travaille en étroite coopération avec les instituts nationaux de statistique du système statistique européen afin d’étudier la mise en œuvre de la nouvelle classification détaillée du statut professionnel, qui pourrait fournir des données plus complètes sur la main-d’œuvre à l’avenir. (</w:t>
      </w:r>
      <w:r>
        <w:rPr>
          <w:rFonts w:ascii="Times New Roman" w:hAnsi="Times New Roman"/>
          <w:b/>
        </w:rPr>
        <w:t>Paragraphe 30</w:t>
      </w:r>
      <w:r>
        <w:rPr>
          <w:rFonts w:ascii="Times New Roman" w:hAnsi="Times New Roman"/>
        </w:rPr>
        <w:t>)</w:t>
      </w:r>
    </w:p>
    <w:p w:rsidR="00E4041E" w:rsidRPr="00E4041E" w:rsidP="00E4041E" w14:paraId="61ACD4FB" w14:textId="4889D5FE">
      <w:pPr>
        <w:widowControl w:val="0"/>
        <w:rPr>
          <w:rFonts w:ascii="Times New Roman" w:hAnsi="Times New Roman"/>
          <w:bCs/>
          <w:szCs w:val="24"/>
        </w:rPr>
      </w:pPr>
      <w:r>
        <w:rPr>
          <w:rFonts w:ascii="Times New Roman" w:hAnsi="Times New Roman"/>
        </w:rPr>
        <w:t>Les actions horizontales du plan d’action rural comprennent des actions telles que l’amélioration des statistiques sur les zones rurales, notamment l’augmentation de la granularité des statistiques collectées, la création de l’observatoire rural de l’UE, qui a pour objectif de produire des connaissances améliorées sur les zones rurales et de les rendre accessibles au moyen d’une plateforme de données rurales, et l’élaboration d’une définition des zones rurales fonctionnelles et du test rural. (</w:t>
      </w:r>
      <w:r>
        <w:rPr>
          <w:rFonts w:ascii="Times New Roman" w:hAnsi="Times New Roman"/>
          <w:b/>
        </w:rPr>
        <w:t>Paragraphe 30</w:t>
      </w:r>
      <w:r>
        <w:rPr>
          <w:rFonts w:ascii="Times New Roman" w:hAnsi="Times New Roman"/>
        </w:rPr>
        <w:t>)</w:t>
      </w:r>
    </w:p>
    <w:p w:rsidR="00E92499" w:rsidRPr="00E4041E" w:rsidP="00E92499" w14:paraId="3415E4E0" w14:textId="0EA37477">
      <w:pPr>
        <w:widowControl w:val="0"/>
        <w:rPr>
          <w:rFonts w:ascii="Times New Roman" w:hAnsi="Times New Roman"/>
          <w:bCs/>
          <w:szCs w:val="24"/>
        </w:rPr>
      </w:pPr>
      <w:r>
        <w:rPr>
          <w:rFonts w:ascii="Times New Roman" w:hAnsi="Times New Roman"/>
        </w:rPr>
        <w:t>La recommandation du Conseil de 2019 sur l’accès à la protection sociale invite les États membres à améliorer la transparence et à simplifier l’accès aux régimes de protection sociale en veillant à ce que les informations sur les droits et obligations soient disponibles, accessibles et compréhensibles pour tous les travailleurs salariés et non salariés. Dans ce contexte, si le cadre de l’UE soutient et encourage ces efforts, l’organisation et la mise en œuvre de campagnes de sensibilisation et de programmes de renforcement des capacités continuent de relever principalement de la responsabilité des États membres, compte tenu des contextes institutionnels et sociaux qui leur sont propres. (</w:t>
      </w:r>
      <w:r>
        <w:rPr>
          <w:rFonts w:ascii="Times New Roman" w:hAnsi="Times New Roman"/>
          <w:b/>
        </w:rPr>
        <w:t>Paragraphe 35</w:t>
      </w:r>
      <w:r>
        <w:rPr>
          <w:rFonts w:ascii="Times New Roman" w:hAnsi="Times New Roman"/>
        </w:rPr>
        <w:t>)</w:t>
      </w:r>
    </w:p>
    <w:p w:rsidR="00E92499" w:rsidP="00677A75" w14:paraId="46FA2D4E" w14:textId="144F3AF0">
      <w:pPr>
        <w:widowControl w:val="0"/>
        <w:rPr>
          <w:rFonts w:ascii="Times New Roman" w:hAnsi="Times New Roman"/>
          <w:bCs/>
          <w:szCs w:val="24"/>
        </w:rPr>
      </w:pPr>
      <w:r>
        <w:rPr>
          <w:rFonts w:ascii="Times New Roman" w:hAnsi="Times New Roman"/>
        </w:rPr>
        <w:t>Dans le cadre de la stratégie sur l’équité intergénérationnelle, adoptée le 5 mars 2026, la Commission encouragera l’inspiration, la connexion et l’assistance mutuelle en établissant des partenariats intergénérationnels avec, par exemple, des centres communautaires. La Commission promouvra l’inclusion et les échanges culturels intergénérationnels conformément à la boussole culturelle pour l’Europe. Plusieurs projets sur l’entrepreneuriat social et les thèmes intergénérationnels sont financés au titre d’Erasmus+. Plus de 1500 projets menés dans le cadre du corps européen de solidarité ont contribué à des causes intergénérationnelles</w:t>
      </w:r>
      <w:r>
        <w:rPr>
          <w:rStyle w:val="FootnoteReference"/>
          <w:rFonts w:ascii="Times New Roman" w:hAnsi="Times New Roman"/>
          <w:bCs/>
          <w:szCs w:val="24"/>
        </w:rPr>
        <w:footnoteReference w:id="8"/>
      </w:r>
      <w:r>
        <w:rPr>
          <w:rFonts w:ascii="Times New Roman" w:hAnsi="Times New Roman"/>
        </w:rPr>
        <w:t>. (</w:t>
      </w:r>
      <w:r>
        <w:rPr>
          <w:rFonts w:ascii="Times New Roman" w:hAnsi="Times New Roman"/>
          <w:b/>
        </w:rPr>
        <w:t>Paragraphe 38</w:t>
      </w:r>
      <w:r>
        <w:rPr>
          <w:rFonts w:ascii="Times New Roman" w:hAnsi="Times New Roman"/>
        </w:rPr>
        <w:t>)</w:t>
      </w:r>
    </w:p>
    <w:p w:rsidR="00E4041E" w:rsidRPr="0093031C" w:rsidP="00E4041E" w14:paraId="401F4E7E" w14:textId="223D1B00">
      <w:pPr>
        <w:widowControl w:val="0"/>
        <w:rPr>
          <w:rFonts w:ascii="Times New Roman" w:hAnsi="Times New Roman"/>
          <w:bCs/>
          <w:szCs w:val="24"/>
        </w:rPr>
      </w:pPr>
      <w:r>
        <w:rPr>
          <w:rFonts w:ascii="Times New Roman" w:hAnsi="Times New Roman"/>
        </w:rPr>
        <w:t xml:space="preserve">Si l’artisanat traditionnel, la production alimentaire, l’agritourisme et les chaînes de valeur locales peuvent jouer un rôle important dans le renforcement du tissu social et économique des zones rurales, des données récentes du Centre commun de recherche (JRC) soulignent </w:t>
      </w:r>
      <w:r>
        <w:rPr>
          <w:rFonts w:ascii="Times New Roman" w:hAnsi="Times New Roman"/>
        </w:rPr>
        <w:t>également le potentiel inexploité des territoires ruraux dans une série d’activités innovantes et à forte valeur ajoutée bénéficiant d’un meilleur accès à l’espace ou d’une proximité avec les ressources naturelles. Dans ce contexte, la vision à long terme pour les zones rurales de l’Union souligne l’importance de soutenir les compétences numériques, les écosystèmes d’innovation et la formation à l’entrepreneuriat dans les secteurs émergents, ce qui peut également aider à donner aux citoyens ruraux les moyens d’agir et contribuer à favoriser la diversification et la compétitivité à long terme des économies rurales. (</w:t>
      </w:r>
      <w:r>
        <w:rPr>
          <w:rFonts w:ascii="Times New Roman" w:hAnsi="Times New Roman"/>
          <w:b/>
        </w:rPr>
        <w:t>Paragraphe 45</w:t>
      </w:r>
      <w:r>
        <w:rPr>
          <w:rFonts w:ascii="Times New Roman" w:hAnsi="Times New Roman"/>
        </w:rPr>
        <w:t>)</w:t>
      </w:r>
    </w:p>
    <w:p w:rsidR="00E4041E" w:rsidRPr="00EE6AA9" w:rsidP="00E4041E" w14:paraId="13E424A7" w14:textId="37BB3853">
      <w:pPr>
        <w:widowControl w:val="0"/>
        <w:rPr>
          <w:rFonts w:ascii="Times New Roman" w:hAnsi="Times New Roman"/>
          <w:bCs/>
          <w:szCs w:val="24"/>
        </w:rPr>
      </w:pPr>
      <w:r>
        <w:rPr>
          <w:rFonts w:ascii="Times New Roman" w:hAnsi="Times New Roman"/>
        </w:rPr>
        <w:t>Au cours de la période 2023-2024, la Commission a promu une série d’ateliers consacrés aux programmes compétitifs de l’Union (mécanisme pour l’interconnexion en Europe, programme pour une Europe numérique, LIFE, Erasmus+, Horizon Europe, Europe créative et programme pour le marché unique), a fourni des informations sur tous les appels à projets pertinents et a créé un outil de conseil réservé aux régions ultrapériphériques. Des initiatives similaires seront lancées dans le cadre de la nouvelle stratégie à venir pour les régions ultrapériphériques. (</w:t>
      </w:r>
      <w:r>
        <w:rPr>
          <w:rFonts w:ascii="Times New Roman" w:hAnsi="Times New Roman"/>
          <w:b/>
        </w:rPr>
        <w:t>Paragraphe 48</w:t>
      </w:r>
      <w:r>
        <w:rPr>
          <w:rFonts w:ascii="Times New Roman" w:hAnsi="Times New Roman"/>
        </w:rPr>
        <w:t>)</w:t>
      </w:r>
    </w:p>
    <w:p w:rsidR="00EE6AA9" w:rsidRPr="00EE6AA9" w:rsidP="00EE6AA9" w14:paraId="77117460" w14:textId="121674A5">
      <w:pPr>
        <w:widowControl w:val="0"/>
        <w:rPr>
          <w:rFonts w:ascii="Times New Roman" w:hAnsi="Times New Roman"/>
          <w:bCs/>
          <w:szCs w:val="24"/>
        </w:rPr>
      </w:pPr>
      <w:r>
        <w:rPr>
          <w:rFonts w:ascii="Times New Roman" w:hAnsi="Times New Roman"/>
        </w:rPr>
        <w:t>La stratégie de la Commission pour le renouvellement des générations dans l’agriculture (2025) souligne que la politique foncière dans l’ensemble de l’Union gagnerait à renforcer la coopération et le partage des données entre les États membres. La Commission vise à mettre en place un observatoire européen des terres, initiative phare essentielle devant améliorer la transparence et la coopération dans des domaines tels que les transactions foncières, les prix, les changements d’utilisation et les tendances du marché. À l’appui de cette initiative, elle mène actuellement un projet pilote qui constituera la base analytique de cet observatoire. Ce projet évaluera la disponibilité, l’accessibilité et la qualité des données, et inclura dans l’analyse des données ventilées par sexe.</w:t>
      </w:r>
    </w:p>
    <w:p w:rsidR="00E4041E" w:rsidRPr="00EE6AA9" w:rsidP="00EE6AA9" w14:paraId="2D2CDA0D" w14:textId="6FB535EF">
      <w:pPr>
        <w:widowControl w:val="0"/>
        <w:rPr>
          <w:rFonts w:ascii="Times New Roman" w:hAnsi="Times New Roman"/>
          <w:bCs/>
          <w:szCs w:val="24"/>
        </w:rPr>
      </w:pPr>
      <w:r>
        <w:rPr>
          <w:rFonts w:ascii="Times New Roman" w:hAnsi="Times New Roman"/>
        </w:rPr>
        <w:t>En outre, la Commission a créé un groupe d’experts sur les terres agricoles, composé d’autorités des États membres et d’organisations de parties prenantes de l’Union. Ce groupe aura notamment pour mission de faciliter l’échange d’expériences et de bonnes pratiques en matière d’accès aux terres agricoles, ce qui englobe les services de mobilité foncière, les autres modèles de propriété et de transfert d’entreprise, les banques foncières et les terres abandonnées réutilisées, la participation d’institutions financières publiques pour améliorer l’accès aux terres agricoles et les stratégies visant à réduire les coûts des transactions foncières pour les petites exploitations. (</w:t>
      </w:r>
      <w:r>
        <w:rPr>
          <w:rFonts w:ascii="Times New Roman" w:hAnsi="Times New Roman"/>
          <w:b/>
        </w:rPr>
        <w:t>Paragraphe 54</w:t>
      </w:r>
      <w:r>
        <w:rPr>
          <w:rFonts w:ascii="Times New Roman" w:hAnsi="Times New Roman"/>
        </w:rPr>
        <w:t>)</w:t>
      </w:r>
    </w:p>
    <w:p w:rsidR="00E4041E" w:rsidRPr="00EE6AA9" w:rsidP="00E4041E" w14:paraId="5AB1E5FA" w14:textId="62A532C7">
      <w:pPr>
        <w:widowControl w:val="0"/>
        <w:rPr>
          <w:rFonts w:ascii="Times New Roman" w:hAnsi="Times New Roman"/>
          <w:bCs/>
          <w:szCs w:val="24"/>
        </w:rPr>
      </w:pPr>
      <w:r>
        <w:rPr>
          <w:rFonts w:ascii="Times New Roman" w:hAnsi="Times New Roman"/>
        </w:rPr>
        <w:t>Dans le cadre de la stratégie européenne de lutte contre la pauvreté, une série d’initiatives a été annoncée afin de lutter contre la pauvreté et l’exclusion sociale dans tous les groupes d’âge, et notamment de favoriser la participation active des personnes qui sont en capacité et en âge de travailler mais qui sont exclues du marché du travail (et de l’économie), en particulier celles qui appartiennent à des groupes vulnérables. Pour soutenir ces actions, un financement au titre du FSE+ est mis à la disposition des États membres. Il est important de noter que la Commission lancera en 2026 une première phase de consultation des partenaires sociaux afin d’étudier les mesures législatives possibles au niveau de l’Union pour soutenir l’activation des personnes exclues du marché du travail, en facilitant notamment l’identification et la sensibilisation de ces personnes exclues du marché du travail, ainsi que la mise en place de parcours d’insertion personnalisés, avec la mobilisation de toutes les autorités compétentes dans un cadre de coopération accrue. (</w:t>
      </w:r>
      <w:r>
        <w:rPr>
          <w:rFonts w:ascii="Times New Roman" w:hAnsi="Times New Roman"/>
          <w:b/>
        </w:rPr>
        <w:t>Paragraphe 59</w:t>
      </w:r>
      <w:r>
        <w:rPr>
          <w:rFonts w:ascii="Times New Roman" w:hAnsi="Times New Roman"/>
        </w:rPr>
        <w:t>)</w:t>
      </w:r>
    </w:p>
    <w:p w:rsidR="00E4041E" w:rsidRPr="00EE6AA9" w:rsidP="00E4041E" w14:paraId="5E60BBA8" w14:textId="541D0E0C">
      <w:pPr>
        <w:widowControl w:val="0"/>
        <w:rPr>
          <w:rFonts w:ascii="Times New Roman" w:hAnsi="Times New Roman"/>
          <w:bCs/>
          <w:szCs w:val="24"/>
        </w:rPr>
      </w:pPr>
      <w:r>
        <w:rPr>
          <w:rFonts w:ascii="Times New Roman" w:hAnsi="Times New Roman"/>
        </w:rPr>
        <w:t xml:space="preserve">La vision pour l’agriculture et l’alimentation (2025) souligne l’importance d’attirer davantage de femmes et de jeunes dans la profession, notamment en améliorant les conditions de travail et de vie dans l’agriculture et les zones rurales. L’augmentation de l’attractivité du secteur agricole est l’objectif clé de la stratégie de renouvellement des générations (2025), qui vise à encourager l’entrepreneuriat et à faciliter l’accès au capital, à la terre et aux compétences afin que les jeunes agriculteurs puissent se lancer et prospérer </w:t>
      </w:r>
      <w:r>
        <w:rPr>
          <w:rFonts w:ascii="Times New Roman" w:hAnsi="Times New Roman"/>
        </w:rPr>
        <w:t>dans leur activité. (</w:t>
      </w:r>
      <w:r>
        <w:rPr>
          <w:rFonts w:ascii="Times New Roman" w:hAnsi="Times New Roman"/>
          <w:b/>
        </w:rPr>
        <w:t>Paragraphe 63</w:t>
      </w:r>
      <w:r>
        <w:rPr>
          <w:rFonts w:ascii="Times New Roman" w:hAnsi="Times New Roman"/>
        </w:rPr>
        <w:t>)</w:t>
      </w:r>
    </w:p>
    <w:p w:rsidR="00EE6AA9" w:rsidRPr="00EE6AA9" w:rsidP="00EE6AA9" w14:paraId="19E0F3A8" w14:textId="3DB95105">
      <w:pPr>
        <w:widowControl w:val="0"/>
        <w:rPr>
          <w:rFonts w:ascii="Times New Roman" w:hAnsi="Times New Roman"/>
          <w:bCs/>
          <w:szCs w:val="24"/>
        </w:rPr>
      </w:pPr>
      <w:r>
        <w:rPr>
          <w:rFonts w:ascii="Times New Roman" w:hAnsi="Times New Roman"/>
        </w:rPr>
        <w:t>La Commission a conscience que les transports jouent un rôle crucial pour les régions ultrapériphériques, à savoir les régions les plus reculées de l’Union. Les îles et les régions ultrapériphériques sont en général particulièrement touchées par la précarité en matière de transport, notamment en ce qui concerne l’accès des habitants aux services socio-économiques essentiels, la forte dépendance à l’égard des transports aériens et maritimes et la moindre substituabilité des modes de transport. Les spécificités des régions ultrapériphériques sont intégrées dans les politiques, les propositions législatives et les programmes de l’Union. Par exemple, le règlement révisé relatif au réseau transeuropéen de transport augmente le nombre de ports, d’aéroports et de nœuds urbains pouvant bénéficier d’un financement au titre du mécanisme pour l’interconnexion en Europe (MIE). La Commission privilégie les complémentarités et les synergies pour tirer le meilleur parti de toutes les possibilités offertes par les fonds de l’Union, sans double financement. (</w:t>
      </w:r>
      <w:r>
        <w:rPr>
          <w:rFonts w:ascii="Times New Roman" w:hAnsi="Times New Roman"/>
          <w:b/>
        </w:rPr>
        <w:t>Paragraphe 64</w:t>
      </w:r>
      <w:r>
        <w:rPr>
          <w:rFonts w:ascii="Times New Roman" w:hAnsi="Times New Roman"/>
        </w:rPr>
        <w:t>)</w:t>
      </w:r>
    </w:p>
    <w:p w:rsidR="00E4041E" w:rsidRPr="00EE6AA9" w:rsidP="00EE6AA9" w14:paraId="400BF92B" w14:textId="2C33B485">
      <w:pPr>
        <w:widowControl w:val="0"/>
        <w:rPr>
          <w:rFonts w:ascii="Times New Roman" w:hAnsi="Times New Roman"/>
          <w:bCs/>
          <w:szCs w:val="24"/>
        </w:rPr>
      </w:pPr>
      <w:r>
        <w:rPr>
          <w:rFonts w:ascii="Times New Roman" w:hAnsi="Times New Roman"/>
        </w:rPr>
        <w:t>Par ailleurs, le plan d’action rural comprend des mesures sur la mobilité rurale, la connectivité numérique, l’accès aux services et les liens entre zones rurales et zones urbaines. (</w:t>
      </w:r>
      <w:r>
        <w:rPr>
          <w:rFonts w:ascii="Times New Roman" w:hAnsi="Times New Roman"/>
          <w:b/>
        </w:rPr>
        <w:t>Paragraphe 64</w:t>
      </w:r>
      <w:r>
        <w:rPr>
          <w:rFonts w:ascii="Times New Roman" w:hAnsi="Times New Roman"/>
        </w:rPr>
        <w:t>)</w:t>
      </w:r>
    </w:p>
    <w:p w:rsidR="00EE6AA9" w:rsidRPr="00EE6AA9" w:rsidP="00EE6AA9" w14:paraId="1C6CF8F6" w14:textId="19CAA7DC">
      <w:pPr>
        <w:widowControl w:val="0"/>
        <w:rPr>
          <w:rFonts w:ascii="Times New Roman" w:hAnsi="Times New Roman"/>
          <w:bCs/>
          <w:szCs w:val="24"/>
        </w:rPr>
      </w:pPr>
      <w:r>
        <w:rPr>
          <w:rFonts w:ascii="Times New Roman" w:hAnsi="Times New Roman"/>
        </w:rPr>
        <w:t>S’agissant de la directive concernant l’équilibre entre vie professionnelle et vie privée, la Commission donne actuellement suite à l’arrêt de la Cour de justice de l’Union européenne (CJUE) sur sa transposition complète dans un État membre, évalue la conformité des mesures nationales et organise des réunions avec les États membres pour examiner les éventuels problèmes de conformité. Comme indiqué également dans la stratégie en faveur de l’égalité de genre 2026-2030, les États membres doivent faire rapport à la Commission sur la mise en œuvre en 2027 et le rapport de mise en œuvre sera ensuite élaboré par la Commission en 2028. La Commission préparera également son rapport sur les progrès accomplis pour atteindre les objectifs de Barcelone pour 2030 et sur la recommandation du Conseil sur les soins de longue durée (fin 2027), tandis qu’est prévu un dialogue sur la mise en œuvre des soins. (</w:t>
      </w:r>
      <w:r>
        <w:rPr>
          <w:rFonts w:ascii="Times New Roman" w:hAnsi="Times New Roman"/>
          <w:b/>
        </w:rPr>
        <w:t>Paragraphe 65</w:t>
      </w:r>
      <w:r>
        <w:rPr>
          <w:rFonts w:ascii="Times New Roman" w:hAnsi="Times New Roman"/>
        </w:rPr>
        <w:t>)</w:t>
      </w:r>
    </w:p>
    <w:p w:rsidR="00E4041E" w:rsidRPr="00EE6AA9" w:rsidP="00EE6AA9" w14:paraId="463931E7" w14:textId="43F7E43E">
      <w:pPr>
        <w:widowControl w:val="0"/>
        <w:rPr>
          <w:rFonts w:ascii="Times New Roman" w:hAnsi="Times New Roman"/>
          <w:bCs/>
          <w:szCs w:val="24"/>
        </w:rPr>
      </w:pPr>
      <w:r>
        <w:rPr>
          <w:rFonts w:ascii="Times New Roman" w:hAnsi="Times New Roman"/>
        </w:rPr>
        <w:t>En ce qui concerne la fourniture de services abordables de garde d’enfants et de soins connexes, en vue de permettre une participation et une inclusion égales des femmes sur le marché du travail et dans l’économie, la Commission lancera une première phase de consultations des partenaires sociaux afin d’étudier les possibilités d’action législative au niveau de l’Union, dans le cadre des initiatives de suivi de la stratégie européenne de lutte contre la pauvreté (2026) axées sur le soutien à l’inclusion active de la population en âge de travailler. (</w:t>
      </w:r>
      <w:r>
        <w:rPr>
          <w:rFonts w:ascii="Times New Roman" w:hAnsi="Times New Roman"/>
          <w:b/>
        </w:rPr>
        <w:t>Paragraphe 65</w:t>
      </w:r>
      <w:r>
        <w:rPr>
          <w:rFonts w:ascii="Times New Roman" w:hAnsi="Times New Roman"/>
        </w:rPr>
        <w:t>)</w:t>
      </w:r>
    </w:p>
    <w:p w:rsidR="00E4041E" w:rsidRPr="00530DAC" w:rsidP="00E4041E" w14:paraId="1B3C43DD" w14:textId="246CA584">
      <w:pPr>
        <w:widowControl w:val="0"/>
        <w:rPr>
          <w:rFonts w:ascii="Times New Roman" w:hAnsi="Times New Roman"/>
          <w:bCs/>
          <w:szCs w:val="24"/>
        </w:rPr>
      </w:pPr>
      <w:r>
        <w:rPr>
          <w:rFonts w:ascii="Times New Roman" w:hAnsi="Times New Roman"/>
        </w:rPr>
        <w:t>La Commission partage l’avis du Parlement selon lequel le logement peut jouer un rôle dans l’entrepreneuriat féminin dans les zones rurales et insulaires et dans les régions ultrapériphériques. Elle note que le plan européen pour des logements abordables</w:t>
      </w:r>
      <w:r>
        <w:rPr>
          <w:rStyle w:val="FootnoteReference"/>
          <w:rFonts w:ascii="Times New Roman" w:hAnsi="Times New Roman"/>
          <w:bCs/>
          <w:szCs w:val="24"/>
          <w:lang w:val="en-IE"/>
        </w:rPr>
        <w:footnoteReference w:id="9"/>
      </w:r>
      <w:r>
        <w:rPr>
          <w:rFonts w:ascii="Times New Roman" w:hAnsi="Times New Roman"/>
        </w:rPr>
        <w:t xml:space="preserve"> reconnaît le problème du dépeuplement dans les zones rurales, y compris dans certaines régions ultrapériphériques de l’Union qui font face à des difficultés pour accéder à des infrastructures et à des services (notamment sociaux) essentiels. Plus précisément, une des actions du plan vise à stimuler les réformes structurelles des États membres afin de rendre le logement plus abordable et indique que les réformes doivent soutenir tant les zones urbaines confrontées à une pénurie de logement que les territoires ruraux et éloignés qui connaissent </w:t>
      </w:r>
      <w:r>
        <w:rPr>
          <w:rFonts w:ascii="Times New Roman" w:hAnsi="Times New Roman"/>
        </w:rPr>
        <w:t>un déclin démographique. Le document de travail des services de la Commission</w:t>
      </w:r>
      <w:r>
        <w:rPr>
          <w:rStyle w:val="FootnoteReference"/>
          <w:rFonts w:ascii="Times New Roman" w:hAnsi="Times New Roman"/>
          <w:bCs/>
          <w:szCs w:val="24"/>
          <w:lang w:val="en-IE"/>
        </w:rPr>
        <w:footnoteReference w:id="10"/>
      </w:r>
      <w:r>
        <w:rPr>
          <w:rFonts w:ascii="Times New Roman" w:hAnsi="Times New Roman"/>
        </w:rPr>
        <w:t xml:space="preserve"> qui accompagne le plan fait également référence aux différences intergénérationnelles en matière d’accès au logement et aux disparités en matière d’accumulation de richesses. Dans le même temps, la Commission note que le logement relève principalement de la compétence des États membres et des autorités régionales et locales, et que les concepts de logement intergénérationnel pour les zones rurales qui combinent logement, soins et vie communautaire pour les jeunes familles et les personnes âgées doivent être ancrés dans la subsidiarité, en donnant au niveau local les moyens de proposer des solutions adaptées à leurs besoins uniques. (</w:t>
      </w:r>
      <w:r>
        <w:rPr>
          <w:rFonts w:ascii="Times New Roman" w:hAnsi="Times New Roman"/>
          <w:b/>
        </w:rPr>
        <w:t>Paragraphe 69</w:t>
      </w:r>
      <w:r>
        <w:rPr>
          <w:rFonts w:ascii="Times New Roman" w:hAnsi="Times New Roman"/>
        </w:rPr>
        <w:t>)</w:t>
      </w:r>
    </w:p>
    <w:p w:rsidR="00E4041E" w:rsidRPr="0027044D" w:rsidP="00E4041E" w14:paraId="62993802" w14:textId="342D63EC">
      <w:pPr>
        <w:widowControl w:val="0"/>
        <w:rPr>
          <w:rFonts w:ascii="Times New Roman" w:hAnsi="Times New Roman"/>
          <w:bCs/>
          <w:szCs w:val="24"/>
        </w:rPr>
      </w:pPr>
      <w:r>
        <w:rPr>
          <w:rFonts w:ascii="Times New Roman" w:hAnsi="Times New Roman"/>
        </w:rPr>
        <w:t>L’Union a adopté son tout premier acte législatif sur la lutte contre la violence à l’égard des femmes et la violence domestique en mai 2024: la directive (UE) 2024/1385. Cette dernière prévoit un ensemble complet de mesures de protection, d’accès à la justice et de soutien aux victimes de violence à l’égard des femmes et de violence domestique. Elle impose également des mesures de prévention solides et érige en infraction pénale certaines formes de violence à l’égard des femmes hors ligne et en ligne. (</w:t>
      </w:r>
      <w:r>
        <w:rPr>
          <w:rFonts w:ascii="Times New Roman" w:hAnsi="Times New Roman"/>
          <w:b/>
        </w:rPr>
        <w:t>Paragraphe 78</w:t>
      </w:r>
      <w:r>
        <w:rPr>
          <w:rFonts w:ascii="Times New Roman" w:hAnsi="Times New Roman"/>
        </w:rPr>
        <w:t>)</w:t>
      </w:r>
    </w:p>
    <w:p w:rsidR="00E4041E" w:rsidRPr="0027044D" w:rsidP="0027044D" w14:paraId="2B06999E" w14:textId="6D01784F">
      <w:pPr>
        <w:widowControl w:val="0"/>
        <w:rPr>
          <w:rFonts w:ascii="Times New Roman" w:hAnsi="Times New Roman"/>
          <w:bCs/>
          <w:szCs w:val="24"/>
        </w:rPr>
      </w:pPr>
      <w:r>
        <w:rPr>
          <w:rFonts w:ascii="Times New Roman" w:hAnsi="Times New Roman"/>
        </w:rPr>
        <w:t>Lorsqu’elles vivent dans des zones rurales, les femmes victimes de violence ou de violence domestique sont considérées comme des victimes de discrimination intersectionnelle et courent donc un risque accru de violence. Pour cette raison, la directive (UE) 2024/1385 impose aux États membres de leur apporter un soutien spécifique. La Commission examinera si les plans d’action nationaux des États membres (qui doivent être adoptés d’ici juin 2029) répondent correctement à l’objectif de prévention et de lutte contre la violence à l’égard des femmes et la violence domestique, comme l’exige la directive, y compris en ce qui concerne les groupes de victimes faisant l’objet d’une discrimination intersectionnelle (qui comprennent donc les femmes vivant dans des zones rurales). (</w:t>
      </w:r>
      <w:r>
        <w:rPr>
          <w:rFonts w:ascii="Times New Roman" w:hAnsi="Times New Roman"/>
          <w:b/>
        </w:rPr>
        <w:t>Paragraphe 82</w:t>
      </w:r>
      <w:r>
        <w:rPr>
          <w:rFonts w:ascii="Times New Roman" w:hAnsi="Times New Roman"/>
        </w:rPr>
        <w:t>)</w:t>
      </w:r>
    </w:p>
    <w:p w:rsidR="00E4041E" w:rsidP="001A6D6B" w14:paraId="374003A9" w14:textId="771678DD">
      <w:pPr>
        <w:widowControl w:val="0"/>
        <w:rPr>
          <w:rFonts w:ascii="Times New Roman" w:hAnsi="Times New Roman"/>
          <w:bCs/>
          <w:szCs w:val="24"/>
        </w:rPr>
      </w:pPr>
      <w:r>
        <w:rPr>
          <w:rFonts w:ascii="Times New Roman" w:hAnsi="Times New Roman"/>
        </w:rPr>
        <w:t>Le projet de règlement CFP encourage les États membres à adopter une réponse politique globale pour développer des zones rurales prospères et une planification intégrée (considérant 31). Conformément aux objectifs spécifiques énoncés à l’article 3 de la proposition de règlement PNR, les futurs plans devraient favoriser l’attractivité des territoires, notamment en soutenant les stratégies de développement intégré des zones rurales et les services et infrastructures territoriaux, et améliorer la qualité et le niveau de vie dans les zones rurales, afin de garantir le renouvellement générationnel. (</w:t>
      </w:r>
      <w:r>
        <w:rPr>
          <w:rFonts w:ascii="Times New Roman" w:hAnsi="Times New Roman"/>
          <w:b/>
        </w:rPr>
        <w:t>Paragraphe 84</w:t>
      </w:r>
      <w:r>
        <w:rPr>
          <w:rFonts w:ascii="Times New Roman" w:hAnsi="Times New Roman"/>
        </w:rPr>
        <w:t>)</w:t>
      </w:r>
    </w:p>
    <w:p w:rsidR="0027044D" w:rsidRPr="00530DAC" w:rsidP="0027044D" w14:paraId="671A6928" w14:textId="383B1C4C">
      <w:pPr>
        <w:widowControl w:val="0"/>
        <w:rPr>
          <w:rFonts w:ascii="Times New Roman" w:hAnsi="Times New Roman"/>
          <w:szCs w:val="24"/>
        </w:rPr>
      </w:pPr>
      <w:r>
        <w:rPr>
          <w:rFonts w:ascii="Times New Roman" w:hAnsi="Times New Roman"/>
        </w:rPr>
        <w:t>La Commission salue les efforts visant à améliorer la visibilité et l’accessibilité du financement de l’Union pour les femmes dans les zones rurales mais rappelle que, dans le cadre de la gestion partagée, les États membres sont responsables de la conception et de la promotion de leurs programmes, y compris des actions de sensibilisation ciblées. La Commission soutient la sensibilisation et encourage les États membres à donner la priorité aux stratégies de communication inclusives. (</w:t>
      </w:r>
      <w:r>
        <w:rPr>
          <w:rFonts w:ascii="Times New Roman" w:hAnsi="Times New Roman"/>
          <w:b/>
        </w:rPr>
        <w:t>Paragraphe 84</w:t>
      </w:r>
      <w:r>
        <w:rPr>
          <w:rFonts w:ascii="Times New Roman" w:hAnsi="Times New Roman"/>
        </w:rPr>
        <w:t>)</w:t>
      </w:r>
    </w:p>
    <w:p w:rsidR="00E92499" w:rsidRPr="00B57D23" w:rsidP="00E92499" w14:paraId="5EEA2837" w14:textId="77777777">
      <w:pPr>
        <w:widowControl w:val="0"/>
        <w:rPr>
          <w:rFonts w:ascii="Times New Roman" w:hAnsi="Times New Roman"/>
          <w:bCs/>
          <w:szCs w:val="24"/>
        </w:rPr>
      </w:pPr>
    </w:p>
    <w:sectPr w:rsidSect="00812321">
      <w:footerReference w:type="even" r:id="rId9"/>
      <w:footerReference w:type="default" r:id="rId10"/>
      <w:footerReference w:type="first" r:id="rId11"/>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roman"/>
    <w:notTrueType/>
    <w:pitch w:val="default"/>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068" w:rsidP="00442B2E" w14:paraId="244C2131" w14:textId="77777777">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60B64" w14:paraId="1A7A8C1D" w14:textId="77777777">
      <w:r>
        <w:separator/>
      </w:r>
    </w:p>
  </w:footnote>
  <w:footnote w:type="continuationSeparator" w:id="1">
    <w:p w:rsidR="00560B64" w14:paraId="32356EC2" w14:textId="77777777">
      <w:r>
        <w:continuationSeparator/>
      </w:r>
    </w:p>
  </w:footnote>
  <w:footnote w:type="continuationNotice" w:id="2">
    <w:p w:rsidR="00560B64" w14:paraId="22E6CAB4" w14:textId="77777777">
      <w:pPr>
        <w:spacing w:after="0"/>
      </w:pPr>
    </w:p>
  </w:footnote>
  <w:footnote w:id="3">
    <w:p w:rsidR="00C15423" w:rsidRPr="00B57D23" w:rsidP="00C15423" w14:paraId="1FEDCC7E" w14:textId="7BBBABC0">
      <w:pPr>
        <w:pStyle w:val="FootnoteText"/>
        <w:rPr>
          <w:rFonts w:ascii="Times New Roman" w:hAnsi="Times New Roman"/>
        </w:rPr>
      </w:pPr>
      <w:r>
        <w:rPr>
          <w:rStyle w:val="FootnoteReference"/>
        </w:rPr>
        <w:footnoteRef/>
      </w:r>
      <w:r>
        <w:t xml:space="preserve"> </w:t>
      </w:r>
      <w:r>
        <w:rPr>
          <w:rFonts w:ascii="Times New Roman" w:hAnsi="Times New Roman"/>
        </w:rPr>
        <w:t>DIRECTIVE (UE) 2019/1158 DU PARLEMENT EUROPÉEN ET DU CONSEIL du 20 juin 2019 concernant l’équilibre entre vie professionnelle et vie privée des parents et des aidants et abrogeant la directive 2010/18/UE du Conseil.</w:t>
      </w:r>
    </w:p>
  </w:footnote>
  <w:footnote w:id="4">
    <w:p w:rsidR="00C15423" w:rsidRPr="00C15423" w14:paraId="7C74E659" w14:textId="5723D0B6">
      <w:pPr>
        <w:pStyle w:val="FootnoteText"/>
      </w:pPr>
      <w:r>
        <w:rPr>
          <w:rStyle w:val="FootnoteReference"/>
        </w:rPr>
        <w:footnoteRef/>
      </w:r>
      <w:r>
        <w:t xml:space="preserve"> </w:t>
      </w:r>
      <w:r>
        <w:rPr>
          <w:rFonts w:ascii="Times New Roman" w:hAnsi="Times New Roman"/>
        </w:rPr>
        <w:t>Recommandation du Conseil du 8 décembre 2022 concernant l’éducation et l’accueil de la petite enfance: les objectifs de Barcelone pour 2030 (2022/C 484/01).</w:t>
      </w:r>
    </w:p>
  </w:footnote>
  <w:footnote w:id="5">
    <w:p w:rsidR="00F85794" w:rsidRPr="00F85794" w:rsidP="00F85794" w14:paraId="06EFB9AD" w14:textId="56549326">
      <w:pPr>
        <w:pStyle w:val="FootnoteText"/>
      </w:pPr>
      <w:r>
        <w:rPr>
          <w:rStyle w:val="FootnoteReference"/>
        </w:rPr>
        <w:footnoteRef/>
      </w:r>
      <w:r>
        <w:t xml:space="preserve"> </w:t>
      </w:r>
      <w:r>
        <w:rPr>
          <w:rFonts w:ascii="Times New Roman" w:hAnsi="Times New Roman"/>
        </w:rPr>
        <w:t>La déclaration de Herning sur un enseignement et une formation professionnels attractifs et inclusifs pour une compétitivité accrue et des emplois de qualité 2026-2030.</w:t>
      </w:r>
    </w:p>
  </w:footnote>
  <w:footnote w:id="6">
    <w:p w:rsidR="00F11529" w:rsidP="00F11529" w14:paraId="56501FB5" w14:textId="77777777">
      <w:pPr>
        <w:pStyle w:val="pf0"/>
        <w:rPr>
          <w:rFonts w:ascii="Arial" w:hAnsi="Arial" w:cs="Arial"/>
          <w:sz w:val="20"/>
          <w:szCs w:val="20"/>
        </w:rPr>
      </w:pPr>
      <w:r>
        <w:rPr>
          <w:rStyle w:val="FootnoteReference"/>
        </w:rPr>
        <w:footnoteRef/>
      </w:r>
      <w:r>
        <w:t xml:space="preserve"> </w:t>
      </w:r>
      <w:hyperlink r:id="rId1" w:history="1">
        <w:r>
          <w:rPr>
            <w:rStyle w:val="Hyperlink"/>
            <w:rFonts w:ascii="Segoe UI" w:hAnsi="Segoe UI"/>
            <w:sz w:val="18"/>
          </w:rPr>
          <w:t>https://eit-girlsgostem.eu/</w:t>
        </w:r>
      </w:hyperlink>
      <w:r>
        <w:rPr>
          <w:rStyle w:val="cf11"/>
        </w:rPr>
        <w:t xml:space="preserve">. </w:t>
      </w:r>
    </w:p>
    <w:p w:rsidR="00F11529" w:rsidRPr="00193D66" w14:paraId="000FE030" w14:textId="5ADD534B">
      <w:pPr>
        <w:pStyle w:val="FootnoteText"/>
        <w:rPr>
          <w:lang w:val="fr-BE"/>
        </w:rPr>
      </w:pPr>
    </w:p>
  </w:footnote>
  <w:footnote w:id="7">
    <w:p w:rsidR="00202394" w:rsidRPr="00AE041B" w14:paraId="3926BF2C" w14:textId="26F2B82C">
      <w:pPr>
        <w:pStyle w:val="FootnoteText"/>
        <w:rPr>
          <w:rFonts w:ascii="Times New Roman" w:hAnsi="Times New Roman"/>
          <w:bCs/>
        </w:rPr>
      </w:pPr>
      <w:r>
        <w:rPr>
          <w:rStyle w:val="FootnoteReference"/>
        </w:rPr>
        <w:footnoteRef/>
      </w:r>
      <w:r>
        <w:t xml:space="preserve"> </w:t>
      </w:r>
      <w:r>
        <w:rPr>
          <w:rFonts w:ascii="Times New Roman" w:hAnsi="Times New Roman"/>
        </w:rPr>
        <w:t>Eurostat ne produit pas de statistiques sur les femmes dans le tourisme ventilées par zones rurales et n’envisage pas, pour le moment, d’élaborer de telles statistiques à l’avenir.</w:t>
      </w:r>
    </w:p>
  </w:footnote>
  <w:footnote w:id="8">
    <w:p w:rsidR="00677A75" w:rsidRPr="00677A75" w14:paraId="3E94CAE6" w14:textId="55F51DA1">
      <w:pPr>
        <w:pStyle w:val="FootnoteText"/>
      </w:pPr>
      <w:r>
        <w:rPr>
          <w:rStyle w:val="FootnoteReference"/>
        </w:rPr>
        <w:footnoteRef/>
      </w:r>
      <w:r>
        <w:t xml:space="preserve"> </w:t>
      </w:r>
      <w:hyperlink r:id="rId2" w:history="1">
        <w:r>
          <w:rPr>
            <w:rStyle w:val="Hyperlink"/>
            <w:rFonts w:ascii="Times New Roman" w:hAnsi="Times New Roman"/>
          </w:rPr>
          <w:t>https://youth.europa.eu/solidarity/young-people/about_fr</w:t>
        </w:r>
      </w:hyperlink>
      <w:r>
        <w:t>.</w:t>
      </w:r>
    </w:p>
  </w:footnote>
  <w:footnote w:id="9">
    <w:p w:rsidR="00EE6AA9" w:rsidRPr="00677A75" w14:paraId="0E5451A2" w14:textId="6C2A4EDA">
      <w:pPr>
        <w:pStyle w:val="FootnoteText"/>
        <w:rPr>
          <w:rFonts w:ascii="Times New Roman" w:hAnsi="Times New Roman"/>
        </w:rPr>
      </w:pPr>
      <w:r>
        <w:rPr>
          <w:rStyle w:val="FootnoteReference"/>
        </w:rPr>
        <w:footnoteRef/>
      </w:r>
      <w:r>
        <w:t xml:space="preserve"> </w:t>
      </w:r>
      <w:hyperlink r:id="rId3" w:history="1">
        <w:r>
          <w:rPr>
            <w:rStyle w:val="Hyperlink"/>
            <w:rFonts w:ascii="Times New Roman" w:hAnsi="Times New Roman"/>
            <w:color w:val="467886"/>
          </w:rPr>
          <w:t>https://eur-lex.europa.eu/legal-content/FR/TXT/?uri=CELEX:52025DC1025</w:t>
        </w:r>
      </w:hyperlink>
      <w:r>
        <w:t>.</w:t>
      </w:r>
    </w:p>
  </w:footnote>
  <w:footnote w:id="10">
    <w:p w:rsidR="00EE6AA9" w:rsidRPr="00B57D23" w14:paraId="65B2345C" w14:textId="66B2B9AF">
      <w:pPr>
        <w:pStyle w:val="FootnoteText"/>
      </w:pPr>
      <w:r>
        <w:rPr>
          <w:rStyle w:val="FootnoteReference"/>
          <w:rFonts w:ascii="Times New Roman" w:hAnsi="Times New Roman"/>
        </w:rPr>
        <w:footnoteRef/>
      </w:r>
      <w:r>
        <w:rPr>
          <w:rFonts w:ascii="Times New Roman" w:hAnsi="Times New Roman"/>
        </w:rPr>
        <w:t xml:space="preserve"> </w:t>
      </w:r>
      <w:hyperlink r:id="rId4" w:history="1">
        <w:r>
          <w:rPr>
            <w:rStyle w:val="Hyperlink"/>
            <w:rFonts w:ascii="Times New Roman" w:hAnsi="Times New Roman"/>
            <w:color w:val="467886"/>
          </w:rPr>
          <w:t>https://eur-lex.europa.eu/legal-content/FR/TXT/?uri=CELEX:52025SC1053</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2EA760E"/>
    <w:multiLevelType w:val="hybridMultilevel"/>
    <w:tmpl w:val="9F50445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
    <w:nsid w:val="036F73F3"/>
    <w:multiLevelType w:val="hybridMultilevel"/>
    <w:tmpl w:val="FF68FB5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
    <w:nsid w:val="0415412D"/>
    <w:multiLevelType w:val="hybridMultilevel"/>
    <w:tmpl w:val="3A46E50C"/>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1">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4">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7">
    <w:nsid w:val="2FFA3AE7"/>
    <w:multiLevelType w:val="hybridMultilevel"/>
    <w:tmpl w:val="FFA03C76"/>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8">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4C823CA"/>
    <w:multiLevelType w:val="hybridMultilevel"/>
    <w:tmpl w:val="17D6E3AC"/>
    <w:lvl w:ilvl="0">
      <w:start w:val="1"/>
      <w:numFmt w:val="bullet"/>
      <w:lvlText w:val=""/>
      <w:lvlJc w:val="left"/>
      <w:pPr>
        <w:ind w:left="144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2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21">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54A6F87"/>
    <w:multiLevelType w:val="hybridMultilevel"/>
    <w:tmpl w:val="CE5E80B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4">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6">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9">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31">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6">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9">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40">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10"/>
  </w:num>
  <w:num w:numId="2" w16cid:durableId="148182179">
    <w:abstractNumId w:val="1"/>
  </w:num>
  <w:num w:numId="3" w16cid:durableId="505511010">
    <w:abstractNumId w:val="39"/>
  </w:num>
  <w:num w:numId="4" w16cid:durableId="580018736">
    <w:abstractNumId w:val="16"/>
  </w:num>
  <w:num w:numId="5" w16cid:durableId="221647625">
    <w:abstractNumId w:val="35"/>
  </w:num>
  <w:num w:numId="6" w16cid:durableId="298344620">
    <w:abstractNumId w:val="13"/>
  </w:num>
  <w:num w:numId="7" w16cid:durableId="58093387">
    <w:abstractNumId w:val="9"/>
  </w:num>
  <w:num w:numId="8" w16cid:durableId="1122530581">
    <w:abstractNumId w:val="20"/>
  </w:num>
  <w:num w:numId="9" w16cid:durableId="1479684095">
    <w:abstractNumId w:val="38"/>
  </w:num>
  <w:num w:numId="10" w16cid:durableId="340007303">
    <w:abstractNumId w:val="30"/>
  </w:num>
  <w:num w:numId="11" w16cid:durableId="346519941">
    <w:abstractNumId w:val="32"/>
  </w:num>
  <w:num w:numId="12" w16cid:durableId="691036718">
    <w:abstractNumId w:val="15"/>
  </w:num>
  <w:num w:numId="13" w16cid:durableId="1452093781">
    <w:abstractNumId w:val="21"/>
  </w:num>
  <w:num w:numId="14" w16cid:durableId="906961314">
    <w:abstractNumId w:val="36"/>
  </w:num>
  <w:num w:numId="15" w16cid:durableId="1388455259">
    <w:abstractNumId w:val="18"/>
  </w:num>
  <w:num w:numId="16" w16cid:durableId="1677533267">
    <w:abstractNumId w:val="42"/>
  </w:num>
  <w:num w:numId="17" w16cid:durableId="961619330">
    <w:abstractNumId w:val="37"/>
  </w:num>
  <w:num w:numId="18" w16cid:durableId="1095638383">
    <w:abstractNumId w:val="28"/>
  </w:num>
  <w:num w:numId="19" w16cid:durableId="357776219">
    <w:abstractNumId w:val="29"/>
  </w:num>
  <w:num w:numId="20" w16cid:durableId="1481578588">
    <w:abstractNumId w:val="34"/>
  </w:num>
  <w:num w:numId="21" w16cid:durableId="1812137613">
    <w:abstractNumId w:val="6"/>
  </w:num>
  <w:num w:numId="22" w16cid:durableId="370300677">
    <w:abstractNumId w:val="7"/>
  </w:num>
  <w:num w:numId="23" w16cid:durableId="1948660650">
    <w:abstractNumId w:val="8"/>
  </w:num>
  <w:num w:numId="24" w16cid:durableId="1221136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40"/>
  </w:num>
  <w:num w:numId="26" w16cid:durableId="1203983393">
    <w:abstractNumId w:val="31"/>
  </w:num>
  <w:num w:numId="27" w16cid:durableId="1149204463">
    <w:abstractNumId w:val="22"/>
  </w:num>
  <w:num w:numId="28" w16cid:durableId="614867515">
    <w:abstractNumId w:val="41"/>
  </w:num>
  <w:num w:numId="29" w16cid:durableId="1513490821">
    <w:abstractNumId w:val="5"/>
  </w:num>
  <w:num w:numId="30" w16cid:durableId="1269506392">
    <w:abstractNumId w:val="27"/>
  </w:num>
  <w:num w:numId="31" w16cid:durableId="160509948">
    <w:abstractNumId w:val="26"/>
  </w:num>
  <w:num w:numId="32" w16cid:durableId="146094414">
    <w:abstractNumId w:val="12"/>
  </w:num>
  <w:num w:numId="33" w16cid:durableId="2145806991">
    <w:abstractNumId w:val="14"/>
  </w:num>
  <w:num w:numId="34" w16cid:durableId="1322079617">
    <w:abstractNumId w:val="25"/>
  </w:num>
  <w:num w:numId="35" w16cid:durableId="1661734410">
    <w:abstractNumId w:val="24"/>
  </w:num>
  <w:num w:numId="36" w16cid:durableId="438186478">
    <w:abstractNumId w:val="19"/>
  </w:num>
  <w:num w:numId="37" w16cid:durableId="694303773">
    <w:abstractNumId w:val="17"/>
  </w:num>
  <w:num w:numId="38" w16cid:durableId="334456024">
    <w:abstractNumId w:val="4"/>
  </w:num>
  <w:num w:numId="39" w16cid:durableId="1514612734">
    <w:abstractNumId w:val="3"/>
  </w:num>
  <w:num w:numId="40" w16cid:durableId="1038310399">
    <w:abstractNumId w:val="23"/>
  </w:num>
  <w:num w:numId="41" w16cid:durableId="1331057744">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Restart w:val="eachSect"/>
    <w:footnote w:id="0"/>
    <w:footnote w:id="1"/>
    <w:footnote w:id="2"/>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261"/>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ADA"/>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819"/>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1DC"/>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235"/>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BA8"/>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92C"/>
    <w:rsid w:val="00085BE8"/>
    <w:rsid w:val="00085E04"/>
    <w:rsid w:val="0008608A"/>
    <w:rsid w:val="000863ED"/>
    <w:rsid w:val="00086911"/>
    <w:rsid w:val="00086C30"/>
    <w:rsid w:val="00086D5D"/>
    <w:rsid w:val="00086DA6"/>
    <w:rsid w:val="000875DD"/>
    <w:rsid w:val="00087C2A"/>
    <w:rsid w:val="00087E0A"/>
    <w:rsid w:val="00090055"/>
    <w:rsid w:val="000901F1"/>
    <w:rsid w:val="0009045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997"/>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44"/>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590"/>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3BF"/>
    <w:rsid w:val="000E356E"/>
    <w:rsid w:val="000E35F1"/>
    <w:rsid w:val="000E3647"/>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5FB6"/>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11C"/>
    <w:rsid w:val="00101519"/>
    <w:rsid w:val="001015B3"/>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993"/>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AF7"/>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BD1"/>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B4"/>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2C7"/>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939"/>
    <w:rsid w:val="00141A02"/>
    <w:rsid w:val="00141C08"/>
    <w:rsid w:val="00141CA1"/>
    <w:rsid w:val="0014201B"/>
    <w:rsid w:val="00142062"/>
    <w:rsid w:val="0014210A"/>
    <w:rsid w:val="00142485"/>
    <w:rsid w:val="001424F2"/>
    <w:rsid w:val="0014296A"/>
    <w:rsid w:val="00143061"/>
    <w:rsid w:val="00143335"/>
    <w:rsid w:val="00143391"/>
    <w:rsid w:val="0014367F"/>
    <w:rsid w:val="001437CA"/>
    <w:rsid w:val="001438FC"/>
    <w:rsid w:val="00143DDE"/>
    <w:rsid w:val="00143F3D"/>
    <w:rsid w:val="0014413D"/>
    <w:rsid w:val="00144F48"/>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82A"/>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12D"/>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6F5A"/>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842"/>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D66"/>
    <w:rsid w:val="00193FA0"/>
    <w:rsid w:val="001946EE"/>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1E96"/>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3A"/>
    <w:rsid w:val="001A5FC1"/>
    <w:rsid w:val="001A602A"/>
    <w:rsid w:val="001A61A3"/>
    <w:rsid w:val="001A63A1"/>
    <w:rsid w:val="001A63A2"/>
    <w:rsid w:val="001A65C7"/>
    <w:rsid w:val="001A6852"/>
    <w:rsid w:val="001A6892"/>
    <w:rsid w:val="001A68DD"/>
    <w:rsid w:val="001A695B"/>
    <w:rsid w:val="001A6B5F"/>
    <w:rsid w:val="001A6BBB"/>
    <w:rsid w:val="001A6D6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4DA"/>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64E"/>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B7C"/>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3B"/>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394"/>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957"/>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14"/>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A1C"/>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1C99"/>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345"/>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287"/>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4D4"/>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44D"/>
    <w:rsid w:val="00270719"/>
    <w:rsid w:val="0027096B"/>
    <w:rsid w:val="00270B0A"/>
    <w:rsid w:val="00270E3C"/>
    <w:rsid w:val="00271269"/>
    <w:rsid w:val="002712AD"/>
    <w:rsid w:val="0027150C"/>
    <w:rsid w:val="002717B1"/>
    <w:rsid w:val="00271C81"/>
    <w:rsid w:val="00271E5E"/>
    <w:rsid w:val="00271EC6"/>
    <w:rsid w:val="00271FDE"/>
    <w:rsid w:val="00272266"/>
    <w:rsid w:val="0027247D"/>
    <w:rsid w:val="00272751"/>
    <w:rsid w:val="00272A3D"/>
    <w:rsid w:val="00272D3A"/>
    <w:rsid w:val="00272F67"/>
    <w:rsid w:val="0027312B"/>
    <w:rsid w:val="00273231"/>
    <w:rsid w:val="0027352C"/>
    <w:rsid w:val="00273A74"/>
    <w:rsid w:val="00273A98"/>
    <w:rsid w:val="00273C44"/>
    <w:rsid w:val="00273F7F"/>
    <w:rsid w:val="00274104"/>
    <w:rsid w:val="00274C62"/>
    <w:rsid w:val="00274C8E"/>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72F"/>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97FFA"/>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212"/>
    <w:rsid w:val="002A2787"/>
    <w:rsid w:val="002A2B61"/>
    <w:rsid w:val="002A313A"/>
    <w:rsid w:val="002A3179"/>
    <w:rsid w:val="002A3257"/>
    <w:rsid w:val="002A3292"/>
    <w:rsid w:val="002A3A49"/>
    <w:rsid w:val="002A3CFD"/>
    <w:rsid w:val="002A4132"/>
    <w:rsid w:val="002A4221"/>
    <w:rsid w:val="002A466C"/>
    <w:rsid w:val="002A46B9"/>
    <w:rsid w:val="002A4947"/>
    <w:rsid w:val="002A4EA4"/>
    <w:rsid w:val="002A5068"/>
    <w:rsid w:val="002A512D"/>
    <w:rsid w:val="002A52D1"/>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E1C"/>
    <w:rsid w:val="002B0FE7"/>
    <w:rsid w:val="002B109E"/>
    <w:rsid w:val="002B165A"/>
    <w:rsid w:val="002B1709"/>
    <w:rsid w:val="002B1740"/>
    <w:rsid w:val="002B1820"/>
    <w:rsid w:val="002B19FE"/>
    <w:rsid w:val="002B1A67"/>
    <w:rsid w:val="002B1BA3"/>
    <w:rsid w:val="002B239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7CD"/>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6E3B"/>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974"/>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792"/>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0C33"/>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0AD"/>
    <w:rsid w:val="002F538A"/>
    <w:rsid w:val="002F6268"/>
    <w:rsid w:val="002F688E"/>
    <w:rsid w:val="002F6B0D"/>
    <w:rsid w:val="002F6B84"/>
    <w:rsid w:val="002F6D2F"/>
    <w:rsid w:val="002F6D5F"/>
    <w:rsid w:val="002F72E4"/>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43"/>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396"/>
    <w:rsid w:val="0030679B"/>
    <w:rsid w:val="003067B0"/>
    <w:rsid w:val="00306914"/>
    <w:rsid w:val="00306DA0"/>
    <w:rsid w:val="00306FED"/>
    <w:rsid w:val="003076A7"/>
    <w:rsid w:val="003078FC"/>
    <w:rsid w:val="00307C81"/>
    <w:rsid w:val="003100B4"/>
    <w:rsid w:val="00310475"/>
    <w:rsid w:val="0031051A"/>
    <w:rsid w:val="003107E7"/>
    <w:rsid w:val="00310AF2"/>
    <w:rsid w:val="00310CE4"/>
    <w:rsid w:val="0031100E"/>
    <w:rsid w:val="00311194"/>
    <w:rsid w:val="0031125F"/>
    <w:rsid w:val="0031136C"/>
    <w:rsid w:val="0031177F"/>
    <w:rsid w:val="00311B7B"/>
    <w:rsid w:val="00311F51"/>
    <w:rsid w:val="003122E8"/>
    <w:rsid w:val="00312635"/>
    <w:rsid w:val="00312B28"/>
    <w:rsid w:val="00312B96"/>
    <w:rsid w:val="00313B7C"/>
    <w:rsid w:val="00313C32"/>
    <w:rsid w:val="00314017"/>
    <w:rsid w:val="00314034"/>
    <w:rsid w:val="00314129"/>
    <w:rsid w:val="00314397"/>
    <w:rsid w:val="003144BA"/>
    <w:rsid w:val="00314523"/>
    <w:rsid w:val="00314645"/>
    <w:rsid w:val="003149A3"/>
    <w:rsid w:val="00315000"/>
    <w:rsid w:val="003150F5"/>
    <w:rsid w:val="0031550B"/>
    <w:rsid w:val="00315540"/>
    <w:rsid w:val="00315A9D"/>
    <w:rsid w:val="00315E08"/>
    <w:rsid w:val="00316677"/>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4BB1"/>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22D"/>
    <w:rsid w:val="00353333"/>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6F4"/>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5"/>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D52"/>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295"/>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2EEF"/>
    <w:rsid w:val="003A309A"/>
    <w:rsid w:val="003A3237"/>
    <w:rsid w:val="003A3314"/>
    <w:rsid w:val="003A335C"/>
    <w:rsid w:val="003A36D3"/>
    <w:rsid w:val="003A3B8F"/>
    <w:rsid w:val="003A3EF6"/>
    <w:rsid w:val="003A420A"/>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706"/>
    <w:rsid w:val="003B083A"/>
    <w:rsid w:val="003B0A0F"/>
    <w:rsid w:val="003B0B9C"/>
    <w:rsid w:val="003B0D40"/>
    <w:rsid w:val="003B0EC1"/>
    <w:rsid w:val="003B12DD"/>
    <w:rsid w:val="003B16D2"/>
    <w:rsid w:val="003B192B"/>
    <w:rsid w:val="003B19F4"/>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7B0"/>
    <w:rsid w:val="003B7A53"/>
    <w:rsid w:val="003B7B24"/>
    <w:rsid w:val="003B7BB9"/>
    <w:rsid w:val="003B7BEB"/>
    <w:rsid w:val="003B7ECE"/>
    <w:rsid w:val="003C00AB"/>
    <w:rsid w:val="003C041C"/>
    <w:rsid w:val="003C0F40"/>
    <w:rsid w:val="003C0F54"/>
    <w:rsid w:val="003C0FEF"/>
    <w:rsid w:val="003C1209"/>
    <w:rsid w:val="003C121D"/>
    <w:rsid w:val="003C1658"/>
    <w:rsid w:val="003C1867"/>
    <w:rsid w:val="003C188E"/>
    <w:rsid w:val="003C193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722"/>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5C"/>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3F4"/>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6DB"/>
    <w:rsid w:val="00412A7B"/>
    <w:rsid w:val="00412B5E"/>
    <w:rsid w:val="00412C90"/>
    <w:rsid w:val="00412CCE"/>
    <w:rsid w:val="00412D0B"/>
    <w:rsid w:val="0041303A"/>
    <w:rsid w:val="00413097"/>
    <w:rsid w:val="004134C0"/>
    <w:rsid w:val="00413C08"/>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5FE"/>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E3"/>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3FE7"/>
    <w:rsid w:val="004442DD"/>
    <w:rsid w:val="004443AF"/>
    <w:rsid w:val="00444631"/>
    <w:rsid w:val="00444785"/>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0F"/>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E20"/>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8D5"/>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A83"/>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60E"/>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6D"/>
    <w:rsid w:val="004E2ADF"/>
    <w:rsid w:val="004E2CE5"/>
    <w:rsid w:val="004E2E35"/>
    <w:rsid w:val="004E3200"/>
    <w:rsid w:val="004E341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4B"/>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69F"/>
    <w:rsid w:val="004F2C3B"/>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4FF3"/>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3EE"/>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272"/>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0D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19"/>
    <w:rsid w:val="005570F7"/>
    <w:rsid w:val="0055711F"/>
    <w:rsid w:val="00557270"/>
    <w:rsid w:val="00557359"/>
    <w:rsid w:val="00557827"/>
    <w:rsid w:val="00557B9E"/>
    <w:rsid w:val="00557DE4"/>
    <w:rsid w:val="00557F82"/>
    <w:rsid w:val="00560102"/>
    <w:rsid w:val="005606DA"/>
    <w:rsid w:val="005609D2"/>
    <w:rsid w:val="00560A3D"/>
    <w:rsid w:val="00560B64"/>
    <w:rsid w:val="005610A0"/>
    <w:rsid w:val="005612D0"/>
    <w:rsid w:val="00561631"/>
    <w:rsid w:val="0056185C"/>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0D1"/>
    <w:rsid w:val="00565272"/>
    <w:rsid w:val="00565921"/>
    <w:rsid w:val="00565D02"/>
    <w:rsid w:val="00565F56"/>
    <w:rsid w:val="0056637F"/>
    <w:rsid w:val="00566394"/>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974"/>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CF9"/>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DE3"/>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1D9F"/>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3E"/>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3EC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292"/>
    <w:rsid w:val="005C0448"/>
    <w:rsid w:val="005C0981"/>
    <w:rsid w:val="005C098F"/>
    <w:rsid w:val="005C0A8D"/>
    <w:rsid w:val="005C0BF7"/>
    <w:rsid w:val="005C0BFD"/>
    <w:rsid w:val="005C1201"/>
    <w:rsid w:val="005C131D"/>
    <w:rsid w:val="005C1634"/>
    <w:rsid w:val="005C1AC5"/>
    <w:rsid w:val="005C1B7D"/>
    <w:rsid w:val="005C1F7C"/>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384"/>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C4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2"/>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933"/>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3BA"/>
    <w:rsid w:val="0062460B"/>
    <w:rsid w:val="0062479F"/>
    <w:rsid w:val="006248BC"/>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5A1"/>
    <w:rsid w:val="00631605"/>
    <w:rsid w:val="0063176C"/>
    <w:rsid w:val="00631A71"/>
    <w:rsid w:val="00631DA7"/>
    <w:rsid w:val="00631FF6"/>
    <w:rsid w:val="00632021"/>
    <w:rsid w:val="0063237D"/>
    <w:rsid w:val="0063274C"/>
    <w:rsid w:val="00632A39"/>
    <w:rsid w:val="00632C15"/>
    <w:rsid w:val="00632D2F"/>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1E9"/>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E89"/>
    <w:rsid w:val="00660EFE"/>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5B0"/>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A40"/>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75"/>
    <w:rsid w:val="00677AD6"/>
    <w:rsid w:val="006800E7"/>
    <w:rsid w:val="00680197"/>
    <w:rsid w:val="006804C4"/>
    <w:rsid w:val="00680500"/>
    <w:rsid w:val="006806CA"/>
    <w:rsid w:val="00680B3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4F8"/>
    <w:rsid w:val="006945B4"/>
    <w:rsid w:val="00694630"/>
    <w:rsid w:val="0069471C"/>
    <w:rsid w:val="00694A94"/>
    <w:rsid w:val="00694C68"/>
    <w:rsid w:val="00694E98"/>
    <w:rsid w:val="0069509A"/>
    <w:rsid w:val="006952CE"/>
    <w:rsid w:val="00695629"/>
    <w:rsid w:val="006956AF"/>
    <w:rsid w:val="00695949"/>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544"/>
    <w:rsid w:val="006B0992"/>
    <w:rsid w:val="006B09D4"/>
    <w:rsid w:val="006B0AB3"/>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58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77C"/>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27C"/>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194"/>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88F"/>
    <w:rsid w:val="00704A7F"/>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17EB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974"/>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9FE"/>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5D8E"/>
    <w:rsid w:val="007460AE"/>
    <w:rsid w:val="00746214"/>
    <w:rsid w:val="0074635F"/>
    <w:rsid w:val="007463AA"/>
    <w:rsid w:val="00746512"/>
    <w:rsid w:val="007468D5"/>
    <w:rsid w:val="00746F46"/>
    <w:rsid w:val="007471F8"/>
    <w:rsid w:val="00747516"/>
    <w:rsid w:val="0074755D"/>
    <w:rsid w:val="007476F0"/>
    <w:rsid w:val="00747949"/>
    <w:rsid w:val="00747BB2"/>
    <w:rsid w:val="00747E51"/>
    <w:rsid w:val="00747E86"/>
    <w:rsid w:val="00747EC1"/>
    <w:rsid w:val="00750897"/>
    <w:rsid w:val="00750981"/>
    <w:rsid w:val="00750C2F"/>
    <w:rsid w:val="00750D2E"/>
    <w:rsid w:val="00751098"/>
    <w:rsid w:val="0075111B"/>
    <w:rsid w:val="0075132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3F92"/>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DE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81B"/>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CDD"/>
    <w:rsid w:val="00781EA9"/>
    <w:rsid w:val="007820BF"/>
    <w:rsid w:val="00782305"/>
    <w:rsid w:val="00782599"/>
    <w:rsid w:val="0078262A"/>
    <w:rsid w:val="00782A7E"/>
    <w:rsid w:val="00782D4D"/>
    <w:rsid w:val="00782D7F"/>
    <w:rsid w:val="00782EE3"/>
    <w:rsid w:val="00783197"/>
    <w:rsid w:val="007833CA"/>
    <w:rsid w:val="007833F8"/>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65C"/>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575"/>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C8"/>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9D1"/>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2E26"/>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C18"/>
    <w:rsid w:val="007F2DF4"/>
    <w:rsid w:val="007F2F43"/>
    <w:rsid w:val="007F2F4D"/>
    <w:rsid w:val="007F37AD"/>
    <w:rsid w:val="007F37AE"/>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1F2"/>
    <w:rsid w:val="0081147E"/>
    <w:rsid w:val="00812128"/>
    <w:rsid w:val="00812176"/>
    <w:rsid w:val="00812321"/>
    <w:rsid w:val="00812AAE"/>
    <w:rsid w:val="00812AF2"/>
    <w:rsid w:val="00812D5C"/>
    <w:rsid w:val="00812E06"/>
    <w:rsid w:val="00813092"/>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E38"/>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AD"/>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5F2"/>
    <w:rsid w:val="00844606"/>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95B"/>
    <w:rsid w:val="00860AD4"/>
    <w:rsid w:val="00860C63"/>
    <w:rsid w:val="00860DB7"/>
    <w:rsid w:val="00860DD6"/>
    <w:rsid w:val="00860F8F"/>
    <w:rsid w:val="00860F9B"/>
    <w:rsid w:val="00861272"/>
    <w:rsid w:val="00861477"/>
    <w:rsid w:val="008614CA"/>
    <w:rsid w:val="0086179E"/>
    <w:rsid w:val="00862226"/>
    <w:rsid w:val="00862902"/>
    <w:rsid w:val="00862A79"/>
    <w:rsid w:val="00862C4F"/>
    <w:rsid w:val="00862CD3"/>
    <w:rsid w:val="00862DAC"/>
    <w:rsid w:val="00863378"/>
    <w:rsid w:val="0086354D"/>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9B1"/>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70"/>
    <w:rsid w:val="008769B5"/>
    <w:rsid w:val="00876B80"/>
    <w:rsid w:val="00876E8B"/>
    <w:rsid w:val="008774C0"/>
    <w:rsid w:val="00877BD5"/>
    <w:rsid w:val="00877DE5"/>
    <w:rsid w:val="00877F09"/>
    <w:rsid w:val="0088010C"/>
    <w:rsid w:val="008802CA"/>
    <w:rsid w:val="00880355"/>
    <w:rsid w:val="0088051A"/>
    <w:rsid w:val="00880834"/>
    <w:rsid w:val="00880CBB"/>
    <w:rsid w:val="00880FD7"/>
    <w:rsid w:val="008810AD"/>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2EC5"/>
    <w:rsid w:val="008A34E0"/>
    <w:rsid w:val="008A368E"/>
    <w:rsid w:val="008A36F0"/>
    <w:rsid w:val="008A37E5"/>
    <w:rsid w:val="008A401D"/>
    <w:rsid w:val="008A4256"/>
    <w:rsid w:val="008A451C"/>
    <w:rsid w:val="008A46C5"/>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149"/>
    <w:rsid w:val="008B71D6"/>
    <w:rsid w:val="008B723D"/>
    <w:rsid w:val="008B76EE"/>
    <w:rsid w:val="008B7721"/>
    <w:rsid w:val="008B77E9"/>
    <w:rsid w:val="008B781A"/>
    <w:rsid w:val="008B7CB2"/>
    <w:rsid w:val="008C03E0"/>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AE2"/>
    <w:rsid w:val="008E0F86"/>
    <w:rsid w:val="008E116D"/>
    <w:rsid w:val="008E14A9"/>
    <w:rsid w:val="008E1615"/>
    <w:rsid w:val="008E171E"/>
    <w:rsid w:val="008E1816"/>
    <w:rsid w:val="008E1A26"/>
    <w:rsid w:val="008E1CA0"/>
    <w:rsid w:val="008E239F"/>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0F"/>
    <w:rsid w:val="009046B5"/>
    <w:rsid w:val="009047A1"/>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6D"/>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31C"/>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3C0"/>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2BEA"/>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447"/>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8E0"/>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38D"/>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2CA"/>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DE0"/>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8D7"/>
    <w:rsid w:val="00983B10"/>
    <w:rsid w:val="00983C2D"/>
    <w:rsid w:val="00983DC3"/>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D3C"/>
    <w:rsid w:val="00991D93"/>
    <w:rsid w:val="00992176"/>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0C3"/>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A7C2E"/>
    <w:rsid w:val="009B000F"/>
    <w:rsid w:val="009B010F"/>
    <w:rsid w:val="009B018C"/>
    <w:rsid w:val="009B094D"/>
    <w:rsid w:val="009B09D9"/>
    <w:rsid w:val="009B0A3C"/>
    <w:rsid w:val="009B0CA1"/>
    <w:rsid w:val="009B0F4B"/>
    <w:rsid w:val="009B106D"/>
    <w:rsid w:val="009B1547"/>
    <w:rsid w:val="009B1561"/>
    <w:rsid w:val="009B15C6"/>
    <w:rsid w:val="009B15F1"/>
    <w:rsid w:val="009B172E"/>
    <w:rsid w:val="009B1742"/>
    <w:rsid w:val="009B1BCA"/>
    <w:rsid w:val="009B1CD1"/>
    <w:rsid w:val="009B1E2D"/>
    <w:rsid w:val="009B296B"/>
    <w:rsid w:val="009B2B38"/>
    <w:rsid w:val="009B33C7"/>
    <w:rsid w:val="009B3615"/>
    <w:rsid w:val="009B3B3A"/>
    <w:rsid w:val="009B3BCD"/>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429"/>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0DB"/>
    <w:rsid w:val="009E0625"/>
    <w:rsid w:val="009E0768"/>
    <w:rsid w:val="009E07CF"/>
    <w:rsid w:val="009E0978"/>
    <w:rsid w:val="009E0AD2"/>
    <w:rsid w:val="009E0B18"/>
    <w:rsid w:val="009E1439"/>
    <w:rsid w:val="009E149D"/>
    <w:rsid w:val="009E175C"/>
    <w:rsid w:val="009E175E"/>
    <w:rsid w:val="009E187B"/>
    <w:rsid w:val="009E1931"/>
    <w:rsid w:val="009E19FF"/>
    <w:rsid w:val="009E1CA3"/>
    <w:rsid w:val="009E1D65"/>
    <w:rsid w:val="009E1DD1"/>
    <w:rsid w:val="009E1E6F"/>
    <w:rsid w:val="009E216E"/>
    <w:rsid w:val="009E2245"/>
    <w:rsid w:val="009E22DA"/>
    <w:rsid w:val="009E24C3"/>
    <w:rsid w:val="009E276A"/>
    <w:rsid w:val="009E27E3"/>
    <w:rsid w:val="009E29A1"/>
    <w:rsid w:val="009E2D74"/>
    <w:rsid w:val="009E2FE1"/>
    <w:rsid w:val="009E2FF2"/>
    <w:rsid w:val="009E3297"/>
    <w:rsid w:val="009E3E52"/>
    <w:rsid w:val="009E3EBA"/>
    <w:rsid w:val="009E430F"/>
    <w:rsid w:val="009E449A"/>
    <w:rsid w:val="009E44BB"/>
    <w:rsid w:val="009E4823"/>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5C97"/>
    <w:rsid w:val="009F6177"/>
    <w:rsid w:val="009F662B"/>
    <w:rsid w:val="009F66CE"/>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52E"/>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74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4A3"/>
    <w:rsid w:val="00A60708"/>
    <w:rsid w:val="00A60BFE"/>
    <w:rsid w:val="00A60DF7"/>
    <w:rsid w:val="00A60EEA"/>
    <w:rsid w:val="00A612B7"/>
    <w:rsid w:val="00A6167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48D"/>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59F"/>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268"/>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719"/>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CEF"/>
    <w:rsid w:val="00AB7DC2"/>
    <w:rsid w:val="00AB7E74"/>
    <w:rsid w:val="00AB7FD0"/>
    <w:rsid w:val="00AC00F3"/>
    <w:rsid w:val="00AC0222"/>
    <w:rsid w:val="00AC04C8"/>
    <w:rsid w:val="00AC0612"/>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73B"/>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41B"/>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6E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294"/>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10D"/>
    <w:rsid w:val="00B551FF"/>
    <w:rsid w:val="00B5548E"/>
    <w:rsid w:val="00B554F9"/>
    <w:rsid w:val="00B55AC6"/>
    <w:rsid w:val="00B55D56"/>
    <w:rsid w:val="00B55F9E"/>
    <w:rsid w:val="00B55FBA"/>
    <w:rsid w:val="00B560F0"/>
    <w:rsid w:val="00B56134"/>
    <w:rsid w:val="00B566BA"/>
    <w:rsid w:val="00B569A4"/>
    <w:rsid w:val="00B569B8"/>
    <w:rsid w:val="00B570F1"/>
    <w:rsid w:val="00B57D23"/>
    <w:rsid w:val="00B57DC9"/>
    <w:rsid w:val="00B57E2F"/>
    <w:rsid w:val="00B60670"/>
    <w:rsid w:val="00B60950"/>
    <w:rsid w:val="00B609BB"/>
    <w:rsid w:val="00B60D86"/>
    <w:rsid w:val="00B60DEB"/>
    <w:rsid w:val="00B6114D"/>
    <w:rsid w:val="00B612DE"/>
    <w:rsid w:val="00B6132E"/>
    <w:rsid w:val="00B613EC"/>
    <w:rsid w:val="00B615D3"/>
    <w:rsid w:val="00B61650"/>
    <w:rsid w:val="00B61EB6"/>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4CE8"/>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767"/>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503"/>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90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B6D"/>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C7E67"/>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7DB"/>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CF1"/>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1FE"/>
    <w:rsid w:val="00C138AF"/>
    <w:rsid w:val="00C13C42"/>
    <w:rsid w:val="00C14C63"/>
    <w:rsid w:val="00C14F48"/>
    <w:rsid w:val="00C151E3"/>
    <w:rsid w:val="00C15221"/>
    <w:rsid w:val="00C152E3"/>
    <w:rsid w:val="00C1542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58F"/>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79"/>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1D9"/>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CDC"/>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915"/>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4F1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5F8"/>
    <w:rsid w:val="00C75619"/>
    <w:rsid w:val="00C75861"/>
    <w:rsid w:val="00C75A74"/>
    <w:rsid w:val="00C75C38"/>
    <w:rsid w:val="00C75FB2"/>
    <w:rsid w:val="00C76077"/>
    <w:rsid w:val="00C760D4"/>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40E"/>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6183"/>
    <w:rsid w:val="00C861EB"/>
    <w:rsid w:val="00C86245"/>
    <w:rsid w:val="00C86370"/>
    <w:rsid w:val="00C867AE"/>
    <w:rsid w:val="00C867E1"/>
    <w:rsid w:val="00C86D7B"/>
    <w:rsid w:val="00C86EEC"/>
    <w:rsid w:val="00C87318"/>
    <w:rsid w:val="00C875F0"/>
    <w:rsid w:val="00C8771A"/>
    <w:rsid w:val="00C87C1D"/>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6E3"/>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18E"/>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3BC1"/>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A53"/>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277"/>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A7"/>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A56"/>
    <w:rsid w:val="00CE2C4C"/>
    <w:rsid w:val="00CE2FEC"/>
    <w:rsid w:val="00CE3343"/>
    <w:rsid w:val="00CE3552"/>
    <w:rsid w:val="00CE3589"/>
    <w:rsid w:val="00CE3C8A"/>
    <w:rsid w:val="00CE3D2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DE6"/>
    <w:rsid w:val="00D07F1F"/>
    <w:rsid w:val="00D10049"/>
    <w:rsid w:val="00D1010F"/>
    <w:rsid w:val="00D102D3"/>
    <w:rsid w:val="00D102E3"/>
    <w:rsid w:val="00D1065D"/>
    <w:rsid w:val="00D1082E"/>
    <w:rsid w:val="00D10D79"/>
    <w:rsid w:val="00D10E13"/>
    <w:rsid w:val="00D110A2"/>
    <w:rsid w:val="00D11136"/>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63"/>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6FCA"/>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AED"/>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7"/>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714"/>
    <w:rsid w:val="00D66CDA"/>
    <w:rsid w:val="00D66CDB"/>
    <w:rsid w:val="00D66EA4"/>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A9F"/>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4463"/>
    <w:rsid w:val="00D8455B"/>
    <w:rsid w:val="00D845B3"/>
    <w:rsid w:val="00D849DC"/>
    <w:rsid w:val="00D84A7E"/>
    <w:rsid w:val="00D84C1F"/>
    <w:rsid w:val="00D84C2D"/>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A91"/>
    <w:rsid w:val="00D91D74"/>
    <w:rsid w:val="00D91E52"/>
    <w:rsid w:val="00D91E68"/>
    <w:rsid w:val="00D9201D"/>
    <w:rsid w:val="00D925AB"/>
    <w:rsid w:val="00D92877"/>
    <w:rsid w:val="00D9294C"/>
    <w:rsid w:val="00D92A24"/>
    <w:rsid w:val="00D92BFF"/>
    <w:rsid w:val="00D92DE5"/>
    <w:rsid w:val="00D92F09"/>
    <w:rsid w:val="00D930B9"/>
    <w:rsid w:val="00D93556"/>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0E2E"/>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2F61"/>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0D2"/>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4BF"/>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678"/>
    <w:rsid w:val="00DE3740"/>
    <w:rsid w:val="00DE3825"/>
    <w:rsid w:val="00DE3837"/>
    <w:rsid w:val="00DE4462"/>
    <w:rsid w:val="00DE4561"/>
    <w:rsid w:val="00DE4976"/>
    <w:rsid w:val="00DE4C64"/>
    <w:rsid w:val="00DE4ED8"/>
    <w:rsid w:val="00DE5337"/>
    <w:rsid w:val="00DE534B"/>
    <w:rsid w:val="00DE5DAE"/>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CDA"/>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1F23"/>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B2D"/>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41E"/>
    <w:rsid w:val="00E4081E"/>
    <w:rsid w:val="00E40AEB"/>
    <w:rsid w:val="00E40F6D"/>
    <w:rsid w:val="00E410A5"/>
    <w:rsid w:val="00E413E9"/>
    <w:rsid w:val="00E41728"/>
    <w:rsid w:val="00E418F5"/>
    <w:rsid w:val="00E4198A"/>
    <w:rsid w:val="00E4203F"/>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21"/>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E4"/>
    <w:rsid w:val="00E7740C"/>
    <w:rsid w:val="00E77432"/>
    <w:rsid w:val="00E776BB"/>
    <w:rsid w:val="00E777E4"/>
    <w:rsid w:val="00E77B4C"/>
    <w:rsid w:val="00E77CAD"/>
    <w:rsid w:val="00E77FA8"/>
    <w:rsid w:val="00E80015"/>
    <w:rsid w:val="00E8026D"/>
    <w:rsid w:val="00E8030A"/>
    <w:rsid w:val="00E8033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D75"/>
    <w:rsid w:val="00E91E00"/>
    <w:rsid w:val="00E922BF"/>
    <w:rsid w:val="00E92499"/>
    <w:rsid w:val="00E9259F"/>
    <w:rsid w:val="00E926C9"/>
    <w:rsid w:val="00E92755"/>
    <w:rsid w:val="00E92762"/>
    <w:rsid w:val="00E92AEE"/>
    <w:rsid w:val="00E92CAE"/>
    <w:rsid w:val="00E93126"/>
    <w:rsid w:val="00E93279"/>
    <w:rsid w:val="00E93799"/>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CE2"/>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51E"/>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69B"/>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AA9"/>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8E"/>
    <w:rsid w:val="00F03A90"/>
    <w:rsid w:val="00F03B2B"/>
    <w:rsid w:val="00F03B5F"/>
    <w:rsid w:val="00F03DB0"/>
    <w:rsid w:val="00F045F1"/>
    <w:rsid w:val="00F0480B"/>
    <w:rsid w:val="00F0481A"/>
    <w:rsid w:val="00F048A2"/>
    <w:rsid w:val="00F049E6"/>
    <w:rsid w:val="00F049E8"/>
    <w:rsid w:val="00F04F72"/>
    <w:rsid w:val="00F050D8"/>
    <w:rsid w:val="00F0544C"/>
    <w:rsid w:val="00F054F5"/>
    <w:rsid w:val="00F05602"/>
    <w:rsid w:val="00F05A7F"/>
    <w:rsid w:val="00F05A8D"/>
    <w:rsid w:val="00F05C9A"/>
    <w:rsid w:val="00F05D80"/>
    <w:rsid w:val="00F06830"/>
    <w:rsid w:val="00F06A6B"/>
    <w:rsid w:val="00F06D2A"/>
    <w:rsid w:val="00F06E36"/>
    <w:rsid w:val="00F07501"/>
    <w:rsid w:val="00F07789"/>
    <w:rsid w:val="00F07C52"/>
    <w:rsid w:val="00F102C5"/>
    <w:rsid w:val="00F104E1"/>
    <w:rsid w:val="00F10541"/>
    <w:rsid w:val="00F109AA"/>
    <w:rsid w:val="00F110EE"/>
    <w:rsid w:val="00F11159"/>
    <w:rsid w:val="00F11195"/>
    <w:rsid w:val="00F11230"/>
    <w:rsid w:val="00F11529"/>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1FEE"/>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18C"/>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6EC"/>
    <w:rsid w:val="00F84D8D"/>
    <w:rsid w:val="00F84E62"/>
    <w:rsid w:val="00F84EA8"/>
    <w:rsid w:val="00F84EF1"/>
    <w:rsid w:val="00F8553A"/>
    <w:rsid w:val="00F85794"/>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AF3"/>
    <w:rsid w:val="00F91F66"/>
    <w:rsid w:val="00F92955"/>
    <w:rsid w:val="00F92987"/>
    <w:rsid w:val="00F92996"/>
    <w:rsid w:val="00F92BE5"/>
    <w:rsid w:val="00F92E01"/>
    <w:rsid w:val="00F93288"/>
    <w:rsid w:val="00F93304"/>
    <w:rsid w:val="00F934D3"/>
    <w:rsid w:val="00F93733"/>
    <w:rsid w:val="00F937B7"/>
    <w:rsid w:val="00F939CB"/>
    <w:rsid w:val="00F93F83"/>
    <w:rsid w:val="00F94395"/>
    <w:rsid w:val="00F945E0"/>
    <w:rsid w:val="00F94837"/>
    <w:rsid w:val="00F9484E"/>
    <w:rsid w:val="00F94BDC"/>
    <w:rsid w:val="00F954AB"/>
    <w:rsid w:val="00F9551E"/>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92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1"/>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09E"/>
    <w:rsid w:val="00FE313D"/>
    <w:rsid w:val="00FE315A"/>
    <w:rsid w:val="00FE32E0"/>
    <w:rsid w:val="00FE35A4"/>
    <w:rsid w:val="00FE37AB"/>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31"/>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62A"/>
    <w:rsid w:val="00FF57D9"/>
    <w:rsid w:val="00FF585E"/>
    <w:rsid w:val="00FF5975"/>
    <w:rsid w:val="00FF5B6B"/>
    <w:rsid w:val="00FF5C2A"/>
    <w:rsid w:val="00FF5C35"/>
    <w:rsid w:val="00FF5E4C"/>
    <w:rsid w:val="00FF5EEB"/>
    <w:rsid w:val="00FF6037"/>
    <w:rsid w:val="00FF6664"/>
    <w:rsid w:val="00FF6832"/>
    <w:rsid w:val="00FF6A9D"/>
    <w:rsid w:val="00FF6BB9"/>
    <w:rsid w:val="00FF6DE6"/>
    <w:rsid w:val="00FF6F78"/>
    <w:rsid w:val="00FF6FBA"/>
    <w:rsid w:val="00FF7211"/>
    <w:rsid w:val="166A9AF9"/>
    <w:rsid w:val="1E6FC45F"/>
    <w:rsid w:val="245C3717"/>
    <w:rsid w:val="2757ACDD"/>
    <w:rsid w:val="310FC363"/>
    <w:rsid w:val="3CC1D03D"/>
    <w:rsid w:val="3E459337"/>
    <w:rsid w:val="48DF7E5D"/>
    <w:rsid w:val="59A90335"/>
    <w:rsid w:val="5B2E7BA8"/>
    <w:rsid w:val="5D788AF9"/>
    <w:rsid w:val="7213E252"/>
    <w:rsid w:val="7B25ACC5"/>
  </w:rsids>
  <w:docVars>
    <w:docVar w:name="EPKit_DocumentHasBeenSaved" w:val="true"/>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3233143"/>
  <w15:docId w15:val="{75236D6E-F80F-49DA-B93C-89A785DA7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val="fr-FR"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fr-FR"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val="fr-FR"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n-GB"/>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fr-FR"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fr-FR"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val="fr-FR"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fr-FR"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val="fr-FR"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val="fr-FR" w:eastAsia="en-GB"/>
    </w:rPr>
  </w:style>
  <w:style w:type="character" w:styleId="UnresolvedMention">
    <w:name w:val="Unresolved Mention"/>
    <w:uiPriority w:val="99"/>
    <w:semiHidden/>
    <w:unhideWhenUsed/>
    <w:rsid w:val="000A6997"/>
    <w:rPr>
      <w:color w:val="605E5C"/>
      <w:shd w:val="clear" w:color="auto" w:fill="E1DFDD"/>
    </w:rPr>
  </w:style>
  <w:style w:type="paragraph" w:customStyle="1" w:styleId="CharCharChar00">
    <w:name w:val="Char Char Char00"/>
    <w:basedOn w:val="Normal"/>
    <w:uiPriority w:val="99"/>
    <w:rsid w:val="006B0AB3"/>
    <w:pPr>
      <w:spacing w:after="160" w:line="240" w:lineRule="exact"/>
      <w:jc w:val="left"/>
    </w:pPr>
    <w:rPr>
      <w:rFonts w:ascii="Tahoma" w:hAnsi="Tahoma"/>
      <w:sz w:val="20"/>
      <w:lang w:eastAsia="en-US"/>
    </w:rPr>
  </w:style>
  <w:style w:type="paragraph" w:customStyle="1" w:styleId="ZnakZnak00">
    <w:name w:val="Znak Znak00"/>
    <w:basedOn w:val="Normal"/>
    <w:rsid w:val="006B0AB3"/>
    <w:pPr>
      <w:spacing w:after="0" w:line="360" w:lineRule="auto"/>
    </w:pPr>
    <w:rPr>
      <w:rFonts w:ascii="Verdana" w:hAnsi="Verdana"/>
      <w:sz w:val="20"/>
      <w:lang w:eastAsia="pl-PL"/>
    </w:rPr>
  </w:style>
  <w:style w:type="paragraph" w:customStyle="1" w:styleId="pf0">
    <w:name w:val="pf0"/>
    <w:basedOn w:val="Normal"/>
    <w:rsid w:val="00F11529"/>
    <w:pPr>
      <w:spacing w:before="100" w:beforeAutospacing="1" w:after="100" w:afterAutospacing="1"/>
      <w:jc w:val="left"/>
    </w:pPr>
    <w:rPr>
      <w:rFonts w:ascii="Times New Roman" w:hAnsi="Times New Roman"/>
      <w:szCs w:val="24"/>
      <w:lang w:eastAsia="en-IE"/>
    </w:rPr>
  </w:style>
  <w:style w:type="character" w:customStyle="1" w:styleId="cf11">
    <w:name w:val="cf11"/>
    <w:rsid w:val="00F11529"/>
    <w:rPr>
      <w:rFonts w:ascii="Segoe UI" w:hAnsi="Segoe UI" w:cs="Segoe UI" w:hint="default"/>
      <w:color w:val="0000FF"/>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it-girlsgostem.eu/" TargetMode="External" /><Relationship Id="rId2" Type="http://schemas.openxmlformats.org/officeDocument/2006/relationships/hyperlink" Target="https://youth.europa.eu/solidarity/young-people/about_fr" TargetMode="External" /><Relationship Id="rId3" Type="http://schemas.openxmlformats.org/officeDocument/2006/relationships/hyperlink" Target="https://eur-lex.europa.eu/legal-content/FR/TXT/?uri=CELEX:52025DC1025" TargetMode="External" /><Relationship Id="rId4" Type="http://schemas.openxmlformats.org/officeDocument/2006/relationships/hyperlink" Target="https://eur-lex.europa.eu/legal-content/FR/TXT/?uri=CELEX:52025SC1053"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2.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3.xml><?xml version="1.0" encoding="utf-8"?>
<ds:datastoreItem xmlns:ds="http://schemas.openxmlformats.org/officeDocument/2006/customXml" ds:itemID="{0CFB0634-7B23-43B8-9FBE-35F9E6378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TEL.DOTM</Template>
  <TotalTime>4</TotalTime>
  <Pages>11</Pages>
  <Words>6071</Words>
  <Characters>34913</Characters>
  <Application>Microsoft Office Word</Application>
  <DocSecurity>0</DocSecurity>
  <Lines>491</Lines>
  <Paragraphs>71</Paragraphs>
  <ScaleCrop>false</ScaleCrop>
  <Company>European Commission</Company>
  <LinksUpToDate>false</LinksUpToDate>
  <CharactersWithSpaces>40913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3</cp:revision>
  <cp:lastPrinted>2026-06-03T13:25:00Z</cp:lastPrinted>
  <dcterms:created xsi:type="dcterms:W3CDTF">2026-08-03T09:02:00Z</dcterms:created>
  <dcterms:modified xsi:type="dcterms:W3CDTF">2026-08-03T09:02:00Z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fed4ca29-9366-4f08-a0f8-47b4b7a2a3a2</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2023-03-06T16:57:17Z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