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630F9E" w:rsidRPr="00FB2BFC" w:rsidP="00630F9E" w14:paraId="6FE948C3" w14:textId="77777777">
      <w:pPr>
        <w:spacing w:after="0"/>
        <w:ind w:left="720"/>
        <w:rPr>
          <w:bCs/>
          <w:i/>
        </w:rPr>
      </w:pPr>
    </w:p>
    <w:p w:rsidR="00963420" w:rsidRPr="002A1B8F" w:rsidP="0084310E" w14:paraId="58E9F37A" w14:textId="63982A30">
      <w:pPr>
        <w:spacing w:after="720"/>
        <w:jc w:val="center"/>
        <w:rPr>
          <w:b/>
          <w:bCs/>
          <w:szCs w:val="24"/>
        </w:rPr>
      </w:pPr>
      <w:r>
        <w:rPr>
          <w:b/>
        </w:rPr>
        <w:t>Suite donnée à la résolution non législative du Parlement européen sur les chaînes de sous-traitance et le rôle des intermédiaires afin de protéger les droits des travailleurs</w:t>
      </w:r>
    </w:p>
    <w:p w:rsidR="00963420" w:rsidRPr="001D5B28" w:rsidP="0084310E" w14:paraId="222E65B7" w14:textId="4A56B62A">
      <w:pPr>
        <w:numPr>
          <w:ilvl w:val="0"/>
          <w:numId w:val="34"/>
        </w:numPr>
        <w:ind w:left="567" w:hanging="567"/>
        <w:rPr>
          <w:i/>
          <w:szCs w:val="24"/>
        </w:rPr>
      </w:pPr>
      <w:r>
        <w:rPr>
          <w:b/>
        </w:rPr>
        <w:t>Rapporteur:</w:t>
      </w:r>
      <w:r>
        <w:t xml:space="preserve"> Johan Danielsson (S&amp;D/SE)</w:t>
      </w:r>
    </w:p>
    <w:p w:rsidR="00563F16" w:rsidRPr="00712534" w:rsidP="00B6084C" w14:paraId="3021C497" w14:textId="580580E2">
      <w:pPr>
        <w:pStyle w:val="Default"/>
        <w:numPr>
          <w:ilvl w:val="0"/>
          <w:numId w:val="34"/>
        </w:numPr>
        <w:spacing w:after="240"/>
        <w:ind w:left="567" w:hanging="567"/>
        <w:jc w:val="both"/>
        <w:rPr>
          <w:color w:val="auto"/>
        </w:rPr>
      </w:pPr>
      <w:r>
        <w:rPr>
          <w:b/>
          <w:color w:val="auto"/>
        </w:rPr>
        <w:t xml:space="preserve">Référence: </w:t>
      </w:r>
      <w:r>
        <w:t>2025/2133(INI) /</w:t>
      </w:r>
      <w:r>
        <w:rPr>
          <w:i/>
        </w:rPr>
        <w:t xml:space="preserve"> </w:t>
      </w:r>
      <w:r>
        <w:t xml:space="preserve">A10-0256/2025 / P10_TA(2026)0050 </w:t>
      </w:r>
    </w:p>
    <w:p w:rsidR="001F0B89" w:rsidRPr="002A1B8F" w:rsidP="0084310E" w14:paraId="61D85C18" w14:textId="2560C460">
      <w:pPr>
        <w:numPr>
          <w:ilvl w:val="0"/>
          <w:numId w:val="34"/>
        </w:numPr>
        <w:ind w:left="567" w:hanging="567"/>
        <w:rPr>
          <w:iCs/>
          <w:szCs w:val="24"/>
        </w:rPr>
      </w:pPr>
      <w:r>
        <w:rPr>
          <w:b/>
        </w:rPr>
        <w:t>Date d’adoption de la résolution:</w:t>
      </w:r>
      <w:r>
        <w:t xml:space="preserve"> 12 février 2026</w:t>
      </w:r>
    </w:p>
    <w:p w:rsidR="00963420" w:rsidRPr="002A1B8F" w:rsidP="0084310E" w14:paraId="4451E813" w14:textId="1F4A4539">
      <w:pPr>
        <w:numPr>
          <w:ilvl w:val="0"/>
          <w:numId w:val="34"/>
        </w:numPr>
        <w:ind w:left="567" w:hanging="567"/>
        <w:rPr>
          <w:i/>
          <w:szCs w:val="24"/>
        </w:rPr>
      </w:pPr>
      <w:r>
        <w:rPr>
          <w:b/>
        </w:rPr>
        <w:t xml:space="preserve">Commission parlementaire compétente: </w:t>
      </w:r>
      <w:r>
        <w:t>commission de l’emploi et des affaires sociales (EMPL)</w:t>
      </w:r>
    </w:p>
    <w:p w:rsidR="00B6084C" w:rsidRPr="002A1B8F" w:rsidP="0084310E" w14:paraId="117172BD" w14:textId="7060702F">
      <w:pPr>
        <w:widowControl w:val="0"/>
        <w:numPr>
          <w:ilvl w:val="0"/>
          <w:numId w:val="34"/>
        </w:numPr>
        <w:ind w:left="567" w:hanging="567"/>
        <w:rPr>
          <w:b/>
          <w:szCs w:val="24"/>
        </w:rPr>
      </w:pPr>
      <w:r>
        <w:rPr>
          <w:b/>
        </w:rPr>
        <w:t xml:space="preserve">Analyse/évaluation succincte de la résolution et des demandes qu’elle contient: </w:t>
      </w:r>
    </w:p>
    <w:p w:rsidR="00B6084C" w:rsidRPr="008242AE" w:rsidP="003B0CD8" w14:paraId="7123FEB1" w14:textId="1D537F56">
      <w:r>
        <w:t>La résolution du Parlement européen appelle à une stratégie de l’Union pour lutter contre l’exploitation par le travail, y compris le travail illégal et la criminalité organisée qui y est liée, ainsi que les formes abusives de pratiques commerciales, notamment les pratiques abusives en matière de sous-traitance et d’intermédiation du marché du travail. Le Parlement se félicite de l’engagement pris par la Commission de présenter un train de mesures sur la mobilité équitable de la main-d’œuvre en 2026 et du rapport d’évaluation de la Commission sur l’AET et demande une nouvelle fois de renforcer considérablement le mandat de l’Agence. Par ailleurs, il souligne la nécessité de renforcer l’application de la législation du travail en vigueur, de mettre en place des systèmes d’application efficaces et dotés de ressources suffisantes pour lutter contre l’exploitation par le travail et de favoriser une concurrence loyale au sein du marché unique. Il invite l’AET à examiner le recours aux intermédiaires du marché du travail dans le cadre du détachement. Dans sa résolution, le Parlement invite la Commission à examiner les difficultés d’application de la législation, notamment en ce qui concerne la coopération transfrontière, et à prendre des mesures appropriées pour mettre fin aux détachements sans lien réel entre les travailleurs et l’État membre d’origine et invite la Commission à lutter contre tous les abus possibles de la directive relative au travail intérimaire dans le contexte du détachement de travailleurs. Le Parlement souligne le succès des initiatives prises au niveau national et sectoriel pour permettre l’identification sur le lieu de travail, par exemple sous la forme de cartes d’identité sociale, et se félicite, dans ce contexte, de l’inclusion du passeport européen de sécurité sociale (ESSPASS) dans le programme de travail de la Commission pour 2026.</w:t>
      </w:r>
    </w:p>
    <w:p w:rsidR="00B6084C" w:rsidRPr="002A1B8F" w:rsidP="003B0CD8" w14:paraId="0CEED160" w14:textId="01EF4AB0">
      <w:r>
        <w:t xml:space="preserve">Il invite la Commission à clarifier les possibilités pour les États membres d’adopter une législation proportionnée pour remédier aux risques et aux problèmes découlant de chaînes de sous-traitance longues et complexes, tout en étant conforme au droit de l’Union et en ne créant pas d’obstacles inutiles aux activités commerciales transfrontières, appelle la Commission à intensifier ses efforts pour lutter contre l’exploitation par le travail et à renforcer la transparence et la responsabilité tout au long de la chaîne d’approvisionnement, en référence à sa résolution de 2025 sur la passation des marchés publics. </w:t>
      </w:r>
    </w:p>
    <w:p w:rsidR="00F2289B" w:rsidP="003B0CD8" w14:paraId="5D5EA677" w14:textId="4AB4F52E">
      <w:r>
        <w:t xml:space="preserve">Dans sa résolution, le Parlement invite la Commission et les États membres à lutter contre les pratiques illégales dans les chaînes de sous-traitance, encourage les relations de travail directes dans les secteurs à haut risque et invite la Commission à définir ces secteurs en étroite coopération avec les États membres et les partenaires sociaux; il invite la Commission et les États membres à apporter une réponse aux pratiques de «sous-traitance financière» et à encourager l’inclusion de dispositions relatives aux avantages pour la communauté dans les marchés publics et les projets financés par l’Union. </w:t>
      </w:r>
    </w:p>
    <w:p w:rsidR="00B6084C" w:rsidP="003B0CD8" w14:paraId="40E31A21" w14:textId="250CBB88">
      <w:r>
        <w:t>Il invite la Commission à dialoguer avec les États membres afin de garantir la mise en œuvre et l’application effectives de la législation en vigueur concernant le détachement de travailleurs, à faire le point sur les pratiques et la législation nationales en matière d’intermédiaires du travail et à veiller à ce que les intermédiaires du travail opérant dans l’Union ne facturent pas de frais aux travailleurs. Il invite la Commission et les États membres à garantir le principe d’égalité de traitement ainsi que des conditions de travail décentes pour tous les travailleurs; il invite la Commission à évaluer si la législation actuelle en matière de santé et de sécurité au travail couvre de manière adéquate la mise en œuvre d’exigences minimales en matière de sécurité et de santé dans les chaînes de sous-traitance, et il demande que la révision à venir des directives sur la passation de marchés publics veille à ce que les critères d’exclusion permettent de mieux faire face aux risques sectoriels spécifiques liés à la fraude, à la corruption et à l’infiltration criminelle.</w:t>
      </w:r>
    </w:p>
    <w:p w:rsidR="00F2289B" w:rsidRPr="002A1B8F" w:rsidP="003B0CD8" w14:paraId="415AB550" w14:textId="32F66EB4">
      <w:r>
        <w:t>Le Parlement invite la Commission et les États membres à assurer l’application correcte de la directive 2009/52/CE, qui impose aux États membres de veiller à ce que des inspections efficaces et appropriées soient effectuées sur leur territoire pour contrôler l’emploi de ressortissants de pays tiers en séjour irrégulier. Il invite la Commission et les États membres à améliorer la qualité et à augmenter la fréquence des inspections du travail, et à assurer un dispositif minimum suffisant en matière d’inspection du travail. Il invite la Commission à renforcer l’efficacité de l’échange de renseignements et de la coopération entre les États membres, et à veiller à la reconnaissance mutuelle des interdictions commerciales et des sanctions pénales, conformément aux traités, afin d’empêcher le contournement des restrictions, et il invite la Commission et les États membres à analyser les problématiques associées aux faillites stratégiques et aux entreprises qui disparaissent, en particulier dans les affaires transfrontières.</w:t>
      </w:r>
    </w:p>
    <w:p w:rsidR="00963420" w:rsidP="0084310E" w14:paraId="780B6643" w14:textId="188CF0AB">
      <w:pPr>
        <w:widowControl w:val="0"/>
        <w:numPr>
          <w:ilvl w:val="0"/>
          <w:numId w:val="34"/>
        </w:numPr>
        <w:ind w:left="567" w:hanging="567"/>
        <w:rPr>
          <w:b/>
          <w:szCs w:val="24"/>
        </w:rPr>
      </w:pPr>
      <w:r>
        <w:rPr>
          <w:b/>
        </w:rPr>
        <w:t xml:space="preserve">Réponse à ces demandes et aperçu des mesures que la Commission a prises ou envisage de prendre: </w:t>
      </w:r>
    </w:p>
    <w:p w:rsidR="0052063B" w:rsidRPr="0052063B" w:rsidP="0052063B" w14:paraId="727A0C80" w14:textId="5BDCD4D3">
      <w:r>
        <w:t>La Commission souligne, en ce qui concerne sa réponse, que certaines demandes et recommandations formulées dans ladite résolution concernent des sujets qui font l’objet d’initiatives en cours, à savoir le train de mesures sur la mobilité équitable de la main-d’œuvre, l’acte législatif sur des emplois de qualité et la révision des directives sur les marchés publics. Pour ces initiatives, plusieurs options stratégiques sont en cours d’examen. Dans le cas de l’acte législatif sur des emplois de qualité, la consultation des partenaires sociaux conformément à l’article 154 du TFUE est en cours. À la lumière de ces processus en cours, la réponse de la Commission à la résolution ne préjuge pas des résultats de ces initiatives.</w:t>
      </w:r>
    </w:p>
    <w:p w:rsidR="00B6084C" w:rsidRPr="0039707B" w:rsidP="12490990" w14:paraId="0A50A6C2" w14:textId="4F5B1E10">
      <w:pPr>
        <w:widowControl w:val="0"/>
        <w:rPr>
          <w:b/>
          <w:bCs/>
        </w:rPr>
      </w:pPr>
      <w:r>
        <w:rPr>
          <w:b/>
        </w:rPr>
        <w:t>Paragraphes 2 et 7</w:t>
      </w:r>
    </w:p>
    <w:p w:rsidR="00760421" w:rsidRPr="002A1B8F" w:rsidP="003B0CD8" w14:paraId="4971E1CA" w14:textId="662E4E44">
      <w:r>
        <w:t xml:space="preserve">La Commission rappelle que tous les employeurs des chaînes de sous-traitance employant des travailleurs dans l’UE doivent appliquer le droit du travail de l’UE et le droit de l’UE en matière de santé et de sécurité au travail. La sous-traitance peut améliorer l’efficacité et l’innovation en fournissant une expertise spécialisée et en permettant aux entreprises de se concentrer sur les compétences essentielles, de s’adapter rapidement et de rester compétitives. Dans le même temps, des défis pour la qualité de l’emploi, y compris les conditions de travail, tels que des violations des droits des travailleurs en matière d’emploi, de santé et de sécurité, peuvent survenir dans les pratiques de sous-traitance et d’externalisation, en particulier dans les emplois à bas salaires lorsqu’il existe une concurrence par les prix. </w:t>
      </w:r>
    </w:p>
    <w:p w:rsidR="003B444F" w:rsidP="003B444F" w14:paraId="34AD8F56" w14:textId="17B37DF4">
      <w:pPr>
        <w:rPr>
          <w:noProof/>
          <w:szCs w:val="24"/>
        </w:rPr>
      </w:pPr>
      <w:r>
        <w:t xml:space="preserve">La résolution de ces problèmes est importante pour préserver la qualité des emplois et demeure une priorité pour la Commission. Le 4 décembre 2025, la Commission a présenté </w:t>
      </w:r>
      <w:r>
        <w:t xml:space="preserve">la feuille de route pour des emplois de qualité, un engagement à améliorer la qualité des emplois et à créer des emplois de qualité et à l’épreuve du temps en Europe, et a lancé, le même jour, une première phase de consultation sur un acte législatif sur des emplois de qualité, visant à garantir les droits des travailleurs tout en suivant les évolutions technologiques, économiques et sociétales et en garantissant la compétitivité de l’économie de l’UE. La protection des droits des travailleurs dans les chaînes de sous-traitance est l’un des sujets sur lesquels les partenaires sociaux ont été consultés. Conformément à l’article 154, paragraphe 3, du TFUE, une deuxième phase de consultation des partenaires sociaux européens sera menée afin de les consulter sur le contenu possible de l’action de l’UE. </w:t>
      </w:r>
    </w:p>
    <w:p w:rsidR="00B6084C" w:rsidRPr="002A1B8F" w:rsidP="00712534" w14:paraId="0CC5F4A4" w14:textId="1F23D9C6">
      <w:pPr>
        <w:keepNext/>
        <w:keepLines/>
        <w:widowControl w:val="0"/>
        <w:rPr>
          <w:b/>
          <w:szCs w:val="24"/>
        </w:rPr>
      </w:pPr>
      <w:r>
        <w:rPr>
          <w:b/>
        </w:rPr>
        <w:t>Paragraphes 3 et 6</w:t>
      </w:r>
    </w:p>
    <w:p w:rsidR="008E446A" w:rsidRPr="002A1B8F" w:rsidP="00712534" w14:paraId="2712EA5A" w14:textId="456118FF">
      <w:pPr>
        <w:keepNext/>
        <w:keepLines/>
      </w:pPr>
      <w:r>
        <w:t xml:space="preserve">La Commission évaluera si les mesures de transparence relatives aux chaînes de sous-traitance et aux pratiques de sous-traitance financière devraient être abordées dans le cadre du processus de révision des directives sur les marchés publics. </w:t>
      </w:r>
    </w:p>
    <w:p w:rsidR="00B6084C" w:rsidRPr="002A1B8F" w:rsidP="00B6084C" w14:paraId="36CD592D" w14:textId="3AC10928">
      <w:pPr>
        <w:widowControl w:val="0"/>
        <w:rPr>
          <w:b/>
          <w:szCs w:val="24"/>
        </w:rPr>
      </w:pPr>
      <w:r>
        <w:rPr>
          <w:b/>
        </w:rPr>
        <w:t>Paragraphe 8</w:t>
      </w:r>
    </w:p>
    <w:p w:rsidR="0054390A" w:rsidRPr="002A1B8F" w:rsidP="003B0CD8" w14:paraId="414B8237" w14:textId="2EE73135">
      <w:r>
        <w:t>La Commission souligne que l’un des objectifs de la révision des directives sur les marchés publics est d’aligner la politique en matière de marchés publics sur d’autres politiques stratégiques de l’UE, y compris dans le domaine social. Dans ce contexte, la Commission évaluera comment renforcer encore les pratiques en matière de marchés publics socialement responsables (MPSR).</w:t>
      </w:r>
    </w:p>
    <w:p w:rsidR="008156FC" w:rsidP="008156FC" w14:paraId="5A6DCE57" w14:textId="1DD19CD5">
      <w:pPr>
        <w:widowControl w:val="0"/>
        <w:rPr>
          <w:i/>
          <w:szCs w:val="24"/>
        </w:rPr>
      </w:pPr>
      <w:r>
        <w:rPr>
          <w:b/>
        </w:rPr>
        <w:t>Paragraphe 13</w:t>
      </w:r>
    </w:p>
    <w:p w:rsidR="00596E4D" w:rsidRPr="002A1B8F" w:rsidP="002A1B8F" w14:paraId="38E21C3F" w14:textId="0958C590">
      <w:r>
        <w:t>La Commission rappelle que les protections existantes contre l’inégalité de traitement de la main-d’œuvre et la protection de conditions de travail décentes constituent des garanties essentielles établies par le droit du travail de l’Union pour protéger les travailleurs. L’application effective de la législation par les États membres reste essentielle pour garantir le respect et la protection des droits des travailleurs.</w:t>
      </w:r>
    </w:p>
    <w:p w:rsidR="0085271F" w:rsidRPr="002A1B8F" w:rsidP="002A1B8F" w14:paraId="6373ED7B" w14:textId="107CA09C">
      <w:pPr>
        <w:widowControl w:val="0"/>
      </w:pPr>
      <w:r>
        <w:rPr>
          <w:b/>
        </w:rPr>
        <w:t>Paragraphe 14</w:t>
      </w:r>
    </w:p>
    <w:p w:rsidR="003A551B" w:rsidRPr="002A1B8F" w:rsidP="45722561" w14:paraId="3F029331" w14:textId="7F31A983">
      <w:r>
        <w:t xml:space="preserve">La Commission étudie les options possibles pour répondre aux appels lancés par plusieurs parties prenantes et États membres en vue de clarifier le cadre juridique relatif au détachement de ressortissants de pays tiers. Les défis en matière de détachement de ressortissants de pays tiers, tels que le détachement illégal, relèvent principalement de la mise en œuvre, de la clarification et de l’application des règles existantes en matière de détachement de travailleurs, telles qu’énoncées dans les directives sur le détachement de travailleurs et la jurisprudence connexe. Dans ce contexte, la Commission collabore avec l’AET sur un domaine spécifique consacré au détachement de ressortissants de pays tiers afin de favoriser l’apprentissage mutuel et la discussion sur la législation nationale et de l’UE pertinente dans les États membres afin d’améliorer l’échange d’informations, de renforcer la coopération administrative et d’accroître les connaissances sur les règles nationales et de l’UE en matière de détachement de travailleurs. Étant donné qu’il existe peu de données et d’éléments de preuve sur les ressortissants de pays tiers détachés, la Commission collabore également avec l’AET pour recueillir des données et des éléments de preuve supplémentaires auprès des États membres de l’UE. </w:t>
      </w:r>
    </w:p>
    <w:p w:rsidR="00FB2BFC" w:rsidRPr="002A1B8F" w:rsidP="002A1B8F" w14:paraId="18ABA5BB" w14:textId="56615201">
      <w:r>
        <w:t xml:space="preserve">À la suite de son évaluation, l’AET élabore actuellement un plan d’action visant à renforcer ses performances et, dans le contexte de la prochaine initiative sur un «train de mesures sur </w:t>
      </w:r>
      <w:r>
        <w:t xml:space="preserve">la mobilité équitable de la main-d’œuvre», la Commission étudiera les moyens de clarifier le mandat de l’Autorité en ce qui concerne les ressortissants de pays tiers. </w:t>
      </w:r>
    </w:p>
    <w:p w:rsidR="00B6084C" w:rsidRPr="002A1B8F" w:rsidP="00B6084C" w14:paraId="05354469" w14:textId="0CC6B63B">
      <w:pPr>
        <w:widowControl w:val="0"/>
        <w:rPr>
          <w:b/>
          <w:bCs/>
          <w:szCs w:val="24"/>
        </w:rPr>
      </w:pPr>
      <w:r>
        <w:rPr>
          <w:b/>
        </w:rPr>
        <w:t>Paragraphe 15</w:t>
      </w:r>
    </w:p>
    <w:p w:rsidR="00300A21" w:rsidRPr="002A1B8F" w:rsidP="002A1B8F" w14:paraId="15234815" w14:textId="08A4B7CC">
      <w:r>
        <w:t xml:space="preserve">L’AET procède actuellement à une analyse stratégique des intermédiaires du marché du travail. Dans ce contexte, l’AET prépare actuellement un </w:t>
      </w:r>
      <w:bookmarkStart w:id="0" w:name="_Hlk223449453"/>
      <w:r>
        <w:t>rapport sur les intermédiaires du marché du travail et l’application des règles en matière de mobilité de la main-d’œuvre et de coordination de la sécurité sociale, qui sera publié en</w:t>
      </w:r>
      <w:bookmarkEnd w:id="0"/>
      <w:r>
        <w:t xml:space="preserve"> 2027. La Commission est étroitement associée à ces travaux et décidera, en collaboration avec l’Autorité, des suites éventuelles à donner au rapport. </w:t>
      </w:r>
    </w:p>
    <w:p w:rsidR="004807AC" w14:paraId="2370AAE1" w14:textId="246800E8">
      <w:r>
        <w:t xml:space="preserve">En ce qui concerne le travail intérimaire et le détachement, la directive (UE) 2018/957 prévoit que les travailleurs intérimaires détachés sont traités de la même manière, par rapport aux considérations couvertes par l’article 5 de la directive 2008/104/CE relative au travail intérimaire, que les travailleurs mis à disposition par des agences de travail intérimaire établies dans l’État membre sur le territoire duquel le travail est exécuté. La protection des travailleurs dans l’intermédiation du marché du travail dans les chaînes de sous-traitance est également envisagée lors de la deuxième phase de consultation des partenaires sociaux de l’UE sur une initiative relative à un acte législatif sur des emplois de qualité. </w:t>
      </w:r>
    </w:p>
    <w:p w:rsidR="00D50404" w:rsidRPr="0039707B" w:rsidP="002A1B8F" w14:paraId="4BD6FEBD" w14:textId="2F40F7BC">
      <w:r>
        <w:t xml:space="preserve">Le </w:t>
      </w:r>
      <w:hyperlink r:id="rId8" w:history="1">
        <w:r>
          <w:rPr>
            <w:rStyle w:val="Hyperlink"/>
          </w:rPr>
          <w:t>rapport de la Commission</w:t>
        </w:r>
      </w:hyperlink>
      <w:r>
        <w:t xml:space="preserve"> sur l’application et la mise en œuvre de la directive (UE) 2018/957 modifiant la directive 96/71/CE concernant le détachement de travailleurs effectué dans le cadre d’une prestation de services indique que presque tous les États membres (à l’exception de l’Irlande et de la Slovénie) ont adopté l’obligation de garantir aux travailleurs détachés les conditions de travail et d’emploi applicables en vertu de l’article 5 de la directive 2008/104/CE. Le rapport a également mis en évidence des inquiétudes concernant l’application pratique des dispositions de la directive (UE) 2018/957 aux travailleurs intérimaires détachés. Il est écrit dans le rapport que l’AET pourrait répondre à ces préoccupations, en étroite coopération avec les États membres, grâce à une coopération transfrontière plus efficace et plus étendue et à des efforts de contrôle de l’application ciblant le travail intérimaire. À cet égard, l’AET continue d’analyser les défis réglementaires transfrontières liés aux travailleurs intérimaires dans le cadre du programme «DÉTACHEMENT 360», un programme pluriannuel d’apprentissage et de compréhension mutuels qui vise à améliorer l’échange d’informations, à renforcer la coopération administrative et à accroître les connaissances sur les règles européennes et nationales en matière de détachement de travailleurs. </w:t>
      </w:r>
    </w:p>
    <w:p w:rsidR="00D50404" w:rsidRPr="002A1B8F" w:rsidP="002A1B8F" w14:paraId="2CCC1506" w14:textId="3E991DD0">
      <w:r>
        <w:t>Le rapport indique également que les partenaires sociaux pourraient envisager de soutenir le travail des inspections du travail et que les États membres pourraient procéder à des réexamens de la législation existante et de sa mise en œuvre au niveau national, et/ou mettre en place, avec le soutien de l’AET, des services d’assistance aux entreprises de travail intérimaire et aux entreprises utilisatrices en ce qui concerne l’application des règles en matière de détachement.</w:t>
      </w:r>
    </w:p>
    <w:p w:rsidR="0059735C" w:rsidRPr="002A1B8F" w:rsidP="00F168E7" w14:paraId="334F9B8E" w14:textId="0A69CCD5">
      <w:pPr>
        <w:widowControl w:val="0"/>
        <w:rPr>
          <w:b/>
          <w:bCs/>
          <w:szCs w:val="24"/>
        </w:rPr>
      </w:pPr>
      <w:r>
        <w:rPr>
          <w:b/>
        </w:rPr>
        <w:t>Paragraphe 16</w:t>
      </w:r>
    </w:p>
    <w:p w:rsidR="0084349B" w:rsidRPr="002A1B8F" w:rsidP="002A1B8F" w14:paraId="595F8133" w14:textId="239582C6">
      <w:pPr>
        <w:rPr>
          <w:szCs w:val="24"/>
        </w:rPr>
      </w:pPr>
      <w:r>
        <w:t xml:space="preserve">La directive 96/71/CE concernant le détachement de travailleurs effectué dans le cadre d’une prestation de services [modifiée par la directive (UE) 2018/957] inclut les conditions d’hébergement des travailleurs dans la liste des principales conditions de travail et d’emploi de l’État membre d’accueil qui doivent être accordées à un travailleur détaché dans cet État membre. </w:t>
      </w:r>
    </w:p>
    <w:p w:rsidR="00DD1C5C" w:rsidRPr="002A1B8F" w:rsidP="002A1B8F" w14:paraId="4727166B" w14:textId="39C69E50">
      <w:r>
        <w:t>Cette disposition spécifique s’applique aux travailleurs détachés dans la mesure où elle existe pour les travailleurs nationaux dans l’État membre d’accueil, ce qui signifie que cet État membre doit prévoir des dispositions nationales pour les travailleurs locaux sur les conditions d’hébergement lorsque ces travailleurs sont éloignés de leur lieu de travail habituel.</w:t>
      </w:r>
    </w:p>
    <w:p w:rsidR="0059735C" w:rsidRPr="002A1B8F" w:rsidP="002A1B8F" w14:paraId="3A05A688" w14:textId="05A0DF56">
      <w:r>
        <w:t>En outre, l’AET</w:t>
      </w:r>
      <w:r>
        <w:rPr>
          <w:rFonts w:ascii="Arial" w:hAnsi="Arial"/>
          <w:color w:val="171717"/>
          <w:shd w:val="clear" w:color="auto" w:fill="FFFFFF"/>
        </w:rPr>
        <w:t xml:space="preserve"> </w:t>
      </w:r>
      <w:r>
        <w:t xml:space="preserve">fournit un soutien conceptuel, logistique et technique ainsi qu’une expertise juridique et des services de traduction et d’interprétation aux États membres qui effectuent des inspections transfrontières concertées ou communes. Ces inspections portent notamment sur les conditions d’hébergement. </w:t>
      </w:r>
    </w:p>
    <w:p w:rsidR="00F168E7" w:rsidRPr="002A1B8F" w:rsidP="00F168E7" w14:paraId="1FF6C625" w14:textId="100F6796">
      <w:pPr>
        <w:widowControl w:val="0"/>
        <w:rPr>
          <w:b/>
          <w:bCs/>
          <w:szCs w:val="24"/>
        </w:rPr>
      </w:pPr>
      <w:r>
        <w:rPr>
          <w:b/>
        </w:rPr>
        <w:t>Paragraphe 17</w:t>
      </w:r>
    </w:p>
    <w:p w:rsidR="000867ED" w:rsidRPr="002A1B8F" w:rsidP="002A1B8F" w14:paraId="0CA69CBE" w14:textId="360036FD">
      <w:r>
        <w:t>Le rapport de la Commission sur l’application et la mise en œuvre de la directive (UE) 2018/957 modifiant la directive 96/71/CE concernant le détachement de travailleurs conclut que la législation des États membres est en grande partie conforme aux exigences de la directive. Néanmoins, la Commission a relevé dans le rapport divers problèmes de non-conformité des mesures nationales transposant la directive qui font l’objet d’un suivi par l’AET. La Commission continuera de collaborer avec les États membres afin de veiller à ce que la directive soit correctement transposée et appliquée.</w:t>
      </w:r>
    </w:p>
    <w:p w:rsidR="002A4106" w:rsidRPr="002A1B8F" w:rsidP="002A1B8F" w14:paraId="1A0FA449" w14:textId="6A6CA58F">
      <w:r>
        <w:t xml:space="preserve">La Commission poursuivra également ses mesures d’exécution liées à la mise en œuvre de la directive 2014/67/UE relative à l’exécution de la directive 96/71/CE concernant le détachement de travailleurs effectué dans le cadre d’une prestation de services. </w:t>
      </w:r>
    </w:p>
    <w:p w:rsidR="00F168E7" w:rsidRPr="002A1B8F" w:rsidP="00F168E7" w14:paraId="591C2ABE" w14:textId="6A17471A">
      <w:pPr>
        <w:widowControl w:val="0"/>
        <w:rPr>
          <w:b/>
          <w:szCs w:val="24"/>
        </w:rPr>
      </w:pPr>
      <w:r>
        <w:rPr>
          <w:b/>
        </w:rPr>
        <w:t>Paragraphe 18</w:t>
      </w:r>
    </w:p>
    <w:p w:rsidR="00545491" w:rsidRPr="002A1B8F" w:rsidP="00F168E7" w14:paraId="7751271E" w14:textId="5FCEBDA1">
      <w:pPr>
        <w:widowControl w:val="0"/>
        <w:rPr>
          <w:bCs/>
          <w:szCs w:val="24"/>
        </w:rPr>
      </w:pPr>
      <w:r>
        <w:t>En vertu de la directive 2014/24/UE, les pouvoirs adjudicateurs peuvent exclure — ou être tenus d’exclure — un opérateur économique de la participation à une procédure de passation de marché lorsqu’ils peuvent démontrer une violation des obligations applicables dans les domaines du droit environnemental, social et/ou du travail. La Commission procède actuellement à la révision des directives sur les marchés publics, une proposition étant attendue pour le deuxième trimestre 2026.</w:t>
      </w:r>
    </w:p>
    <w:p w:rsidR="00F168E7" w:rsidRPr="002A1B8F" w:rsidP="00F168E7" w14:paraId="28A0A8CC" w14:textId="06F8FC20">
      <w:pPr>
        <w:widowControl w:val="0"/>
        <w:rPr>
          <w:b/>
          <w:szCs w:val="24"/>
        </w:rPr>
      </w:pPr>
      <w:r>
        <w:rPr>
          <w:b/>
        </w:rPr>
        <w:t>Paragraphe 19</w:t>
      </w:r>
    </w:p>
    <w:p w:rsidR="00922C15" w:rsidRPr="002A1B8F" w:rsidP="003B0CD8" w14:paraId="59C74E8D" w14:textId="08E1923C">
      <w:r>
        <w:t>Au cours du processus de révision des directives sur les marchés publics, la Commission évaluera les motifs d’exclusion de manière globale, y compris la possibilité de simplifier les dispositions.</w:t>
      </w:r>
    </w:p>
    <w:p w:rsidR="00F168E7" w:rsidRPr="002A1B8F" w:rsidP="00F168E7" w14:paraId="3678518F" w14:textId="5310BD45">
      <w:pPr>
        <w:widowControl w:val="0"/>
        <w:rPr>
          <w:b/>
          <w:szCs w:val="24"/>
        </w:rPr>
      </w:pPr>
      <w:r>
        <w:rPr>
          <w:b/>
        </w:rPr>
        <w:t>Paragraphe 20</w:t>
      </w:r>
    </w:p>
    <w:p w:rsidR="00545491" w:rsidRPr="007C45BA" w:rsidP="00545491" w14:paraId="16CC1A9C" w14:textId="77777777">
      <w:pPr>
        <w:widowControl w:val="0"/>
        <w:rPr>
          <w:bCs/>
          <w:szCs w:val="24"/>
        </w:rPr>
      </w:pPr>
      <w:r>
        <w:t xml:space="preserve">Le droit des sociétés de l’UE a considérablement élargi la liste des informations sur les sociétés accessibles au public dans les registres nationaux du commerce et au moyen du système d’interconnexion des registres du commerce (BRIS). </w:t>
      </w:r>
    </w:p>
    <w:p w:rsidR="00545491" w:rsidRPr="007C45BA" w:rsidP="00545491" w14:paraId="2F25876C" w14:textId="77777777">
      <w:pPr>
        <w:widowControl w:val="0"/>
        <w:rPr>
          <w:bCs/>
          <w:szCs w:val="24"/>
        </w:rPr>
      </w:pPr>
      <w:r>
        <w:t xml:space="preserve">La directive (UE) 2019/1151 sur la numérisation a introduit l’obligation de mettre gratuitement à la disposition du public des données essentielles, telles que des informations sur les représentants légaux et les succursales, au moyen du BRIS. </w:t>
      </w:r>
    </w:p>
    <w:p w:rsidR="00545491" w:rsidRPr="007C45BA" w:rsidP="00545491" w14:paraId="4DC90F47" w14:textId="77777777">
      <w:pPr>
        <w:widowControl w:val="0"/>
        <w:rPr>
          <w:bCs/>
          <w:szCs w:val="24"/>
        </w:rPr>
      </w:pPr>
      <w:r>
        <w:t>La directive (UE) 2019/2121 relative à la mobilité a imposé que les documents et informations relatifs aux transformations, fusions et scissions transfrontières, tels que les certificats préalables à la transformation, soient rendus accessibles au public par l’intermédiaire du BRIS.</w:t>
      </w:r>
    </w:p>
    <w:p w:rsidR="00545491" w:rsidRPr="002A1B8F" w:rsidP="00545491" w14:paraId="355BF6DA" w14:textId="3332CC3E">
      <w:pPr>
        <w:widowControl w:val="0"/>
        <w:rPr>
          <w:bCs/>
          <w:szCs w:val="24"/>
        </w:rPr>
      </w:pPr>
      <w:r>
        <w:t>La directive (UE) 2025/25 relative à l’amélioration du droit numérique des sociétés a encore élargi la transparence en étendant les exigences existantes en matière de publication d’informations aux partenariats commerciaux. En outre, la directive relative à l’amélioration du droit numérique des sociétés ajoute la publication du nombre moyen de salariés d’une entreprise si ces informations peuvent être extraites des états financiers en tant que données. Conformément à la directive relative à l’amélioration du droit numérique des sociétés, la Commission adoptera un acte d’exécution établissant une taxinomie pour les actes et informations déposés dans les registres du commerce.</w:t>
      </w:r>
    </w:p>
    <w:p w:rsidR="00F168E7" w:rsidRPr="002A1B8F" w:rsidP="00F168E7" w14:paraId="40DD9E4F" w14:textId="1F09F9EB">
      <w:pPr>
        <w:widowControl w:val="0"/>
        <w:rPr>
          <w:b/>
          <w:bCs/>
          <w:szCs w:val="24"/>
        </w:rPr>
      </w:pPr>
      <w:r>
        <w:rPr>
          <w:b/>
        </w:rPr>
        <w:t>Paragraphe 21</w:t>
      </w:r>
    </w:p>
    <w:p w:rsidR="00FB2BFC" w:rsidRPr="0039707B" w:rsidP="002A1B8F" w14:paraId="59C7DE88" w14:textId="03E1C778">
      <w:r>
        <w:t>En vertu de la législation actuelle de l’UE en matière de sécurité et de santé au travail, les travailleurs des chaînes de sous-traitance jouissent de tous les droits juridiques visant à garantir la santé et la sécurité des travailleurs dans tous les aspects liés au travail.</w:t>
      </w:r>
    </w:p>
    <w:p w:rsidR="00FB2BFC" w:rsidRPr="0039707B" w:rsidP="002A1B8F" w14:paraId="34B32074" w14:textId="563C5D69">
      <w:r>
        <w:t>En outre, la législation de l’UE en matière de sécurité et de santé au travail contient certaines exigences qui sont particulièrement pertinentes lorsqu’il s’agit de garantir la mise en œuvre des règles en matière de sécurité et de santé au travail dans les chaînes de sous-traitance. En particulier, étant donné que la construction est un secteur qui recourt largement à la sous-traitance, la directive 92/57/CEE relative aux chantiers exige, pour les chantiers où plusieurs entreprises seront présentes, la désignation de coordinateurs en matière de sécurité et de santé, qui doivent organiser la coopération entre les différents employeurs.</w:t>
      </w:r>
    </w:p>
    <w:p w:rsidR="00FB2BFC" w:rsidRPr="0039707B" w:rsidP="002A1B8F" w14:paraId="7687D8DA" w14:textId="0CB6729C">
      <w:r>
        <w:t>En outre, ladite directive établit également des obligations et des responsabilités pour les maîtres d’œuvre, les maîtres d’ouvrage, les employeurs et les indépendants travaillant sur le site.</w:t>
      </w:r>
    </w:p>
    <w:p w:rsidR="00FB2BFC" w:rsidRPr="0039707B" w:rsidP="002A1B8F" w14:paraId="0FA3CD41" w14:textId="0FB9EB40">
      <w:r>
        <w:t>Par conséquent, toutes les entreprises et tous les sous-traitants sur le même chantier, qu’ils soient employeurs ou indépendants, doivent être inclus dans ce processus de coordination et tenir compte des instructions des coordinateurs.</w:t>
      </w:r>
    </w:p>
    <w:p w:rsidR="00FB2BFC" w:rsidRPr="0039707B" w:rsidP="002A1B8F" w14:paraId="6305904F" w14:textId="0699AD42">
      <w:r>
        <w:t>De même, étant donné que les industries extractives sont un secteur à haut risque qui a recours à la sous-traitance, les directives 92/104/CEE et 92/91/CEE sur l’industrie extractive prévoient également une exigence spécifique pour la coordination de la mise en œuvre de toutes les mesures concernant la sécurité et la santé des travailleurs lorsque des travailleurs de plusieurs entreprises sont présents sur un même lieu de travail.</w:t>
      </w:r>
    </w:p>
    <w:p w:rsidR="00FB2BFC" w:rsidRPr="0039707B" w:rsidP="002A1B8F" w14:paraId="7AB014BC" w14:textId="5CFF499E">
      <w:r>
        <w:t>Plus généralement, la directive-cadre en matière de sécurité et de santé au travail (directive 89/391/CEE) exige que, lorsque dans un même lieu de travail, les travailleurs de plusieurs entreprises sont présents, les employeurs, qui peuvent être des entrepreneurs ou des sous-traitants, doivent coopérer à la mise en œuvre des dispositions relatives à la santé et à la sécurité, coordonner leurs activités dans les domaines concernés, s’informer mutuellement des risques en matière de sécurité et de santé au travail et en informer leurs travailleurs respectifs. À cet égard, les sous-traitants qui sont des employeurs sont également soumis aux mêmes obligations et responsabilités en matière de sécurité et de santé au travail que tous les employeurs à l’égard de leurs travailleurs.</w:t>
      </w:r>
    </w:p>
    <w:p w:rsidR="00DF402E" w:rsidP="00F168E7" w14:paraId="4EDCFD49" w14:textId="2A6D08C4">
      <w:pPr>
        <w:widowControl w:val="0"/>
      </w:pPr>
      <w:r>
        <w:t xml:space="preserve">Ces règles produisent des résultats positifs, mais il existe également des preuves de certains problèmes, principalement en matière de conformité, qui sont parfois exacerbés dans les chaînes de sous-traitance. Les services de la Commission évaluent actuellement les problèmes existants et les moyens d’y remédier dans le cadre de la deuxième phase de consultation sur l’acte législatif sur des emplois de qualité. </w:t>
      </w:r>
    </w:p>
    <w:p w:rsidR="00B2331E" w:rsidP="00F168E7" w14:paraId="029D50EF" w14:textId="77777777">
      <w:pPr>
        <w:widowControl w:val="0"/>
      </w:pPr>
    </w:p>
    <w:p w:rsidR="0039707B" w:rsidRPr="00545491" w:rsidP="00F168E7" w14:paraId="1785AA21" w14:textId="06C14E8E">
      <w:pPr>
        <w:widowControl w:val="0"/>
        <w:rPr>
          <w:b/>
          <w:bCs/>
          <w:szCs w:val="24"/>
        </w:rPr>
      </w:pPr>
      <w:r>
        <w:rPr>
          <w:b/>
        </w:rPr>
        <w:t>Paragraphe 22</w:t>
      </w:r>
    </w:p>
    <w:p w:rsidR="00545491" w:rsidRPr="00545491" w:rsidP="00F168E7" w14:paraId="7460E1E9" w14:textId="1648E367">
      <w:pPr>
        <w:widowControl w:val="0"/>
      </w:pPr>
      <w:r>
        <w:t xml:space="preserve">La Commission convient de l’importance de la coopération transfrontière, d’une application efficace des règles et de la transparence dans la lutte contre les réseaux criminels associés à la criminalité liée au travail, y compris l’exploitation par le travail, lorsqu’elle est érigée en infraction pénale, et la traite des êtres humains. Elle reconnaît également la nécessité de renforcer encore la coopération entre l’AET, Europol, Eurojust, les autorités nationales et les partenaires sociaux à cet égard. La </w:t>
      </w:r>
      <w:hyperlink r:id="rId9" w:history="1">
        <w:r>
          <w:rPr>
            <w:rStyle w:val="Hyperlink"/>
          </w:rPr>
          <w:t>directive 2009/52/CE</w:t>
        </w:r>
      </w:hyperlink>
      <w:r>
        <w:t xml:space="preserve"> impose aux États membres de veiller à ce que des inspections efficaces et appropriées soient effectuées sur leur territoire pour contrôler l’emploi de ressortissants de pays tiers en séjour irrégulier. À la lumière du prochain rapport sur la mise en œuvre de la directive, la Commission continue de demander et de soutenir l’application et le respect des normes et exigences juridiques fixées par la directive, en vue d’améliorer la prévention et la détection de l’emploi illégal. Parallèlement, la Commission continuera de soutenir et de contrôler la transposition et la mise en œuvre effectives de la </w:t>
      </w:r>
      <w:hyperlink r:id="rId10" w:history="1">
        <w:r>
          <w:rPr>
            <w:rStyle w:val="Hyperlink"/>
          </w:rPr>
          <w:t>directive 2011/36/UE</w:t>
        </w:r>
      </w:hyperlink>
      <w:r>
        <w:t xml:space="preserve"> modifiée par la </w:t>
      </w:r>
      <w:hyperlink r:id="rId11" w:history="1">
        <w:r>
          <w:rPr>
            <w:rStyle w:val="Hyperlink"/>
          </w:rPr>
          <w:t>directive 2024/1712</w:t>
        </w:r>
      </w:hyperlink>
      <w:r>
        <w:t xml:space="preserve"> concernant la prévention de la traite des êtres humains et la lutte contre ce phénomène, y compris en ce qui concerne les mesures visant à prévenir et à combattre la traite des êtres humains à des fins d’exploitation par le travail.</w:t>
      </w:r>
    </w:p>
    <w:p w:rsidR="00FB2BFC" w:rsidRPr="002A1B8F" w:rsidP="002A1B8F" w14:paraId="4B50D527" w14:textId="4C0CCDCA">
      <w:pPr>
        <w:widowControl w:val="0"/>
        <w:rPr>
          <w:i/>
        </w:rPr>
      </w:pPr>
      <w:r>
        <w:rPr>
          <w:b/>
        </w:rPr>
        <w:t>Paragraphe 23</w:t>
      </w:r>
    </w:p>
    <w:p w:rsidR="00D90A01" w:rsidRPr="0039707B" w:rsidP="002A1B8F" w14:paraId="4CFF1431" w14:textId="199EF45F">
      <w:r>
        <w:t xml:space="preserve">La Commission convient de la nécessité de nouvelles procédures de contrôle et confirme que les États membres et l’AET doivent poursuivre leurs efforts. Afin d’améliorer encore les efforts déployés par l’AET, l’Autorité travaille, après l’évaluation, à l’élaboration d’un plan d’action visant à remédier aux lacunes opérationnelles. En outre, dans le contexte de la prochaine initiative sur un «train de mesures sur la mobilité équitable de la main-d’œuvre», la Commission proposera une révision du </w:t>
      </w:r>
      <w:hyperlink r:id="rId12" w:history="1">
        <w:r>
          <w:rPr>
            <w:rStyle w:val="Hyperlink"/>
          </w:rPr>
          <w:t>règlement (UE) 2019/1149</w:t>
        </w:r>
      </w:hyperlink>
      <w:r>
        <w:t xml:space="preserve"> instituant l’Autorité européenne du travail afin de faciliter l’application du droit de l’Union relatif à la mobilité transfrontière des travailleurs.</w:t>
      </w:r>
    </w:p>
    <w:p w:rsidR="5AEFBA33" w:rsidRPr="0039707B" w:rsidP="002A1B8F" w14:paraId="2631DA2B" w14:textId="679978D5">
      <w:r>
        <w:t xml:space="preserve">La situation dans les secteurs à haut risque, tels que la construction, le transport routier et l’agriculture, est au centre des préoccupations de l’AET. Les efforts déployés par les autorités nationales et les partenaires sociaux pour garantir le respect des règles sont essentiels. En conséquence, l’AET continuera de collaborer étroitement avec les organisations de partenaires sociaux. </w:t>
      </w:r>
    </w:p>
    <w:p w:rsidR="00767E54" w:rsidRPr="002A1B8F" w:rsidP="00F168E7" w14:paraId="17764BEA" w14:textId="6DAB3897">
      <w:pPr>
        <w:widowControl w:val="0"/>
        <w:rPr>
          <w:b/>
          <w:bCs/>
          <w:szCs w:val="24"/>
        </w:rPr>
      </w:pPr>
      <w:r>
        <w:rPr>
          <w:b/>
        </w:rPr>
        <w:t>Paragraphe 24</w:t>
      </w:r>
    </w:p>
    <w:p w:rsidR="00FE2710" w:rsidP="00FE2710" w14:paraId="4ED21220" w14:textId="2281BC06">
      <w:bookmarkStart w:id="1" w:name="_Hlk223086313"/>
      <w:r>
        <w:t>La Commission souligne le rôle essentiel des inspections du travail pour le respect du droit du travail et de la législation en matière de santé et de sécurité au travail. L’application de la législation nationale transposant les directives de l’UE dans ces domaines relève principalement de la responsabilité des autorités nationales compétentes. Il appartient aux États membres de fixer et d’allouer les ressources nécessaires à cette activité. En ce qui concerne la santé et la sécurité au travail, le comité des hauts responsables de l’inspection du travail (CHRIT) aide les États membres à faire appliquer la législation de l’UE dans le domaine de la santé et de la sécurité au travail.</w:t>
      </w:r>
    </w:p>
    <w:p w:rsidR="009A2D0D" w:rsidRPr="002A1B8F" w:rsidP="002A1B8F" w14:paraId="3D9FBAB8" w14:textId="46CC3C96">
      <w:r>
        <w:t>Lors de la mise en place de l’AET, l’amélioration du soutien au travail des inspections nationales du travail était un objectif important. L’AET aide les autorités nationales à coordonner les inspections ayant une dimension transfrontière et facilite l’apprentissage mutuel et l’échange de bonnes pratiques entre les autorités nationales. Par ses campagnes d’information, l’AET contribue également à sensibiliser davantage les travailleurs à leurs droits, en particulier dans les situations de mobilité transfrontière, et contribue ainsi à prévenir le non-respect de la législation du travail.</w:t>
      </w:r>
    </w:p>
    <w:bookmarkEnd w:id="1"/>
    <w:p w:rsidR="00F168E7" w:rsidRPr="002A1B8F" w:rsidP="00F168E7" w14:paraId="6A460F20" w14:textId="65165751">
      <w:pPr>
        <w:widowControl w:val="0"/>
        <w:rPr>
          <w:b/>
        </w:rPr>
      </w:pPr>
      <w:r>
        <w:rPr>
          <w:b/>
        </w:rPr>
        <w:t>Paragraphe 25</w:t>
      </w:r>
    </w:p>
    <w:p w:rsidR="00FA3430" w:rsidRPr="002A1B8F" w:rsidP="002A1B8F" w14:paraId="260F0D40" w14:textId="77A9FBBC">
      <w:pPr>
        <w:rPr>
          <w:i/>
          <w:iCs/>
          <w:szCs w:val="24"/>
        </w:rPr>
      </w:pPr>
      <w:r>
        <w:t xml:space="preserve">Afin de soutenir le suivi de la directive sur le détachement des travailleurs [directive (UE) 2018/957], la Commission a demandé une </w:t>
      </w:r>
      <w:hyperlink r:id="rId13" w:history="1">
        <w:r>
          <w:rPr>
            <w:rStyle w:val="Hyperlink"/>
          </w:rPr>
          <w:t>étude qui a été publiée en 2024</w:t>
        </w:r>
      </w:hyperlink>
      <w:r>
        <w:t xml:space="preserve"> et qui inclut le recours aux travailleurs détachés dans les chaînes de sous-traitance. L’AET procède également à une cartographie de la couverture de la responsabilité en matière de sous-traitance dans les États membres. </w:t>
      </w:r>
    </w:p>
    <w:p w:rsidR="00FB2BFC" w:rsidRPr="002A1B8F" w:rsidP="00FB2BFC" w14:paraId="11CE4F50" w14:textId="77777777">
      <w:pPr>
        <w:widowControl w:val="0"/>
        <w:jc w:val="left"/>
        <w:rPr>
          <w:b/>
          <w:bCs/>
          <w:szCs w:val="24"/>
        </w:rPr>
      </w:pPr>
      <w:r>
        <w:rPr>
          <w:b/>
        </w:rPr>
        <w:t>Paragraphe 26</w:t>
      </w:r>
    </w:p>
    <w:p w:rsidR="52699FCB" w:rsidRPr="0039707B" w:rsidP="003B0CD8" w14:paraId="602B098E" w14:textId="24184CAE">
      <w:r>
        <w:t>La numérisation sera un pilier central du prochain «train de mesures sur la mobilité équitable de la main-d’œuvre», qui vise à être un outil essentiel pour favoriser la confiance, l’équité et la simplification pour les particuliers, les employeurs et les administrations. Dans le cadre de ce train de mesures, la proposition envisagée sur l’ESSPASS viserait à faciliter l’application des règles de coordination de la sécurité sociale et à promouvoir une mobilité équitable au sein de l’UE, grâce à une preuve et à des vérifications simplifiées et renforcées des droits en matière de sécurité sociale et du statut d’assurance. Le maintien de l’engagement politique et financier des États membres serait essentiel à un déploiement rapide et réussi de l’ESSPASS dans toute l’Europe.</w:t>
      </w:r>
    </w:p>
    <w:p w:rsidR="5AEFBA33" w:rsidRPr="002A1B8F" w:rsidP="002A1B8F" w14:paraId="4F8406F6" w14:textId="569AF7D5">
      <w:pPr>
        <w:rPr>
          <w:i/>
        </w:rPr>
      </w:pPr>
      <w:r>
        <w:t>En ce qui concerne les cartes de travail, la Commission continuera de soutenir les partenaires sociaux de l’UE dans le secteur de la construction, qui examinent quel pourrait être le potentiel de numérisation des cartes de travail actuelles. L’une de leurs conclusions concerne la possibilité d’utiliser les portefeuilles européens d’identité numérique pour contenir les informations actuellement fournies par les cartes d’identité sociale/cartes de travail.</w:t>
      </w:r>
    </w:p>
    <w:p w:rsidR="00F168E7" w:rsidP="00F168E7" w14:paraId="6C67A463" w14:textId="57077BDD">
      <w:pPr>
        <w:widowControl w:val="0"/>
        <w:rPr>
          <w:b/>
          <w:bCs/>
          <w:szCs w:val="24"/>
        </w:rPr>
      </w:pPr>
      <w:r>
        <w:rPr>
          <w:b/>
        </w:rPr>
        <w:t>Paragraphe 27</w:t>
      </w:r>
    </w:p>
    <w:p w:rsidR="00545491" w:rsidRPr="00545491" w:rsidP="00F168E7" w14:paraId="5A89EE0A" w14:textId="7F01FBED">
      <w:pPr>
        <w:widowControl w:val="0"/>
      </w:pPr>
      <w:r>
        <w:t>La Commission souligne que l’application des interdictions commerciales est essentielle pour lutter contre l’exploitation par le travail. Une reconnaissance mutuelle des interdictions commerciales entre les États membres pourrait contribuer à empêcher les partenaires commerciaux de mauvaise foi de contourner les interdictions commerciales en concluant des contrats dans un autre État membre. Toutefois, il est important d’éviter une charge administrative supplémentaire et le risque de sanctionner les entreprises de bonne foi.</w:t>
      </w:r>
    </w:p>
    <w:p w:rsidR="00F168E7" w:rsidRPr="00111BCB" w:rsidP="00F168E7" w14:paraId="5F1A68E4" w14:textId="4D456757">
      <w:pPr>
        <w:widowControl w:val="0"/>
        <w:rPr>
          <w:b/>
          <w:bCs/>
          <w:szCs w:val="24"/>
        </w:rPr>
      </w:pPr>
      <w:r>
        <w:rPr>
          <w:b/>
        </w:rPr>
        <w:t>Paragraphe 28</w:t>
      </w:r>
    </w:p>
    <w:p w:rsidR="001D5B28" w:rsidP="00F168E7" w14:paraId="17ED67C1" w14:textId="4ACE7CBC">
      <w:pPr>
        <w:widowControl w:val="0"/>
        <w:rPr>
          <w:szCs w:val="24"/>
        </w:rPr>
      </w:pPr>
      <w:r>
        <w:t>La Commission rappelle que des sanctions efficaces en cas de violation des droits des travailleurs protégés par le droit de l’Union font partie intégrante de la garantie d’un marché du travail équitable et compétitif. La responsabilité principale de définir les voies de recours et les sanctions pour garantir une protection juridique effective dans les domaines couverts par le droit de l’Union incombe aux États membres. Lier ces sanctions nationales à la taille ou au chiffre d’affaires des entreprises est un moyen possible de garantir des sanctions proportionnées et dissuasives, mais la fixation d’une telle exigence au niveau de l’UE doit être évaluée pour chaque instrument juridique sur une base individuelle, dans le respect des principes de proportionnalité et de subsidiarité et de l’autonomie procédurale des États membres.</w:t>
      </w:r>
    </w:p>
    <w:p w:rsidR="0039707B" w:rsidRPr="00890335" w:rsidP="00712534" w14:paraId="407509C9" w14:textId="54BFBCD7">
      <w:pPr>
        <w:keepNext/>
        <w:keepLines/>
        <w:rPr>
          <w:b/>
          <w:bCs/>
          <w:szCs w:val="24"/>
        </w:rPr>
      </w:pPr>
      <w:r>
        <w:rPr>
          <w:b/>
        </w:rPr>
        <w:t>Paragraphe 29</w:t>
      </w:r>
    </w:p>
    <w:p w:rsidR="00B6084C" w:rsidRPr="00545491" w:rsidP="00712534" w14:paraId="648496E0" w14:textId="2638AED6">
      <w:pPr>
        <w:keepNext/>
        <w:keepLines/>
        <w:rPr>
          <w:szCs w:val="24"/>
        </w:rPr>
      </w:pPr>
      <w:r>
        <w:t xml:space="preserve">Le </w:t>
      </w:r>
      <w:hyperlink r:id="rId14" w:history="1">
        <w:r>
          <w:rPr>
            <w:rStyle w:val="Hyperlink"/>
          </w:rPr>
          <w:t xml:space="preserve">règlement européen sur l’insolvabilité (UE) 2015/848 </w:t>
        </w:r>
      </w:hyperlink>
      <w:r>
        <w:t xml:space="preserve"> et la </w:t>
      </w:r>
      <w:hyperlink r:id="rId15" w:history="1">
        <w:r>
          <w:rPr>
            <w:rStyle w:val="Hyperlink"/>
          </w:rPr>
          <w:t>directive (UE) 2019/1023 sur la restructuration</w:t>
        </w:r>
      </w:hyperlink>
      <w:r>
        <w:t xml:space="preserve"> contiennent des garanties suffisantes contre l’utilisation abusive stratégique des procédures de faillite, y compris dans les situations transfrontières au sein de l’UE, au détriment des travailleurs et des employés. Les juridictions et les autres autorités compétentes ont la possibilité d’empêcher le déplacement transfrontalier frauduleux du siège statutaire de la société ou de refuser le début d’une restructuration préventive, si elle est abusive. En outre, la directive sur la restructuration n’autorise pas de moratoire sur les créances des travailleurs et garantit la pleine protection du droit du travail, y compris la consultation, l’information et d’autres droits pertinents des travailleurs en vertu des instruments législatifs applicables de l’UE, tels que les directives </w:t>
      </w:r>
      <w:hyperlink r:id="rId16" w:history="1">
        <w:r>
          <w:rPr>
            <w:rStyle w:val="Hyperlink"/>
          </w:rPr>
          <w:t>98/59/CE</w:t>
        </w:r>
      </w:hyperlink>
      <w:r>
        <w:t xml:space="preserve">, </w:t>
      </w:r>
      <w:hyperlink r:id="rId17" w:history="1">
        <w:r>
          <w:rPr>
            <w:rStyle w:val="Hyperlink"/>
          </w:rPr>
          <w:t>2001/23/CE</w:t>
        </w:r>
      </w:hyperlink>
      <w:r>
        <w:t xml:space="preserve">, </w:t>
      </w:r>
      <w:hyperlink r:id="rId18" w:history="1">
        <w:r>
          <w:rPr>
            <w:rStyle w:val="Hyperlink"/>
          </w:rPr>
          <w:t>2002/14/CE</w:t>
        </w:r>
      </w:hyperlink>
      <w:r>
        <w:t xml:space="preserve">, </w:t>
      </w:r>
      <w:hyperlink r:id="rId19" w:history="1">
        <w:r>
          <w:rPr>
            <w:rStyle w:val="Hyperlink"/>
          </w:rPr>
          <w:t>2008/94/CE</w:t>
        </w:r>
      </w:hyperlink>
      <w:r>
        <w:t xml:space="preserve"> et </w:t>
      </w:r>
      <w:hyperlink r:id="rId20" w:history="1">
        <w:r>
          <w:rPr>
            <w:rStyle w:val="Hyperlink"/>
          </w:rPr>
          <w:t>2009/38/CE</w:t>
        </w:r>
      </w:hyperlink>
      <w:r>
        <w:t>.</w:t>
      </w:r>
    </w:p>
    <w:sectPr w:rsidSect="00812321">
      <w:footerReference w:type="even" r:id="rId21"/>
      <w:footerReference w:type="default" r:id="rId22"/>
      <w:footerReference w:type="first" r:id="rId23"/>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RPr="00FB2BFC"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rsidRPr="00FB2BFC"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RPr="00FB2BFC"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FB2BFC"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RPr="00FB2BFC"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RPr="00FB2BFC" w:rsidP="00442B2E" w14:paraId="244C2131"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54E2EA0"/>
    <w:multiLevelType w:val="hybridMultilevel"/>
    <w:tmpl w:val="B36A8BE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2E646BFE"/>
    <w:multiLevelType w:val="multilevel"/>
    <w:tmpl w:val="63A4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600902"/>
    <w:multiLevelType w:val="hybridMultilevel"/>
    <w:tmpl w:val="7904FA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03E7EAF"/>
    <w:multiLevelType w:val="hybrid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21">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4">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nsid w:val="54BC7736"/>
    <w:multiLevelType w:val="hybridMultilevel"/>
    <w:tmpl w:val="1174D3F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0">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5">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8">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9">
    <w:nsid w:val="783441ED"/>
    <w:multiLevelType w:val="multilevel"/>
    <w:tmpl w:val="EB9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8"/>
  </w:num>
  <w:num w:numId="4" w16cid:durableId="580018736">
    <w:abstractNumId w:val="14"/>
  </w:num>
  <w:num w:numId="5" w16cid:durableId="221647625">
    <w:abstractNumId w:val="34"/>
  </w:num>
  <w:num w:numId="6" w16cid:durableId="298344620">
    <w:abstractNumId w:val="11"/>
  </w:num>
  <w:num w:numId="7" w16cid:durableId="58093387">
    <w:abstractNumId w:val="7"/>
  </w:num>
  <w:num w:numId="8" w16cid:durableId="1122530581">
    <w:abstractNumId w:val="18"/>
  </w:num>
  <w:num w:numId="9" w16cid:durableId="1479684095">
    <w:abstractNumId w:val="37"/>
  </w:num>
  <w:num w:numId="10" w16cid:durableId="340007303">
    <w:abstractNumId w:val="29"/>
  </w:num>
  <w:num w:numId="11" w16cid:durableId="346519941">
    <w:abstractNumId w:val="31"/>
  </w:num>
  <w:num w:numId="12" w16cid:durableId="691036718">
    <w:abstractNumId w:val="13"/>
  </w:num>
  <w:num w:numId="13" w16cid:durableId="1452093781">
    <w:abstractNumId w:val="19"/>
  </w:num>
  <w:num w:numId="14" w16cid:durableId="906961314">
    <w:abstractNumId w:val="35"/>
  </w:num>
  <w:num w:numId="15" w16cid:durableId="1388455259">
    <w:abstractNumId w:val="17"/>
  </w:num>
  <w:num w:numId="16" w16cid:durableId="1677533267">
    <w:abstractNumId w:val="42"/>
  </w:num>
  <w:num w:numId="17" w16cid:durableId="961619330">
    <w:abstractNumId w:val="36"/>
  </w:num>
  <w:num w:numId="18" w16cid:durableId="1095638383">
    <w:abstractNumId w:val="26"/>
  </w:num>
  <w:num w:numId="19" w16cid:durableId="357776219">
    <w:abstractNumId w:val="28"/>
  </w:num>
  <w:num w:numId="20" w16cid:durableId="1481578588">
    <w:abstractNumId w:val="33"/>
  </w:num>
  <w:num w:numId="21" w16cid:durableId="1812137613">
    <w:abstractNumId w:val="4"/>
  </w:num>
  <w:num w:numId="22" w16cid:durableId="370300677">
    <w:abstractNumId w:val="5"/>
  </w:num>
  <w:num w:numId="23" w16cid:durableId="1948660650">
    <w:abstractNumId w:val="6"/>
  </w:num>
  <w:num w:numId="24" w16cid:durableId="1221136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40"/>
  </w:num>
  <w:num w:numId="26" w16cid:durableId="1203983393">
    <w:abstractNumId w:val="30"/>
  </w:num>
  <w:num w:numId="27" w16cid:durableId="1149204463">
    <w:abstractNumId w:val="21"/>
  </w:num>
  <w:num w:numId="28" w16cid:durableId="614867515">
    <w:abstractNumId w:val="41"/>
  </w:num>
  <w:num w:numId="29" w16cid:durableId="1513490821">
    <w:abstractNumId w:val="3"/>
  </w:num>
  <w:num w:numId="30" w16cid:durableId="1269506392">
    <w:abstractNumId w:val="25"/>
  </w:num>
  <w:num w:numId="31" w16cid:durableId="160509948">
    <w:abstractNumId w:val="24"/>
  </w:num>
  <w:num w:numId="32" w16cid:durableId="146094414">
    <w:abstractNumId w:val="10"/>
  </w:num>
  <w:num w:numId="33" w16cid:durableId="2145806991">
    <w:abstractNumId w:val="12"/>
  </w:num>
  <w:num w:numId="34" w16cid:durableId="1322079617">
    <w:abstractNumId w:val="23"/>
  </w:num>
  <w:num w:numId="35" w16cid:durableId="1661734410">
    <w:abstractNumId w:val="22"/>
  </w:num>
  <w:num w:numId="36" w16cid:durableId="2054695216">
    <w:abstractNumId w:val="2"/>
  </w:num>
  <w:num w:numId="37" w16cid:durableId="1416710776">
    <w:abstractNumId w:val="16"/>
  </w:num>
  <w:num w:numId="38" w16cid:durableId="1424107235">
    <w:abstractNumId w:val="20"/>
  </w:num>
  <w:num w:numId="39" w16cid:durableId="307324216">
    <w:abstractNumId w:val="39"/>
  </w:num>
  <w:num w:numId="40" w16cid:durableId="916281735">
    <w:abstractNumId w:val="15"/>
  </w:num>
  <w:num w:numId="41" w16cid:durableId="360786433">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BBF"/>
    <w:rsid w:val="00003C85"/>
    <w:rsid w:val="00004288"/>
    <w:rsid w:val="0000450D"/>
    <w:rsid w:val="000046C1"/>
    <w:rsid w:val="00004A58"/>
    <w:rsid w:val="00004C3F"/>
    <w:rsid w:val="0000525F"/>
    <w:rsid w:val="000054A7"/>
    <w:rsid w:val="00005541"/>
    <w:rsid w:val="000055F5"/>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091"/>
    <w:rsid w:val="0001120A"/>
    <w:rsid w:val="00011281"/>
    <w:rsid w:val="0001134B"/>
    <w:rsid w:val="000113AB"/>
    <w:rsid w:val="0001140F"/>
    <w:rsid w:val="0001153B"/>
    <w:rsid w:val="00011589"/>
    <w:rsid w:val="00011615"/>
    <w:rsid w:val="0001162A"/>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B7"/>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1EF"/>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17F56"/>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45"/>
    <w:rsid w:val="00022FAA"/>
    <w:rsid w:val="00023162"/>
    <w:rsid w:val="000232A5"/>
    <w:rsid w:val="00023424"/>
    <w:rsid w:val="00023451"/>
    <w:rsid w:val="00023626"/>
    <w:rsid w:val="000236DC"/>
    <w:rsid w:val="00023BBC"/>
    <w:rsid w:val="00023C78"/>
    <w:rsid w:val="00023D6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257"/>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757"/>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799"/>
    <w:rsid w:val="0004189C"/>
    <w:rsid w:val="0004193F"/>
    <w:rsid w:val="0004195A"/>
    <w:rsid w:val="00041A87"/>
    <w:rsid w:val="00041C4F"/>
    <w:rsid w:val="00041F1F"/>
    <w:rsid w:val="0004209B"/>
    <w:rsid w:val="000420DB"/>
    <w:rsid w:val="000421A1"/>
    <w:rsid w:val="000423C1"/>
    <w:rsid w:val="00042508"/>
    <w:rsid w:val="000426F5"/>
    <w:rsid w:val="00042A8B"/>
    <w:rsid w:val="00042F4E"/>
    <w:rsid w:val="000434BD"/>
    <w:rsid w:val="00043640"/>
    <w:rsid w:val="000436A8"/>
    <w:rsid w:val="00043B7B"/>
    <w:rsid w:val="00043E36"/>
    <w:rsid w:val="000443C3"/>
    <w:rsid w:val="000444E8"/>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862"/>
    <w:rsid w:val="00051BA8"/>
    <w:rsid w:val="00051E3C"/>
    <w:rsid w:val="000520B1"/>
    <w:rsid w:val="00052241"/>
    <w:rsid w:val="00052672"/>
    <w:rsid w:val="00052814"/>
    <w:rsid w:val="000529B5"/>
    <w:rsid w:val="000529E9"/>
    <w:rsid w:val="00053766"/>
    <w:rsid w:val="00053BE0"/>
    <w:rsid w:val="00053CB9"/>
    <w:rsid w:val="00053E68"/>
    <w:rsid w:val="00053FAD"/>
    <w:rsid w:val="000541A5"/>
    <w:rsid w:val="0005422C"/>
    <w:rsid w:val="00054C6E"/>
    <w:rsid w:val="00054DF3"/>
    <w:rsid w:val="00055034"/>
    <w:rsid w:val="000550B3"/>
    <w:rsid w:val="0005513C"/>
    <w:rsid w:val="00055234"/>
    <w:rsid w:val="00055406"/>
    <w:rsid w:val="00055569"/>
    <w:rsid w:val="00055DF6"/>
    <w:rsid w:val="00055ED8"/>
    <w:rsid w:val="00056202"/>
    <w:rsid w:val="000564DF"/>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3B7"/>
    <w:rsid w:val="0006140F"/>
    <w:rsid w:val="00061530"/>
    <w:rsid w:val="00061536"/>
    <w:rsid w:val="000615E8"/>
    <w:rsid w:val="00061822"/>
    <w:rsid w:val="00061897"/>
    <w:rsid w:val="000619C8"/>
    <w:rsid w:val="00061FAC"/>
    <w:rsid w:val="00061FD0"/>
    <w:rsid w:val="00062240"/>
    <w:rsid w:val="000622F5"/>
    <w:rsid w:val="00062919"/>
    <w:rsid w:val="0006296B"/>
    <w:rsid w:val="000629E6"/>
    <w:rsid w:val="00062BE7"/>
    <w:rsid w:val="00063101"/>
    <w:rsid w:val="00063857"/>
    <w:rsid w:val="0006396A"/>
    <w:rsid w:val="00063A47"/>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684"/>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A4D"/>
    <w:rsid w:val="00072D12"/>
    <w:rsid w:val="00072E6E"/>
    <w:rsid w:val="00072F6B"/>
    <w:rsid w:val="00073100"/>
    <w:rsid w:val="00073283"/>
    <w:rsid w:val="000732A8"/>
    <w:rsid w:val="00073445"/>
    <w:rsid w:val="0007349A"/>
    <w:rsid w:val="000735B6"/>
    <w:rsid w:val="000736A0"/>
    <w:rsid w:val="00073A80"/>
    <w:rsid w:val="00073D03"/>
    <w:rsid w:val="0007403A"/>
    <w:rsid w:val="000744AE"/>
    <w:rsid w:val="000744BA"/>
    <w:rsid w:val="00074A10"/>
    <w:rsid w:val="00074A7D"/>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81"/>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6ED"/>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21"/>
    <w:rsid w:val="00085BE8"/>
    <w:rsid w:val="00085E04"/>
    <w:rsid w:val="0008608A"/>
    <w:rsid w:val="00086206"/>
    <w:rsid w:val="000863ED"/>
    <w:rsid w:val="000867ED"/>
    <w:rsid w:val="00086833"/>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10E"/>
    <w:rsid w:val="0009166A"/>
    <w:rsid w:val="000918B2"/>
    <w:rsid w:val="00091CE2"/>
    <w:rsid w:val="0009205D"/>
    <w:rsid w:val="00092442"/>
    <w:rsid w:val="0009257A"/>
    <w:rsid w:val="00092B44"/>
    <w:rsid w:val="00092C2D"/>
    <w:rsid w:val="00092EB9"/>
    <w:rsid w:val="00093248"/>
    <w:rsid w:val="0009343D"/>
    <w:rsid w:val="00093617"/>
    <w:rsid w:val="00093E98"/>
    <w:rsid w:val="00093FDF"/>
    <w:rsid w:val="00094051"/>
    <w:rsid w:val="000942B9"/>
    <w:rsid w:val="00094353"/>
    <w:rsid w:val="000945D6"/>
    <w:rsid w:val="00094600"/>
    <w:rsid w:val="00094AC0"/>
    <w:rsid w:val="00094B2F"/>
    <w:rsid w:val="000953E3"/>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D75"/>
    <w:rsid w:val="00097E80"/>
    <w:rsid w:val="00097F2B"/>
    <w:rsid w:val="000A031E"/>
    <w:rsid w:val="000A0424"/>
    <w:rsid w:val="000A05BC"/>
    <w:rsid w:val="000A06AB"/>
    <w:rsid w:val="000A07F3"/>
    <w:rsid w:val="000A0849"/>
    <w:rsid w:val="000A09F3"/>
    <w:rsid w:val="000A0BAF"/>
    <w:rsid w:val="000A0FB4"/>
    <w:rsid w:val="000A1105"/>
    <w:rsid w:val="000A1418"/>
    <w:rsid w:val="000A1760"/>
    <w:rsid w:val="000A19A2"/>
    <w:rsid w:val="000A1BDC"/>
    <w:rsid w:val="000A1CD5"/>
    <w:rsid w:val="000A1E0A"/>
    <w:rsid w:val="000A1E8A"/>
    <w:rsid w:val="000A215A"/>
    <w:rsid w:val="000A227F"/>
    <w:rsid w:val="000A22C0"/>
    <w:rsid w:val="000A2388"/>
    <w:rsid w:val="000A2AC3"/>
    <w:rsid w:val="000A2CC6"/>
    <w:rsid w:val="000A30BD"/>
    <w:rsid w:val="000A3320"/>
    <w:rsid w:val="000A3378"/>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89"/>
    <w:rsid w:val="000A7C9B"/>
    <w:rsid w:val="000A7F9D"/>
    <w:rsid w:val="000B01AF"/>
    <w:rsid w:val="000B0467"/>
    <w:rsid w:val="000B055C"/>
    <w:rsid w:val="000B08BC"/>
    <w:rsid w:val="000B09D0"/>
    <w:rsid w:val="000B0F74"/>
    <w:rsid w:val="000B1471"/>
    <w:rsid w:val="000B16FC"/>
    <w:rsid w:val="000B1845"/>
    <w:rsid w:val="000B1B92"/>
    <w:rsid w:val="000B1CA5"/>
    <w:rsid w:val="000B20DA"/>
    <w:rsid w:val="000B250E"/>
    <w:rsid w:val="000B25E8"/>
    <w:rsid w:val="000B281C"/>
    <w:rsid w:val="000B29E5"/>
    <w:rsid w:val="000B2A6D"/>
    <w:rsid w:val="000B2C0D"/>
    <w:rsid w:val="000B2C17"/>
    <w:rsid w:val="000B2CE1"/>
    <w:rsid w:val="000B2FAD"/>
    <w:rsid w:val="000B307A"/>
    <w:rsid w:val="000B30CD"/>
    <w:rsid w:val="000B3373"/>
    <w:rsid w:val="000B3478"/>
    <w:rsid w:val="000B356B"/>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35A"/>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03"/>
    <w:rsid w:val="000C2046"/>
    <w:rsid w:val="000C2A98"/>
    <w:rsid w:val="000C2CC9"/>
    <w:rsid w:val="000C2E50"/>
    <w:rsid w:val="000C3067"/>
    <w:rsid w:val="000C30DD"/>
    <w:rsid w:val="000C323C"/>
    <w:rsid w:val="000C34F0"/>
    <w:rsid w:val="000C3512"/>
    <w:rsid w:val="000C353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4C"/>
    <w:rsid w:val="000D057B"/>
    <w:rsid w:val="000D0723"/>
    <w:rsid w:val="000D082B"/>
    <w:rsid w:val="000D0A22"/>
    <w:rsid w:val="000D0AEE"/>
    <w:rsid w:val="000D0EE2"/>
    <w:rsid w:val="000D1461"/>
    <w:rsid w:val="000D1C63"/>
    <w:rsid w:val="000D20A1"/>
    <w:rsid w:val="000D23CE"/>
    <w:rsid w:val="000D25EF"/>
    <w:rsid w:val="000D2718"/>
    <w:rsid w:val="000D280C"/>
    <w:rsid w:val="000D2BAE"/>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DF1"/>
    <w:rsid w:val="000D6FA4"/>
    <w:rsid w:val="000D708B"/>
    <w:rsid w:val="000D73E2"/>
    <w:rsid w:val="000D744E"/>
    <w:rsid w:val="000D7527"/>
    <w:rsid w:val="000D7721"/>
    <w:rsid w:val="000D7802"/>
    <w:rsid w:val="000D7836"/>
    <w:rsid w:val="000D7B79"/>
    <w:rsid w:val="000D7C0C"/>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3"/>
    <w:rsid w:val="000E2C4B"/>
    <w:rsid w:val="000E2D27"/>
    <w:rsid w:val="000E2F2B"/>
    <w:rsid w:val="000E2F5A"/>
    <w:rsid w:val="000E3301"/>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DE0"/>
    <w:rsid w:val="000E6DF8"/>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7A2"/>
    <w:rsid w:val="000F1A32"/>
    <w:rsid w:val="000F24AC"/>
    <w:rsid w:val="000F2713"/>
    <w:rsid w:val="000F2E1A"/>
    <w:rsid w:val="000F2E83"/>
    <w:rsid w:val="000F343E"/>
    <w:rsid w:val="000F3948"/>
    <w:rsid w:val="000F39AA"/>
    <w:rsid w:val="000F3B1E"/>
    <w:rsid w:val="000F3C11"/>
    <w:rsid w:val="000F3CF6"/>
    <w:rsid w:val="000F3D65"/>
    <w:rsid w:val="000F3F15"/>
    <w:rsid w:val="000F4058"/>
    <w:rsid w:val="000F41D0"/>
    <w:rsid w:val="000F43EC"/>
    <w:rsid w:val="000F454E"/>
    <w:rsid w:val="000F458B"/>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29D"/>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89E"/>
    <w:rsid w:val="00110C86"/>
    <w:rsid w:val="00110DE1"/>
    <w:rsid w:val="00110F5F"/>
    <w:rsid w:val="001111EF"/>
    <w:rsid w:val="00111223"/>
    <w:rsid w:val="00111350"/>
    <w:rsid w:val="0011142F"/>
    <w:rsid w:val="00111643"/>
    <w:rsid w:val="0011166B"/>
    <w:rsid w:val="00111A81"/>
    <w:rsid w:val="00111BCB"/>
    <w:rsid w:val="00111D10"/>
    <w:rsid w:val="00112203"/>
    <w:rsid w:val="00112486"/>
    <w:rsid w:val="00112539"/>
    <w:rsid w:val="00112579"/>
    <w:rsid w:val="00112A1C"/>
    <w:rsid w:val="00112ED5"/>
    <w:rsid w:val="00113072"/>
    <w:rsid w:val="0011318D"/>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A56"/>
    <w:rsid w:val="00117E41"/>
    <w:rsid w:val="00117F86"/>
    <w:rsid w:val="00120043"/>
    <w:rsid w:val="00120230"/>
    <w:rsid w:val="00120411"/>
    <w:rsid w:val="0012079D"/>
    <w:rsid w:val="00120ADC"/>
    <w:rsid w:val="00120BD1"/>
    <w:rsid w:val="00120E34"/>
    <w:rsid w:val="00120E8D"/>
    <w:rsid w:val="0012121E"/>
    <w:rsid w:val="00121335"/>
    <w:rsid w:val="00121382"/>
    <w:rsid w:val="001213DF"/>
    <w:rsid w:val="00121541"/>
    <w:rsid w:val="0012161C"/>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9C9"/>
    <w:rsid w:val="00125AD3"/>
    <w:rsid w:val="00125B17"/>
    <w:rsid w:val="001260EA"/>
    <w:rsid w:val="001261A4"/>
    <w:rsid w:val="001261BA"/>
    <w:rsid w:val="00126295"/>
    <w:rsid w:val="00126493"/>
    <w:rsid w:val="0012657B"/>
    <w:rsid w:val="00126867"/>
    <w:rsid w:val="00126F64"/>
    <w:rsid w:val="00127008"/>
    <w:rsid w:val="0012713C"/>
    <w:rsid w:val="00127307"/>
    <w:rsid w:val="00127422"/>
    <w:rsid w:val="0012748C"/>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B7"/>
    <w:rsid w:val="001343DF"/>
    <w:rsid w:val="0013462F"/>
    <w:rsid w:val="0013494F"/>
    <w:rsid w:val="001349BA"/>
    <w:rsid w:val="00134AAE"/>
    <w:rsid w:val="00134DB4"/>
    <w:rsid w:val="00134E51"/>
    <w:rsid w:val="00134F5D"/>
    <w:rsid w:val="00134FA5"/>
    <w:rsid w:val="0013524C"/>
    <w:rsid w:val="001353EF"/>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37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49E"/>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667"/>
    <w:rsid w:val="00154908"/>
    <w:rsid w:val="00154E3C"/>
    <w:rsid w:val="00155050"/>
    <w:rsid w:val="00155182"/>
    <w:rsid w:val="00155265"/>
    <w:rsid w:val="001559B7"/>
    <w:rsid w:val="00155DAE"/>
    <w:rsid w:val="0015615D"/>
    <w:rsid w:val="001561D4"/>
    <w:rsid w:val="00156301"/>
    <w:rsid w:val="001565BD"/>
    <w:rsid w:val="00156775"/>
    <w:rsid w:val="00156A0F"/>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2B6F"/>
    <w:rsid w:val="001630F8"/>
    <w:rsid w:val="0016323F"/>
    <w:rsid w:val="00163676"/>
    <w:rsid w:val="001636EE"/>
    <w:rsid w:val="001637E5"/>
    <w:rsid w:val="001638B6"/>
    <w:rsid w:val="00163961"/>
    <w:rsid w:val="00163A47"/>
    <w:rsid w:val="00163BF8"/>
    <w:rsid w:val="00163C36"/>
    <w:rsid w:val="00163F92"/>
    <w:rsid w:val="001642FB"/>
    <w:rsid w:val="00164681"/>
    <w:rsid w:val="00164721"/>
    <w:rsid w:val="00164785"/>
    <w:rsid w:val="00164CE6"/>
    <w:rsid w:val="00164DD5"/>
    <w:rsid w:val="001650A6"/>
    <w:rsid w:val="0016527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37D"/>
    <w:rsid w:val="001674CC"/>
    <w:rsid w:val="00167650"/>
    <w:rsid w:val="001676A1"/>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010"/>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696"/>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78E"/>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6EE"/>
    <w:rsid w:val="001947EA"/>
    <w:rsid w:val="0019484D"/>
    <w:rsid w:val="00194A0F"/>
    <w:rsid w:val="00195512"/>
    <w:rsid w:val="00196088"/>
    <w:rsid w:val="001962D1"/>
    <w:rsid w:val="00196902"/>
    <w:rsid w:val="00196BE4"/>
    <w:rsid w:val="00196CC1"/>
    <w:rsid w:val="001970C6"/>
    <w:rsid w:val="00197230"/>
    <w:rsid w:val="00197294"/>
    <w:rsid w:val="00197522"/>
    <w:rsid w:val="001976A1"/>
    <w:rsid w:val="0019786E"/>
    <w:rsid w:val="00197A47"/>
    <w:rsid w:val="001A01B9"/>
    <w:rsid w:val="001A02EB"/>
    <w:rsid w:val="001A0303"/>
    <w:rsid w:val="001A03B3"/>
    <w:rsid w:val="001A0622"/>
    <w:rsid w:val="001A090B"/>
    <w:rsid w:val="001A0C22"/>
    <w:rsid w:val="001A0CB3"/>
    <w:rsid w:val="001A0D6D"/>
    <w:rsid w:val="001A0E7E"/>
    <w:rsid w:val="001A102F"/>
    <w:rsid w:val="001A14A4"/>
    <w:rsid w:val="001A1572"/>
    <w:rsid w:val="001A183D"/>
    <w:rsid w:val="001A188C"/>
    <w:rsid w:val="001A1CA7"/>
    <w:rsid w:val="001A1DC1"/>
    <w:rsid w:val="001A2019"/>
    <w:rsid w:val="001A2024"/>
    <w:rsid w:val="001A2509"/>
    <w:rsid w:val="001A2787"/>
    <w:rsid w:val="001A2A80"/>
    <w:rsid w:val="001A2BB5"/>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37A"/>
    <w:rsid w:val="001B54BE"/>
    <w:rsid w:val="001B572C"/>
    <w:rsid w:val="001B57D4"/>
    <w:rsid w:val="001B5E94"/>
    <w:rsid w:val="001B627A"/>
    <w:rsid w:val="001B6448"/>
    <w:rsid w:val="001B6B7E"/>
    <w:rsid w:val="001B6BAD"/>
    <w:rsid w:val="001B6F42"/>
    <w:rsid w:val="001B6F81"/>
    <w:rsid w:val="001B70A1"/>
    <w:rsid w:val="001B76B5"/>
    <w:rsid w:val="001B7802"/>
    <w:rsid w:val="001B7D87"/>
    <w:rsid w:val="001B7E7B"/>
    <w:rsid w:val="001C0463"/>
    <w:rsid w:val="001C04FE"/>
    <w:rsid w:val="001C0E59"/>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4F2"/>
    <w:rsid w:val="001D091B"/>
    <w:rsid w:val="001D0AC4"/>
    <w:rsid w:val="001D0D78"/>
    <w:rsid w:val="001D0FE7"/>
    <w:rsid w:val="001D112C"/>
    <w:rsid w:val="001D11F0"/>
    <w:rsid w:val="001D27B6"/>
    <w:rsid w:val="001D2B63"/>
    <w:rsid w:val="001D2BA0"/>
    <w:rsid w:val="001D2F6D"/>
    <w:rsid w:val="001D32C9"/>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087"/>
    <w:rsid w:val="001D5301"/>
    <w:rsid w:val="001D5466"/>
    <w:rsid w:val="001D585C"/>
    <w:rsid w:val="001D5903"/>
    <w:rsid w:val="001D595B"/>
    <w:rsid w:val="001D59BC"/>
    <w:rsid w:val="001D5B28"/>
    <w:rsid w:val="001D5B41"/>
    <w:rsid w:val="001D5C65"/>
    <w:rsid w:val="001D5D1B"/>
    <w:rsid w:val="001D670F"/>
    <w:rsid w:val="001D68FE"/>
    <w:rsid w:val="001D6923"/>
    <w:rsid w:val="001D6C21"/>
    <w:rsid w:val="001D6DC1"/>
    <w:rsid w:val="001D715C"/>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33"/>
    <w:rsid w:val="001E2862"/>
    <w:rsid w:val="001E292F"/>
    <w:rsid w:val="001E295A"/>
    <w:rsid w:val="001E2A37"/>
    <w:rsid w:val="001E2C18"/>
    <w:rsid w:val="001E2CF9"/>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6DDF"/>
    <w:rsid w:val="001E74CA"/>
    <w:rsid w:val="001E7518"/>
    <w:rsid w:val="001E758F"/>
    <w:rsid w:val="001E765C"/>
    <w:rsid w:val="001E7741"/>
    <w:rsid w:val="001E77A4"/>
    <w:rsid w:val="001E77D1"/>
    <w:rsid w:val="001E782D"/>
    <w:rsid w:val="001E787B"/>
    <w:rsid w:val="001E79DD"/>
    <w:rsid w:val="001E79E2"/>
    <w:rsid w:val="001E7C26"/>
    <w:rsid w:val="001F0008"/>
    <w:rsid w:val="001F00BC"/>
    <w:rsid w:val="001F04D8"/>
    <w:rsid w:val="001F0879"/>
    <w:rsid w:val="001F08E5"/>
    <w:rsid w:val="001F09AF"/>
    <w:rsid w:val="001F0A12"/>
    <w:rsid w:val="001F0A7B"/>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401"/>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5FAF"/>
    <w:rsid w:val="0021653C"/>
    <w:rsid w:val="00216DD8"/>
    <w:rsid w:val="0021709E"/>
    <w:rsid w:val="002171ED"/>
    <w:rsid w:val="0021726E"/>
    <w:rsid w:val="002172CA"/>
    <w:rsid w:val="002175B0"/>
    <w:rsid w:val="002178CA"/>
    <w:rsid w:val="00217919"/>
    <w:rsid w:val="002179F6"/>
    <w:rsid w:val="00217D07"/>
    <w:rsid w:val="00217E30"/>
    <w:rsid w:val="00217E33"/>
    <w:rsid w:val="00217E48"/>
    <w:rsid w:val="0022065B"/>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BA9"/>
    <w:rsid w:val="00225C2F"/>
    <w:rsid w:val="0022613D"/>
    <w:rsid w:val="002263AF"/>
    <w:rsid w:val="0022658F"/>
    <w:rsid w:val="00226668"/>
    <w:rsid w:val="002267B2"/>
    <w:rsid w:val="002268EA"/>
    <w:rsid w:val="00226C21"/>
    <w:rsid w:val="00227056"/>
    <w:rsid w:val="00227511"/>
    <w:rsid w:val="002276B7"/>
    <w:rsid w:val="00227749"/>
    <w:rsid w:val="00227794"/>
    <w:rsid w:val="00227AA3"/>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833"/>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ACD"/>
    <w:rsid w:val="00234E56"/>
    <w:rsid w:val="00234EB2"/>
    <w:rsid w:val="0023552E"/>
    <w:rsid w:val="00235968"/>
    <w:rsid w:val="00235B35"/>
    <w:rsid w:val="00235BFB"/>
    <w:rsid w:val="00235D31"/>
    <w:rsid w:val="00236008"/>
    <w:rsid w:val="00236124"/>
    <w:rsid w:val="00236259"/>
    <w:rsid w:val="00236570"/>
    <w:rsid w:val="00236722"/>
    <w:rsid w:val="002367F0"/>
    <w:rsid w:val="00236BF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18"/>
    <w:rsid w:val="00243051"/>
    <w:rsid w:val="002432D1"/>
    <w:rsid w:val="00243799"/>
    <w:rsid w:val="002437AD"/>
    <w:rsid w:val="002437F7"/>
    <w:rsid w:val="00243AFA"/>
    <w:rsid w:val="00243D04"/>
    <w:rsid w:val="00243E8B"/>
    <w:rsid w:val="0024424B"/>
    <w:rsid w:val="0024431C"/>
    <w:rsid w:val="0024456F"/>
    <w:rsid w:val="00244969"/>
    <w:rsid w:val="00244BEA"/>
    <w:rsid w:val="00244EA6"/>
    <w:rsid w:val="00244EAE"/>
    <w:rsid w:val="00245424"/>
    <w:rsid w:val="0024573A"/>
    <w:rsid w:val="002457C1"/>
    <w:rsid w:val="0024588B"/>
    <w:rsid w:val="00245BF1"/>
    <w:rsid w:val="00245F0C"/>
    <w:rsid w:val="00245F73"/>
    <w:rsid w:val="00245F89"/>
    <w:rsid w:val="0024646F"/>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D14"/>
    <w:rsid w:val="00251E29"/>
    <w:rsid w:val="00252029"/>
    <w:rsid w:val="00252072"/>
    <w:rsid w:val="00252528"/>
    <w:rsid w:val="00252719"/>
    <w:rsid w:val="00252890"/>
    <w:rsid w:val="00252898"/>
    <w:rsid w:val="0025299F"/>
    <w:rsid w:val="00252C9A"/>
    <w:rsid w:val="00252CC6"/>
    <w:rsid w:val="00252F33"/>
    <w:rsid w:val="00252FE9"/>
    <w:rsid w:val="0025348C"/>
    <w:rsid w:val="0025351C"/>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5D96"/>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910"/>
    <w:rsid w:val="00260B9E"/>
    <w:rsid w:val="00260BDC"/>
    <w:rsid w:val="00260BE4"/>
    <w:rsid w:val="00260DDA"/>
    <w:rsid w:val="00261102"/>
    <w:rsid w:val="00261486"/>
    <w:rsid w:val="00261624"/>
    <w:rsid w:val="0026196C"/>
    <w:rsid w:val="00261B14"/>
    <w:rsid w:val="00261C78"/>
    <w:rsid w:val="00261D2F"/>
    <w:rsid w:val="00261DD1"/>
    <w:rsid w:val="00261FEE"/>
    <w:rsid w:val="00262597"/>
    <w:rsid w:val="002625B1"/>
    <w:rsid w:val="002625CD"/>
    <w:rsid w:val="0026269C"/>
    <w:rsid w:val="00262721"/>
    <w:rsid w:val="00262AC3"/>
    <w:rsid w:val="00262ACD"/>
    <w:rsid w:val="00262DD9"/>
    <w:rsid w:val="002630EB"/>
    <w:rsid w:val="002631AE"/>
    <w:rsid w:val="002633CF"/>
    <w:rsid w:val="00263439"/>
    <w:rsid w:val="002637D2"/>
    <w:rsid w:val="002639A4"/>
    <w:rsid w:val="00263CF9"/>
    <w:rsid w:val="00263F17"/>
    <w:rsid w:val="002640CA"/>
    <w:rsid w:val="00264112"/>
    <w:rsid w:val="002643CA"/>
    <w:rsid w:val="00264448"/>
    <w:rsid w:val="0026454F"/>
    <w:rsid w:val="0026456E"/>
    <w:rsid w:val="0026461A"/>
    <w:rsid w:val="0026467F"/>
    <w:rsid w:val="002647AF"/>
    <w:rsid w:val="0026483C"/>
    <w:rsid w:val="00264860"/>
    <w:rsid w:val="002648C0"/>
    <w:rsid w:val="00264913"/>
    <w:rsid w:val="00264EEC"/>
    <w:rsid w:val="00265041"/>
    <w:rsid w:val="002650E2"/>
    <w:rsid w:val="0026516E"/>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76B"/>
    <w:rsid w:val="0027096B"/>
    <w:rsid w:val="00270B0A"/>
    <w:rsid w:val="00270E3C"/>
    <w:rsid w:val="00270F59"/>
    <w:rsid w:val="00271117"/>
    <w:rsid w:val="00271269"/>
    <w:rsid w:val="002712AD"/>
    <w:rsid w:val="0027150C"/>
    <w:rsid w:val="002717B1"/>
    <w:rsid w:val="00271C81"/>
    <w:rsid w:val="00271E5E"/>
    <w:rsid w:val="00271E62"/>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B72"/>
    <w:rsid w:val="00276CAD"/>
    <w:rsid w:val="00276F05"/>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1E68"/>
    <w:rsid w:val="002822DD"/>
    <w:rsid w:val="002823A5"/>
    <w:rsid w:val="002829CC"/>
    <w:rsid w:val="00282E90"/>
    <w:rsid w:val="00282F78"/>
    <w:rsid w:val="00282FDF"/>
    <w:rsid w:val="0028302D"/>
    <w:rsid w:val="0028309B"/>
    <w:rsid w:val="0028348D"/>
    <w:rsid w:val="00283730"/>
    <w:rsid w:val="00283B0F"/>
    <w:rsid w:val="00283C63"/>
    <w:rsid w:val="00283D7F"/>
    <w:rsid w:val="00283DD8"/>
    <w:rsid w:val="00283EE8"/>
    <w:rsid w:val="00284207"/>
    <w:rsid w:val="00284491"/>
    <w:rsid w:val="00284886"/>
    <w:rsid w:val="00284928"/>
    <w:rsid w:val="00284D1A"/>
    <w:rsid w:val="00284D64"/>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712"/>
    <w:rsid w:val="00296D2B"/>
    <w:rsid w:val="002972E1"/>
    <w:rsid w:val="00297A99"/>
    <w:rsid w:val="00297B82"/>
    <w:rsid w:val="00297E5E"/>
    <w:rsid w:val="002A0317"/>
    <w:rsid w:val="002A03DE"/>
    <w:rsid w:val="002A07CD"/>
    <w:rsid w:val="002A0858"/>
    <w:rsid w:val="002A0A02"/>
    <w:rsid w:val="002A0A88"/>
    <w:rsid w:val="002A0CD2"/>
    <w:rsid w:val="002A0FC6"/>
    <w:rsid w:val="002A13D1"/>
    <w:rsid w:val="002A1456"/>
    <w:rsid w:val="002A1573"/>
    <w:rsid w:val="002A15D8"/>
    <w:rsid w:val="002A18D2"/>
    <w:rsid w:val="002A19A2"/>
    <w:rsid w:val="002A1B34"/>
    <w:rsid w:val="002A1B8F"/>
    <w:rsid w:val="002A1C16"/>
    <w:rsid w:val="002A2787"/>
    <w:rsid w:val="002A2B61"/>
    <w:rsid w:val="002A313A"/>
    <w:rsid w:val="002A3179"/>
    <w:rsid w:val="002A3257"/>
    <w:rsid w:val="002A3292"/>
    <w:rsid w:val="002A3A49"/>
    <w:rsid w:val="002A3CF0"/>
    <w:rsid w:val="002A3CFD"/>
    <w:rsid w:val="002A4106"/>
    <w:rsid w:val="002A4132"/>
    <w:rsid w:val="002A4221"/>
    <w:rsid w:val="002A466C"/>
    <w:rsid w:val="002A46B9"/>
    <w:rsid w:val="002A4EA4"/>
    <w:rsid w:val="002A5068"/>
    <w:rsid w:val="002A512D"/>
    <w:rsid w:val="002A52D1"/>
    <w:rsid w:val="002A5828"/>
    <w:rsid w:val="002A5B34"/>
    <w:rsid w:val="002A5BCC"/>
    <w:rsid w:val="002A648C"/>
    <w:rsid w:val="002A64D3"/>
    <w:rsid w:val="002A6A37"/>
    <w:rsid w:val="002A728E"/>
    <w:rsid w:val="002A7347"/>
    <w:rsid w:val="002A75AE"/>
    <w:rsid w:val="002A7744"/>
    <w:rsid w:val="002A790D"/>
    <w:rsid w:val="002A7A3E"/>
    <w:rsid w:val="002A7B9D"/>
    <w:rsid w:val="002A7F12"/>
    <w:rsid w:val="002B008F"/>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A3D"/>
    <w:rsid w:val="002B3BD7"/>
    <w:rsid w:val="002B3C56"/>
    <w:rsid w:val="002B3D3B"/>
    <w:rsid w:val="002B3E4F"/>
    <w:rsid w:val="002B3F6D"/>
    <w:rsid w:val="002B3F77"/>
    <w:rsid w:val="002B3F87"/>
    <w:rsid w:val="002B4078"/>
    <w:rsid w:val="002B45F9"/>
    <w:rsid w:val="002B4722"/>
    <w:rsid w:val="002B47A1"/>
    <w:rsid w:val="002B5080"/>
    <w:rsid w:val="002B5081"/>
    <w:rsid w:val="002B534A"/>
    <w:rsid w:val="002B53A8"/>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100"/>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047"/>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2AD"/>
    <w:rsid w:val="002D55EB"/>
    <w:rsid w:val="002D563C"/>
    <w:rsid w:val="002D58F7"/>
    <w:rsid w:val="002D5C45"/>
    <w:rsid w:val="002D5CF9"/>
    <w:rsid w:val="002D5D3F"/>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BA7"/>
    <w:rsid w:val="002E1C42"/>
    <w:rsid w:val="002E1E26"/>
    <w:rsid w:val="002E1EB6"/>
    <w:rsid w:val="002E2748"/>
    <w:rsid w:val="002E2A70"/>
    <w:rsid w:val="002E2B77"/>
    <w:rsid w:val="002E37B5"/>
    <w:rsid w:val="002E380E"/>
    <w:rsid w:val="002E3B41"/>
    <w:rsid w:val="002E3DF0"/>
    <w:rsid w:val="002E4249"/>
    <w:rsid w:val="002E4608"/>
    <w:rsid w:val="002E4671"/>
    <w:rsid w:val="002E4907"/>
    <w:rsid w:val="002E4E82"/>
    <w:rsid w:val="002E4EE2"/>
    <w:rsid w:val="002E4FF0"/>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35"/>
    <w:rsid w:val="002F08DC"/>
    <w:rsid w:val="002F0A6D"/>
    <w:rsid w:val="002F1017"/>
    <w:rsid w:val="002F121B"/>
    <w:rsid w:val="002F1306"/>
    <w:rsid w:val="002F13EB"/>
    <w:rsid w:val="002F140F"/>
    <w:rsid w:val="002F182E"/>
    <w:rsid w:val="002F1AA6"/>
    <w:rsid w:val="002F1B67"/>
    <w:rsid w:val="002F2568"/>
    <w:rsid w:val="002F2624"/>
    <w:rsid w:val="002F29CB"/>
    <w:rsid w:val="002F2B44"/>
    <w:rsid w:val="002F2EEA"/>
    <w:rsid w:val="002F3437"/>
    <w:rsid w:val="002F3659"/>
    <w:rsid w:val="002F3A4C"/>
    <w:rsid w:val="002F3BAD"/>
    <w:rsid w:val="002F3E3D"/>
    <w:rsid w:val="002F4122"/>
    <w:rsid w:val="002F41C9"/>
    <w:rsid w:val="002F465F"/>
    <w:rsid w:val="002F476D"/>
    <w:rsid w:val="002F47C6"/>
    <w:rsid w:val="002F4893"/>
    <w:rsid w:val="002F4A47"/>
    <w:rsid w:val="002F4BDF"/>
    <w:rsid w:val="002F4C97"/>
    <w:rsid w:val="002F4FC1"/>
    <w:rsid w:val="002F50A4"/>
    <w:rsid w:val="002F538A"/>
    <w:rsid w:val="002F53B6"/>
    <w:rsid w:val="002F578D"/>
    <w:rsid w:val="002F6268"/>
    <w:rsid w:val="002F688E"/>
    <w:rsid w:val="002F68DC"/>
    <w:rsid w:val="002F6B0D"/>
    <w:rsid w:val="002F6B84"/>
    <w:rsid w:val="002F6D2F"/>
    <w:rsid w:val="002F6D5F"/>
    <w:rsid w:val="002F76CC"/>
    <w:rsid w:val="002F77DD"/>
    <w:rsid w:val="002F78D9"/>
    <w:rsid w:val="002F793B"/>
    <w:rsid w:val="002F7AC3"/>
    <w:rsid w:val="003001EC"/>
    <w:rsid w:val="00300613"/>
    <w:rsid w:val="003008AD"/>
    <w:rsid w:val="003008E3"/>
    <w:rsid w:val="00300A21"/>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084"/>
    <w:rsid w:val="00303410"/>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B8"/>
    <w:rsid w:val="0030679B"/>
    <w:rsid w:val="003067B0"/>
    <w:rsid w:val="00306914"/>
    <w:rsid w:val="00306DA0"/>
    <w:rsid w:val="00306EA2"/>
    <w:rsid w:val="00306FED"/>
    <w:rsid w:val="003076A7"/>
    <w:rsid w:val="003078FC"/>
    <w:rsid w:val="00307C81"/>
    <w:rsid w:val="003100B4"/>
    <w:rsid w:val="00310475"/>
    <w:rsid w:val="0031051A"/>
    <w:rsid w:val="003107E7"/>
    <w:rsid w:val="00310AF2"/>
    <w:rsid w:val="00310CE4"/>
    <w:rsid w:val="0031100E"/>
    <w:rsid w:val="00311194"/>
    <w:rsid w:val="0031125F"/>
    <w:rsid w:val="0031136C"/>
    <w:rsid w:val="003113F9"/>
    <w:rsid w:val="0031177F"/>
    <w:rsid w:val="00311B7B"/>
    <w:rsid w:val="00311F51"/>
    <w:rsid w:val="003122E8"/>
    <w:rsid w:val="00312635"/>
    <w:rsid w:val="00312B28"/>
    <w:rsid w:val="00312B96"/>
    <w:rsid w:val="00313541"/>
    <w:rsid w:val="00313B7C"/>
    <w:rsid w:val="00313C32"/>
    <w:rsid w:val="00313C6B"/>
    <w:rsid w:val="00314017"/>
    <w:rsid w:val="00314034"/>
    <w:rsid w:val="00314129"/>
    <w:rsid w:val="00314397"/>
    <w:rsid w:val="003144BA"/>
    <w:rsid w:val="00314523"/>
    <w:rsid w:val="003145E0"/>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0B72"/>
    <w:rsid w:val="00320D97"/>
    <w:rsid w:val="003214CE"/>
    <w:rsid w:val="00321665"/>
    <w:rsid w:val="003217BE"/>
    <w:rsid w:val="00321A5B"/>
    <w:rsid w:val="00321D00"/>
    <w:rsid w:val="00321D56"/>
    <w:rsid w:val="00321F48"/>
    <w:rsid w:val="00321FB7"/>
    <w:rsid w:val="003220F3"/>
    <w:rsid w:val="0032220B"/>
    <w:rsid w:val="0032238A"/>
    <w:rsid w:val="0032271A"/>
    <w:rsid w:val="00322A19"/>
    <w:rsid w:val="00322B6A"/>
    <w:rsid w:val="00322C92"/>
    <w:rsid w:val="00322CD0"/>
    <w:rsid w:val="00322ED9"/>
    <w:rsid w:val="00322FA3"/>
    <w:rsid w:val="00323450"/>
    <w:rsid w:val="00323BC5"/>
    <w:rsid w:val="00323BEB"/>
    <w:rsid w:val="00324673"/>
    <w:rsid w:val="00324A9F"/>
    <w:rsid w:val="00324B9B"/>
    <w:rsid w:val="00324D46"/>
    <w:rsid w:val="00324DE1"/>
    <w:rsid w:val="003250DD"/>
    <w:rsid w:val="003257CD"/>
    <w:rsid w:val="00325A5A"/>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44A"/>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652"/>
    <w:rsid w:val="00333880"/>
    <w:rsid w:val="0033389B"/>
    <w:rsid w:val="003338D8"/>
    <w:rsid w:val="0033391C"/>
    <w:rsid w:val="00333CAD"/>
    <w:rsid w:val="00333F29"/>
    <w:rsid w:val="0033435C"/>
    <w:rsid w:val="00334AA7"/>
    <w:rsid w:val="0033504D"/>
    <w:rsid w:val="003351D9"/>
    <w:rsid w:val="0033532E"/>
    <w:rsid w:val="00335833"/>
    <w:rsid w:val="00335BDA"/>
    <w:rsid w:val="00335CE3"/>
    <w:rsid w:val="00335E9E"/>
    <w:rsid w:val="00336146"/>
    <w:rsid w:val="003363BE"/>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2B7"/>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6F6"/>
    <w:rsid w:val="0034287B"/>
    <w:rsid w:val="00342965"/>
    <w:rsid w:val="003429B5"/>
    <w:rsid w:val="00342BA1"/>
    <w:rsid w:val="00342BE0"/>
    <w:rsid w:val="00342D81"/>
    <w:rsid w:val="00342FDE"/>
    <w:rsid w:val="0034313B"/>
    <w:rsid w:val="003431AA"/>
    <w:rsid w:val="003431F1"/>
    <w:rsid w:val="003436DB"/>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3D3"/>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747"/>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15B"/>
    <w:rsid w:val="00355439"/>
    <w:rsid w:val="003555F5"/>
    <w:rsid w:val="00355B3F"/>
    <w:rsid w:val="003560EC"/>
    <w:rsid w:val="0035616C"/>
    <w:rsid w:val="00356450"/>
    <w:rsid w:val="003566D2"/>
    <w:rsid w:val="00356958"/>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56D"/>
    <w:rsid w:val="003616A5"/>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A47"/>
    <w:rsid w:val="00365C98"/>
    <w:rsid w:val="00365EE8"/>
    <w:rsid w:val="00365F42"/>
    <w:rsid w:val="00365F6D"/>
    <w:rsid w:val="0036645B"/>
    <w:rsid w:val="00366965"/>
    <w:rsid w:val="003671D4"/>
    <w:rsid w:val="00367409"/>
    <w:rsid w:val="00367433"/>
    <w:rsid w:val="0036748C"/>
    <w:rsid w:val="00367716"/>
    <w:rsid w:val="00367745"/>
    <w:rsid w:val="00367816"/>
    <w:rsid w:val="00367ACE"/>
    <w:rsid w:val="00367B01"/>
    <w:rsid w:val="00367C17"/>
    <w:rsid w:val="00367DCF"/>
    <w:rsid w:val="00367F9B"/>
    <w:rsid w:val="003700CC"/>
    <w:rsid w:val="00370536"/>
    <w:rsid w:val="00370AEF"/>
    <w:rsid w:val="00370E4B"/>
    <w:rsid w:val="00370F6E"/>
    <w:rsid w:val="00371062"/>
    <w:rsid w:val="00371091"/>
    <w:rsid w:val="003714B2"/>
    <w:rsid w:val="003714EC"/>
    <w:rsid w:val="00371518"/>
    <w:rsid w:val="0037158B"/>
    <w:rsid w:val="003717F1"/>
    <w:rsid w:val="00371BC0"/>
    <w:rsid w:val="00371ECA"/>
    <w:rsid w:val="00371EEB"/>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79A"/>
    <w:rsid w:val="0037480E"/>
    <w:rsid w:val="00374DB4"/>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6E9"/>
    <w:rsid w:val="00380AC1"/>
    <w:rsid w:val="00380E9B"/>
    <w:rsid w:val="00381015"/>
    <w:rsid w:val="00381075"/>
    <w:rsid w:val="003814F7"/>
    <w:rsid w:val="003815D1"/>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24"/>
    <w:rsid w:val="003917A8"/>
    <w:rsid w:val="00391914"/>
    <w:rsid w:val="00391CD1"/>
    <w:rsid w:val="0039226E"/>
    <w:rsid w:val="003922BF"/>
    <w:rsid w:val="00392E4E"/>
    <w:rsid w:val="003930EB"/>
    <w:rsid w:val="003931D8"/>
    <w:rsid w:val="00393229"/>
    <w:rsid w:val="003934D7"/>
    <w:rsid w:val="00393509"/>
    <w:rsid w:val="00393569"/>
    <w:rsid w:val="00393C42"/>
    <w:rsid w:val="00393E53"/>
    <w:rsid w:val="00393EFB"/>
    <w:rsid w:val="00394172"/>
    <w:rsid w:val="003942F1"/>
    <w:rsid w:val="00394705"/>
    <w:rsid w:val="0039480F"/>
    <w:rsid w:val="00394B28"/>
    <w:rsid w:val="00394F47"/>
    <w:rsid w:val="00395151"/>
    <w:rsid w:val="0039525E"/>
    <w:rsid w:val="00395514"/>
    <w:rsid w:val="0039554E"/>
    <w:rsid w:val="003957BB"/>
    <w:rsid w:val="00395C25"/>
    <w:rsid w:val="00395C2B"/>
    <w:rsid w:val="00395C4B"/>
    <w:rsid w:val="00395C7A"/>
    <w:rsid w:val="00395CC6"/>
    <w:rsid w:val="00395E22"/>
    <w:rsid w:val="00395FEF"/>
    <w:rsid w:val="003961B5"/>
    <w:rsid w:val="00396271"/>
    <w:rsid w:val="0039638D"/>
    <w:rsid w:val="00396828"/>
    <w:rsid w:val="00396E02"/>
    <w:rsid w:val="0039707B"/>
    <w:rsid w:val="00397119"/>
    <w:rsid w:val="0039723A"/>
    <w:rsid w:val="003975C0"/>
    <w:rsid w:val="00397D6F"/>
    <w:rsid w:val="003A0146"/>
    <w:rsid w:val="003A03F0"/>
    <w:rsid w:val="003A0743"/>
    <w:rsid w:val="003A0C86"/>
    <w:rsid w:val="003A0DB0"/>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763"/>
    <w:rsid w:val="003A4828"/>
    <w:rsid w:val="003A4954"/>
    <w:rsid w:val="003A4AA7"/>
    <w:rsid w:val="003A4AD7"/>
    <w:rsid w:val="003A4D30"/>
    <w:rsid w:val="003A50F8"/>
    <w:rsid w:val="003A52C4"/>
    <w:rsid w:val="003A551B"/>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CD8"/>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1CE"/>
    <w:rsid w:val="003B444F"/>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5FAE"/>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20"/>
    <w:rsid w:val="003B7ECE"/>
    <w:rsid w:val="003C00AB"/>
    <w:rsid w:val="003C041C"/>
    <w:rsid w:val="003C0F40"/>
    <w:rsid w:val="003C0F54"/>
    <w:rsid w:val="003C0FEF"/>
    <w:rsid w:val="003C11CF"/>
    <w:rsid w:val="003C121D"/>
    <w:rsid w:val="003C1658"/>
    <w:rsid w:val="003C1867"/>
    <w:rsid w:val="003C188E"/>
    <w:rsid w:val="003C1937"/>
    <w:rsid w:val="003C260C"/>
    <w:rsid w:val="003C277F"/>
    <w:rsid w:val="003C278A"/>
    <w:rsid w:val="003C281D"/>
    <w:rsid w:val="003C2897"/>
    <w:rsid w:val="003C29EE"/>
    <w:rsid w:val="003C2C8D"/>
    <w:rsid w:val="003C2E50"/>
    <w:rsid w:val="003C3016"/>
    <w:rsid w:val="003C319E"/>
    <w:rsid w:val="003C33A3"/>
    <w:rsid w:val="003C387E"/>
    <w:rsid w:val="003C3ACE"/>
    <w:rsid w:val="003C3BED"/>
    <w:rsid w:val="003C3CCD"/>
    <w:rsid w:val="003C3D25"/>
    <w:rsid w:val="003C3DB9"/>
    <w:rsid w:val="003C3F26"/>
    <w:rsid w:val="003C40A4"/>
    <w:rsid w:val="003C44E3"/>
    <w:rsid w:val="003C45A6"/>
    <w:rsid w:val="003C4DC1"/>
    <w:rsid w:val="003C4ED1"/>
    <w:rsid w:val="003C4EEA"/>
    <w:rsid w:val="003C5028"/>
    <w:rsid w:val="003C511B"/>
    <w:rsid w:val="003C53A9"/>
    <w:rsid w:val="003C5445"/>
    <w:rsid w:val="003C5638"/>
    <w:rsid w:val="003C587F"/>
    <w:rsid w:val="003C5A7A"/>
    <w:rsid w:val="003C6073"/>
    <w:rsid w:val="003C64B5"/>
    <w:rsid w:val="003C64F7"/>
    <w:rsid w:val="003C675B"/>
    <w:rsid w:val="003C67C7"/>
    <w:rsid w:val="003C690E"/>
    <w:rsid w:val="003C6C49"/>
    <w:rsid w:val="003C6D10"/>
    <w:rsid w:val="003C6D72"/>
    <w:rsid w:val="003C6FBE"/>
    <w:rsid w:val="003C6FFB"/>
    <w:rsid w:val="003C716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616"/>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59E"/>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99"/>
    <w:rsid w:val="003E23F6"/>
    <w:rsid w:val="003E2540"/>
    <w:rsid w:val="003E2AA8"/>
    <w:rsid w:val="003E2D9E"/>
    <w:rsid w:val="003E2ED0"/>
    <w:rsid w:val="003E3331"/>
    <w:rsid w:val="003E33DF"/>
    <w:rsid w:val="003E3538"/>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C60"/>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561"/>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3C6"/>
    <w:rsid w:val="00404426"/>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917"/>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24D"/>
    <w:rsid w:val="00415563"/>
    <w:rsid w:val="00415BC5"/>
    <w:rsid w:val="00415DB8"/>
    <w:rsid w:val="00415EE3"/>
    <w:rsid w:val="00415F40"/>
    <w:rsid w:val="0041604E"/>
    <w:rsid w:val="004161DD"/>
    <w:rsid w:val="00416341"/>
    <w:rsid w:val="004173EB"/>
    <w:rsid w:val="00417B31"/>
    <w:rsid w:val="00420131"/>
    <w:rsid w:val="0042018B"/>
    <w:rsid w:val="004203E3"/>
    <w:rsid w:val="0042055A"/>
    <w:rsid w:val="00420BD0"/>
    <w:rsid w:val="00420CB0"/>
    <w:rsid w:val="00420F40"/>
    <w:rsid w:val="0042114F"/>
    <w:rsid w:val="0042183A"/>
    <w:rsid w:val="00421840"/>
    <w:rsid w:val="00421975"/>
    <w:rsid w:val="00421BB3"/>
    <w:rsid w:val="00421F35"/>
    <w:rsid w:val="0042208B"/>
    <w:rsid w:val="00422404"/>
    <w:rsid w:val="004229AD"/>
    <w:rsid w:val="00422C05"/>
    <w:rsid w:val="0042304A"/>
    <w:rsid w:val="004232DA"/>
    <w:rsid w:val="004238F9"/>
    <w:rsid w:val="00423967"/>
    <w:rsid w:val="00423B8D"/>
    <w:rsid w:val="00423DB8"/>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3C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3B"/>
    <w:rsid w:val="00432A76"/>
    <w:rsid w:val="00432F05"/>
    <w:rsid w:val="004330BC"/>
    <w:rsid w:val="00433783"/>
    <w:rsid w:val="0043396B"/>
    <w:rsid w:val="00433AD1"/>
    <w:rsid w:val="00433C0B"/>
    <w:rsid w:val="00434174"/>
    <w:rsid w:val="0043417D"/>
    <w:rsid w:val="00434627"/>
    <w:rsid w:val="0043479C"/>
    <w:rsid w:val="00434808"/>
    <w:rsid w:val="00434A59"/>
    <w:rsid w:val="00434E88"/>
    <w:rsid w:val="00435099"/>
    <w:rsid w:val="004350A2"/>
    <w:rsid w:val="004350A8"/>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8E"/>
    <w:rsid w:val="00447895"/>
    <w:rsid w:val="00447A38"/>
    <w:rsid w:val="00447BCF"/>
    <w:rsid w:val="00450446"/>
    <w:rsid w:val="004504D6"/>
    <w:rsid w:val="00450650"/>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E26"/>
    <w:rsid w:val="00454F63"/>
    <w:rsid w:val="00454F87"/>
    <w:rsid w:val="00455714"/>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2CF"/>
    <w:rsid w:val="004615E0"/>
    <w:rsid w:val="004618B8"/>
    <w:rsid w:val="00461B72"/>
    <w:rsid w:val="00462001"/>
    <w:rsid w:val="00462117"/>
    <w:rsid w:val="00462400"/>
    <w:rsid w:val="004624B9"/>
    <w:rsid w:val="004627BC"/>
    <w:rsid w:val="00462C57"/>
    <w:rsid w:val="00462CAA"/>
    <w:rsid w:val="00462F8E"/>
    <w:rsid w:val="004630A2"/>
    <w:rsid w:val="00463226"/>
    <w:rsid w:val="0046332F"/>
    <w:rsid w:val="004635B5"/>
    <w:rsid w:val="00463769"/>
    <w:rsid w:val="00463BA9"/>
    <w:rsid w:val="00463C42"/>
    <w:rsid w:val="00463D8C"/>
    <w:rsid w:val="00463F28"/>
    <w:rsid w:val="004643B9"/>
    <w:rsid w:val="0046458A"/>
    <w:rsid w:val="00464614"/>
    <w:rsid w:val="004646EE"/>
    <w:rsid w:val="004648AF"/>
    <w:rsid w:val="004649AB"/>
    <w:rsid w:val="004649B8"/>
    <w:rsid w:val="00464DCD"/>
    <w:rsid w:val="00464DED"/>
    <w:rsid w:val="00464FA2"/>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8"/>
    <w:rsid w:val="00467B7D"/>
    <w:rsid w:val="00467CFF"/>
    <w:rsid w:val="00467E58"/>
    <w:rsid w:val="00467FAA"/>
    <w:rsid w:val="00467FFC"/>
    <w:rsid w:val="00470031"/>
    <w:rsid w:val="004700AF"/>
    <w:rsid w:val="0047030E"/>
    <w:rsid w:val="0047041D"/>
    <w:rsid w:val="004707D6"/>
    <w:rsid w:val="00470ABF"/>
    <w:rsid w:val="00470B1D"/>
    <w:rsid w:val="00470D18"/>
    <w:rsid w:val="00470F57"/>
    <w:rsid w:val="0047102C"/>
    <w:rsid w:val="00471068"/>
    <w:rsid w:val="00471161"/>
    <w:rsid w:val="004711CD"/>
    <w:rsid w:val="0047151E"/>
    <w:rsid w:val="00471868"/>
    <w:rsid w:val="00471B16"/>
    <w:rsid w:val="00471B50"/>
    <w:rsid w:val="00471BD5"/>
    <w:rsid w:val="00471C87"/>
    <w:rsid w:val="004720A0"/>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7AC"/>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258"/>
    <w:rsid w:val="004824C5"/>
    <w:rsid w:val="004829E6"/>
    <w:rsid w:val="00482BD5"/>
    <w:rsid w:val="00482BDE"/>
    <w:rsid w:val="00482C59"/>
    <w:rsid w:val="00482CB3"/>
    <w:rsid w:val="00482E4F"/>
    <w:rsid w:val="00483022"/>
    <w:rsid w:val="004830C8"/>
    <w:rsid w:val="004831A9"/>
    <w:rsid w:val="004836B8"/>
    <w:rsid w:val="004838D7"/>
    <w:rsid w:val="00483B2A"/>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3FF9"/>
    <w:rsid w:val="0049439A"/>
    <w:rsid w:val="00494683"/>
    <w:rsid w:val="004949AD"/>
    <w:rsid w:val="00494AEE"/>
    <w:rsid w:val="00494E20"/>
    <w:rsid w:val="00494F75"/>
    <w:rsid w:val="00494F91"/>
    <w:rsid w:val="00495054"/>
    <w:rsid w:val="004951BE"/>
    <w:rsid w:val="0049526A"/>
    <w:rsid w:val="00495557"/>
    <w:rsid w:val="00495658"/>
    <w:rsid w:val="0049567A"/>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C70"/>
    <w:rsid w:val="004A2F7C"/>
    <w:rsid w:val="004A3254"/>
    <w:rsid w:val="004A3261"/>
    <w:rsid w:val="004A339E"/>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244"/>
    <w:rsid w:val="004A62CC"/>
    <w:rsid w:val="004A6334"/>
    <w:rsid w:val="004A643D"/>
    <w:rsid w:val="004A713E"/>
    <w:rsid w:val="004A72C3"/>
    <w:rsid w:val="004A73E9"/>
    <w:rsid w:val="004A7640"/>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670"/>
    <w:rsid w:val="004B17CB"/>
    <w:rsid w:val="004B1891"/>
    <w:rsid w:val="004B18BE"/>
    <w:rsid w:val="004B203E"/>
    <w:rsid w:val="004B20F7"/>
    <w:rsid w:val="004B22BC"/>
    <w:rsid w:val="004B277F"/>
    <w:rsid w:val="004B28A2"/>
    <w:rsid w:val="004B2BFD"/>
    <w:rsid w:val="004B317A"/>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8E2"/>
    <w:rsid w:val="004C0571"/>
    <w:rsid w:val="004C093C"/>
    <w:rsid w:val="004C0BC9"/>
    <w:rsid w:val="004C0DF1"/>
    <w:rsid w:val="004C0DF8"/>
    <w:rsid w:val="004C0E96"/>
    <w:rsid w:val="004C0EF6"/>
    <w:rsid w:val="004C100F"/>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1CA"/>
    <w:rsid w:val="004C5230"/>
    <w:rsid w:val="004C53F2"/>
    <w:rsid w:val="004C55A3"/>
    <w:rsid w:val="004C56B7"/>
    <w:rsid w:val="004C5831"/>
    <w:rsid w:val="004C5D9F"/>
    <w:rsid w:val="004C5E4F"/>
    <w:rsid w:val="004C5E76"/>
    <w:rsid w:val="004C602B"/>
    <w:rsid w:val="004C6097"/>
    <w:rsid w:val="004C61E2"/>
    <w:rsid w:val="004C648E"/>
    <w:rsid w:val="004C66F5"/>
    <w:rsid w:val="004C67F9"/>
    <w:rsid w:val="004C6804"/>
    <w:rsid w:val="004C6A3A"/>
    <w:rsid w:val="004C6ADB"/>
    <w:rsid w:val="004C6B86"/>
    <w:rsid w:val="004C6BE0"/>
    <w:rsid w:val="004C6D24"/>
    <w:rsid w:val="004C7154"/>
    <w:rsid w:val="004C7503"/>
    <w:rsid w:val="004C7648"/>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4F8"/>
    <w:rsid w:val="004D35C6"/>
    <w:rsid w:val="004D378E"/>
    <w:rsid w:val="004D3793"/>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0D"/>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B9C"/>
    <w:rsid w:val="004F1FAC"/>
    <w:rsid w:val="004F1FBB"/>
    <w:rsid w:val="004F1FE4"/>
    <w:rsid w:val="004F212A"/>
    <w:rsid w:val="004F217D"/>
    <w:rsid w:val="004F2D15"/>
    <w:rsid w:val="004F2E34"/>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6F49"/>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05E"/>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7B"/>
    <w:rsid w:val="005078B3"/>
    <w:rsid w:val="00507918"/>
    <w:rsid w:val="00507ABB"/>
    <w:rsid w:val="00507D22"/>
    <w:rsid w:val="00507DB8"/>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752"/>
    <w:rsid w:val="00512A6D"/>
    <w:rsid w:val="00512BA1"/>
    <w:rsid w:val="0051347D"/>
    <w:rsid w:val="0051349F"/>
    <w:rsid w:val="00513851"/>
    <w:rsid w:val="00513877"/>
    <w:rsid w:val="00513BF5"/>
    <w:rsid w:val="00513CF8"/>
    <w:rsid w:val="005140E6"/>
    <w:rsid w:val="0051411E"/>
    <w:rsid w:val="005145C5"/>
    <w:rsid w:val="0051470E"/>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63B"/>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5CB"/>
    <w:rsid w:val="00531B26"/>
    <w:rsid w:val="00531DEF"/>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494B"/>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7E9"/>
    <w:rsid w:val="00541B3F"/>
    <w:rsid w:val="00541CB8"/>
    <w:rsid w:val="005427AE"/>
    <w:rsid w:val="005427D7"/>
    <w:rsid w:val="005428BB"/>
    <w:rsid w:val="00542B93"/>
    <w:rsid w:val="00543466"/>
    <w:rsid w:val="00543717"/>
    <w:rsid w:val="0054390A"/>
    <w:rsid w:val="00543A8D"/>
    <w:rsid w:val="00543B2D"/>
    <w:rsid w:val="00543F46"/>
    <w:rsid w:val="00543F92"/>
    <w:rsid w:val="00544082"/>
    <w:rsid w:val="00544918"/>
    <w:rsid w:val="00544928"/>
    <w:rsid w:val="0054498D"/>
    <w:rsid w:val="00544B77"/>
    <w:rsid w:val="00544E23"/>
    <w:rsid w:val="00545062"/>
    <w:rsid w:val="005451E2"/>
    <w:rsid w:val="0054534A"/>
    <w:rsid w:val="0054540D"/>
    <w:rsid w:val="00545491"/>
    <w:rsid w:val="005459D3"/>
    <w:rsid w:val="00545C38"/>
    <w:rsid w:val="00545D61"/>
    <w:rsid w:val="00545F99"/>
    <w:rsid w:val="005462CB"/>
    <w:rsid w:val="0054634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8AD"/>
    <w:rsid w:val="00552C21"/>
    <w:rsid w:val="00552DB9"/>
    <w:rsid w:val="00553081"/>
    <w:rsid w:val="0055332F"/>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14D"/>
    <w:rsid w:val="00557270"/>
    <w:rsid w:val="00557359"/>
    <w:rsid w:val="00557827"/>
    <w:rsid w:val="00557B9E"/>
    <w:rsid w:val="00557DC4"/>
    <w:rsid w:val="00557DE4"/>
    <w:rsid w:val="00557F82"/>
    <w:rsid w:val="00560102"/>
    <w:rsid w:val="005606DA"/>
    <w:rsid w:val="005609D2"/>
    <w:rsid w:val="00560A3D"/>
    <w:rsid w:val="005610A0"/>
    <w:rsid w:val="005612D0"/>
    <w:rsid w:val="0056150B"/>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4BA"/>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3AF"/>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03E"/>
    <w:rsid w:val="00575284"/>
    <w:rsid w:val="0057546D"/>
    <w:rsid w:val="0057554A"/>
    <w:rsid w:val="00575822"/>
    <w:rsid w:val="00575E87"/>
    <w:rsid w:val="0057604C"/>
    <w:rsid w:val="00576147"/>
    <w:rsid w:val="00576436"/>
    <w:rsid w:val="00576564"/>
    <w:rsid w:val="005767C0"/>
    <w:rsid w:val="00576CC8"/>
    <w:rsid w:val="00576DD5"/>
    <w:rsid w:val="00576E83"/>
    <w:rsid w:val="00576EAA"/>
    <w:rsid w:val="00576FFD"/>
    <w:rsid w:val="00577382"/>
    <w:rsid w:val="005773DC"/>
    <w:rsid w:val="00577618"/>
    <w:rsid w:val="005776CB"/>
    <w:rsid w:val="00577701"/>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DAC"/>
    <w:rsid w:val="00583E5F"/>
    <w:rsid w:val="00584205"/>
    <w:rsid w:val="00584757"/>
    <w:rsid w:val="00584BFE"/>
    <w:rsid w:val="00584D23"/>
    <w:rsid w:val="00584EC4"/>
    <w:rsid w:val="00585172"/>
    <w:rsid w:val="00585537"/>
    <w:rsid w:val="005855E7"/>
    <w:rsid w:val="00585692"/>
    <w:rsid w:val="0058570B"/>
    <w:rsid w:val="00585B0C"/>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DC8"/>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4CC"/>
    <w:rsid w:val="005926E2"/>
    <w:rsid w:val="00592AA8"/>
    <w:rsid w:val="00592EF4"/>
    <w:rsid w:val="005931F5"/>
    <w:rsid w:val="00593202"/>
    <w:rsid w:val="0059340C"/>
    <w:rsid w:val="00593546"/>
    <w:rsid w:val="00593DE3"/>
    <w:rsid w:val="00593EFD"/>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6E4D"/>
    <w:rsid w:val="00597096"/>
    <w:rsid w:val="0059734D"/>
    <w:rsid w:val="0059735C"/>
    <w:rsid w:val="00597394"/>
    <w:rsid w:val="0059741D"/>
    <w:rsid w:val="0059783C"/>
    <w:rsid w:val="00597C14"/>
    <w:rsid w:val="005A021A"/>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490"/>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5EED"/>
    <w:rsid w:val="005A602F"/>
    <w:rsid w:val="005A60E0"/>
    <w:rsid w:val="005A633C"/>
    <w:rsid w:val="005A69D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3B8"/>
    <w:rsid w:val="005B141E"/>
    <w:rsid w:val="005B18B3"/>
    <w:rsid w:val="005B1AB3"/>
    <w:rsid w:val="005B1F12"/>
    <w:rsid w:val="005B20C7"/>
    <w:rsid w:val="005B215A"/>
    <w:rsid w:val="005B25EC"/>
    <w:rsid w:val="005B2820"/>
    <w:rsid w:val="005B29A3"/>
    <w:rsid w:val="005B2CBF"/>
    <w:rsid w:val="005B31C8"/>
    <w:rsid w:val="005B3204"/>
    <w:rsid w:val="005B363A"/>
    <w:rsid w:val="005B3E47"/>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067"/>
    <w:rsid w:val="005C0077"/>
    <w:rsid w:val="005C0448"/>
    <w:rsid w:val="005C0981"/>
    <w:rsid w:val="005C098F"/>
    <w:rsid w:val="005C0A8D"/>
    <w:rsid w:val="005C0BF7"/>
    <w:rsid w:val="005C0BFD"/>
    <w:rsid w:val="005C0C7A"/>
    <w:rsid w:val="005C1201"/>
    <w:rsid w:val="005C131D"/>
    <w:rsid w:val="005C1634"/>
    <w:rsid w:val="005C1AC5"/>
    <w:rsid w:val="005C1B7D"/>
    <w:rsid w:val="005C2264"/>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D1"/>
    <w:rsid w:val="005C43E2"/>
    <w:rsid w:val="005C469E"/>
    <w:rsid w:val="005C4877"/>
    <w:rsid w:val="005C4892"/>
    <w:rsid w:val="005C4922"/>
    <w:rsid w:val="005C4AEE"/>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2B"/>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45B"/>
    <w:rsid w:val="005D360C"/>
    <w:rsid w:val="005D36CE"/>
    <w:rsid w:val="005D38A6"/>
    <w:rsid w:val="005D39EF"/>
    <w:rsid w:val="005D3B50"/>
    <w:rsid w:val="005D3E72"/>
    <w:rsid w:val="005D4028"/>
    <w:rsid w:val="005D44FB"/>
    <w:rsid w:val="005D4565"/>
    <w:rsid w:val="005D4997"/>
    <w:rsid w:val="005D51F0"/>
    <w:rsid w:val="005D5298"/>
    <w:rsid w:val="005D52A1"/>
    <w:rsid w:val="005D532B"/>
    <w:rsid w:val="005D5392"/>
    <w:rsid w:val="005D54EF"/>
    <w:rsid w:val="005D5533"/>
    <w:rsid w:val="005D55A7"/>
    <w:rsid w:val="005D55D2"/>
    <w:rsid w:val="005D56BC"/>
    <w:rsid w:val="005D5C1F"/>
    <w:rsid w:val="005D5DDE"/>
    <w:rsid w:val="005D603E"/>
    <w:rsid w:val="005D60C9"/>
    <w:rsid w:val="005D613F"/>
    <w:rsid w:val="005D6198"/>
    <w:rsid w:val="005D61B1"/>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B1E"/>
    <w:rsid w:val="005E1E55"/>
    <w:rsid w:val="005E2005"/>
    <w:rsid w:val="005E224F"/>
    <w:rsid w:val="005E2460"/>
    <w:rsid w:val="005E262C"/>
    <w:rsid w:val="005E2A6D"/>
    <w:rsid w:val="005E2B22"/>
    <w:rsid w:val="005E2C61"/>
    <w:rsid w:val="005E2CA4"/>
    <w:rsid w:val="005E3046"/>
    <w:rsid w:val="005E3411"/>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86C"/>
    <w:rsid w:val="005E5A02"/>
    <w:rsid w:val="005E5B7D"/>
    <w:rsid w:val="005E6317"/>
    <w:rsid w:val="005E636F"/>
    <w:rsid w:val="005E6B18"/>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2C7"/>
    <w:rsid w:val="005F6447"/>
    <w:rsid w:val="005F64CD"/>
    <w:rsid w:val="005F653A"/>
    <w:rsid w:val="005F6615"/>
    <w:rsid w:val="005F68A0"/>
    <w:rsid w:val="005F69B7"/>
    <w:rsid w:val="005F6AC0"/>
    <w:rsid w:val="005F6D52"/>
    <w:rsid w:val="005F73C6"/>
    <w:rsid w:val="005F7421"/>
    <w:rsid w:val="005F7B4C"/>
    <w:rsid w:val="005F7DB6"/>
    <w:rsid w:val="005F7E7B"/>
    <w:rsid w:val="0060026E"/>
    <w:rsid w:val="00600389"/>
    <w:rsid w:val="0060043C"/>
    <w:rsid w:val="00600815"/>
    <w:rsid w:val="006009AC"/>
    <w:rsid w:val="006009F3"/>
    <w:rsid w:val="00600E99"/>
    <w:rsid w:val="00601118"/>
    <w:rsid w:val="006011BA"/>
    <w:rsid w:val="0060144C"/>
    <w:rsid w:val="00601957"/>
    <w:rsid w:val="00602081"/>
    <w:rsid w:val="00602180"/>
    <w:rsid w:val="00602383"/>
    <w:rsid w:val="006023DB"/>
    <w:rsid w:val="006026AC"/>
    <w:rsid w:val="006026D1"/>
    <w:rsid w:val="006026E6"/>
    <w:rsid w:val="00602987"/>
    <w:rsid w:val="00602BEF"/>
    <w:rsid w:val="00602E57"/>
    <w:rsid w:val="00603012"/>
    <w:rsid w:val="006030BB"/>
    <w:rsid w:val="006030BD"/>
    <w:rsid w:val="00603808"/>
    <w:rsid w:val="00603C02"/>
    <w:rsid w:val="00603C48"/>
    <w:rsid w:val="00604671"/>
    <w:rsid w:val="006047B1"/>
    <w:rsid w:val="006047D4"/>
    <w:rsid w:val="00604C70"/>
    <w:rsid w:val="00604DE8"/>
    <w:rsid w:val="00604F40"/>
    <w:rsid w:val="006051F3"/>
    <w:rsid w:val="00605261"/>
    <w:rsid w:val="0060548A"/>
    <w:rsid w:val="006054D2"/>
    <w:rsid w:val="006055B8"/>
    <w:rsid w:val="0060563D"/>
    <w:rsid w:val="006056D6"/>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0EE"/>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280"/>
    <w:rsid w:val="0061530F"/>
    <w:rsid w:val="006154AB"/>
    <w:rsid w:val="00615572"/>
    <w:rsid w:val="0061557B"/>
    <w:rsid w:val="006155AE"/>
    <w:rsid w:val="006160C4"/>
    <w:rsid w:val="00616265"/>
    <w:rsid w:val="006163CF"/>
    <w:rsid w:val="0061668C"/>
    <w:rsid w:val="00616B95"/>
    <w:rsid w:val="00617344"/>
    <w:rsid w:val="00617401"/>
    <w:rsid w:val="006176D6"/>
    <w:rsid w:val="00617784"/>
    <w:rsid w:val="00617EEA"/>
    <w:rsid w:val="006200E7"/>
    <w:rsid w:val="006206B5"/>
    <w:rsid w:val="006207FC"/>
    <w:rsid w:val="006208FF"/>
    <w:rsid w:val="00620D96"/>
    <w:rsid w:val="00621183"/>
    <w:rsid w:val="0062190D"/>
    <w:rsid w:val="006219AD"/>
    <w:rsid w:val="00621B7A"/>
    <w:rsid w:val="00621C4D"/>
    <w:rsid w:val="00621D64"/>
    <w:rsid w:val="00621E7D"/>
    <w:rsid w:val="00622278"/>
    <w:rsid w:val="0062254B"/>
    <w:rsid w:val="006226AF"/>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3CD1"/>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2C"/>
    <w:rsid w:val="00631FF6"/>
    <w:rsid w:val="00632021"/>
    <w:rsid w:val="0063274C"/>
    <w:rsid w:val="00632A39"/>
    <w:rsid w:val="00632C15"/>
    <w:rsid w:val="00632EE5"/>
    <w:rsid w:val="0063328C"/>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423"/>
    <w:rsid w:val="006405B9"/>
    <w:rsid w:val="006406B3"/>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56"/>
    <w:rsid w:val="00643DE6"/>
    <w:rsid w:val="006441C9"/>
    <w:rsid w:val="00644553"/>
    <w:rsid w:val="00644E7A"/>
    <w:rsid w:val="00644E7E"/>
    <w:rsid w:val="00644E87"/>
    <w:rsid w:val="0064511E"/>
    <w:rsid w:val="00645339"/>
    <w:rsid w:val="00645512"/>
    <w:rsid w:val="006457C8"/>
    <w:rsid w:val="00645BA4"/>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1F9"/>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8E"/>
    <w:rsid w:val="006522EC"/>
    <w:rsid w:val="006527D6"/>
    <w:rsid w:val="00652939"/>
    <w:rsid w:val="0065299B"/>
    <w:rsid w:val="00652AA8"/>
    <w:rsid w:val="00652CC1"/>
    <w:rsid w:val="0065326D"/>
    <w:rsid w:val="0065343C"/>
    <w:rsid w:val="0065343E"/>
    <w:rsid w:val="0065373D"/>
    <w:rsid w:val="00653842"/>
    <w:rsid w:val="006539EE"/>
    <w:rsid w:val="00653E17"/>
    <w:rsid w:val="00653FC6"/>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23"/>
    <w:rsid w:val="00660BE4"/>
    <w:rsid w:val="00660E89"/>
    <w:rsid w:val="00660EFE"/>
    <w:rsid w:val="006619C8"/>
    <w:rsid w:val="006621A6"/>
    <w:rsid w:val="0066224E"/>
    <w:rsid w:val="006626D9"/>
    <w:rsid w:val="00662883"/>
    <w:rsid w:val="00662EDB"/>
    <w:rsid w:val="00662F1E"/>
    <w:rsid w:val="0066301F"/>
    <w:rsid w:val="006631F7"/>
    <w:rsid w:val="006633C0"/>
    <w:rsid w:val="006635CF"/>
    <w:rsid w:val="0066376F"/>
    <w:rsid w:val="006637E3"/>
    <w:rsid w:val="0066384C"/>
    <w:rsid w:val="00663AFC"/>
    <w:rsid w:val="00663BD7"/>
    <w:rsid w:val="00663FB6"/>
    <w:rsid w:val="00664205"/>
    <w:rsid w:val="0066454A"/>
    <w:rsid w:val="006646A5"/>
    <w:rsid w:val="00664883"/>
    <w:rsid w:val="00664975"/>
    <w:rsid w:val="00664ADF"/>
    <w:rsid w:val="00664CFD"/>
    <w:rsid w:val="00665280"/>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100"/>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DEA"/>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4E6"/>
    <w:rsid w:val="006815F2"/>
    <w:rsid w:val="006816AC"/>
    <w:rsid w:val="00681933"/>
    <w:rsid w:val="0068194A"/>
    <w:rsid w:val="00681A7A"/>
    <w:rsid w:val="00681C42"/>
    <w:rsid w:val="00681EF1"/>
    <w:rsid w:val="006825F9"/>
    <w:rsid w:val="00682847"/>
    <w:rsid w:val="006829C2"/>
    <w:rsid w:val="00682A2B"/>
    <w:rsid w:val="00683473"/>
    <w:rsid w:val="00683520"/>
    <w:rsid w:val="00683636"/>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852"/>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59C"/>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4ECB"/>
    <w:rsid w:val="0069509A"/>
    <w:rsid w:val="006952CE"/>
    <w:rsid w:val="00695629"/>
    <w:rsid w:val="006956AF"/>
    <w:rsid w:val="00695BC0"/>
    <w:rsid w:val="00695C46"/>
    <w:rsid w:val="00695D25"/>
    <w:rsid w:val="00696041"/>
    <w:rsid w:val="006963CB"/>
    <w:rsid w:val="006969DC"/>
    <w:rsid w:val="00696E73"/>
    <w:rsid w:val="00696EAD"/>
    <w:rsid w:val="00696EF5"/>
    <w:rsid w:val="006970D7"/>
    <w:rsid w:val="006971B0"/>
    <w:rsid w:val="00697310"/>
    <w:rsid w:val="00697441"/>
    <w:rsid w:val="00697996"/>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2F"/>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1C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1A"/>
    <w:rsid w:val="006A5E27"/>
    <w:rsid w:val="006A5EA3"/>
    <w:rsid w:val="006A5F2A"/>
    <w:rsid w:val="006A63F1"/>
    <w:rsid w:val="006A64A4"/>
    <w:rsid w:val="006A677A"/>
    <w:rsid w:val="006A6BD0"/>
    <w:rsid w:val="006A6C22"/>
    <w:rsid w:val="006A6C6A"/>
    <w:rsid w:val="006A6C6C"/>
    <w:rsid w:val="006A6D16"/>
    <w:rsid w:val="006A6E8C"/>
    <w:rsid w:val="006A70FE"/>
    <w:rsid w:val="006A7227"/>
    <w:rsid w:val="006A735B"/>
    <w:rsid w:val="006A7738"/>
    <w:rsid w:val="006A77C7"/>
    <w:rsid w:val="006A7DBE"/>
    <w:rsid w:val="006A7F52"/>
    <w:rsid w:val="006A7FF0"/>
    <w:rsid w:val="006B028F"/>
    <w:rsid w:val="006B0483"/>
    <w:rsid w:val="006B0694"/>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D41"/>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AF"/>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1F"/>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B46"/>
    <w:rsid w:val="006D5C2B"/>
    <w:rsid w:val="006D5C96"/>
    <w:rsid w:val="006D600E"/>
    <w:rsid w:val="006D6010"/>
    <w:rsid w:val="006D6080"/>
    <w:rsid w:val="006D656D"/>
    <w:rsid w:val="006D668D"/>
    <w:rsid w:val="006D68C5"/>
    <w:rsid w:val="006D6AD3"/>
    <w:rsid w:val="006D6B10"/>
    <w:rsid w:val="006D6B95"/>
    <w:rsid w:val="006D6C39"/>
    <w:rsid w:val="006D6DF2"/>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3DF3"/>
    <w:rsid w:val="006E4585"/>
    <w:rsid w:val="006E4900"/>
    <w:rsid w:val="006E4923"/>
    <w:rsid w:val="006E4960"/>
    <w:rsid w:val="006E4DC4"/>
    <w:rsid w:val="006E4FEC"/>
    <w:rsid w:val="006E5332"/>
    <w:rsid w:val="006E533F"/>
    <w:rsid w:val="006E53A3"/>
    <w:rsid w:val="006E5696"/>
    <w:rsid w:val="006E5A6E"/>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F4D"/>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DD3"/>
    <w:rsid w:val="006F7E88"/>
    <w:rsid w:val="007003D9"/>
    <w:rsid w:val="0070089D"/>
    <w:rsid w:val="0070116F"/>
    <w:rsid w:val="00701369"/>
    <w:rsid w:val="007013B5"/>
    <w:rsid w:val="00701496"/>
    <w:rsid w:val="00701705"/>
    <w:rsid w:val="0070170E"/>
    <w:rsid w:val="00701D18"/>
    <w:rsid w:val="00701F44"/>
    <w:rsid w:val="00702100"/>
    <w:rsid w:val="007027F8"/>
    <w:rsid w:val="00702AAC"/>
    <w:rsid w:val="00702C97"/>
    <w:rsid w:val="00702D7E"/>
    <w:rsid w:val="00702E1B"/>
    <w:rsid w:val="007030C7"/>
    <w:rsid w:val="007032A4"/>
    <w:rsid w:val="0070343A"/>
    <w:rsid w:val="007035D6"/>
    <w:rsid w:val="007035E8"/>
    <w:rsid w:val="007037AD"/>
    <w:rsid w:val="007039BA"/>
    <w:rsid w:val="00703AFB"/>
    <w:rsid w:val="00703D8C"/>
    <w:rsid w:val="00703EFD"/>
    <w:rsid w:val="007040E6"/>
    <w:rsid w:val="007044BB"/>
    <w:rsid w:val="0070488F"/>
    <w:rsid w:val="00704F73"/>
    <w:rsid w:val="00705306"/>
    <w:rsid w:val="007053A6"/>
    <w:rsid w:val="007054E5"/>
    <w:rsid w:val="00705812"/>
    <w:rsid w:val="00705BAF"/>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E38"/>
    <w:rsid w:val="00710F1F"/>
    <w:rsid w:val="007112F8"/>
    <w:rsid w:val="00711AB9"/>
    <w:rsid w:val="00711E02"/>
    <w:rsid w:val="0071226A"/>
    <w:rsid w:val="007122DA"/>
    <w:rsid w:val="00712475"/>
    <w:rsid w:val="0071247C"/>
    <w:rsid w:val="00712534"/>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6D34"/>
    <w:rsid w:val="00716F8E"/>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078"/>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86F"/>
    <w:rsid w:val="007249C7"/>
    <w:rsid w:val="00724CC7"/>
    <w:rsid w:val="00724DE0"/>
    <w:rsid w:val="00724E15"/>
    <w:rsid w:val="007250E5"/>
    <w:rsid w:val="00725157"/>
    <w:rsid w:val="00725267"/>
    <w:rsid w:val="007254F6"/>
    <w:rsid w:val="00725838"/>
    <w:rsid w:val="00725D0B"/>
    <w:rsid w:val="00725E1F"/>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0EC6"/>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08"/>
    <w:rsid w:val="00736A21"/>
    <w:rsid w:val="00736AE9"/>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5BE"/>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0F0"/>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11A"/>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2AF"/>
    <w:rsid w:val="00757377"/>
    <w:rsid w:val="007577C1"/>
    <w:rsid w:val="00757B34"/>
    <w:rsid w:val="00757ED3"/>
    <w:rsid w:val="00757EF0"/>
    <w:rsid w:val="00757FDF"/>
    <w:rsid w:val="00760136"/>
    <w:rsid w:val="0076014D"/>
    <w:rsid w:val="00760421"/>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2F8E"/>
    <w:rsid w:val="00763648"/>
    <w:rsid w:val="007636BD"/>
    <w:rsid w:val="00763CB7"/>
    <w:rsid w:val="00763D1B"/>
    <w:rsid w:val="00763F2D"/>
    <w:rsid w:val="00764135"/>
    <w:rsid w:val="00764194"/>
    <w:rsid w:val="0076445A"/>
    <w:rsid w:val="0076446C"/>
    <w:rsid w:val="00764490"/>
    <w:rsid w:val="007646AC"/>
    <w:rsid w:val="007647C7"/>
    <w:rsid w:val="00764A6D"/>
    <w:rsid w:val="00764C3D"/>
    <w:rsid w:val="00765263"/>
    <w:rsid w:val="00765A1B"/>
    <w:rsid w:val="00765A2E"/>
    <w:rsid w:val="00765C5D"/>
    <w:rsid w:val="00765CBC"/>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10"/>
    <w:rsid w:val="00767D35"/>
    <w:rsid w:val="00767E15"/>
    <w:rsid w:val="00767E54"/>
    <w:rsid w:val="00767FD9"/>
    <w:rsid w:val="007700F8"/>
    <w:rsid w:val="007703E0"/>
    <w:rsid w:val="00770955"/>
    <w:rsid w:val="00770D59"/>
    <w:rsid w:val="00770D71"/>
    <w:rsid w:val="007713FB"/>
    <w:rsid w:val="00771AE2"/>
    <w:rsid w:val="00771BFA"/>
    <w:rsid w:val="00771C6C"/>
    <w:rsid w:val="00771D80"/>
    <w:rsid w:val="00771E2B"/>
    <w:rsid w:val="00772164"/>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2A2"/>
    <w:rsid w:val="00775886"/>
    <w:rsid w:val="00775934"/>
    <w:rsid w:val="00775974"/>
    <w:rsid w:val="00775CBC"/>
    <w:rsid w:val="00775F0A"/>
    <w:rsid w:val="007762E2"/>
    <w:rsid w:val="00776B7F"/>
    <w:rsid w:val="00776DA5"/>
    <w:rsid w:val="0077711A"/>
    <w:rsid w:val="007773AE"/>
    <w:rsid w:val="007776F2"/>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77"/>
    <w:rsid w:val="00781C96"/>
    <w:rsid w:val="00781EA9"/>
    <w:rsid w:val="007820BF"/>
    <w:rsid w:val="00782305"/>
    <w:rsid w:val="00782599"/>
    <w:rsid w:val="0078262A"/>
    <w:rsid w:val="00782913"/>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3BE"/>
    <w:rsid w:val="00785562"/>
    <w:rsid w:val="00785A27"/>
    <w:rsid w:val="00785EDC"/>
    <w:rsid w:val="00785F6D"/>
    <w:rsid w:val="0078660B"/>
    <w:rsid w:val="00786A73"/>
    <w:rsid w:val="00786ACC"/>
    <w:rsid w:val="00786CE9"/>
    <w:rsid w:val="00786D0E"/>
    <w:rsid w:val="00786D77"/>
    <w:rsid w:val="00787634"/>
    <w:rsid w:val="0078784E"/>
    <w:rsid w:val="00787999"/>
    <w:rsid w:val="00787BCF"/>
    <w:rsid w:val="0079035A"/>
    <w:rsid w:val="007906A1"/>
    <w:rsid w:val="007906F9"/>
    <w:rsid w:val="007907BA"/>
    <w:rsid w:val="007908A9"/>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3AF"/>
    <w:rsid w:val="0079348E"/>
    <w:rsid w:val="007935C4"/>
    <w:rsid w:val="007936A6"/>
    <w:rsid w:val="007936F3"/>
    <w:rsid w:val="00793884"/>
    <w:rsid w:val="007944A3"/>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3F"/>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1D58"/>
    <w:rsid w:val="007A2072"/>
    <w:rsid w:val="007A2162"/>
    <w:rsid w:val="007A216C"/>
    <w:rsid w:val="007A242A"/>
    <w:rsid w:val="007A2553"/>
    <w:rsid w:val="007A2A37"/>
    <w:rsid w:val="007A2E2A"/>
    <w:rsid w:val="007A2F88"/>
    <w:rsid w:val="007A3051"/>
    <w:rsid w:val="007A3364"/>
    <w:rsid w:val="007A3AC8"/>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17"/>
    <w:rsid w:val="007B083D"/>
    <w:rsid w:val="007B099E"/>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70F"/>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5BA"/>
    <w:rsid w:val="007C463C"/>
    <w:rsid w:val="007C46BA"/>
    <w:rsid w:val="007C4ABD"/>
    <w:rsid w:val="007C4B44"/>
    <w:rsid w:val="007C5273"/>
    <w:rsid w:val="007C55D3"/>
    <w:rsid w:val="007C58BE"/>
    <w:rsid w:val="007C59EB"/>
    <w:rsid w:val="007C5A14"/>
    <w:rsid w:val="007C5C83"/>
    <w:rsid w:val="007C5D8A"/>
    <w:rsid w:val="007C6321"/>
    <w:rsid w:val="007C662A"/>
    <w:rsid w:val="007C66AF"/>
    <w:rsid w:val="007C6958"/>
    <w:rsid w:val="007C6A21"/>
    <w:rsid w:val="007C6A47"/>
    <w:rsid w:val="007C6AAA"/>
    <w:rsid w:val="007C6FCB"/>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84A"/>
    <w:rsid w:val="007D4DC3"/>
    <w:rsid w:val="007D50FE"/>
    <w:rsid w:val="007D5181"/>
    <w:rsid w:val="007D5317"/>
    <w:rsid w:val="007D5450"/>
    <w:rsid w:val="007D573B"/>
    <w:rsid w:val="007D57F6"/>
    <w:rsid w:val="007D5967"/>
    <w:rsid w:val="007D5E26"/>
    <w:rsid w:val="007D5F2E"/>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670"/>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8F2"/>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125"/>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3D7F"/>
    <w:rsid w:val="007F42CF"/>
    <w:rsid w:val="007F4331"/>
    <w:rsid w:val="007F48BB"/>
    <w:rsid w:val="007F48ED"/>
    <w:rsid w:val="007F4D56"/>
    <w:rsid w:val="007F4D74"/>
    <w:rsid w:val="007F4F16"/>
    <w:rsid w:val="007F53A9"/>
    <w:rsid w:val="007F55F1"/>
    <w:rsid w:val="007F5786"/>
    <w:rsid w:val="007F5C43"/>
    <w:rsid w:val="007F5D52"/>
    <w:rsid w:val="007F5EAD"/>
    <w:rsid w:val="007F5F33"/>
    <w:rsid w:val="007F6724"/>
    <w:rsid w:val="007F67A9"/>
    <w:rsid w:val="007F691E"/>
    <w:rsid w:val="007F6CC7"/>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9C"/>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07F17"/>
    <w:rsid w:val="00810474"/>
    <w:rsid w:val="0081111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6FC"/>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1E9E"/>
    <w:rsid w:val="00822050"/>
    <w:rsid w:val="0082207C"/>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AEC"/>
    <w:rsid w:val="00823C26"/>
    <w:rsid w:val="00823EAE"/>
    <w:rsid w:val="00823F6F"/>
    <w:rsid w:val="00824055"/>
    <w:rsid w:val="0082405D"/>
    <w:rsid w:val="008242AE"/>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CBD"/>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2F9"/>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DD"/>
    <w:rsid w:val="00834CE9"/>
    <w:rsid w:val="00835077"/>
    <w:rsid w:val="00835635"/>
    <w:rsid w:val="00835773"/>
    <w:rsid w:val="00835B17"/>
    <w:rsid w:val="00835CCC"/>
    <w:rsid w:val="00835FCE"/>
    <w:rsid w:val="0083602B"/>
    <w:rsid w:val="00836126"/>
    <w:rsid w:val="00836715"/>
    <w:rsid w:val="00836C71"/>
    <w:rsid w:val="00836E03"/>
    <w:rsid w:val="00836EFF"/>
    <w:rsid w:val="00836F2C"/>
    <w:rsid w:val="00837848"/>
    <w:rsid w:val="008379C8"/>
    <w:rsid w:val="00837D08"/>
    <w:rsid w:val="008405EE"/>
    <w:rsid w:val="00840853"/>
    <w:rsid w:val="008408C4"/>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14C"/>
    <w:rsid w:val="0084349B"/>
    <w:rsid w:val="00843591"/>
    <w:rsid w:val="00843761"/>
    <w:rsid w:val="008438B6"/>
    <w:rsid w:val="00843AA6"/>
    <w:rsid w:val="00843E2B"/>
    <w:rsid w:val="00843FFE"/>
    <w:rsid w:val="0084406B"/>
    <w:rsid w:val="008443BA"/>
    <w:rsid w:val="0084458D"/>
    <w:rsid w:val="00844606"/>
    <w:rsid w:val="008446EA"/>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6C7A"/>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71F"/>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43A"/>
    <w:rsid w:val="008558EF"/>
    <w:rsid w:val="008559FD"/>
    <w:rsid w:val="00855C66"/>
    <w:rsid w:val="00855D46"/>
    <w:rsid w:val="008560CE"/>
    <w:rsid w:val="008561F9"/>
    <w:rsid w:val="00856992"/>
    <w:rsid w:val="00856A09"/>
    <w:rsid w:val="00856AA3"/>
    <w:rsid w:val="0085793D"/>
    <w:rsid w:val="00857DEE"/>
    <w:rsid w:val="00857DF4"/>
    <w:rsid w:val="008607F2"/>
    <w:rsid w:val="00860AD4"/>
    <w:rsid w:val="00860C63"/>
    <w:rsid w:val="00860DB7"/>
    <w:rsid w:val="00860DD6"/>
    <w:rsid w:val="00860F8F"/>
    <w:rsid w:val="00860F9B"/>
    <w:rsid w:val="00861272"/>
    <w:rsid w:val="00861477"/>
    <w:rsid w:val="008614CA"/>
    <w:rsid w:val="0086179E"/>
    <w:rsid w:val="00861879"/>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3F"/>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97"/>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531"/>
    <w:rsid w:val="00880834"/>
    <w:rsid w:val="00880CBB"/>
    <w:rsid w:val="00880FD7"/>
    <w:rsid w:val="0088127C"/>
    <w:rsid w:val="0088159C"/>
    <w:rsid w:val="0088172C"/>
    <w:rsid w:val="00881887"/>
    <w:rsid w:val="008818E4"/>
    <w:rsid w:val="00881FA5"/>
    <w:rsid w:val="008822D5"/>
    <w:rsid w:val="00882364"/>
    <w:rsid w:val="008823A3"/>
    <w:rsid w:val="008824F9"/>
    <w:rsid w:val="008826DC"/>
    <w:rsid w:val="00882967"/>
    <w:rsid w:val="00882BE0"/>
    <w:rsid w:val="00882C14"/>
    <w:rsid w:val="00882E4B"/>
    <w:rsid w:val="00883483"/>
    <w:rsid w:val="008838B5"/>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845"/>
    <w:rsid w:val="00885D54"/>
    <w:rsid w:val="00885E17"/>
    <w:rsid w:val="008863A6"/>
    <w:rsid w:val="008865E3"/>
    <w:rsid w:val="008865F9"/>
    <w:rsid w:val="008866E0"/>
    <w:rsid w:val="00886BF0"/>
    <w:rsid w:val="00886F5E"/>
    <w:rsid w:val="008872C2"/>
    <w:rsid w:val="008872C6"/>
    <w:rsid w:val="0088788E"/>
    <w:rsid w:val="00887CAB"/>
    <w:rsid w:val="0089021A"/>
    <w:rsid w:val="008902C1"/>
    <w:rsid w:val="00890335"/>
    <w:rsid w:val="008903DB"/>
    <w:rsid w:val="00890481"/>
    <w:rsid w:val="00890B56"/>
    <w:rsid w:val="00890ED1"/>
    <w:rsid w:val="00891182"/>
    <w:rsid w:val="008911CD"/>
    <w:rsid w:val="00891206"/>
    <w:rsid w:val="008916F2"/>
    <w:rsid w:val="0089188A"/>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4D04"/>
    <w:rsid w:val="00894DA4"/>
    <w:rsid w:val="0089516D"/>
    <w:rsid w:val="00895193"/>
    <w:rsid w:val="008952F1"/>
    <w:rsid w:val="00895545"/>
    <w:rsid w:val="00895D58"/>
    <w:rsid w:val="00895E0F"/>
    <w:rsid w:val="00895F87"/>
    <w:rsid w:val="008961A7"/>
    <w:rsid w:val="008962CD"/>
    <w:rsid w:val="008963A5"/>
    <w:rsid w:val="00896575"/>
    <w:rsid w:val="008965F9"/>
    <w:rsid w:val="00896612"/>
    <w:rsid w:val="008968D9"/>
    <w:rsid w:val="0089690E"/>
    <w:rsid w:val="00896A26"/>
    <w:rsid w:val="00896BC5"/>
    <w:rsid w:val="00896ED7"/>
    <w:rsid w:val="0089797E"/>
    <w:rsid w:val="00897A0E"/>
    <w:rsid w:val="00897ED1"/>
    <w:rsid w:val="00897F20"/>
    <w:rsid w:val="008A0024"/>
    <w:rsid w:val="008A0453"/>
    <w:rsid w:val="008A061D"/>
    <w:rsid w:val="008A07CE"/>
    <w:rsid w:val="008A07F0"/>
    <w:rsid w:val="008A0C6F"/>
    <w:rsid w:val="008A1609"/>
    <w:rsid w:val="008A1BAA"/>
    <w:rsid w:val="008A1BC1"/>
    <w:rsid w:val="008A1E72"/>
    <w:rsid w:val="008A2413"/>
    <w:rsid w:val="008A25A6"/>
    <w:rsid w:val="008A26C0"/>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6F78"/>
    <w:rsid w:val="008A728F"/>
    <w:rsid w:val="008A73C1"/>
    <w:rsid w:val="008A74D2"/>
    <w:rsid w:val="008A76A5"/>
    <w:rsid w:val="008B007B"/>
    <w:rsid w:val="008B052D"/>
    <w:rsid w:val="008B09AF"/>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48"/>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5EBD"/>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268"/>
    <w:rsid w:val="008D03AD"/>
    <w:rsid w:val="008D052F"/>
    <w:rsid w:val="008D0661"/>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764"/>
    <w:rsid w:val="008D2C41"/>
    <w:rsid w:val="008D3301"/>
    <w:rsid w:val="008D3347"/>
    <w:rsid w:val="008D394B"/>
    <w:rsid w:val="008D3AC8"/>
    <w:rsid w:val="008D3B77"/>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4D3"/>
    <w:rsid w:val="008D754B"/>
    <w:rsid w:val="008D7579"/>
    <w:rsid w:val="008D75D9"/>
    <w:rsid w:val="008D7731"/>
    <w:rsid w:val="008D77CB"/>
    <w:rsid w:val="008D7B61"/>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55"/>
    <w:rsid w:val="008E1CA0"/>
    <w:rsid w:val="008E2A23"/>
    <w:rsid w:val="008E2ABF"/>
    <w:rsid w:val="008E2C87"/>
    <w:rsid w:val="008E37BC"/>
    <w:rsid w:val="008E3A51"/>
    <w:rsid w:val="008E3D95"/>
    <w:rsid w:val="008E3EDB"/>
    <w:rsid w:val="008E3FEB"/>
    <w:rsid w:val="008E4256"/>
    <w:rsid w:val="008E446A"/>
    <w:rsid w:val="008E45AD"/>
    <w:rsid w:val="008E460F"/>
    <w:rsid w:val="008E48AD"/>
    <w:rsid w:val="008E48E8"/>
    <w:rsid w:val="008E4B6C"/>
    <w:rsid w:val="008E4F0C"/>
    <w:rsid w:val="008E503F"/>
    <w:rsid w:val="008E5070"/>
    <w:rsid w:val="008E53A2"/>
    <w:rsid w:val="008E5434"/>
    <w:rsid w:val="008E57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2E"/>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C25"/>
    <w:rsid w:val="008F2D5A"/>
    <w:rsid w:val="008F2E11"/>
    <w:rsid w:val="008F2E39"/>
    <w:rsid w:val="008F2EDB"/>
    <w:rsid w:val="008F313B"/>
    <w:rsid w:val="008F3270"/>
    <w:rsid w:val="008F3286"/>
    <w:rsid w:val="008F337D"/>
    <w:rsid w:val="008F3411"/>
    <w:rsid w:val="008F3484"/>
    <w:rsid w:val="008F3850"/>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81"/>
    <w:rsid w:val="009011E8"/>
    <w:rsid w:val="009014A7"/>
    <w:rsid w:val="0090153F"/>
    <w:rsid w:val="009016BC"/>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0C2"/>
    <w:rsid w:val="0090460F"/>
    <w:rsid w:val="009046B5"/>
    <w:rsid w:val="00904B09"/>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7A4"/>
    <w:rsid w:val="00912BDE"/>
    <w:rsid w:val="00912EEE"/>
    <w:rsid w:val="00912F51"/>
    <w:rsid w:val="009131EC"/>
    <w:rsid w:val="0091324D"/>
    <w:rsid w:val="00913445"/>
    <w:rsid w:val="009136B4"/>
    <w:rsid w:val="009136CA"/>
    <w:rsid w:val="00913DCF"/>
    <w:rsid w:val="009141B2"/>
    <w:rsid w:val="009142AD"/>
    <w:rsid w:val="0091432D"/>
    <w:rsid w:val="009147A8"/>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C15"/>
    <w:rsid w:val="00922ECF"/>
    <w:rsid w:val="00922FC1"/>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1E"/>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39"/>
    <w:rsid w:val="009427AB"/>
    <w:rsid w:val="009429B6"/>
    <w:rsid w:val="00942E9A"/>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4C61"/>
    <w:rsid w:val="009551F1"/>
    <w:rsid w:val="009552BD"/>
    <w:rsid w:val="009552EA"/>
    <w:rsid w:val="0095582B"/>
    <w:rsid w:val="009559B6"/>
    <w:rsid w:val="00955DDE"/>
    <w:rsid w:val="009561EF"/>
    <w:rsid w:val="00956793"/>
    <w:rsid w:val="00956827"/>
    <w:rsid w:val="009568F4"/>
    <w:rsid w:val="00956C96"/>
    <w:rsid w:val="00956E87"/>
    <w:rsid w:val="00956FD3"/>
    <w:rsid w:val="009571A6"/>
    <w:rsid w:val="0095738D"/>
    <w:rsid w:val="0095785A"/>
    <w:rsid w:val="00957C78"/>
    <w:rsid w:val="00957CEF"/>
    <w:rsid w:val="00957E04"/>
    <w:rsid w:val="0096018A"/>
    <w:rsid w:val="0096034D"/>
    <w:rsid w:val="009603BD"/>
    <w:rsid w:val="00960559"/>
    <w:rsid w:val="009606F6"/>
    <w:rsid w:val="00960972"/>
    <w:rsid w:val="00960A6A"/>
    <w:rsid w:val="00960C62"/>
    <w:rsid w:val="00960C9C"/>
    <w:rsid w:val="00960FEE"/>
    <w:rsid w:val="0096109E"/>
    <w:rsid w:val="009616EC"/>
    <w:rsid w:val="0096174B"/>
    <w:rsid w:val="00961909"/>
    <w:rsid w:val="00961B15"/>
    <w:rsid w:val="00961B9A"/>
    <w:rsid w:val="00961D17"/>
    <w:rsid w:val="00961EA3"/>
    <w:rsid w:val="00961F76"/>
    <w:rsid w:val="00961FCD"/>
    <w:rsid w:val="0096203D"/>
    <w:rsid w:val="009620C2"/>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6C46"/>
    <w:rsid w:val="00967021"/>
    <w:rsid w:val="009674AC"/>
    <w:rsid w:val="00967660"/>
    <w:rsid w:val="009676C2"/>
    <w:rsid w:val="00967754"/>
    <w:rsid w:val="0096777C"/>
    <w:rsid w:val="009678A2"/>
    <w:rsid w:val="00967B58"/>
    <w:rsid w:val="00967EF5"/>
    <w:rsid w:val="00970039"/>
    <w:rsid w:val="00970160"/>
    <w:rsid w:val="009702C1"/>
    <w:rsid w:val="00970389"/>
    <w:rsid w:val="0097041A"/>
    <w:rsid w:val="00970687"/>
    <w:rsid w:val="00970793"/>
    <w:rsid w:val="0097083A"/>
    <w:rsid w:val="00970CD4"/>
    <w:rsid w:val="00970F19"/>
    <w:rsid w:val="00970F57"/>
    <w:rsid w:val="00971146"/>
    <w:rsid w:val="009711A9"/>
    <w:rsid w:val="009711CD"/>
    <w:rsid w:val="009718D9"/>
    <w:rsid w:val="0097195B"/>
    <w:rsid w:val="00971E6E"/>
    <w:rsid w:val="00971FDA"/>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99F"/>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3E43"/>
    <w:rsid w:val="0098408A"/>
    <w:rsid w:val="00984240"/>
    <w:rsid w:val="00984369"/>
    <w:rsid w:val="0098449E"/>
    <w:rsid w:val="0098464F"/>
    <w:rsid w:val="0098480B"/>
    <w:rsid w:val="00985149"/>
    <w:rsid w:val="00985488"/>
    <w:rsid w:val="009854FA"/>
    <w:rsid w:val="00985B58"/>
    <w:rsid w:val="00985C21"/>
    <w:rsid w:val="00985C48"/>
    <w:rsid w:val="00985E24"/>
    <w:rsid w:val="0098673A"/>
    <w:rsid w:val="00986DA8"/>
    <w:rsid w:val="00986E12"/>
    <w:rsid w:val="009875AA"/>
    <w:rsid w:val="009877AD"/>
    <w:rsid w:val="009877BF"/>
    <w:rsid w:val="00987B78"/>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836"/>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62E"/>
    <w:rsid w:val="00995AC7"/>
    <w:rsid w:val="00995D14"/>
    <w:rsid w:val="00995D18"/>
    <w:rsid w:val="00995E52"/>
    <w:rsid w:val="00995E56"/>
    <w:rsid w:val="009960AC"/>
    <w:rsid w:val="0099645D"/>
    <w:rsid w:val="009965FE"/>
    <w:rsid w:val="009966ED"/>
    <w:rsid w:val="00996960"/>
    <w:rsid w:val="00996AAE"/>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204"/>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D0D"/>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5E83"/>
    <w:rsid w:val="009A60B8"/>
    <w:rsid w:val="009A6382"/>
    <w:rsid w:val="009A65A5"/>
    <w:rsid w:val="009A6A1A"/>
    <w:rsid w:val="009A6A2D"/>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1E9"/>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A01"/>
    <w:rsid w:val="009B4CFD"/>
    <w:rsid w:val="009B4D72"/>
    <w:rsid w:val="009B4E72"/>
    <w:rsid w:val="009B504B"/>
    <w:rsid w:val="009B53BD"/>
    <w:rsid w:val="009B57EC"/>
    <w:rsid w:val="009B59FF"/>
    <w:rsid w:val="009B5BA4"/>
    <w:rsid w:val="009B5E8D"/>
    <w:rsid w:val="009B5F42"/>
    <w:rsid w:val="009B5FC2"/>
    <w:rsid w:val="009B5FFF"/>
    <w:rsid w:val="009B61B8"/>
    <w:rsid w:val="009B6596"/>
    <w:rsid w:val="009B65AD"/>
    <w:rsid w:val="009B6B25"/>
    <w:rsid w:val="009B6B3D"/>
    <w:rsid w:val="009B6DA1"/>
    <w:rsid w:val="009B6F81"/>
    <w:rsid w:val="009B7003"/>
    <w:rsid w:val="009B7159"/>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052"/>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CEC"/>
    <w:rsid w:val="009D7E7F"/>
    <w:rsid w:val="009E00DB"/>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10B"/>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54"/>
    <w:rsid w:val="009F3A71"/>
    <w:rsid w:val="009F3DD0"/>
    <w:rsid w:val="009F3DE5"/>
    <w:rsid w:val="009F3FB2"/>
    <w:rsid w:val="009F410E"/>
    <w:rsid w:val="009F4261"/>
    <w:rsid w:val="009F4450"/>
    <w:rsid w:val="009F48C0"/>
    <w:rsid w:val="009F4955"/>
    <w:rsid w:val="009F4E2E"/>
    <w:rsid w:val="009F4E3D"/>
    <w:rsid w:val="009F4F1F"/>
    <w:rsid w:val="009F4FC9"/>
    <w:rsid w:val="009F50A4"/>
    <w:rsid w:val="009F52C4"/>
    <w:rsid w:val="009F5447"/>
    <w:rsid w:val="009F557B"/>
    <w:rsid w:val="009F568B"/>
    <w:rsid w:val="009F5828"/>
    <w:rsid w:val="009F5A25"/>
    <w:rsid w:val="009F5A79"/>
    <w:rsid w:val="009F6177"/>
    <w:rsid w:val="009F662B"/>
    <w:rsid w:val="009F68E2"/>
    <w:rsid w:val="009F6B62"/>
    <w:rsid w:val="009F6E3A"/>
    <w:rsid w:val="009F6E5C"/>
    <w:rsid w:val="009F72B0"/>
    <w:rsid w:val="009F7403"/>
    <w:rsid w:val="009F741C"/>
    <w:rsid w:val="009F7500"/>
    <w:rsid w:val="009F758F"/>
    <w:rsid w:val="009F7626"/>
    <w:rsid w:val="009F768E"/>
    <w:rsid w:val="009F76E7"/>
    <w:rsid w:val="009F76F9"/>
    <w:rsid w:val="009F7A94"/>
    <w:rsid w:val="009F7CCE"/>
    <w:rsid w:val="009F7D59"/>
    <w:rsid w:val="009F7D5D"/>
    <w:rsid w:val="00A000CC"/>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3DAA"/>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0ED"/>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22"/>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3DAF"/>
    <w:rsid w:val="00A141BA"/>
    <w:rsid w:val="00A14210"/>
    <w:rsid w:val="00A142AE"/>
    <w:rsid w:val="00A148BF"/>
    <w:rsid w:val="00A14A24"/>
    <w:rsid w:val="00A14EF8"/>
    <w:rsid w:val="00A15108"/>
    <w:rsid w:val="00A1521B"/>
    <w:rsid w:val="00A15323"/>
    <w:rsid w:val="00A159F7"/>
    <w:rsid w:val="00A15C50"/>
    <w:rsid w:val="00A15CF5"/>
    <w:rsid w:val="00A15F89"/>
    <w:rsid w:val="00A1649C"/>
    <w:rsid w:val="00A1660F"/>
    <w:rsid w:val="00A16616"/>
    <w:rsid w:val="00A16B1D"/>
    <w:rsid w:val="00A16C9D"/>
    <w:rsid w:val="00A16D5C"/>
    <w:rsid w:val="00A16EBB"/>
    <w:rsid w:val="00A1735A"/>
    <w:rsid w:val="00A175A3"/>
    <w:rsid w:val="00A1785B"/>
    <w:rsid w:val="00A178CF"/>
    <w:rsid w:val="00A17926"/>
    <w:rsid w:val="00A17B5C"/>
    <w:rsid w:val="00A17DAE"/>
    <w:rsid w:val="00A203C1"/>
    <w:rsid w:val="00A203E2"/>
    <w:rsid w:val="00A20603"/>
    <w:rsid w:val="00A20715"/>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53C"/>
    <w:rsid w:val="00A2675C"/>
    <w:rsid w:val="00A26B77"/>
    <w:rsid w:val="00A26E28"/>
    <w:rsid w:val="00A26E31"/>
    <w:rsid w:val="00A271BF"/>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2F79"/>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07"/>
    <w:rsid w:val="00A3517E"/>
    <w:rsid w:val="00A35286"/>
    <w:rsid w:val="00A352E1"/>
    <w:rsid w:val="00A35378"/>
    <w:rsid w:val="00A354DC"/>
    <w:rsid w:val="00A35576"/>
    <w:rsid w:val="00A35843"/>
    <w:rsid w:val="00A35CB2"/>
    <w:rsid w:val="00A36075"/>
    <w:rsid w:val="00A360CA"/>
    <w:rsid w:val="00A36298"/>
    <w:rsid w:val="00A364CE"/>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25C"/>
    <w:rsid w:val="00A403D4"/>
    <w:rsid w:val="00A4047C"/>
    <w:rsid w:val="00A40516"/>
    <w:rsid w:val="00A408FA"/>
    <w:rsid w:val="00A40962"/>
    <w:rsid w:val="00A40B01"/>
    <w:rsid w:val="00A40CB8"/>
    <w:rsid w:val="00A40D3E"/>
    <w:rsid w:val="00A40D9A"/>
    <w:rsid w:val="00A41102"/>
    <w:rsid w:val="00A4132C"/>
    <w:rsid w:val="00A41371"/>
    <w:rsid w:val="00A41400"/>
    <w:rsid w:val="00A41797"/>
    <w:rsid w:val="00A41DD3"/>
    <w:rsid w:val="00A41F51"/>
    <w:rsid w:val="00A42067"/>
    <w:rsid w:val="00A4211E"/>
    <w:rsid w:val="00A42165"/>
    <w:rsid w:val="00A42213"/>
    <w:rsid w:val="00A422A9"/>
    <w:rsid w:val="00A42463"/>
    <w:rsid w:val="00A427B3"/>
    <w:rsid w:val="00A429F6"/>
    <w:rsid w:val="00A42AC6"/>
    <w:rsid w:val="00A42B71"/>
    <w:rsid w:val="00A42B99"/>
    <w:rsid w:val="00A43042"/>
    <w:rsid w:val="00A4317B"/>
    <w:rsid w:val="00A4353D"/>
    <w:rsid w:val="00A436B6"/>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28A"/>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0B9F"/>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DAF"/>
    <w:rsid w:val="00A55ECB"/>
    <w:rsid w:val="00A55FD9"/>
    <w:rsid w:val="00A5668D"/>
    <w:rsid w:val="00A56B05"/>
    <w:rsid w:val="00A56B33"/>
    <w:rsid w:val="00A57103"/>
    <w:rsid w:val="00A5715D"/>
    <w:rsid w:val="00A57162"/>
    <w:rsid w:val="00A571C1"/>
    <w:rsid w:val="00A5777F"/>
    <w:rsid w:val="00A57935"/>
    <w:rsid w:val="00A57B78"/>
    <w:rsid w:val="00A57CF9"/>
    <w:rsid w:val="00A57FBD"/>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975"/>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6C4"/>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2AC"/>
    <w:rsid w:val="00A74790"/>
    <w:rsid w:val="00A749D2"/>
    <w:rsid w:val="00A74DB9"/>
    <w:rsid w:val="00A751EF"/>
    <w:rsid w:val="00A752D8"/>
    <w:rsid w:val="00A753D8"/>
    <w:rsid w:val="00A75423"/>
    <w:rsid w:val="00A75832"/>
    <w:rsid w:val="00A75B70"/>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58B"/>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2B7"/>
    <w:rsid w:val="00A8739E"/>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AEB"/>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96F"/>
    <w:rsid w:val="00AA0AC1"/>
    <w:rsid w:val="00AA0B79"/>
    <w:rsid w:val="00AA0FDB"/>
    <w:rsid w:val="00AA1092"/>
    <w:rsid w:val="00AA13DA"/>
    <w:rsid w:val="00AA1532"/>
    <w:rsid w:val="00AA1757"/>
    <w:rsid w:val="00AA181B"/>
    <w:rsid w:val="00AA1907"/>
    <w:rsid w:val="00AA1E0C"/>
    <w:rsid w:val="00AA2221"/>
    <w:rsid w:val="00AA2726"/>
    <w:rsid w:val="00AA2801"/>
    <w:rsid w:val="00AA29BD"/>
    <w:rsid w:val="00AA2BE2"/>
    <w:rsid w:val="00AA3403"/>
    <w:rsid w:val="00AA3671"/>
    <w:rsid w:val="00AA3A33"/>
    <w:rsid w:val="00AA3AFC"/>
    <w:rsid w:val="00AA3CC0"/>
    <w:rsid w:val="00AA3EF2"/>
    <w:rsid w:val="00AA40FD"/>
    <w:rsid w:val="00AA42AC"/>
    <w:rsid w:val="00AA44B7"/>
    <w:rsid w:val="00AA450F"/>
    <w:rsid w:val="00AA4601"/>
    <w:rsid w:val="00AA467D"/>
    <w:rsid w:val="00AA47BA"/>
    <w:rsid w:val="00AA4802"/>
    <w:rsid w:val="00AA4BF2"/>
    <w:rsid w:val="00AA4C11"/>
    <w:rsid w:val="00AA4C22"/>
    <w:rsid w:val="00AA4C54"/>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4DE"/>
    <w:rsid w:val="00AA7751"/>
    <w:rsid w:val="00AA77EF"/>
    <w:rsid w:val="00AA7D2E"/>
    <w:rsid w:val="00AA7F37"/>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425"/>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515"/>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D9"/>
    <w:rsid w:val="00AC27FF"/>
    <w:rsid w:val="00AC2A2F"/>
    <w:rsid w:val="00AC2C04"/>
    <w:rsid w:val="00AC2C70"/>
    <w:rsid w:val="00AC31EC"/>
    <w:rsid w:val="00AC31FD"/>
    <w:rsid w:val="00AC3293"/>
    <w:rsid w:val="00AC3624"/>
    <w:rsid w:val="00AC39FE"/>
    <w:rsid w:val="00AC3B0B"/>
    <w:rsid w:val="00AC3B27"/>
    <w:rsid w:val="00AC410C"/>
    <w:rsid w:val="00AC429F"/>
    <w:rsid w:val="00AC42AD"/>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750"/>
    <w:rsid w:val="00AD081B"/>
    <w:rsid w:val="00AD084B"/>
    <w:rsid w:val="00AD0A55"/>
    <w:rsid w:val="00AD0C38"/>
    <w:rsid w:val="00AD0E10"/>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9AB"/>
    <w:rsid w:val="00AD6C00"/>
    <w:rsid w:val="00AD6C74"/>
    <w:rsid w:val="00AD7053"/>
    <w:rsid w:val="00AD748B"/>
    <w:rsid w:val="00AD7659"/>
    <w:rsid w:val="00AD7895"/>
    <w:rsid w:val="00AD79F1"/>
    <w:rsid w:val="00AD79F4"/>
    <w:rsid w:val="00AD7B8E"/>
    <w:rsid w:val="00AD7FC8"/>
    <w:rsid w:val="00AE00E2"/>
    <w:rsid w:val="00AE01CF"/>
    <w:rsid w:val="00AE01E4"/>
    <w:rsid w:val="00AE059C"/>
    <w:rsid w:val="00AE0677"/>
    <w:rsid w:val="00AE0A17"/>
    <w:rsid w:val="00AE0A3A"/>
    <w:rsid w:val="00AE0C87"/>
    <w:rsid w:val="00AE0DCC"/>
    <w:rsid w:val="00AE1315"/>
    <w:rsid w:val="00AE16AD"/>
    <w:rsid w:val="00AE1842"/>
    <w:rsid w:val="00AE1C39"/>
    <w:rsid w:val="00AE2025"/>
    <w:rsid w:val="00AE2421"/>
    <w:rsid w:val="00AE26DD"/>
    <w:rsid w:val="00AE2A19"/>
    <w:rsid w:val="00AE2E00"/>
    <w:rsid w:val="00AE2EA0"/>
    <w:rsid w:val="00AE3330"/>
    <w:rsid w:val="00AE368F"/>
    <w:rsid w:val="00AE386E"/>
    <w:rsid w:val="00AE3B44"/>
    <w:rsid w:val="00AE41B1"/>
    <w:rsid w:val="00AE4240"/>
    <w:rsid w:val="00AE43E9"/>
    <w:rsid w:val="00AE45D5"/>
    <w:rsid w:val="00AE46C8"/>
    <w:rsid w:val="00AE489F"/>
    <w:rsid w:val="00AE4955"/>
    <w:rsid w:val="00AE4960"/>
    <w:rsid w:val="00AE4C04"/>
    <w:rsid w:val="00AE4E68"/>
    <w:rsid w:val="00AE4E9D"/>
    <w:rsid w:val="00AE527A"/>
    <w:rsid w:val="00AE5404"/>
    <w:rsid w:val="00AE5422"/>
    <w:rsid w:val="00AE5791"/>
    <w:rsid w:val="00AE579B"/>
    <w:rsid w:val="00AE57BB"/>
    <w:rsid w:val="00AE59A6"/>
    <w:rsid w:val="00AE60F7"/>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3BD"/>
    <w:rsid w:val="00AF45D7"/>
    <w:rsid w:val="00AF47D4"/>
    <w:rsid w:val="00AF48C4"/>
    <w:rsid w:val="00AF495B"/>
    <w:rsid w:val="00AF49DD"/>
    <w:rsid w:val="00AF4F9C"/>
    <w:rsid w:val="00AF52BC"/>
    <w:rsid w:val="00AF5337"/>
    <w:rsid w:val="00AF540E"/>
    <w:rsid w:val="00AF56F3"/>
    <w:rsid w:val="00AF57F7"/>
    <w:rsid w:val="00AF5C5D"/>
    <w:rsid w:val="00AF64B6"/>
    <w:rsid w:val="00AF64C5"/>
    <w:rsid w:val="00AF659E"/>
    <w:rsid w:val="00AF6681"/>
    <w:rsid w:val="00AF66A9"/>
    <w:rsid w:val="00AF67DD"/>
    <w:rsid w:val="00AF688D"/>
    <w:rsid w:val="00AF692A"/>
    <w:rsid w:val="00AF6CF2"/>
    <w:rsid w:val="00AF6EDE"/>
    <w:rsid w:val="00AF744E"/>
    <w:rsid w:val="00AF74C2"/>
    <w:rsid w:val="00AF7616"/>
    <w:rsid w:val="00AF7655"/>
    <w:rsid w:val="00AF76E1"/>
    <w:rsid w:val="00AF79E5"/>
    <w:rsid w:val="00AF7A9B"/>
    <w:rsid w:val="00AF7C97"/>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727"/>
    <w:rsid w:val="00B03AAB"/>
    <w:rsid w:val="00B03AC1"/>
    <w:rsid w:val="00B03BF2"/>
    <w:rsid w:val="00B03DFE"/>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553"/>
    <w:rsid w:val="00B05D68"/>
    <w:rsid w:val="00B05FEC"/>
    <w:rsid w:val="00B0627F"/>
    <w:rsid w:val="00B062B1"/>
    <w:rsid w:val="00B064DB"/>
    <w:rsid w:val="00B066FD"/>
    <w:rsid w:val="00B06898"/>
    <w:rsid w:val="00B06E2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3E13"/>
    <w:rsid w:val="00B1412C"/>
    <w:rsid w:val="00B144A8"/>
    <w:rsid w:val="00B14578"/>
    <w:rsid w:val="00B14A35"/>
    <w:rsid w:val="00B14F54"/>
    <w:rsid w:val="00B15302"/>
    <w:rsid w:val="00B1535C"/>
    <w:rsid w:val="00B1536C"/>
    <w:rsid w:val="00B15397"/>
    <w:rsid w:val="00B15581"/>
    <w:rsid w:val="00B155AE"/>
    <w:rsid w:val="00B159EF"/>
    <w:rsid w:val="00B15A59"/>
    <w:rsid w:val="00B161E9"/>
    <w:rsid w:val="00B16354"/>
    <w:rsid w:val="00B16548"/>
    <w:rsid w:val="00B169DB"/>
    <w:rsid w:val="00B169F0"/>
    <w:rsid w:val="00B16AEC"/>
    <w:rsid w:val="00B16C7D"/>
    <w:rsid w:val="00B16EFC"/>
    <w:rsid w:val="00B17232"/>
    <w:rsid w:val="00B17491"/>
    <w:rsid w:val="00B17AFB"/>
    <w:rsid w:val="00B17D4B"/>
    <w:rsid w:val="00B17F37"/>
    <w:rsid w:val="00B17F6C"/>
    <w:rsid w:val="00B20090"/>
    <w:rsid w:val="00B202D4"/>
    <w:rsid w:val="00B20515"/>
    <w:rsid w:val="00B20E42"/>
    <w:rsid w:val="00B20E6A"/>
    <w:rsid w:val="00B20E83"/>
    <w:rsid w:val="00B21057"/>
    <w:rsid w:val="00B2112B"/>
    <w:rsid w:val="00B216BE"/>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31E"/>
    <w:rsid w:val="00B234C3"/>
    <w:rsid w:val="00B235E1"/>
    <w:rsid w:val="00B2377F"/>
    <w:rsid w:val="00B237DE"/>
    <w:rsid w:val="00B23887"/>
    <w:rsid w:val="00B23950"/>
    <w:rsid w:val="00B23DBD"/>
    <w:rsid w:val="00B24082"/>
    <w:rsid w:val="00B241F9"/>
    <w:rsid w:val="00B24238"/>
    <w:rsid w:val="00B24772"/>
    <w:rsid w:val="00B24CD7"/>
    <w:rsid w:val="00B24F22"/>
    <w:rsid w:val="00B24F96"/>
    <w:rsid w:val="00B25579"/>
    <w:rsid w:val="00B25925"/>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57F"/>
    <w:rsid w:val="00B35BF4"/>
    <w:rsid w:val="00B35C9C"/>
    <w:rsid w:val="00B35E70"/>
    <w:rsid w:val="00B3614B"/>
    <w:rsid w:val="00B364B7"/>
    <w:rsid w:val="00B36749"/>
    <w:rsid w:val="00B36803"/>
    <w:rsid w:val="00B36921"/>
    <w:rsid w:val="00B36DE3"/>
    <w:rsid w:val="00B3750F"/>
    <w:rsid w:val="00B37757"/>
    <w:rsid w:val="00B37B10"/>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2E3"/>
    <w:rsid w:val="00B4556A"/>
    <w:rsid w:val="00B45626"/>
    <w:rsid w:val="00B45AF9"/>
    <w:rsid w:val="00B45B79"/>
    <w:rsid w:val="00B45B7A"/>
    <w:rsid w:val="00B46407"/>
    <w:rsid w:val="00B46B64"/>
    <w:rsid w:val="00B46BDD"/>
    <w:rsid w:val="00B46CC1"/>
    <w:rsid w:val="00B46DBE"/>
    <w:rsid w:val="00B470EA"/>
    <w:rsid w:val="00B47394"/>
    <w:rsid w:val="00B47561"/>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633"/>
    <w:rsid w:val="00B5274E"/>
    <w:rsid w:val="00B5293C"/>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181"/>
    <w:rsid w:val="00B546E2"/>
    <w:rsid w:val="00B5548E"/>
    <w:rsid w:val="00B55AC6"/>
    <w:rsid w:val="00B55D56"/>
    <w:rsid w:val="00B55F9E"/>
    <w:rsid w:val="00B55FBA"/>
    <w:rsid w:val="00B560F0"/>
    <w:rsid w:val="00B56134"/>
    <w:rsid w:val="00B566BA"/>
    <w:rsid w:val="00B566E4"/>
    <w:rsid w:val="00B569A4"/>
    <w:rsid w:val="00B569B8"/>
    <w:rsid w:val="00B570F1"/>
    <w:rsid w:val="00B577B6"/>
    <w:rsid w:val="00B57DC9"/>
    <w:rsid w:val="00B57E2F"/>
    <w:rsid w:val="00B60670"/>
    <w:rsid w:val="00B6084C"/>
    <w:rsid w:val="00B60950"/>
    <w:rsid w:val="00B609BB"/>
    <w:rsid w:val="00B60D86"/>
    <w:rsid w:val="00B60DEB"/>
    <w:rsid w:val="00B6114D"/>
    <w:rsid w:val="00B612DE"/>
    <w:rsid w:val="00B6132E"/>
    <w:rsid w:val="00B613EC"/>
    <w:rsid w:val="00B615D3"/>
    <w:rsid w:val="00B61650"/>
    <w:rsid w:val="00B61C7B"/>
    <w:rsid w:val="00B61EB6"/>
    <w:rsid w:val="00B62005"/>
    <w:rsid w:val="00B62148"/>
    <w:rsid w:val="00B62226"/>
    <w:rsid w:val="00B626A3"/>
    <w:rsid w:val="00B62746"/>
    <w:rsid w:val="00B62954"/>
    <w:rsid w:val="00B62DAF"/>
    <w:rsid w:val="00B62E1E"/>
    <w:rsid w:val="00B62F2A"/>
    <w:rsid w:val="00B62FE1"/>
    <w:rsid w:val="00B6301F"/>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48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2E"/>
    <w:rsid w:val="00B76399"/>
    <w:rsid w:val="00B7648D"/>
    <w:rsid w:val="00B76706"/>
    <w:rsid w:val="00B76966"/>
    <w:rsid w:val="00B76E0E"/>
    <w:rsid w:val="00B76EBD"/>
    <w:rsid w:val="00B76ECE"/>
    <w:rsid w:val="00B7704B"/>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3E8C"/>
    <w:rsid w:val="00B84315"/>
    <w:rsid w:val="00B843B6"/>
    <w:rsid w:val="00B84689"/>
    <w:rsid w:val="00B846FE"/>
    <w:rsid w:val="00B849C9"/>
    <w:rsid w:val="00B84A62"/>
    <w:rsid w:val="00B84ED3"/>
    <w:rsid w:val="00B84F34"/>
    <w:rsid w:val="00B84F7F"/>
    <w:rsid w:val="00B853C7"/>
    <w:rsid w:val="00B85414"/>
    <w:rsid w:val="00B85465"/>
    <w:rsid w:val="00B85747"/>
    <w:rsid w:val="00B86362"/>
    <w:rsid w:val="00B8645C"/>
    <w:rsid w:val="00B86801"/>
    <w:rsid w:val="00B86933"/>
    <w:rsid w:val="00B86BB1"/>
    <w:rsid w:val="00B86C48"/>
    <w:rsid w:val="00B86E35"/>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DA7"/>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2B2"/>
    <w:rsid w:val="00BA17E4"/>
    <w:rsid w:val="00BA1A10"/>
    <w:rsid w:val="00BA1B35"/>
    <w:rsid w:val="00BA1B99"/>
    <w:rsid w:val="00BA1C72"/>
    <w:rsid w:val="00BA1C8A"/>
    <w:rsid w:val="00BA1F08"/>
    <w:rsid w:val="00BA2652"/>
    <w:rsid w:val="00BA2914"/>
    <w:rsid w:val="00BA2B6F"/>
    <w:rsid w:val="00BA2DD7"/>
    <w:rsid w:val="00BA3072"/>
    <w:rsid w:val="00BA30C7"/>
    <w:rsid w:val="00BA35C5"/>
    <w:rsid w:val="00BA3857"/>
    <w:rsid w:val="00BA3A00"/>
    <w:rsid w:val="00BA3A69"/>
    <w:rsid w:val="00BA3CB8"/>
    <w:rsid w:val="00BA3CFD"/>
    <w:rsid w:val="00BA3D55"/>
    <w:rsid w:val="00BA3EFE"/>
    <w:rsid w:val="00BA409C"/>
    <w:rsid w:val="00BA4183"/>
    <w:rsid w:val="00BA449D"/>
    <w:rsid w:val="00BA45D8"/>
    <w:rsid w:val="00BA4A80"/>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68E"/>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C4A"/>
    <w:rsid w:val="00BB2D92"/>
    <w:rsid w:val="00BB3461"/>
    <w:rsid w:val="00BB35F6"/>
    <w:rsid w:val="00BB3619"/>
    <w:rsid w:val="00BB36B1"/>
    <w:rsid w:val="00BB372A"/>
    <w:rsid w:val="00BB3895"/>
    <w:rsid w:val="00BB3990"/>
    <w:rsid w:val="00BB3A39"/>
    <w:rsid w:val="00BB3F05"/>
    <w:rsid w:val="00BB4035"/>
    <w:rsid w:val="00BB434B"/>
    <w:rsid w:val="00BB4485"/>
    <w:rsid w:val="00BB4AEA"/>
    <w:rsid w:val="00BB4B7E"/>
    <w:rsid w:val="00BB4F35"/>
    <w:rsid w:val="00BB5673"/>
    <w:rsid w:val="00BB5AAA"/>
    <w:rsid w:val="00BB5B80"/>
    <w:rsid w:val="00BB5EEC"/>
    <w:rsid w:val="00BB617F"/>
    <w:rsid w:val="00BB67F4"/>
    <w:rsid w:val="00BB68AD"/>
    <w:rsid w:val="00BB68FD"/>
    <w:rsid w:val="00BB6C69"/>
    <w:rsid w:val="00BB70C8"/>
    <w:rsid w:val="00BB7218"/>
    <w:rsid w:val="00BB7227"/>
    <w:rsid w:val="00BB7410"/>
    <w:rsid w:val="00BB761A"/>
    <w:rsid w:val="00BB7644"/>
    <w:rsid w:val="00BB788E"/>
    <w:rsid w:val="00BB78D1"/>
    <w:rsid w:val="00BB7BBD"/>
    <w:rsid w:val="00BC0455"/>
    <w:rsid w:val="00BC0974"/>
    <w:rsid w:val="00BC0AB0"/>
    <w:rsid w:val="00BC0BBB"/>
    <w:rsid w:val="00BC0C75"/>
    <w:rsid w:val="00BC0E32"/>
    <w:rsid w:val="00BC0E33"/>
    <w:rsid w:val="00BC0F7E"/>
    <w:rsid w:val="00BC126B"/>
    <w:rsid w:val="00BC130F"/>
    <w:rsid w:val="00BC18C9"/>
    <w:rsid w:val="00BC1918"/>
    <w:rsid w:val="00BC1A76"/>
    <w:rsid w:val="00BC1AB4"/>
    <w:rsid w:val="00BC1B77"/>
    <w:rsid w:val="00BC1FFB"/>
    <w:rsid w:val="00BC2122"/>
    <w:rsid w:val="00BC230A"/>
    <w:rsid w:val="00BC23A5"/>
    <w:rsid w:val="00BC265E"/>
    <w:rsid w:val="00BC269F"/>
    <w:rsid w:val="00BC29C7"/>
    <w:rsid w:val="00BC2BC9"/>
    <w:rsid w:val="00BC2BE0"/>
    <w:rsid w:val="00BC2C09"/>
    <w:rsid w:val="00BC2D2B"/>
    <w:rsid w:val="00BC2DB1"/>
    <w:rsid w:val="00BC2DD0"/>
    <w:rsid w:val="00BC33CF"/>
    <w:rsid w:val="00BC35A6"/>
    <w:rsid w:val="00BC37A3"/>
    <w:rsid w:val="00BC38CE"/>
    <w:rsid w:val="00BC3991"/>
    <w:rsid w:val="00BC3FD0"/>
    <w:rsid w:val="00BC4609"/>
    <w:rsid w:val="00BC4B45"/>
    <w:rsid w:val="00BC4B70"/>
    <w:rsid w:val="00BC555E"/>
    <w:rsid w:val="00BC575C"/>
    <w:rsid w:val="00BC5923"/>
    <w:rsid w:val="00BC5A95"/>
    <w:rsid w:val="00BC5AD6"/>
    <w:rsid w:val="00BC61C4"/>
    <w:rsid w:val="00BC62B3"/>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5945"/>
    <w:rsid w:val="00BD618C"/>
    <w:rsid w:val="00BD64BE"/>
    <w:rsid w:val="00BD6593"/>
    <w:rsid w:val="00BD6630"/>
    <w:rsid w:val="00BD6C37"/>
    <w:rsid w:val="00BD6DFD"/>
    <w:rsid w:val="00BD6FDD"/>
    <w:rsid w:val="00BD7460"/>
    <w:rsid w:val="00BD74BF"/>
    <w:rsid w:val="00BE0156"/>
    <w:rsid w:val="00BE0321"/>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6F73"/>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C57"/>
    <w:rsid w:val="00BF0E35"/>
    <w:rsid w:val="00BF0F33"/>
    <w:rsid w:val="00BF132A"/>
    <w:rsid w:val="00BF1604"/>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97B"/>
    <w:rsid w:val="00BF6A44"/>
    <w:rsid w:val="00BF6B2D"/>
    <w:rsid w:val="00BF6E21"/>
    <w:rsid w:val="00BF6FD1"/>
    <w:rsid w:val="00BF7598"/>
    <w:rsid w:val="00BF7886"/>
    <w:rsid w:val="00C000A3"/>
    <w:rsid w:val="00C0042E"/>
    <w:rsid w:val="00C006A0"/>
    <w:rsid w:val="00C008E5"/>
    <w:rsid w:val="00C00E0A"/>
    <w:rsid w:val="00C00EDF"/>
    <w:rsid w:val="00C00FDA"/>
    <w:rsid w:val="00C01169"/>
    <w:rsid w:val="00C012AF"/>
    <w:rsid w:val="00C01844"/>
    <w:rsid w:val="00C01876"/>
    <w:rsid w:val="00C018AE"/>
    <w:rsid w:val="00C01B16"/>
    <w:rsid w:val="00C01E40"/>
    <w:rsid w:val="00C024A0"/>
    <w:rsid w:val="00C0297F"/>
    <w:rsid w:val="00C029D7"/>
    <w:rsid w:val="00C02BD0"/>
    <w:rsid w:val="00C02CBE"/>
    <w:rsid w:val="00C02D1E"/>
    <w:rsid w:val="00C030FE"/>
    <w:rsid w:val="00C03530"/>
    <w:rsid w:val="00C036B9"/>
    <w:rsid w:val="00C0370B"/>
    <w:rsid w:val="00C03F43"/>
    <w:rsid w:val="00C03F48"/>
    <w:rsid w:val="00C03FD8"/>
    <w:rsid w:val="00C04513"/>
    <w:rsid w:val="00C04557"/>
    <w:rsid w:val="00C04B35"/>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59A"/>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84A"/>
    <w:rsid w:val="00C12A64"/>
    <w:rsid w:val="00C12DD6"/>
    <w:rsid w:val="00C13543"/>
    <w:rsid w:val="00C138AF"/>
    <w:rsid w:val="00C13C42"/>
    <w:rsid w:val="00C14C63"/>
    <w:rsid w:val="00C14F48"/>
    <w:rsid w:val="00C151E3"/>
    <w:rsid w:val="00C15221"/>
    <w:rsid w:val="00C152E3"/>
    <w:rsid w:val="00C154CD"/>
    <w:rsid w:val="00C15507"/>
    <w:rsid w:val="00C15671"/>
    <w:rsid w:val="00C158D3"/>
    <w:rsid w:val="00C158DA"/>
    <w:rsid w:val="00C160CD"/>
    <w:rsid w:val="00C16458"/>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636"/>
    <w:rsid w:val="00C208D5"/>
    <w:rsid w:val="00C20B43"/>
    <w:rsid w:val="00C20CAB"/>
    <w:rsid w:val="00C20D1D"/>
    <w:rsid w:val="00C20F7A"/>
    <w:rsid w:val="00C21032"/>
    <w:rsid w:val="00C21163"/>
    <w:rsid w:val="00C2128A"/>
    <w:rsid w:val="00C214C5"/>
    <w:rsid w:val="00C214E6"/>
    <w:rsid w:val="00C2151A"/>
    <w:rsid w:val="00C219FD"/>
    <w:rsid w:val="00C21A38"/>
    <w:rsid w:val="00C21C30"/>
    <w:rsid w:val="00C21EAB"/>
    <w:rsid w:val="00C21F8F"/>
    <w:rsid w:val="00C220D3"/>
    <w:rsid w:val="00C2214B"/>
    <w:rsid w:val="00C224F6"/>
    <w:rsid w:val="00C2251E"/>
    <w:rsid w:val="00C225D6"/>
    <w:rsid w:val="00C22933"/>
    <w:rsid w:val="00C2294C"/>
    <w:rsid w:val="00C22ABA"/>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6DFC"/>
    <w:rsid w:val="00C27030"/>
    <w:rsid w:val="00C271E2"/>
    <w:rsid w:val="00C27518"/>
    <w:rsid w:val="00C2784F"/>
    <w:rsid w:val="00C27D1D"/>
    <w:rsid w:val="00C27F24"/>
    <w:rsid w:val="00C301B8"/>
    <w:rsid w:val="00C3023F"/>
    <w:rsid w:val="00C30438"/>
    <w:rsid w:val="00C304C5"/>
    <w:rsid w:val="00C30873"/>
    <w:rsid w:val="00C30902"/>
    <w:rsid w:val="00C30AC1"/>
    <w:rsid w:val="00C30E82"/>
    <w:rsid w:val="00C3105A"/>
    <w:rsid w:val="00C31313"/>
    <w:rsid w:val="00C313F4"/>
    <w:rsid w:val="00C3143C"/>
    <w:rsid w:val="00C31810"/>
    <w:rsid w:val="00C3184B"/>
    <w:rsid w:val="00C318E5"/>
    <w:rsid w:val="00C31D95"/>
    <w:rsid w:val="00C31DE4"/>
    <w:rsid w:val="00C31FBA"/>
    <w:rsid w:val="00C323D1"/>
    <w:rsid w:val="00C3247E"/>
    <w:rsid w:val="00C32576"/>
    <w:rsid w:val="00C325F9"/>
    <w:rsid w:val="00C32AFA"/>
    <w:rsid w:val="00C32C12"/>
    <w:rsid w:val="00C32C39"/>
    <w:rsid w:val="00C32E32"/>
    <w:rsid w:val="00C330E7"/>
    <w:rsid w:val="00C33439"/>
    <w:rsid w:val="00C336BF"/>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35C"/>
    <w:rsid w:val="00C36535"/>
    <w:rsid w:val="00C3665A"/>
    <w:rsid w:val="00C367B2"/>
    <w:rsid w:val="00C36B06"/>
    <w:rsid w:val="00C36B0C"/>
    <w:rsid w:val="00C36C89"/>
    <w:rsid w:val="00C36FA9"/>
    <w:rsid w:val="00C3708F"/>
    <w:rsid w:val="00C37282"/>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0E"/>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47EE1"/>
    <w:rsid w:val="00C50676"/>
    <w:rsid w:val="00C50A03"/>
    <w:rsid w:val="00C5100D"/>
    <w:rsid w:val="00C51307"/>
    <w:rsid w:val="00C51345"/>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9C2"/>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84B"/>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A3E"/>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759"/>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5E2C"/>
    <w:rsid w:val="00C86183"/>
    <w:rsid w:val="00C861EB"/>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3CC"/>
    <w:rsid w:val="00C9653E"/>
    <w:rsid w:val="00C966AC"/>
    <w:rsid w:val="00C9682D"/>
    <w:rsid w:val="00C969DE"/>
    <w:rsid w:val="00C96AFB"/>
    <w:rsid w:val="00C96B91"/>
    <w:rsid w:val="00C96FEF"/>
    <w:rsid w:val="00C976DF"/>
    <w:rsid w:val="00C97961"/>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170"/>
    <w:rsid w:val="00CB52FD"/>
    <w:rsid w:val="00CB5470"/>
    <w:rsid w:val="00CB56EC"/>
    <w:rsid w:val="00CB56F2"/>
    <w:rsid w:val="00CB5A25"/>
    <w:rsid w:val="00CB5B93"/>
    <w:rsid w:val="00CB5E6C"/>
    <w:rsid w:val="00CB5F55"/>
    <w:rsid w:val="00CB5FD7"/>
    <w:rsid w:val="00CB6084"/>
    <w:rsid w:val="00CB623C"/>
    <w:rsid w:val="00CB6733"/>
    <w:rsid w:val="00CB6737"/>
    <w:rsid w:val="00CB6A01"/>
    <w:rsid w:val="00CB6FA6"/>
    <w:rsid w:val="00CB707E"/>
    <w:rsid w:val="00CB7274"/>
    <w:rsid w:val="00CB72C9"/>
    <w:rsid w:val="00CB740D"/>
    <w:rsid w:val="00CB7483"/>
    <w:rsid w:val="00CB78B6"/>
    <w:rsid w:val="00CB7B22"/>
    <w:rsid w:val="00CB7C5C"/>
    <w:rsid w:val="00CB7DE0"/>
    <w:rsid w:val="00CC0543"/>
    <w:rsid w:val="00CC05D3"/>
    <w:rsid w:val="00CC0609"/>
    <w:rsid w:val="00CC071E"/>
    <w:rsid w:val="00CC083E"/>
    <w:rsid w:val="00CC1398"/>
    <w:rsid w:val="00CC1463"/>
    <w:rsid w:val="00CC158D"/>
    <w:rsid w:val="00CC168E"/>
    <w:rsid w:val="00CC1C59"/>
    <w:rsid w:val="00CC1D4B"/>
    <w:rsid w:val="00CC1E96"/>
    <w:rsid w:val="00CC207D"/>
    <w:rsid w:val="00CC20BF"/>
    <w:rsid w:val="00CC2255"/>
    <w:rsid w:val="00CC237C"/>
    <w:rsid w:val="00CC246F"/>
    <w:rsid w:val="00CC25A8"/>
    <w:rsid w:val="00CC263C"/>
    <w:rsid w:val="00CC29CB"/>
    <w:rsid w:val="00CC2E07"/>
    <w:rsid w:val="00CC31E7"/>
    <w:rsid w:val="00CC3491"/>
    <w:rsid w:val="00CC393C"/>
    <w:rsid w:val="00CC3A21"/>
    <w:rsid w:val="00CC3A34"/>
    <w:rsid w:val="00CC3CEC"/>
    <w:rsid w:val="00CC3DC2"/>
    <w:rsid w:val="00CC40EB"/>
    <w:rsid w:val="00CC4179"/>
    <w:rsid w:val="00CC421C"/>
    <w:rsid w:val="00CC4314"/>
    <w:rsid w:val="00CC4522"/>
    <w:rsid w:val="00CC474D"/>
    <w:rsid w:val="00CC4818"/>
    <w:rsid w:val="00CC49F5"/>
    <w:rsid w:val="00CC4B9D"/>
    <w:rsid w:val="00CC4FFC"/>
    <w:rsid w:val="00CC50F1"/>
    <w:rsid w:val="00CC5105"/>
    <w:rsid w:val="00CC5180"/>
    <w:rsid w:val="00CC51D6"/>
    <w:rsid w:val="00CC5280"/>
    <w:rsid w:val="00CC52A6"/>
    <w:rsid w:val="00CC54A2"/>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3D7"/>
    <w:rsid w:val="00CD34DD"/>
    <w:rsid w:val="00CD34FA"/>
    <w:rsid w:val="00CD3544"/>
    <w:rsid w:val="00CD3E8B"/>
    <w:rsid w:val="00CD41DD"/>
    <w:rsid w:val="00CD428E"/>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6F1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CF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28"/>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1FC3"/>
    <w:rsid w:val="00D02198"/>
    <w:rsid w:val="00D0238E"/>
    <w:rsid w:val="00D0239F"/>
    <w:rsid w:val="00D02AF6"/>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43"/>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BD"/>
    <w:rsid w:val="00D123EC"/>
    <w:rsid w:val="00D12697"/>
    <w:rsid w:val="00D127AE"/>
    <w:rsid w:val="00D12B64"/>
    <w:rsid w:val="00D12B78"/>
    <w:rsid w:val="00D133EB"/>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01"/>
    <w:rsid w:val="00D17923"/>
    <w:rsid w:val="00D179CA"/>
    <w:rsid w:val="00D17DB7"/>
    <w:rsid w:val="00D2000A"/>
    <w:rsid w:val="00D202EB"/>
    <w:rsid w:val="00D20878"/>
    <w:rsid w:val="00D2089A"/>
    <w:rsid w:val="00D208BA"/>
    <w:rsid w:val="00D20933"/>
    <w:rsid w:val="00D209FF"/>
    <w:rsid w:val="00D20C9E"/>
    <w:rsid w:val="00D211C9"/>
    <w:rsid w:val="00D211EE"/>
    <w:rsid w:val="00D21913"/>
    <w:rsid w:val="00D2193A"/>
    <w:rsid w:val="00D2196A"/>
    <w:rsid w:val="00D21B70"/>
    <w:rsid w:val="00D21C40"/>
    <w:rsid w:val="00D21C72"/>
    <w:rsid w:val="00D21C8B"/>
    <w:rsid w:val="00D21F3F"/>
    <w:rsid w:val="00D220C7"/>
    <w:rsid w:val="00D221FA"/>
    <w:rsid w:val="00D225E7"/>
    <w:rsid w:val="00D229C9"/>
    <w:rsid w:val="00D22D1B"/>
    <w:rsid w:val="00D22DEE"/>
    <w:rsid w:val="00D22E7A"/>
    <w:rsid w:val="00D22FAE"/>
    <w:rsid w:val="00D2313C"/>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4F7B"/>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ABA"/>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9D"/>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404"/>
    <w:rsid w:val="00D50674"/>
    <w:rsid w:val="00D506D1"/>
    <w:rsid w:val="00D506F5"/>
    <w:rsid w:val="00D50B35"/>
    <w:rsid w:val="00D50CCE"/>
    <w:rsid w:val="00D50F49"/>
    <w:rsid w:val="00D50FEC"/>
    <w:rsid w:val="00D51AB2"/>
    <w:rsid w:val="00D51D3E"/>
    <w:rsid w:val="00D51D9F"/>
    <w:rsid w:val="00D51ED2"/>
    <w:rsid w:val="00D51F0A"/>
    <w:rsid w:val="00D51F64"/>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10C"/>
    <w:rsid w:val="00D5468E"/>
    <w:rsid w:val="00D54BF9"/>
    <w:rsid w:val="00D54E5B"/>
    <w:rsid w:val="00D5500B"/>
    <w:rsid w:val="00D5547D"/>
    <w:rsid w:val="00D55572"/>
    <w:rsid w:val="00D5560D"/>
    <w:rsid w:val="00D557C6"/>
    <w:rsid w:val="00D557EE"/>
    <w:rsid w:val="00D5583B"/>
    <w:rsid w:val="00D55AA4"/>
    <w:rsid w:val="00D55AB3"/>
    <w:rsid w:val="00D5640B"/>
    <w:rsid w:val="00D56AB5"/>
    <w:rsid w:val="00D56C12"/>
    <w:rsid w:val="00D57040"/>
    <w:rsid w:val="00D57446"/>
    <w:rsid w:val="00D576BC"/>
    <w:rsid w:val="00D579A6"/>
    <w:rsid w:val="00D579CC"/>
    <w:rsid w:val="00D57A73"/>
    <w:rsid w:val="00D57D22"/>
    <w:rsid w:val="00D60235"/>
    <w:rsid w:val="00D60339"/>
    <w:rsid w:val="00D6035A"/>
    <w:rsid w:val="00D6053E"/>
    <w:rsid w:val="00D60564"/>
    <w:rsid w:val="00D60813"/>
    <w:rsid w:val="00D6083C"/>
    <w:rsid w:val="00D6088B"/>
    <w:rsid w:val="00D60C5B"/>
    <w:rsid w:val="00D60EED"/>
    <w:rsid w:val="00D60F21"/>
    <w:rsid w:val="00D615AD"/>
    <w:rsid w:val="00D617CC"/>
    <w:rsid w:val="00D61820"/>
    <w:rsid w:val="00D6183D"/>
    <w:rsid w:val="00D61A02"/>
    <w:rsid w:val="00D62208"/>
    <w:rsid w:val="00D625F2"/>
    <w:rsid w:val="00D627BD"/>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5FD6"/>
    <w:rsid w:val="00D66132"/>
    <w:rsid w:val="00D66287"/>
    <w:rsid w:val="00D662C9"/>
    <w:rsid w:val="00D665A3"/>
    <w:rsid w:val="00D668DA"/>
    <w:rsid w:val="00D66CDA"/>
    <w:rsid w:val="00D66CDB"/>
    <w:rsid w:val="00D66EFF"/>
    <w:rsid w:val="00D66F39"/>
    <w:rsid w:val="00D6750C"/>
    <w:rsid w:val="00D67710"/>
    <w:rsid w:val="00D677CA"/>
    <w:rsid w:val="00D67A8F"/>
    <w:rsid w:val="00D67C18"/>
    <w:rsid w:val="00D67E51"/>
    <w:rsid w:val="00D70039"/>
    <w:rsid w:val="00D700AC"/>
    <w:rsid w:val="00D70318"/>
    <w:rsid w:val="00D70604"/>
    <w:rsid w:val="00D70631"/>
    <w:rsid w:val="00D70787"/>
    <w:rsid w:val="00D708BC"/>
    <w:rsid w:val="00D709D6"/>
    <w:rsid w:val="00D70B9C"/>
    <w:rsid w:val="00D70C68"/>
    <w:rsid w:val="00D70C6E"/>
    <w:rsid w:val="00D70E1F"/>
    <w:rsid w:val="00D70EFA"/>
    <w:rsid w:val="00D70FFD"/>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138"/>
    <w:rsid w:val="00D7476D"/>
    <w:rsid w:val="00D74933"/>
    <w:rsid w:val="00D749DD"/>
    <w:rsid w:val="00D74A63"/>
    <w:rsid w:val="00D74AF0"/>
    <w:rsid w:val="00D74BDE"/>
    <w:rsid w:val="00D74D0C"/>
    <w:rsid w:val="00D74E0B"/>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40A"/>
    <w:rsid w:val="00D81550"/>
    <w:rsid w:val="00D818DD"/>
    <w:rsid w:val="00D81B15"/>
    <w:rsid w:val="00D81DF1"/>
    <w:rsid w:val="00D820EF"/>
    <w:rsid w:val="00D8231D"/>
    <w:rsid w:val="00D82569"/>
    <w:rsid w:val="00D825DD"/>
    <w:rsid w:val="00D82658"/>
    <w:rsid w:val="00D8297C"/>
    <w:rsid w:val="00D82A80"/>
    <w:rsid w:val="00D82AD2"/>
    <w:rsid w:val="00D831DD"/>
    <w:rsid w:val="00D832A1"/>
    <w:rsid w:val="00D832D6"/>
    <w:rsid w:val="00D83420"/>
    <w:rsid w:val="00D83753"/>
    <w:rsid w:val="00D83BC6"/>
    <w:rsid w:val="00D83F75"/>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A01"/>
    <w:rsid w:val="00D90C91"/>
    <w:rsid w:val="00D90CD2"/>
    <w:rsid w:val="00D912E6"/>
    <w:rsid w:val="00D913F5"/>
    <w:rsid w:val="00D91D74"/>
    <w:rsid w:val="00D91E52"/>
    <w:rsid w:val="00D91E68"/>
    <w:rsid w:val="00D91F4C"/>
    <w:rsid w:val="00D9201D"/>
    <w:rsid w:val="00D925AB"/>
    <w:rsid w:val="00D92877"/>
    <w:rsid w:val="00D9294C"/>
    <w:rsid w:val="00D92A24"/>
    <w:rsid w:val="00D92BFF"/>
    <w:rsid w:val="00D92DE5"/>
    <w:rsid w:val="00D92F09"/>
    <w:rsid w:val="00D930B9"/>
    <w:rsid w:val="00D937F1"/>
    <w:rsid w:val="00D93CF2"/>
    <w:rsid w:val="00D93EBA"/>
    <w:rsid w:val="00D93F7B"/>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55E"/>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2AA3"/>
    <w:rsid w:val="00DA3167"/>
    <w:rsid w:val="00DA31B5"/>
    <w:rsid w:val="00DA3497"/>
    <w:rsid w:val="00DA3767"/>
    <w:rsid w:val="00DA3851"/>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7F3"/>
    <w:rsid w:val="00DA7AC0"/>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642"/>
    <w:rsid w:val="00DB27C6"/>
    <w:rsid w:val="00DB28E3"/>
    <w:rsid w:val="00DB3507"/>
    <w:rsid w:val="00DB37C6"/>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770"/>
    <w:rsid w:val="00DB5A4C"/>
    <w:rsid w:val="00DB5AA2"/>
    <w:rsid w:val="00DB5B85"/>
    <w:rsid w:val="00DB5E56"/>
    <w:rsid w:val="00DB5FA9"/>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7F3"/>
    <w:rsid w:val="00DC39F8"/>
    <w:rsid w:val="00DC3A72"/>
    <w:rsid w:val="00DC3C0D"/>
    <w:rsid w:val="00DC3C85"/>
    <w:rsid w:val="00DC3CEC"/>
    <w:rsid w:val="00DC3E91"/>
    <w:rsid w:val="00DC4063"/>
    <w:rsid w:val="00DC409B"/>
    <w:rsid w:val="00DC4401"/>
    <w:rsid w:val="00DC4502"/>
    <w:rsid w:val="00DC479B"/>
    <w:rsid w:val="00DC4810"/>
    <w:rsid w:val="00DC4BFC"/>
    <w:rsid w:val="00DC4C60"/>
    <w:rsid w:val="00DC511F"/>
    <w:rsid w:val="00DC551C"/>
    <w:rsid w:val="00DC58BD"/>
    <w:rsid w:val="00DC5931"/>
    <w:rsid w:val="00DC5A0D"/>
    <w:rsid w:val="00DC5C6C"/>
    <w:rsid w:val="00DC5E12"/>
    <w:rsid w:val="00DC5F93"/>
    <w:rsid w:val="00DC60B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5C"/>
    <w:rsid w:val="00DD1CDB"/>
    <w:rsid w:val="00DD1CFD"/>
    <w:rsid w:val="00DD20D2"/>
    <w:rsid w:val="00DD247B"/>
    <w:rsid w:val="00DD255F"/>
    <w:rsid w:val="00DD270C"/>
    <w:rsid w:val="00DD274B"/>
    <w:rsid w:val="00DD277A"/>
    <w:rsid w:val="00DD2A72"/>
    <w:rsid w:val="00DD2AAB"/>
    <w:rsid w:val="00DD2F61"/>
    <w:rsid w:val="00DD30B6"/>
    <w:rsid w:val="00DD30CF"/>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18F"/>
    <w:rsid w:val="00DD52A5"/>
    <w:rsid w:val="00DD55DE"/>
    <w:rsid w:val="00DD577E"/>
    <w:rsid w:val="00DD5812"/>
    <w:rsid w:val="00DD58DE"/>
    <w:rsid w:val="00DD59C0"/>
    <w:rsid w:val="00DD5ABC"/>
    <w:rsid w:val="00DD60CD"/>
    <w:rsid w:val="00DD6C24"/>
    <w:rsid w:val="00DD70F4"/>
    <w:rsid w:val="00DD786C"/>
    <w:rsid w:val="00DE0556"/>
    <w:rsid w:val="00DE074F"/>
    <w:rsid w:val="00DE08B3"/>
    <w:rsid w:val="00DE0B91"/>
    <w:rsid w:val="00DE0CD8"/>
    <w:rsid w:val="00DE0EA8"/>
    <w:rsid w:val="00DE110E"/>
    <w:rsid w:val="00DE12F3"/>
    <w:rsid w:val="00DE1911"/>
    <w:rsid w:val="00DE1B4F"/>
    <w:rsid w:val="00DE1D2D"/>
    <w:rsid w:val="00DE1D7C"/>
    <w:rsid w:val="00DE2066"/>
    <w:rsid w:val="00DE28F2"/>
    <w:rsid w:val="00DE291A"/>
    <w:rsid w:val="00DE2A2F"/>
    <w:rsid w:val="00DE2C38"/>
    <w:rsid w:val="00DE305A"/>
    <w:rsid w:val="00DE30C2"/>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BE1"/>
    <w:rsid w:val="00DF1D3D"/>
    <w:rsid w:val="00DF1F3B"/>
    <w:rsid w:val="00DF2199"/>
    <w:rsid w:val="00DF2341"/>
    <w:rsid w:val="00DF24D4"/>
    <w:rsid w:val="00DF24D5"/>
    <w:rsid w:val="00DF2741"/>
    <w:rsid w:val="00DF28C3"/>
    <w:rsid w:val="00DF28CB"/>
    <w:rsid w:val="00DF2983"/>
    <w:rsid w:val="00DF2E58"/>
    <w:rsid w:val="00DF3087"/>
    <w:rsid w:val="00DF35EF"/>
    <w:rsid w:val="00DF3705"/>
    <w:rsid w:val="00DF3D7C"/>
    <w:rsid w:val="00DF3FB0"/>
    <w:rsid w:val="00DF402E"/>
    <w:rsid w:val="00DF40BD"/>
    <w:rsid w:val="00DF4758"/>
    <w:rsid w:val="00DF48F5"/>
    <w:rsid w:val="00DF4927"/>
    <w:rsid w:val="00DF4F79"/>
    <w:rsid w:val="00DF507F"/>
    <w:rsid w:val="00DF554D"/>
    <w:rsid w:val="00DF55A6"/>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53"/>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159"/>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44B"/>
    <w:rsid w:val="00E21697"/>
    <w:rsid w:val="00E21823"/>
    <w:rsid w:val="00E21A01"/>
    <w:rsid w:val="00E21BC5"/>
    <w:rsid w:val="00E21E37"/>
    <w:rsid w:val="00E21E5E"/>
    <w:rsid w:val="00E21FC6"/>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8D"/>
    <w:rsid w:val="00E24BC9"/>
    <w:rsid w:val="00E24DE0"/>
    <w:rsid w:val="00E24ED2"/>
    <w:rsid w:val="00E24FE9"/>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27E51"/>
    <w:rsid w:val="00E300BD"/>
    <w:rsid w:val="00E3083D"/>
    <w:rsid w:val="00E30897"/>
    <w:rsid w:val="00E308CD"/>
    <w:rsid w:val="00E309D2"/>
    <w:rsid w:val="00E30ACA"/>
    <w:rsid w:val="00E30E94"/>
    <w:rsid w:val="00E31064"/>
    <w:rsid w:val="00E311E3"/>
    <w:rsid w:val="00E317EA"/>
    <w:rsid w:val="00E318E0"/>
    <w:rsid w:val="00E31E9C"/>
    <w:rsid w:val="00E31EC3"/>
    <w:rsid w:val="00E32127"/>
    <w:rsid w:val="00E322B5"/>
    <w:rsid w:val="00E3250E"/>
    <w:rsid w:val="00E326B6"/>
    <w:rsid w:val="00E3273D"/>
    <w:rsid w:val="00E3296B"/>
    <w:rsid w:val="00E32985"/>
    <w:rsid w:val="00E32B6A"/>
    <w:rsid w:val="00E32CE4"/>
    <w:rsid w:val="00E32EF3"/>
    <w:rsid w:val="00E32F65"/>
    <w:rsid w:val="00E32F68"/>
    <w:rsid w:val="00E33491"/>
    <w:rsid w:val="00E335D5"/>
    <w:rsid w:val="00E3365E"/>
    <w:rsid w:val="00E33A4C"/>
    <w:rsid w:val="00E33A50"/>
    <w:rsid w:val="00E33BD0"/>
    <w:rsid w:val="00E33C5E"/>
    <w:rsid w:val="00E33CEC"/>
    <w:rsid w:val="00E33DE9"/>
    <w:rsid w:val="00E33E62"/>
    <w:rsid w:val="00E33F98"/>
    <w:rsid w:val="00E34156"/>
    <w:rsid w:val="00E343CA"/>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BFC"/>
    <w:rsid w:val="00E37F75"/>
    <w:rsid w:val="00E37FD7"/>
    <w:rsid w:val="00E4019B"/>
    <w:rsid w:val="00E4081E"/>
    <w:rsid w:val="00E40AEB"/>
    <w:rsid w:val="00E40F6D"/>
    <w:rsid w:val="00E410A5"/>
    <w:rsid w:val="00E41182"/>
    <w:rsid w:val="00E413E9"/>
    <w:rsid w:val="00E41728"/>
    <w:rsid w:val="00E418F5"/>
    <w:rsid w:val="00E4198A"/>
    <w:rsid w:val="00E41EAE"/>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47F2D"/>
    <w:rsid w:val="00E500A1"/>
    <w:rsid w:val="00E5019D"/>
    <w:rsid w:val="00E501CA"/>
    <w:rsid w:val="00E502F0"/>
    <w:rsid w:val="00E50475"/>
    <w:rsid w:val="00E508AD"/>
    <w:rsid w:val="00E509AB"/>
    <w:rsid w:val="00E509DF"/>
    <w:rsid w:val="00E50CEC"/>
    <w:rsid w:val="00E50EF3"/>
    <w:rsid w:val="00E51B67"/>
    <w:rsid w:val="00E51E55"/>
    <w:rsid w:val="00E52176"/>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03"/>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738"/>
    <w:rsid w:val="00E57AE6"/>
    <w:rsid w:val="00E57B97"/>
    <w:rsid w:val="00E57CA4"/>
    <w:rsid w:val="00E57CB5"/>
    <w:rsid w:val="00E57EEF"/>
    <w:rsid w:val="00E60523"/>
    <w:rsid w:val="00E60648"/>
    <w:rsid w:val="00E6069C"/>
    <w:rsid w:val="00E608B4"/>
    <w:rsid w:val="00E608D3"/>
    <w:rsid w:val="00E60C56"/>
    <w:rsid w:val="00E60FA3"/>
    <w:rsid w:val="00E610E0"/>
    <w:rsid w:val="00E611B4"/>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35E"/>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56A"/>
    <w:rsid w:val="00E67998"/>
    <w:rsid w:val="00E67BA0"/>
    <w:rsid w:val="00E67DF2"/>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387"/>
    <w:rsid w:val="00E74BA6"/>
    <w:rsid w:val="00E74ED0"/>
    <w:rsid w:val="00E74F4E"/>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8F"/>
    <w:rsid w:val="00E773E4"/>
    <w:rsid w:val="00E7740C"/>
    <w:rsid w:val="00E77432"/>
    <w:rsid w:val="00E776BB"/>
    <w:rsid w:val="00E777E4"/>
    <w:rsid w:val="00E77B4C"/>
    <w:rsid w:val="00E77C0B"/>
    <w:rsid w:val="00E77CAD"/>
    <w:rsid w:val="00E77FA8"/>
    <w:rsid w:val="00E80015"/>
    <w:rsid w:val="00E8026D"/>
    <w:rsid w:val="00E8030A"/>
    <w:rsid w:val="00E8033A"/>
    <w:rsid w:val="00E80500"/>
    <w:rsid w:val="00E8094F"/>
    <w:rsid w:val="00E80A2B"/>
    <w:rsid w:val="00E80C42"/>
    <w:rsid w:val="00E80CD5"/>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4E"/>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2E41"/>
    <w:rsid w:val="00E93126"/>
    <w:rsid w:val="00E93279"/>
    <w:rsid w:val="00E93799"/>
    <w:rsid w:val="00E93D4E"/>
    <w:rsid w:val="00E93FE0"/>
    <w:rsid w:val="00E946BB"/>
    <w:rsid w:val="00E94A5C"/>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4E1"/>
    <w:rsid w:val="00E97584"/>
    <w:rsid w:val="00E9772C"/>
    <w:rsid w:val="00E97795"/>
    <w:rsid w:val="00E977AA"/>
    <w:rsid w:val="00E977DB"/>
    <w:rsid w:val="00E97864"/>
    <w:rsid w:val="00E97D5E"/>
    <w:rsid w:val="00E97E68"/>
    <w:rsid w:val="00EA0241"/>
    <w:rsid w:val="00EA045F"/>
    <w:rsid w:val="00EA04DA"/>
    <w:rsid w:val="00EA0667"/>
    <w:rsid w:val="00EA0B1E"/>
    <w:rsid w:val="00EA0B23"/>
    <w:rsid w:val="00EA0B68"/>
    <w:rsid w:val="00EA0BF7"/>
    <w:rsid w:val="00EA0D59"/>
    <w:rsid w:val="00EA0E76"/>
    <w:rsid w:val="00EA135B"/>
    <w:rsid w:val="00EA1460"/>
    <w:rsid w:val="00EA16CF"/>
    <w:rsid w:val="00EA196E"/>
    <w:rsid w:val="00EA1A07"/>
    <w:rsid w:val="00EA1A27"/>
    <w:rsid w:val="00EA1B8C"/>
    <w:rsid w:val="00EA1CFB"/>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97F"/>
    <w:rsid w:val="00EB1CD5"/>
    <w:rsid w:val="00EB1CE6"/>
    <w:rsid w:val="00EB1DAC"/>
    <w:rsid w:val="00EB1E29"/>
    <w:rsid w:val="00EB270B"/>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BA3"/>
    <w:rsid w:val="00EB4D0F"/>
    <w:rsid w:val="00EB534E"/>
    <w:rsid w:val="00EB5353"/>
    <w:rsid w:val="00EB5794"/>
    <w:rsid w:val="00EB59CA"/>
    <w:rsid w:val="00EB5AF8"/>
    <w:rsid w:val="00EB5B9D"/>
    <w:rsid w:val="00EB6394"/>
    <w:rsid w:val="00EB68EF"/>
    <w:rsid w:val="00EB6B54"/>
    <w:rsid w:val="00EB6BF9"/>
    <w:rsid w:val="00EB7333"/>
    <w:rsid w:val="00EB749E"/>
    <w:rsid w:val="00EB74A6"/>
    <w:rsid w:val="00EB75DE"/>
    <w:rsid w:val="00EB76E7"/>
    <w:rsid w:val="00EB7788"/>
    <w:rsid w:val="00EB7AE0"/>
    <w:rsid w:val="00EB7E0E"/>
    <w:rsid w:val="00EB7EDD"/>
    <w:rsid w:val="00EB7EF5"/>
    <w:rsid w:val="00EB7F52"/>
    <w:rsid w:val="00EB7FF5"/>
    <w:rsid w:val="00EB933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0D"/>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35B"/>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C4C"/>
    <w:rsid w:val="00EE5D24"/>
    <w:rsid w:val="00EE5EF6"/>
    <w:rsid w:val="00EE5F0D"/>
    <w:rsid w:val="00EE623A"/>
    <w:rsid w:val="00EE664D"/>
    <w:rsid w:val="00EE67DD"/>
    <w:rsid w:val="00EE6C68"/>
    <w:rsid w:val="00EE6F30"/>
    <w:rsid w:val="00EE72E4"/>
    <w:rsid w:val="00EE7551"/>
    <w:rsid w:val="00EE7572"/>
    <w:rsid w:val="00EE75D7"/>
    <w:rsid w:val="00EE77A2"/>
    <w:rsid w:val="00EE7975"/>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181"/>
    <w:rsid w:val="00EF3252"/>
    <w:rsid w:val="00EF34C5"/>
    <w:rsid w:val="00EF353B"/>
    <w:rsid w:val="00EF3593"/>
    <w:rsid w:val="00EF365C"/>
    <w:rsid w:val="00EF398C"/>
    <w:rsid w:val="00EF3BA0"/>
    <w:rsid w:val="00EF3D6D"/>
    <w:rsid w:val="00EF3DFF"/>
    <w:rsid w:val="00EF42D1"/>
    <w:rsid w:val="00EF4699"/>
    <w:rsid w:val="00EF46A9"/>
    <w:rsid w:val="00EF46CC"/>
    <w:rsid w:val="00EF4A53"/>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203"/>
    <w:rsid w:val="00F009AF"/>
    <w:rsid w:val="00F00ABB"/>
    <w:rsid w:val="00F00AD5"/>
    <w:rsid w:val="00F00B17"/>
    <w:rsid w:val="00F0135A"/>
    <w:rsid w:val="00F01A65"/>
    <w:rsid w:val="00F02197"/>
    <w:rsid w:val="00F0219B"/>
    <w:rsid w:val="00F023D8"/>
    <w:rsid w:val="00F02440"/>
    <w:rsid w:val="00F02465"/>
    <w:rsid w:val="00F02500"/>
    <w:rsid w:val="00F02580"/>
    <w:rsid w:val="00F02759"/>
    <w:rsid w:val="00F027C0"/>
    <w:rsid w:val="00F02862"/>
    <w:rsid w:val="00F02901"/>
    <w:rsid w:val="00F037F9"/>
    <w:rsid w:val="00F03837"/>
    <w:rsid w:val="00F03934"/>
    <w:rsid w:val="00F03A8E"/>
    <w:rsid w:val="00F03A90"/>
    <w:rsid w:val="00F03B2B"/>
    <w:rsid w:val="00F03B5F"/>
    <w:rsid w:val="00F03DB0"/>
    <w:rsid w:val="00F045AD"/>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8B7"/>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4B"/>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6F6"/>
    <w:rsid w:val="00F15A67"/>
    <w:rsid w:val="00F15A89"/>
    <w:rsid w:val="00F15AC0"/>
    <w:rsid w:val="00F15D1D"/>
    <w:rsid w:val="00F15ED3"/>
    <w:rsid w:val="00F16074"/>
    <w:rsid w:val="00F1680A"/>
    <w:rsid w:val="00F16886"/>
    <w:rsid w:val="00F168E7"/>
    <w:rsid w:val="00F16C62"/>
    <w:rsid w:val="00F172A0"/>
    <w:rsid w:val="00F173E4"/>
    <w:rsid w:val="00F17590"/>
    <w:rsid w:val="00F17716"/>
    <w:rsid w:val="00F177F5"/>
    <w:rsid w:val="00F17953"/>
    <w:rsid w:val="00F17C03"/>
    <w:rsid w:val="00F17F15"/>
    <w:rsid w:val="00F17F43"/>
    <w:rsid w:val="00F200EA"/>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14E"/>
    <w:rsid w:val="00F2289B"/>
    <w:rsid w:val="00F229BD"/>
    <w:rsid w:val="00F22B34"/>
    <w:rsid w:val="00F22B5D"/>
    <w:rsid w:val="00F22B63"/>
    <w:rsid w:val="00F22C32"/>
    <w:rsid w:val="00F22C8C"/>
    <w:rsid w:val="00F22D71"/>
    <w:rsid w:val="00F23224"/>
    <w:rsid w:val="00F2357D"/>
    <w:rsid w:val="00F23605"/>
    <w:rsid w:val="00F2390B"/>
    <w:rsid w:val="00F23DB4"/>
    <w:rsid w:val="00F23DC8"/>
    <w:rsid w:val="00F23F9F"/>
    <w:rsid w:val="00F2424F"/>
    <w:rsid w:val="00F2443F"/>
    <w:rsid w:val="00F24580"/>
    <w:rsid w:val="00F24607"/>
    <w:rsid w:val="00F2466F"/>
    <w:rsid w:val="00F247D1"/>
    <w:rsid w:val="00F247D4"/>
    <w:rsid w:val="00F24A48"/>
    <w:rsid w:val="00F24A59"/>
    <w:rsid w:val="00F25012"/>
    <w:rsid w:val="00F25485"/>
    <w:rsid w:val="00F254BB"/>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897"/>
    <w:rsid w:val="00F279D3"/>
    <w:rsid w:val="00F27AAF"/>
    <w:rsid w:val="00F27AC7"/>
    <w:rsid w:val="00F27B03"/>
    <w:rsid w:val="00F27C20"/>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B21"/>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3CDC"/>
    <w:rsid w:val="00F3410D"/>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09B"/>
    <w:rsid w:val="00F4010B"/>
    <w:rsid w:val="00F40286"/>
    <w:rsid w:val="00F4089B"/>
    <w:rsid w:val="00F40ABB"/>
    <w:rsid w:val="00F40ADA"/>
    <w:rsid w:val="00F40AED"/>
    <w:rsid w:val="00F40B8A"/>
    <w:rsid w:val="00F40F64"/>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4E4"/>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9C9"/>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921"/>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6F8C"/>
    <w:rsid w:val="00F571FA"/>
    <w:rsid w:val="00F5741C"/>
    <w:rsid w:val="00F575D2"/>
    <w:rsid w:val="00F575E0"/>
    <w:rsid w:val="00F578FC"/>
    <w:rsid w:val="00F57AA8"/>
    <w:rsid w:val="00F57ADE"/>
    <w:rsid w:val="00F57C34"/>
    <w:rsid w:val="00F60108"/>
    <w:rsid w:val="00F60127"/>
    <w:rsid w:val="00F603BA"/>
    <w:rsid w:val="00F6099D"/>
    <w:rsid w:val="00F61505"/>
    <w:rsid w:val="00F615E9"/>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36"/>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1C6"/>
    <w:rsid w:val="00F73277"/>
    <w:rsid w:val="00F73330"/>
    <w:rsid w:val="00F7381F"/>
    <w:rsid w:val="00F73A91"/>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5F"/>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DD1"/>
    <w:rsid w:val="00F92E01"/>
    <w:rsid w:val="00F93288"/>
    <w:rsid w:val="00F93304"/>
    <w:rsid w:val="00F934D3"/>
    <w:rsid w:val="00F93733"/>
    <w:rsid w:val="00F937B7"/>
    <w:rsid w:val="00F939CB"/>
    <w:rsid w:val="00F93C57"/>
    <w:rsid w:val="00F93F83"/>
    <w:rsid w:val="00F94395"/>
    <w:rsid w:val="00F945E0"/>
    <w:rsid w:val="00F94837"/>
    <w:rsid w:val="00F9484E"/>
    <w:rsid w:val="00F94BDC"/>
    <w:rsid w:val="00F954AB"/>
    <w:rsid w:val="00F9560B"/>
    <w:rsid w:val="00F95666"/>
    <w:rsid w:val="00F95689"/>
    <w:rsid w:val="00F956F3"/>
    <w:rsid w:val="00F95A4D"/>
    <w:rsid w:val="00F95C96"/>
    <w:rsid w:val="00F95D78"/>
    <w:rsid w:val="00F95DF8"/>
    <w:rsid w:val="00F96050"/>
    <w:rsid w:val="00F96289"/>
    <w:rsid w:val="00F9651A"/>
    <w:rsid w:val="00F96752"/>
    <w:rsid w:val="00F968F9"/>
    <w:rsid w:val="00F96AD5"/>
    <w:rsid w:val="00F96C3F"/>
    <w:rsid w:val="00F96E2C"/>
    <w:rsid w:val="00F96EE9"/>
    <w:rsid w:val="00F97088"/>
    <w:rsid w:val="00F972F5"/>
    <w:rsid w:val="00F976C0"/>
    <w:rsid w:val="00F97836"/>
    <w:rsid w:val="00FA04D6"/>
    <w:rsid w:val="00FA04EF"/>
    <w:rsid w:val="00FA0795"/>
    <w:rsid w:val="00FA08C2"/>
    <w:rsid w:val="00FA0986"/>
    <w:rsid w:val="00FA0DA2"/>
    <w:rsid w:val="00FA0E2B"/>
    <w:rsid w:val="00FA104D"/>
    <w:rsid w:val="00FA113C"/>
    <w:rsid w:val="00FA120B"/>
    <w:rsid w:val="00FA162C"/>
    <w:rsid w:val="00FA16EC"/>
    <w:rsid w:val="00FA17F0"/>
    <w:rsid w:val="00FA1933"/>
    <w:rsid w:val="00FA1B8D"/>
    <w:rsid w:val="00FA2708"/>
    <w:rsid w:val="00FA2727"/>
    <w:rsid w:val="00FA2771"/>
    <w:rsid w:val="00FA2A3D"/>
    <w:rsid w:val="00FA2B96"/>
    <w:rsid w:val="00FA2E23"/>
    <w:rsid w:val="00FA31E3"/>
    <w:rsid w:val="00FA3430"/>
    <w:rsid w:val="00FA35E8"/>
    <w:rsid w:val="00FA3A0A"/>
    <w:rsid w:val="00FA4329"/>
    <w:rsid w:val="00FA47DA"/>
    <w:rsid w:val="00FA4906"/>
    <w:rsid w:val="00FA4C39"/>
    <w:rsid w:val="00FA4C3E"/>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65F"/>
    <w:rsid w:val="00FA78A6"/>
    <w:rsid w:val="00FA7C15"/>
    <w:rsid w:val="00FA7E3D"/>
    <w:rsid w:val="00FA7E56"/>
    <w:rsid w:val="00FA7EDE"/>
    <w:rsid w:val="00FB0085"/>
    <w:rsid w:val="00FB0447"/>
    <w:rsid w:val="00FB052C"/>
    <w:rsid w:val="00FB06D8"/>
    <w:rsid w:val="00FB07E8"/>
    <w:rsid w:val="00FB099A"/>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2BFC"/>
    <w:rsid w:val="00FB3151"/>
    <w:rsid w:val="00FB3422"/>
    <w:rsid w:val="00FB3ED3"/>
    <w:rsid w:val="00FB4279"/>
    <w:rsid w:val="00FB42AB"/>
    <w:rsid w:val="00FB45B7"/>
    <w:rsid w:val="00FB4942"/>
    <w:rsid w:val="00FB4967"/>
    <w:rsid w:val="00FB49AF"/>
    <w:rsid w:val="00FB4D53"/>
    <w:rsid w:val="00FB508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754"/>
    <w:rsid w:val="00FC3E5D"/>
    <w:rsid w:val="00FC4058"/>
    <w:rsid w:val="00FC4181"/>
    <w:rsid w:val="00FC42E9"/>
    <w:rsid w:val="00FC4528"/>
    <w:rsid w:val="00FC4654"/>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1E"/>
    <w:rsid w:val="00FD01AF"/>
    <w:rsid w:val="00FD0487"/>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219"/>
    <w:rsid w:val="00FD3303"/>
    <w:rsid w:val="00FD34F9"/>
    <w:rsid w:val="00FD35E7"/>
    <w:rsid w:val="00FD3605"/>
    <w:rsid w:val="00FD38DE"/>
    <w:rsid w:val="00FD39E2"/>
    <w:rsid w:val="00FD3A13"/>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36"/>
    <w:rsid w:val="00FD5E6B"/>
    <w:rsid w:val="00FD5EE8"/>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D4E"/>
    <w:rsid w:val="00FE1F1C"/>
    <w:rsid w:val="00FE21BD"/>
    <w:rsid w:val="00FE26F3"/>
    <w:rsid w:val="00FE2710"/>
    <w:rsid w:val="00FE2839"/>
    <w:rsid w:val="00FE2AD3"/>
    <w:rsid w:val="00FE2BDA"/>
    <w:rsid w:val="00FE2E29"/>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7E1"/>
    <w:rsid w:val="00FE7B92"/>
    <w:rsid w:val="00FF0004"/>
    <w:rsid w:val="00FF0264"/>
    <w:rsid w:val="00FF0307"/>
    <w:rsid w:val="00FF037E"/>
    <w:rsid w:val="00FF04A0"/>
    <w:rsid w:val="00FF082C"/>
    <w:rsid w:val="00FF0A08"/>
    <w:rsid w:val="00FF0BD3"/>
    <w:rsid w:val="00FF0FD8"/>
    <w:rsid w:val="00FF100D"/>
    <w:rsid w:val="00FF1015"/>
    <w:rsid w:val="00FF1171"/>
    <w:rsid w:val="00FF1278"/>
    <w:rsid w:val="00FF14BC"/>
    <w:rsid w:val="00FF1807"/>
    <w:rsid w:val="00FF184D"/>
    <w:rsid w:val="00FF1E31"/>
    <w:rsid w:val="00FF1E82"/>
    <w:rsid w:val="00FF1ECE"/>
    <w:rsid w:val="00FF1F20"/>
    <w:rsid w:val="00FF20A2"/>
    <w:rsid w:val="00FF20BC"/>
    <w:rsid w:val="00FF2247"/>
    <w:rsid w:val="00FF2284"/>
    <w:rsid w:val="00FF231A"/>
    <w:rsid w:val="00FF24A7"/>
    <w:rsid w:val="00FF26DD"/>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356"/>
    <w:rsid w:val="00FF562A"/>
    <w:rsid w:val="00FF57D9"/>
    <w:rsid w:val="00FF585E"/>
    <w:rsid w:val="00FF5975"/>
    <w:rsid w:val="00FF5B6B"/>
    <w:rsid w:val="00FF5C2A"/>
    <w:rsid w:val="00FF5E4C"/>
    <w:rsid w:val="00FF5EEB"/>
    <w:rsid w:val="00FF6037"/>
    <w:rsid w:val="00FF63C5"/>
    <w:rsid w:val="00FF6664"/>
    <w:rsid w:val="00FF6832"/>
    <w:rsid w:val="00FF6A25"/>
    <w:rsid w:val="00FF6A9D"/>
    <w:rsid w:val="00FF6BB9"/>
    <w:rsid w:val="00FF6DE6"/>
    <w:rsid w:val="00FF6F78"/>
    <w:rsid w:val="00FF6FBA"/>
    <w:rsid w:val="00FF7211"/>
    <w:rsid w:val="015CFCAC"/>
    <w:rsid w:val="022AE8B0"/>
    <w:rsid w:val="02FE8986"/>
    <w:rsid w:val="03809603"/>
    <w:rsid w:val="088D0621"/>
    <w:rsid w:val="09B98CE3"/>
    <w:rsid w:val="0A39830E"/>
    <w:rsid w:val="0AC6E3BD"/>
    <w:rsid w:val="0C1A337B"/>
    <w:rsid w:val="0DBC189A"/>
    <w:rsid w:val="0F227D9E"/>
    <w:rsid w:val="0FB0545B"/>
    <w:rsid w:val="1077501D"/>
    <w:rsid w:val="12393746"/>
    <w:rsid w:val="12490990"/>
    <w:rsid w:val="1312E161"/>
    <w:rsid w:val="132C12EF"/>
    <w:rsid w:val="133BD15B"/>
    <w:rsid w:val="15AB04B1"/>
    <w:rsid w:val="16546944"/>
    <w:rsid w:val="169D03F4"/>
    <w:rsid w:val="191DC48E"/>
    <w:rsid w:val="196E1270"/>
    <w:rsid w:val="1A86E47A"/>
    <w:rsid w:val="1AE31D24"/>
    <w:rsid w:val="1C1F7278"/>
    <w:rsid w:val="1D3A816B"/>
    <w:rsid w:val="1DFBD8D1"/>
    <w:rsid w:val="1DFDF568"/>
    <w:rsid w:val="20693892"/>
    <w:rsid w:val="20928857"/>
    <w:rsid w:val="20AB393B"/>
    <w:rsid w:val="21D07D0E"/>
    <w:rsid w:val="2271F7E3"/>
    <w:rsid w:val="22E38B89"/>
    <w:rsid w:val="235CFBB3"/>
    <w:rsid w:val="23FFF279"/>
    <w:rsid w:val="24357033"/>
    <w:rsid w:val="27E8145A"/>
    <w:rsid w:val="27EF7905"/>
    <w:rsid w:val="28F8B991"/>
    <w:rsid w:val="2A25DAC4"/>
    <w:rsid w:val="2AB4F4A9"/>
    <w:rsid w:val="2E2F1661"/>
    <w:rsid w:val="2F558BF0"/>
    <w:rsid w:val="2FDD053D"/>
    <w:rsid w:val="331AD76E"/>
    <w:rsid w:val="33BDFEC3"/>
    <w:rsid w:val="36897027"/>
    <w:rsid w:val="38841B86"/>
    <w:rsid w:val="38F49B1C"/>
    <w:rsid w:val="39263002"/>
    <w:rsid w:val="397D640A"/>
    <w:rsid w:val="3A614C0B"/>
    <w:rsid w:val="3A7F9340"/>
    <w:rsid w:val="3C775FFA"/>
    <w:rsid w:val="3D5E40F4"/>
    <w:rsid w:val="3E0A9426"/>
    <w:rsid w:val="4145F021"/>
    <w:rsid w:val="4147559A"/>
    <w:rsid w:val="433B0195"/>
    <w:rsid w:val="44CDA5F3"/>
    <w:rsid w:val="4510461B"/>
    <w:rsid w:val="45722561"/>
    <w:rsid w:val="472A8E53"/>
    <w:rsid w:val="48972FA1"/>
    <w:rsid w:val="491F9F21"/>
    <w:rsid w:val="4A09A978"/>
    <w:rsid w:val="4A12B267"/>
    <w:rsid w:val="4A3D981A"/>
    <w:rsid w:val="4A6E392B"/>
    <w:rsid w:val="4B2800F3"/>
    <w:rsid w:val="4C3E5843"/>
    <w:rsid w:val="4C860339"/>
    <w:rsid w:val="4E19731E"/>
    <w:rsid w:val="4E57FA7B"/>
    <w:rsid w:val="4EBF4E4E"/>
    <w:rsid w:val="4EEF1DCF"/>
    <w:rsid w:val="4F54E53F"/>
    <w:rsid w:val="52152A78"/>
    <w:rsid w:val="52699FCB"/>
    <w:rsid w:val="554C1319"/>
    <w:rsid w:val="55C7CA0A"/>
    <w:rsid w:val="560F5A28"/>
    <w:rsid w:val="57903C35"/>
    <w:rsid w:val="57FA124B"/>
    <w:rsid w:val="58469F48"/>
    <w:rsid w:val="5AEFBA33"/>
    <w:rsid w:val="5D5ADF59"/>
    <w:rsid w:val="5EB7930F"/>
    <w:rsid w:val="61E7DCE1"/>
    <w:rsid w:val="62CF99BB"/>
    <w:rsid w:val="662B8DEA"/>
    <w:rsid w:val="66862427"/>
    <w:rsid w:val="669816E8"/>
    <w:rsid w:val="671EBE01"/>
    <w:rsid w:val="675E5AEA"/>
    <w:rsid w:val="67D32C5F"/>
    <w:rsid w:val="67E5E990"/>
    <w:rsid w:val="67F1638E"/>
    <w:rsid w:val="68296069"/>
    <w:rsid w:val="698CA18A"/>
    <w:rsid w:val="6A425722"/>
    <w:rsid w:val="6A89830A"/>
    <w:rsid w:val="6AA4B55C"/>
    <w:rsid w:val="6B8F6783"/>
    <w:rsid w:val="6BAD4AB8"/>
    <w:rsid w:val="6C185C4D"/>
    <w:rsid w:val="6F8A78CC"/>
    <w:rsid w:val="7150A35E"/>
    <w:rsid w:val="72C7E3B8"/>
    <w:rsid w:val="7377B712"/>
    <w:rsid w:val="755CFC79"/>
    <w:rsid w:val="75AC9CC7"/>
    <w:rsid w:val="762376D8"/>
    <w:rsid w:val="767ED38D"/>
    <w:rsid w:val="76988A6C"/>
    <w:rsid w:val="7838259D"/>
    <w:rsid w:val="78C0D890"/>
    <w:rsid w:val="78D0223C"/>
    <w:rsid w:val="7B053ED3"/>
    <w:rsid w:val="7BAE837A"/>
    <w:rsid w:val="7BFDBDEB"/>
    <w:rsid w:val="7D77DC8F"/>
    <w:rsid w:val="7DCC4196"/>
    <w:rsid w:val="7DD6D2B4"/>
    <w:rsid w:val="7E37D78C"/>
    <w:rsid w:val="7F7347E8"/>
  </w:rsids>
  <w:docVars>
    <w:docVar w:name="LW_DocType" w:val="TE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14:docId w14:val="53233143"/>
  <w15:docId w15:val="{21FE9CB0-AE8F-47DA-BFE0-6055885D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0CD8"/>
    <w:pPr>
      <w:spacing w:before="120" w:after="240"/>
      <w:jc w:val="both"/>
    </w:pPr>
    <w:rPr>
      <w:sz w:val="24"/>
      <w:lang w:eastAsia="en-IE"/>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IE"/>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rPr>
      <w:rFonts w:ascii="Arial" w:hAnsi="Arial"/>
      <w:b/>
    </w:rPr>
  </w:style>
  <w:style w:type="paragraph" w:styleId="TOC1">
    <w:name w:val="toc 1"/>
    <w:basedOn w:val="Normal"/>
    <w:next w:val="Normal"/>
    <w:semiHidden/>
    <w:pPr>
      <w:tabs>
        <w:tab w:val="right" w:leader="dot" w:pos="8640"/>
      </w:tabs>
      <w:spacing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style>
  <w:style w:type="paragraph" w:customStyle="1" w:styleId="ATHeading3">
    <w:name w:val="AT Heading 3"/>
    <w:basedOn w:val="Normal"/>
    <w:next w:val="Normal"/>
    <w:pPr>
      <w:keepNext/>
      <w:keepLines/>
      <w:spacing w:after="120"/>
      <w:jc w:val="left"/>
      <w:outlineLvl w:val="2"/>
    </w:pPr>
    <w:rPr>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IE"/>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IE"/>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snapToGrid w:val="0"/>
      <w:lang w:eastAsia="en-US"/>
    </w:rPr>
  </w:style>
  <w:style w:type="paragraph" w:customStyle="1" w:styleId="Visa">
    <w:name w:val="Visa"/>
    <w:basedOn w:val="Normal"/>
    <w:pPr>
      <w:widowControl w:val="0"/>
      <w:tabs>
        <w:tab w:val="left" w:pos="357"/>
      </w:tabs>
      <w:ind w:left="357" w:hanging="357"/>
      <w:jc w:val="left"/>
    </w:pPr>
    <w:rPr>
      <w:snapToGrid w:val="0"/>
    </w:rPr>
  </w:style>
  <w:style w:type="paragraph" w:customStyle="1" w:styleId="PagereglementairetextePR">
    <w:name w:val="Page reglementaire texte PR"/>
    <w:basedOn w:val="Normal"/>
    <w:pPr>
      <w:widowControl w:val="0"/>
      <w:jc w:val="left"/>
    </w:pPr>
    <w:rPr>
      <w:snapToGrid w:val="0"/>
      <w:lang w:eastAsia="en-US"/>
    </w:rPr>
  </w:style>
  <w:style w:type="paragraph" w:customStyle="1" w:styleId="H2">
    <w:name w:val="H2"/>
    <w:basedOn w:val="Normal"/>
    <w:next w:val="Normal"/>
    <w:pPr>
      <w:keepNext/>
      <w:spacing w:before="100" w:after="100"/>
      <w:jc w:val="left"/>
      <w:outlineLvl w:val="2"/>
    </w:pPr>
    <w:rPr>
      <w:b/>
      <w:snapToGrid w:val="0"/>
      <w:sz w:val="36"/>
      <w:lang w:eastAsia="en-US"/>
    </w:rPr>
  </w:style>
  <w:style w:type="paragraph" w:customStyle="1" w:styleId="Rfrenceinstitutionelle">
    <w:name w:val="Référence institutionelle"/>
    <w:basedOn w:val="Normal"/>
    <w:next w:val="Normal"/>
    <w:pPr>
      <w:ind w:left="5103"/>
      <w:jc w:val="left"/>
    </w:pPr>
  </w:style>
  <w:style w:type="character" w:styleId="CommentReference">
    <w:name w:val="annotation reference"/>
    <w:rPr>
      <w:sz w:val="16"/>
    </w:rPr>
  </w:style>
  <w:style w:type="paragraph" w:customStyle="1" w:styleId="Tiret1">
    <w:name w:val="Tiret 1"/>
    <w:basedOn w:val="Normal"/>
    <w:pPr>
      <w:spacing w:after="120"/>
      <w:ind w:left="1418" w:hanging="567"/>
    </w:p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szCs w:val="24"/>
      <w:lang w:eastAsia="ko-KR"/>
    </w:rPr>
  </w:style>
  <w:style w:type="paragraph" w:customStyle="1" w:styleId="Normal12Tab">
    <w:name w:val="Normal12Tab"/>
    <w:basedOn w:val="Normal"/>
    <w:rsid w:val="00AA6DD4"/>
    <w:pPr>
      <w:widowControl w:val="0"/>
      <w:tabs>
        <w:tab w:val="left" w:pos="357"/>
      </w:tabs>
      <w:jc w:val="left"/>
    </w:pPr>
    <w:rPr>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style>
  <w:style w:type="paragraph" w:customStyle="1" w:styleId="Normal120">
    <w:name w:val="Normal12"/>
    <w:basedOn w:val="Normal"/>
    <w:link w:val="Normal12Char0"/>
    <w:rsid w:val="0087007B"/>
    <w:pPr>
      <w:widowControl w:val="0"/>
      <w:jc w:val="left"/>
    </w:pPr>
    <w:rPr>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lang w:eastAsia="en-US"/>
    </w:rPr>
  </w:style>
  <w:style w:type="paragraph" w:customStyle="1" w:styleId="NormalBold">
    <w:name w:val="NormalBold"/>
    <w:basedOn w:val="Normal"/>
    <w:link w:val="NormalBoldChar"/>
    <w:rsid w:val="00960559"/>
    <w:pPr>
      <w:widowControl w:val="0"/>
      <w:spacing w:after="0"/>
      <w:jc w:val="left"/>
    </w:pPr>
    <w:rPr>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after="120"/>
      <w:ind w:left="850" w:hanging="850"/>
    </w:p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szCs w:val="24"/>
      <w:lang w:eastAsia="en-US"/>
    </w:rPr>
  </w:style>
  <w:style w:type="paragraph" w:customStyle="1" w:styleId="CharCharChar">
    <w:name w:val="Char Char Char"/>
    <w:basedOn w:val="Normal"/>
    <w:uiPriority w:val="99"/>
    <w:rsid w:val="0092510C"/>
    <w:pPr>
      <w:spacing w:after="160" w:line="240" w:lineRule="exact"/>
      <w:jc w:val="left"/>
    </w:pPr>
    <w:rPr>
      <w:rFonts w:ascii="Tahoma" w:hAnsi="Tahoma"/>
      <w:sz w:val="20"/>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style>
  <w:style w:type="paragraph" w:styleId="CommentSubject">
    <w:name w:val="annotation subject"/>
    <w:aliases w:val=" Char Char Char Char Char"/>
    <w:basedOn w:val="CommentText"/>
    <w:next w:val="CommentText"/>
    <w:semiHidden/>
    <w:rsid w:val="00EA16CF"/>
    <w:pPr>
      <w:spacing w:after="120"/>
    </w:pPr>
    <w:rPr>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qFormat/>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b/>
      <w:szCs w:val="24"/>
      <w:lang w:eastAsia="de-DE"/>
    </w:rPr>
  </w:style>
  <w:style w:type="character" w:customStyle="1" w:styleId="introtext">
    <w:name w:val="introtext"/>
    <w:basedOn w:val="DefaultParagraphFont"/>
    <w:rsid w:val="00FF30F1"/>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szCs w:val="24"/>
      <w:lang w:eastAsia="en-US"/>
    </w:rPr>
  </w:style>
  <w:style w:type="paragraph" w:customStyle="1" w:styleId="Considrant">
    <w:name w:val="Considérant"/>
    <w:basedOn w:val="Normal"/>
    <w:rsid w:val="009D3B39"/>
    <w:pPr>
      <w:numPr>
        <w:numId w:val="19"/>
      </w:numPr>
      <w:spacing w:after="120"/>
    </w:pPr>
    <w:rPr>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after="120"/>
      <w:jc w:val="left"/>
      <w:outlineLvl w:val="1"/>
    </w:pPr>
    <w:rPr>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after="120"/>
      <w:ind w:left="850" w:hanging="850"/>
    </w:pPr>
    <w:rPr>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b/>
    </w:rPr>
  </w:style>
  <w:style w:type="paragraph" w:customStyle="1" w:styleId="s16">
    <w:name w:val="s16"/>
    <w:basedOn w:val="Normal"/>
    <w:rsid w:val="0093481E"/>
    <w:pPr>
      <w:spacing w:before="100" w:beforeAutospacing="1" w:after="100" w:afterAutospacing="1"/>
      <w:jc w:val="left"/>
    </w:pPr>
    <w:rPr>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szCs w:val="24"/>
    </w:rPr>
  </w:style>
  <w:style w:type="paragraph" w:customStyle="1" w:styleId="astandard3520normal">
    <w:name w:val="a_standard__35__20_normal"/>
    <w:basedOn w:val="Normal"/>
    <w:rsid w:val="007C5D8A"/>
    <w:pPr>
      <w:spacing w:after="120"/>
      <w:ind w:right="57"/>
    </w:pPr>
    <w:rPr>
      <w:szCs w:val="24"/>
    </w:rPr>
  </w:style>
  <w:style w:type="paragraph" w:customStyle="1" w:styleId="astandardp1">
    <w:name w:val="a_standard_p1"/>
    <w:basedOn w:val="Normal"/>
    <w:rsid w:val="007C5D8A"/>
    <w:pPr>
      <w:spacing w:after="120"/>
      <w:ind w:right="57"/>
    </w:pPr>
    <w:rPr>
      <w:szCs w:val="24"/>
    </w:rPr>
  </w:style>
  <w:style w:type="paragraph" w:customStyle="1" w:styleId="a3520normalp10">
    <w:name w:val="a__35__20_normal_p10"/>
    <w:basedOn w:val="Normal"/>
    <w:rsid w:val="007C5D8A"/>
    <w:pPr>
      <w:spacing w:after="120"/>
      <w:ind w:right="57"/>
    </w:pPr>
    <w:rPr>
      <w:szCs w:val="24"/>
    </w:rPr>
  </w:style>
  <w:style w:type="paragraph" w:customStyle="1" w:styleId="asous-titre201p11">
    <w:name w:val="a_sous-titre_20_1_p11"/>
    <w:basedOn w:val="Normal"/>
    <w:rsid w:val="007C5D8A"/>
    <w:pPr>
      <w:spacing w:after="120"/>
      <w:ind w:right="57"/>
    </w:pPr>
    <w:rPr>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IE"/>
    </w:rPr>
  </w:style>
  <w:style w:type="paragraph" w:customStyle="1" w:styleId="normal2">
    <w:name w:val="normal2"/>
    <w:basedOn w:val="Normal"/>
    <w:rsid w:val="007C5D8A"/>
    <w:pPr>
      <w:spacing w:before="195" w:after="0"/>
    </w:pPr>
    <w:rPr>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eastAsia="en-IE"/>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eastAsia="en-IE"/>
    </w:rPr>
  </w:style>
  <w:style w:type="paragraph" w:customStyle="1" w:styleId="BVIfnrCharCar1CarChar">
    <w:name w:val="BVI fnr Char Car1 Car Char"/>
    <w:basedOn w:val="Normal"/>
    <w:next w:val="Normal"/>
    <w:uiPriority w:val="99"/>
    <w:rsid w:val="00B6084C"/>
    <w:pPr>
      <w:spacing w:after="0" w:line="259" w:lineRule="auto"/>
    </w:pPr>
    <w:rPr>
      <w:rFonts w:ascii="Calibri" w:eastAsia="Calibri" w:hAnsi="Calibri" w:cs="Arial"/>
      <w:sz w:val="22"/>
      <w:szCs w:val="22"/>
      <w:vertAlign w:val="superscript"/>
      <w:lang w:eastAsia="en-US"/>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link w:val="ListParagraph"/>
    <w:uiPriority w:val="34"/>
    <w:qFormat/>
    <w:rsid w:val="000F729D"/>
    <w:rPr>
      <w:rFonts w:ascii="Calibri" w:eastAsia="Calibri" w:hAnsi="Calibri"/>
      <w:sz w:val="22"/>
      <w:szCs w:val="22"/>
      <w:lang w:val="fr-FR" w:eastAsia="en-US"/>
    </w:rPr>
  </w:style>
  <w:style w:type="character" w:styleId="Mention">
    <w:name w:val="Mention"/>
    <w:uiPriority w:val="99"/>
    <w:unhideWhenUsed/>
    <w:rsid w:val="00826CBD"/>
    <w:rPr>
      <w:color w:val="2B579A"/>
      <w:shd w:val="clear" w:color="auto" w:fill="E1DFDD"/>
    </w:rPr>
  </w:style>
  <w:style w:type="character" w:styleId="UnresolvedMention">
    <w:name w:val="Unresolved Mention"/>
    <w:uiPriority w:val="99"/>
    <w:semiHidden/>
    <w:unhideWhenUsed/>
    <w:rsid w:val="00D4639D"/>
    <w:rPr>
      <w:color w:val="605E5C"/>
      <w:shd w:val="clear" w:color="auto" w:fill="E1DFDD"/>
    </w:rPr>
  </w:style>
  <w:style w:type="paragraph" w:customStyle="1" w:styleId="NormalHanging12a">
    <w:name w:val="NormalHanging12a"/>
    <w:basedOn w:val="Normal"/>
    <w:rsid w:val="003363BE"/>
    <w:pPr>
      <w:widowControl w:val="0"/>
      <w:ind w:left="567" w:hanging="567"/>
      <w:jc w:val="left"/>
    </w:pPr>
    <w:rPr>
      <w:lang w:eastAsia="en-GB"/>
    </w:rPr>
  </w:style>
  <w:style w:type="paragraph" w:customStyle="1" w:styleId="Tableofcontents">
    <w:name w:val="Table of contents"/>
    <w:basedOn w:val="Normal"/>
    <w:link w:val="TableofcontentsChar"/>
    <w:qFormat/>
    <w:rsid w:val="00111BCB"/>
    <w:pPr>
      <w:keepNext/>
      <w:spacing w:before="240"/>
      <w:jc w:val="left"/>
    </w:pPr>
    <w:rPr>
      <w:rFonts w:ascii="Arial" w:hAnsi="Arial" w:cs="Arial"/>
      <w:b/>
      <w:szCs w:val="24"/>
      <w:u w:val="single"/>
      <w:lang w:eastAsia="en-US"/>
    </w:rPr>
  </w:style>
  <w:style w:type="character" w:customStyle="1" w:styleId="TableofcontentsChar">
    <w:name w:val="Table of contents Char"/>
    <w:link w:val="Tableofcontents"/>
    <w:rsid w:val="00111BCB"/>
    <w:rPr>
      <w:rFonts w:ascii="Arial" w:hAnsi="Arial" w:cs="Arial"/>
      <w:b/>
      <w:sz w:val="24"/>
      <w:szCs w:val="24"/>
      <w:u w:val="single"/>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dir/2011/36/oj/fra" TargetMode="External" /><Relationship Id="rId11" Type="http://schemas.openxmlformats.org/officeDocument/2006/relationships/hyperlink" Target="https://eur-lex.europa.eu/eli/dir/2024/1712/oj/fra" TargetMode="External" /><Relationship Id="rId12" Type="http://schemas.openxmlformats.org/officeDocument/2006/relationships/hyperlink" Target="https://eur-lex.europa.eu/eli/reg/2019/1149/oj/fra" TargetMode="External" /><Relationship Id="rId13" Type="http://schemas.openxmlformats.org/officeDocument/2006/relationships/hyperlink" Target="https://op.europa.eu/fr/publication-detail/-/publication/d06f8af4-02bd-11ef-a251-01aa75ed71a1" TargetMode="External" /><Relationship Id="rId14" Type="http://schemas.openxmlformats.org/officeDocument/2006/relationships/hyperlink" Target="https://eur-lex.europa.eu/eli/reg/2015/848/oj/fra" TargetMode="External" /><Relationship Id="rId15" Type="http://schemas.openxmlformats.org/officeDocument/2006/relationships/hyperlink" Target="https://eur-lex.europa.eu/eli/dir/2019/1023/oj/fra" TargetMode="External" /><Relationship Id="rId16" Type="http://schemas.openxmlformats.org/officeDocument/2006/relationships/hyperlink" Target="https://eur-lex.europa.eu/eli/dir/1998/59/oj/fra" TargetMode="External" /><Relationship Id="rId17" Type="http://schemas.openxmlformats.org/officeDocument/2006/relationships/hyperlink" Target="https://eur-lex.europa.eu/eli/dir/2001/23/oj/fra" TargetMode="External" /><Relationship Id="rId18" Type="http://schemas.openxmlformats.org/officeDocument/2006/relationships/hyperlink" Target="https://eur-lex.europa.eu/eli/dir/2002/14/oj/fra" TargetMode="External" /><Relationship Id="rId19" Type="http://schemas.openxmlformats.org/officeDocument/2006/relationships/hyperlink" Target="https://eur-lex.europa.eu/eli/dir/2008/94/oj/fra" TargetMode="External" /><Relationship Id="rId2" Type="http://schemas.openxmlformats.org/officeDocument/2006/relationships/webSettings" Target="webSettings.xml" /><Relationship Id="rId20" Type="http://schemas.openxmlformats.org/officeDocument/2006/relationships/hyperlink" Target="https://eur-lex.europa.eu/eli/dir/2009/38/oj/fra" TargetMode="Externa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op.europa.eu/fr/publication-detail/-/publication/2802774e-06cc-11ef-a251-01aa75ed71a1" TargetMode="External" /><Relationship Id="rId9" Type="http://schemas.openxmlformats.org/officeDocument/2006/relationships/hyperlink" Target="https://eur-lex.europa.eu/eli/dir/2009/52/oj/fra"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81111AA3-1FEA-44F3-A149-FE160D30F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9</Pages>
  <Words>4491</Words>
  <Characters>25602</Characters>
  <Application>Microsoft Office Word</Application>
  <DocSecurity>0</DocSecurity>
  <Lines>382</Lines>
  <Paragraphs>88</Paragraphs>
  <ScaleCrop>false</ScaleCrop>
  <Company>XXXXXXX</Company>
  <LinksUpToDate>false</LinksUpToDate>
  <CharactersWithSpaces>30005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2</cp:revision>
  <cp:lastPrinted>2017-11-25T05:27:00Z</cp:lastPrinted>
  <dcterms:created xsi:type="dcterms:W3CDTF">2026-08-11T08:18:00Z</dcterms:created>
  <dcterms:modified xsi:type="dcterms:W3CDTF">2026-08-11T08:18:00Z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