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5F62E1" w:rsidRPr="001D13C7" w:rsidP="38E719A3" w14:paraId="66A37F55" w14:textId="244A4F9F">
      <w:pPr>
        <w:spacing w:before="240" w:after="0" w:line="240" w:lineRule="auto"/>
        <w:jc w:val="center"/>
      </w:pPr>
      <w:r w:rsidRPr="001D13C7">
        <w:rPr>
          <w:rFonts w:ascii="Times New Roman" w:hAnsi="Times New Roman"/>
          <w:b/>
        </w:rPr>
        <w:t xml:space="preserve">Follow-up to the European Parliament non-legislative resolution on </w:t>
      </w:r>
      <w:r w:rsidR="006C7F31">
        <w:rPr>
          <w:rFonts w:ascii="Times New Roman" w:hAnsi="Times New Roman"/>
          <w:b/>
        </w:rPr>
        <w:br/>
      </w:r>
      <w:r w:rsidRPr="001D13C7">
        <w:rPr>
          <w:rFonts w:ascii="Times New Roman" w:hAnsi="Times New Roman"/>
          <w:b/>
        </w:rPr>
        <w:t>Banking Union – annual report 2025</w:t>
      </w:r>
      <w:r w:rsidR="007051ED">
        <w:rPr>
          <w:rFonts w:ascii="Times New Roman" w:hAnsi="Times New Roman"/>
          <w:b/>
        </w:rPr>
        <w:br/>
      </w:r>
    </w:p>
    <w:p w:rsidR="3FED2598" w:rsidRPr="001D13C7" w:rsidP="38E719A3" w14:paraId="0B464EE3" w14:textId="7DC31EAA">
      <w:pPr>
        <w:numPr>
          <w:ilvl w:val="0"/>
          <w:numId w:val="11"/>
        </w:numPr>
        <w:spacing w:before="240" w:after="0" w:line="240" w:lineRule="auto"/>
        <w:ind w:left="284" w:hanging="357"/>
        <w:jc w:val="both"/>
        <w:rPr>
          <w:rFonts w:ascii="Times New Roman" w:hAnsi="Times New Roman"/>
        </w:rPr>
      </w:pPr>
      <w:r w:rsidRPr="001D13C7">
        <w:rPr>
          <w:rFonts w:ascii="Times New Roman" w:hAnsi="Times New Roman"/>
          <w:b/>
        </w:rPr>
        <w:t xml:space="preserve">Rapporteur: </w:t>
      </w:r>
      <w:r w:rsidRPr="001D13C7">
        <w:rPr>
          <w:rFonts w:ascii="Times New Roman" w:hAnsi="Times New Roman"/>
        </w:rPr>
        <w:t>Evelyn REGNER (S&amp;D</w:t>
      </w:r>
      <w:r w:rsidR="008A3BD5">
        <w:rPr>
          <w:rFonts w:ascii="Times New Roman" w:hAnsi="Times New Roman"/>
        </w:rPr>
        <w:t xml:space="preserve"> </w:t>
      </w:r>
      <w:r w:rsidRPr="001D13C7">
        <w:rPr>
          <w:rFonts w:ascii="Times New Roman" w:hAnsi="Times New Roman"/>
        </w:rPr>
        <w:t>/</w:t>
      </w:r>
      <w:r w:rsidR="008A3BD5">
        <w:rPr>
          <w:rFonts w:ascii="Times New Roman" w:hAnsi="Times New Roman"/>
        </w:rPr>
        <w:t xml:space="preserve"> </w:t>
      </w:r>
      <w:r w:rsidRPr="001D13C7">
        <w:rPr>
          <w:rFonts w:ascii="Times New Roman" w:hAnsi="Times New Roman"/>
        </w:rPr>
        <w:t>AT)</w:t>
      </w:r>
    </w:p>
    <w:p w:rsidR="005F62E1" w:rsidRPr="00D236D3" w:rsidP="087C75D6" w14:paraId="2958D48B" w14:textId="5E0DCE03">
      <w:pPr>
        <w:numPr>
          <w:ilvl w:val="0"/>
          <w:numId w:val="11"/>
        </w:numPr>
        <w:spacing w:before="240" w:after="0" w:line="240" w:lineRule="auto"/>
        <w:ind w:left="284" w:hanging="357"/>
        <w:jc w:val="both"/>
        <w:rPr>
          <w:rFonts w:ascii="Times New Roman" w:hAnsi="Times New Roman"/>
          <w:lang w:val="fr-BE"/>
        </w:rPr>
      </w:pPr>
      <w:r w:rsidRPr="00D236D3">
        <w:rPr>
          <w:rFonts w:ascii="Times New Roman" w:hAnsi="Times New Roman"/>
          <w:b/>
          <w:lang w:val="fr-BE"/>
        </w:rPr>
        <w:t>References</w:t>
      </w:r>
      <w:r w:rsidRPr="00D236D3">
        <w:rPr>
          <w:rFonts w:ascii="Times New Roman" w:hAnsi="Times New Roman"/>
          <w:lang w:val="fr-BE"/>
        </w:rPr>
        <w:t>: 2025/</w:t>
      </w:r>
      <w:r w:rsidRPr="00D236D3" w:rsidR="1C4DEF72">
        <w:rPr>
          <w:rFonts w:ascii="Times New Roman" w:hAnsi="Times New Roman"/>
          <w:lang w:val="fr-BE"/>
        </w:rPr>
        <w:t>2</w:t>
      </w:r>
      <w:r w:rsidRPr="00D236D3" w:rsidR="60AE8E1D">
        <w:rPr>
          <w:rFonts w:ascii="Times New Roman" w:hAnsi="Times New Roman"/>
          <w:lang w:val="fr-BE"/>
        </w:rPr>
        <w:t>136(</w:t>
      </w:r>
      <w:r w:rsidRPr="00D236D3">
        <w:rPr>
          <w:rFonts w:ascii="Times New Roman" w:hAnsi="Times New Roman"/>
          <w:lang w:val="fr-BE"/>
        </w:rPr>
        <w:t xml:space="preserve">INI) / </w:t>
      </w:r>
      <w:r w:rsidRPr="00D236D3" w:rsidR="29F1E807">
        <w:rPr>
          <w:rFonts w:ascii="Times New Roman" w:hAnsi="Times New Roman"/>
          <w:lang w:val="fr-BE"/>
        </w:rPr>
        <w:t>A10-</w:t>
      </w:r>
      <w:r w:rsidRPr="00D236D3" w:rsidR="553A9922">
        <w:rPr>
          <w:rFonts w:ascii="Times New Roman" w:hAnsi="Times New Roman"/>
          <w:lang w:val="fr-BE"/>
        </w:rPr>
        <w:t>00</w:t>
      </w:r>
      <w:r w:rsidRPr="00D236D3" w:rsidR="795F36FE">
        <w:rPr>
          <w:rFonts w:ascii="Times New Roman" w:hAnsi="Times New Roman"/>
          <w:lang w:val="fr-BE"/>
        </w:rPr>
        <w:t>79</w:t>
      </w:r>
      <w:r w:rsidRPr="00D236D3" w:rsidR="29F1E807">
        <w:rPr>
          <w:rFonts w:ascii="Times New Roman" w:hAnsi="Times New Roman"/>
          <w:lang w:val="fr-BE"/>
        </w:rPr>
        <w:t>/202</w:t>
      </w:r>
      <w:r w:rsidRPr="00D236D3" w:rsidR="553A9922">
        <w:rPr>
          <w:rFonts w:ascii="Times New Roman" w:hAnsi="Times New Roman"/>
          <w:lang w:val="fr-BE"/>
        </w:rPr>
        <w:t xml:space="preserve">6 </w:t>
      </w:r>
      <w:r w:rsidRPr="00D236D3" w:rsidR="29F1E807">
        <w:rPr>
          <w:rFonts w:ascii="Times New Roman" w:hAnsi="Times New Roman"/>
          <w:lang w:val="fr-BE"/>
        </w:rPr>
        <w:t xml:space="preserve">/ </w:t>
      </w:r>
      <w:r w:rsidRPr="00D236D3">
        <w:rPr>
          <w:rFonts w:ascii="Times New Roman" w:hAnsi="Times New Roman"/>
          <w:lang w:val="fr-BE"/>
        </w:rPr>
        <w:t>P10</w:t>
      </w:r>
      <w:r w:rsidRPr="00D236D3" w:rsidR="29F1E807">
        <w:rPr>
          <w:rFonts w:ascii="Times New Roman" w:hAnsi="Times New Roman"/>
          <w:lang w:val="fr-BE"/>
        </w:rPr>
        <w:t>_</w:t>
      </w:r>
      <w:r w:rsidRPr="00D236D3">
        <w:rPr>
          <w:rFonts w:ascii="Times New Roman" w:hAnsi="Times New Roman"/>
          <w:lang w:val="fr-BE"/>
        </w:rPr>
        <w:t>TA(202</w:t>
      </w:r>
      <w:r w:rsidRPr="00D236D3" w:rsidR="379976F7">
        <w:rPr>
          <w:rFonts w:ascii="Times New Roman" w:hAnsi="Times New Roman"/>
          <w:lang w:val="fr-BE"/>
        </w:rPr>
        <w:t>6</w:t>
      </w:r>
      <w:r w:rsidRPr="00D236D3">
        <w:rPr>
          <w:rFonts w:ascii="Times New Roman" w:hAnsi="Times New Roman"/>
          <w:lang w:val="fr-BE"/>
        </w:rPr>
        <w:t>)</w:t>
      </w:r>
      <w:r w:rsidR="00C00634">
        <w:rPr>
          <w:rFonts w:ascii="Times New Roman" w:hAnsi="Times New Roman"/>
          <w:lang w:val="fr-BE"/>
        </w:rPr>
        <w:t>0</w:t>
      </w:r>
      <w:r w:rsidRPr="00D236D3" w:rsidR="379976F7">
        <w:rPr>
          <w:rFonts w:ascii="Times New Roman" w:hAnsi="Times New Roman"/>
          <w:lang w:val="fr-BE"/>
        </w:rPr>
        <w:t>15</w:t>
      </w:r>
      <w:r w:rsidRPr="00D236D3" w:rsidR="2D67BD9C">
        <w:rPr>
          <w:rFonts w:ascii="Times New Roman" w:hAnsi="Times New Roman"/>
          <w:lang w:val="fr-BE"/>
        </w:rPr>
        <w:t>9</w:t>
      </w:r>
    </w:p>
    <w:p w:rsidR="005F62E1" w:rsidRPr="001D13C7" w:rsidP="087C75D6" w14:paraId="4FDEAB37" w14:textId="3D28A834">
      <w:pPr>
        <w:numPr>
          <w:ilvl w:val="0"/>
          <w:numId w:val="11"/>
        </w:numPr>
        <w:spacing w:before="240" w:after="0" w:line="240" w:lineRule="auto"/>
        <w:ind w:left="284" w:hanging="357"/>
        <w:jc w:val="both"/>
        <w:rPr>
          <w:rFonts w:ascii="Times New Roman" w:hAnsi="Times New Roman"/>
        </w:rPr>
      </w:pPr>
      <w:r w:rsidRPr="001D13C7">
        <w:rPr>
          <w:rFonts w:ascii="Times New Roman" w:hAnsi="Times New Roman"/>
          <w:b/>
        </w:rPr>
        <w:t>Date of adoption of the resolution:</w:t>
      </w:r>
      <w:r w:rsidRPr="001D13C7">
        <w:rPr>
          <w:rFonts w:ascii="Times New Roman" w:hAnsi="Times New Roman"/>
        </w:rPr>
        <w:t xml:space="preserve"> </w:t>
      </w:r>
      <w:r w:rsidRPr="001D13C7" w:rsidR="1C4DEF72">
        <w:rPr>
          <w:rFonts w:ascii="Times New Roman" w:hAnsi="Times New Roman"/>
        </w:rPr>
        <w:t>30</w:t>
      </w:r>
      <w:r w:rsidRPr="001D13C7" w:rsidR="29F1E807">
        <w:rPr>
          <w:rFonts w:ascii="Times New Roman" w:hAnsi="Times New Roman"/>
        </w:rPr>
        <w:t xml:space="preserve"> </w:t>
      </w:r>
      <w:r w:rsidRPr="001D13C7" w:rsidR="1C4DEF72">
        <w:rPr>
          <w:rFonts w:ascii="Times New Roman" w:hAnsi="Times New Roman"/>
        </w:rPr>
        <w:t>April</w:t>
      </w:r>
      <w:r w:rsidRPr="001D13C7" w:rsidR="29F1E807">
        <w:rPr>
          <w:rFonts w:ascii="Times New Roman" w:hAnsi="Times New Roman"/>
        </w:rPr>
        <w:t xml:space="preserve"> </w:t>
      </w:r>
      <w:r w:rsidRPr="001D13C7" w:rsidR="1C4DEF72">
        <w:rPr>
          <w:rFonts w:ascii="Times New Roman" w:hAnsi="Times New Roman"/>
        </w:rPr>
        <w:t>2026</w:t>
      </w:r>
    </w:p>
    <w:p w:rsidR="005F62E1" w:rsidRPr="001D13C7" w:rsidP="087C75D6" w14:paraId="15D2030E" w14:textId="77777777">
      <w:pPr>
        <w:numPr>
          <w:ilvl w:val="0"/>
          <w:numId w:val="11"/>
        </w:numPr>
        <w:spacing w:before="240" w:after="0" w:line="240" w:lineRule="auto"/>
        <w:ind w:left="284" w:hanging="357"/>
        <w:jc w:val="both"/>
        <w:rPr>
          <w:rFonts w:ascii="Times New Roman" w:hAnsi="Times New Roman"/>
        </w:rPr>
      </w:pPr>
      <w:r w:rsidRPr="001D13C7">
        <w:rPr>
          <w:rFonts w:ascii="Times New Roman" w:hAnsi="Times New Roman"/>
          <w:b/>
        </w:rPr>
        <w:t xml:space="preserve">Competent Parliamentary Committee: </w:t>
      </w:r>
      <w:r w:rsidRPr="001D13C7">
        <w:rPr>
          <w:rFonts w:ascii="Times New Roman" w:hAnsi="Times New Roman"/>
        </w:rPr>
        <w:t>Committee on Economic and Monetary Affairs (ECON)</w:t>
      </w:r>
    </w:p>
    <w:p w:rsidR="005F62E1" w:rsidRPr="001D13C7" w:rsidP="087C75D6" w14:paraId="440C0F78" w14:textId="688497AA">
      <w:pPr>
        <w:numPr>
          <w:ilvl w:val="0"/>
          <w:numId w:val="11"/>
        </w:numPr>
        <w:spacing w:before="240" w:after="0" w:line="240" w:lineRule="auto"/>
        <w:ind w:left="284" w:hanging="357"/>
        <w:jc w:val="both"/>
        <w:rPr>
          <w:rFonts w:ascii="Times New Roman" w:hAnsi="Times New Roman"/>
        </w:rPr>
      </w:pPr>
      <w:r w:rsidRPr="001D13C7">
        <w:rPr>
          <w:rFonts w:ascii="Times New Roman" w:hAnsi="Times New Roman"/>
          <w:b/>
        </w:rPr>
        <w:t>Brief analysis / assessment of the resolution and requests made in it:</w:t>
      </w:r>
    </w:p>
    <w:p w:rsidR="621C8D7B" w:rsidRPr="001D13C7" w:rsidP="087C75D6" w14:paraId="57ECF6EF" w14:textId="14F6927D">
      <w:pPr>
        <w:spacing w:after="0" w:line="240" w:lineRule="auto"/>
        <w:ind w:left="720"/>
        <w:jc w:val="both"/>
        <w:rPr>
          <w:rFonts w:ascii="Times New Roman" w:hAnsi="Times New Roman"/>
        </w:rPr>
      </w:pPr>
    </w:p>
    <w:p w:rsidR="3184D739" w:rsidRPr="001D13C7" w:rsidP="38E719A3" w14:paraId="71B96EA8" w14:textId="644792E7">
      <w:pPr>
        <w:spacing w:after="0" w:line="240" w:lineRule="auto"/>
        <w:jc w:val="both"/>
        <w:rPr>
          <w:rFonts w:ascii="Times New Roman" w:hAnsi="Times New Roman"/>
          <w:color w:val="000000" w:themeColor="text1"/>
        </w:rPr>
      </w:pPr>
      <w:r w:rsidRPr="001D13C7">
        <w:rPr>
          <w:rFonts w:ascii="Times New Roman" w:hAnsi="Times New Roman"/>
          <w:color w:val="000000" w:themeColor="text1"/>
        </w:rPr>
        <w:t xml:space="preserve">The resolution </w:t>
      </w:r>
      <w:r w:rsidRPr="001D13C7" w:rsidR="23434896">
        <w:rPr>
          <w:rFonts w:ascii="Times New Roman" w:hAnsi="Times New Roman"/>
          <w:color w:val="000000" w:themeColor="text1"/>
        </w:rPr>
        <w:t>calls for a full and swift completion of the Banking Union, including continued work towards establishing its third Pillar, the</w:t>
      </w:r>
      <w:r w:rsidRPr="001D13C7" w:rsidR="008F016A">
        <w:rPr>
          <w:rFonts w:ascii="Times New Roman" w:hAnsi="Times New Roman"/>
          <w:color w:val="000000" w:themeColor="text1"/>
        </w:rPr>
        <w:t xml:space="preserve"> European Deposit Insurance Scheme</w:t>
      </w:r>
      <w:r w:rsidRPr="001D13C7" w:rsidR="23434896">
        <w:rPr>
          <w:rFonts w:ascii="Times New Roman" w:hAnsi="Times New Roman"/>
          <w:color w:val="000000" w:themeColor="text1"/>
        </w:rPr>
        <w:t xml:space="preserve"> </w:t>
      </w:r>
      <w:r w:rsidRPr="001D13C7" w:rsidR="008F016A">
        <w:rPr>
          <w:rFonts w:ascii="Times New Roman" w:hAnsi="Times New Roman"/>
          <w:color w:val="000000" w:themeColor="text1"/>
        </w:rPr>
        <w:t>(</w:t>
      </w:r>
      <w:r w:rsidRPr="001D13C7" w:rsidR="23434896">
        <w:rPr>
          <w:rFonts w:ascii="Times New Roman" w:hAnsi="Times New Roman"/>
          <w:color w:val="000000" w:themeColor="text1"/>
        </w:rPr>
        <w:t>EDIS</w:t>
      </w:r>
      <w:r w:rsidRPr="001D13C7" w:rsidR="008F016A">
        <w:rPr>
          <w:rFonts w:ascii="Times New Roman" w:hAnsi="Times New Roman"/>
          <w:color w:val="000000" w:themeColor="text1"/>
        </w:rPr>
        <w:t>)</w:t>
      </w:r>
      <w:r w:rsidRPr="001D13C7" w:rsidR="23434896">
        <w:rPr>
          <w:rFonts w:ascii="Times New Roman" w:hAnsi="Times New Roman"/>
          <w:color w:val="000000" w:themeColor="text1"/>
        </w:rPr>
        <w:t>, and measures to deepen market integration and facilitate the effective circulation of capital and liquidity within banking groups</w:t>
      </w:r>
      <w:r w:rsidRPr="001D13C7" w:rsidR="547A3A9C">
        <w:rPr>
          <w:rFonts w:ascii="Times New Roman" w:hAnsi="Times New Roman"/>
          <w:color w:val="000000" w:themeColor="text1"/>
        </w:rPr>
        <w:t>.</w:t>
      </w:r>
    </w:p>
    <w:p w:rsidR="0083167E" w:rsidRPr="001D13C7" w:rsidP="38E719A3" w14:paraId="29472625" w14:textId="77777777">
      <w:pPr>
        <w:spacing w:after="0" w:line="240" w:lineRule="auto"/>
        <w:jc w:val="both"/>
        <w:rPr>
          <w:rFonts w:ascii="Times New Roman" w:hAnsi="Times New Roman"/>
          <w:color w:val="000000" w:themeColor="text1"/>
        </w:rPr>
      </w:pPr>
    </w:p>
    <w:p w:rsidR="00115453" w:rsidRPr="001D13C7" w:rsidP="00115453" w14:paraId="7D190922" w14:textId="447AE8ED">
      <w:pPr>
        <w:spacing w:after="0" w:line="240" w:lineRule="auto"/>
        <w:jc w:val="both"/>
        <w:rPr>
          <w:rFonts w:ascii="Times New Roman" w:hAnsi="Times New Roman"/>
        </w:rPr>
      </w:pPr>
      <w:r w:rsidRPr="001D13C7">
        <w:rPr>
          <w:rFonts w:ascii="Times New Roman" w:hAnsi="Times New Roman"/>
          <w:color w:val="000000" w:themeColor="text1"/>
        </w:rPr>
        <w:t>In section 1 ‘General considerations’</w:t>
      </w:r>
      <w:r w:rsidRPr="001D13C7" w:rsidR="1FE6D175">
        <w:rPr>
          <w:rFonts w:ascii="Times New Roman" w:hAnsi="Times New Roman"/>
          <w:color w:val="000000" w:themeColor="text1"/>
        </w:rPr>
        <w:t>, the European Parliament</w:t>
      </w:r>
      <w:r w:rsidRPr="001D13C7" w:rsidR="7ED31C31">
        <w:rPr>
          <w:rFonts w:ascii="Times New Roman" w:hAnsi="Times New Roman"/>
        </w:rPr>
        <w:t xml:space="preserve"> welcomes the significant progress achieved through the </w:t>
      </w:r>
      <w:r w:rsidRPr="001D13C7" w:rsidR="56331512">
        <w:rPr>
          <w:rFonts w:ascii="Times New Roman" w:hAnsi="Times New Roman"/>
        </w:rPr>
        <w:t>Single Supervisory Mechanism (</w:t>
      </w:r>
      <w:r w:rsidRPr="001D13C7" w:rsidR="7ED31C31">
        <w:rPr>
          <w:rFonts w:ascii="Times New Roman" w:hAnsi="Times New Roman"/>
        </w:rPr>
        <w:t>SSM</w:t>
      </w:r>
      <w:r w:rsidRPr="001D13C7" w:rsidR="75427F9F">
        <w:rPr>
          <w:rFonts w:ascii="Times New Roman" w:hAnsi="Times New Roman"/>
        </w:rPr>
        <w:t>)</w:t>
      </w:r>
      <w:r w:rsidRPr="001D13C7" w:rsidR="7ED31C31">
        <w:rPr>
          <w:rFonts w:ascii="Times New Roman" w:hAnsi="Times New Roman"/>
        </w:rPr>
        <w:t xml:space="preserve"> and </w:t>
      </w:r>
      <w:r w:rsidRPr="001D13C7" w:rsidR="71E9941D">
        <w:rPr>
          <w:rFonts w:ascii="Times New Roman" w:hAnsi="Times New Roman"/>
        </w:rPr>
        <w:t>the Single Resolution Mechanism (</w:t>
      </w:r>
      <w:r w:rsidRPr="001D13C7" w:rsidR="7ED31C31">
        <w:rPr>
          <w:rFonts w:ascii="Times New Roman" w:hAnsi="Times New Roman"/>
        </w:rPr>
        <w:t>SRM</w:t>
      </w:r>
      <w:r w:rsidRPr="001D13C7" w:rsidR="0338D8D0">
        <w:rPr>
          <w:rFonts w:ascii="Times New Roman" w:hAnsi="Times New Roman"/>
        </w:rPr>
        <w:t>)</w:t>
      </w:r>
      <w:r w:rsidRPr="001D13C7" w:rsidR="7ED31C31">
        <w:rPr>
          <w:rFonts w:ascii="Times New Roman" w:hAnsi="Times New Roman"/>
        </w:rPr>
        <w:t xml:space="preserve"> </w:t>
      </w:r>
      <w:r w:rsidRPr="001D13C7" w:rsidR="1FE6D175">
        <w:rPr>
          <w:rFonts w:ascii="Times New Roman" w:hAnsi="Times New Roman"/>
        </w:rPr>
        <w:t xml:space="preserve">whilst considering that </w:t>
      </w:r>
      <w:r w:rsidRPr="001D13C7" w:rsidR="7ED31C31">
        <w:rPr>
          <w:rFonts w:ascii="Times New Roman" w:hAnsi="Times New Roman"/>
        </w:rPr>
        <w:t xml:space="preserve">the Banking Union </w:t>
      </w:r>
      <w:r w:rsidRPr="001D13C7" w:rsidR="7ED31C31">
        <w:rPr>
          <w:rFonts w:ascii="Times New Roman" w:eastAsia="Times New Roman" w:hAnsi="Times New Roman" w:cs="Times New Roman"/>
        </w:rPr>
        <w:t>remain</w:t>
      </w:r>
      <w:r w:rsidRPr="001D13C7" w:rsidR="00000CC7">
        <w:rPr>
          <w:rFonts w:ascii="Times New Roman" w:eastAsia="Times New Roman" w:hAnsi="Times New Roman" w:cs="Times New Roman"/>
        </w:rPr>
        <w:t>s</w:t>
      </w:r>
      <w:r w:rsidRPr="001D13C7" w:rsidR="7ED31C31">
        <w:rPr>
          <w:rFonts w:ascii="Times New Roman" w:hAnsi="Times New Roman"/>
        </w:rPr>
        <w:t xml:space="preserve"> incomplete in the absence of EDIS. The </w:t>
      </w:r>
      <w:r w:rsidRPr="001D13C7" w:rsidR="62D29E25">
        <w:rPr>
          <w:rFonts w:ascii="Times New Roman" w:eastAsia="Times New Roman" w:hAnsi="Times New Roman" w:cs="Times New Roman"/>
        </w:rPr>
        <w:t>report</w:t>
      </w:r>
      <w:r w:rsidRPr="001D13C7" w:rsidR="1FE6D175">
        <w:rPr>
          <w:rFonts w:ascii="Times New Roman" w:hAnsi="Times New Roman"/>
        </w:rPr>
        <w:t xml:space="preserve"> also underlines</w:t>
      </w:r>
      <w:r w:rsidRPr="001D13C7" w:rsidR="7ED31C31">
        <w:rPr>
          <w:rFonts w:ascii="Times New Roman" w:hAnsi="Times New Roman"/>
        </w:rPr>
        <w:t xml:space="preserve"> the remaining barriers to cross-border retail banking services</w:t>
      </w:r>
      <w:r w:rsidRPr="001D13C7" w:rsidR="1FE6D175">
        <w:rPr>
          <w:rFonts w:ascii="Times New Roman" w:hAnsi="Times New Roman"/>
        </w:rPr>
        <w:t xml:space="preserve"> and</w:t>
      </w:r>
      <w:r w:rsidRPr="001D13C7" w:rsidR="7D709A87">
        <w:rPr>
          <w:rFonts w:ascii="Times New Roman" w:hAnsi="Times New Roman"/>
        </w:rPr>
        <w:t xml:space="preserve"> calls on the Commission to propose in its 2026 report on the competitiveness of the EU banking sector </w:t>
      </w:r>
      <w:r w:rsidRPr="001D13C7" w:rsidR="7D709A87">
        <w:rPr>
          <w:rFonts w:ascii="Times New Roman" w:eastAsia="Times New Roman" w:hAnsi="Times New Roman" w:cs="Times New Roman"/>
        </w:rPr>
        <w:t>meaning</w:t>
      </w:r>
      <w:r w:rsidRPr="001D13C7" w:rsidR="00000CC7">
        <w:rPr>
          <w:rFonts w:ascii="Times New Roman" w:eastAsia="Times New Roman" w:hAnsi="Times New Roman" w:cs="Times New Roman"/>
        </w:rPr>
        <w:t>ful</w:t>
      </w:r>
      <w:r w:rsidRPr="001D13C7" w:rsidR="7D709A87">
        <w:rPr>
          <w:rFonts w:ascii="Times New Roman" w:hAnsi="Times New Roman"/>
        </w:rPr>
        <w:t xml:space="preserve"> actions </w:t>
      </w:r>
      <w:r w:rsidRPr="001D13C7" w:rsidR="00000CC7">
        <w:rPr>
          <w:rFonts w:ascii="Times New Roman" w:eastAsia="Times New Roman" w:hAnsi="Times New Roman" w:cs="Times New Roman"/>
        </w:rPr>
        <w:t>to</w:t>
      </w:r>
      <w:r w:rsidRPr="001D13C7" w:rsidR="7D709A87">
        <w:rPr>
          <w:rFonts w:ascii="Times New Roman" w:eastAsia="Times New Roman" w:hAnsi="Times New Roman" w:cs="Times New Roman"/>
        </w:rPr>
        <w:t xml:space="preserve"> increas</w:t>
      </w:r>
      <w:r w:rsidRPr="001D13C7" w:rsidR="00000CC7">
        <w:rPr>
          <w:rFonts w:ascii="Times New Roman" w:eastAsia="Times New Roman" w:hAnsi="Times New Roman" w:cs="Times New Roman"/>
        </w:rPr>
        <w:t>e</w:t>
      </w:r>
      <w:r w:rsidRPr="001D13C7" w:rsidR="7D709A87">
        <w:rPr>
          <w:rFonts w:ascii="Times New Roman" w:hAnsi="Times New Roman"/>
        </w:rPr>
        <w:t xml:space="preserve"> the competitiveness of EU banks whilst safeguarding their essential role in financing the investments necessary to deliver the </w:t>
      </w:r>
      <w:r w:rsidRPr="001D13C7" w:rsidR="009E121C">
        <w:rPr>
          <w:rFonts w:ascii="Times New Roman" w:hAnsi="Times New Roman"/>
        </w:rPr>
        <w:t xml:space="preserve">EU’s </w:t>
      </w:r>
      <w:r w:rsidRPr="001D13C7" w:rsidR="7D709A87">
        <w:rPr>
          <w:rFonts w:ascii="Times New Roman" w:hAnsi="Times New Roman"/>
        </w:rPr>
        <w:t>green and digital transitions.</w:t>
      </w:r>
    </w:p>
    <w:p w:rsidR="00102AE8" w:rsidRPr="001D13C7" w:rsidP="38E719A3" w14:paraId="5622664E" w14:textId="77777777">
      <w:pPr>
        <w:spacing w:after="0" w:line="240" w:lineRule="auto"/>
        <w:jc w:val="both"/>
        <w:rPr>
          <w:rFonts w:ascii="Times New Roman" w:hAnsi="Times New Roman"/>
        </w:rPr>
      </w:pPr>
    </w:p>
    <w:p w:rsidR="00836F89" w:rsidRPr="001D13C7" w:rsidP="38E719A3" w14:paraId="61D66782" w14:textId="7BF4B24F">
      <w:pPr>
        <w:spacing w:after="0" w:line="240" w:lineRule="auto"/>
        <w:jc w:val="both"/>
        <w:rPr>
          <w:rFonts w:ascii="Times New Roman" w:hAnsi="Times New Roman"/>
        </w:rPr>
      </w:pPr>
      <w:r w:rsidRPr="001D13C7">
        <w:rPr>
          <w:rFonts w:ascii="Times New Roman" w:hAnsi="Times New Roman"/>
        </w:rPr>
        <w:t>In section 2 ‘Supervision’</w:t>
      </w:r>
      <w:r w:rsidRPr="001D13C7" w:rsidR="1FE6D175">
        <w:rPr>
          <w:rFonts w:ascii="Times New Roman" w:hAnsi="Times New Roman"/>
        </w:rPr>
        <w:t>, the European Parliament</w:t>
      </w:r>
      <w:r w:rsidRPr="001D13C7" w:rsidR="00071076">
        <w:rPr>
          <w:rFonts w:ascii="Times New Roman" w:hAnsi="Times New Roman"/>
        </w:rPr>
        <w:t xml:space="preserve"> welcomes the finalisation and implementation of the Basel III framework in the EU and </w:t>
      </w:r>
      <w:r w:rsidRPr="001D13C7" w:rsidR="7D709A87">
        <w:rPr>
          <w:rFonts w:ascii="Times New Roman" w:hAnsi="Times New Roman"/>
        </w:rPr>
        <w:t xml:space="preserve">acknowledges </w:t>
      </w:r>
      <w:r w:rsidRPr="001D13C7" w:rsidR="00000CC7">
        <w:rPr>
          <w:rFonts w:ascii="Times New Roman" w:eastAsia="Times New Roman" w:hAnsi="Times New Roman" w:cs="Times New Roman"/>
        </w:rPr>
        <w:t xml:space="preserve">the </w:t>
      </w:r>
      <w:r w:rsidRPr="001D13C7" w:rsidR="7D709A87">
        <w:rPr>
          <w:rFonts w:ascii="Times New Roman" w:hAnsi="Times New Roman"/>
        </w:rPr>
        <w:t>EU banks’ strong</w:t>
      </w:r>
      <w:r w:rsidRPr="001D13C7">
        <w:rPr>
          <w:rFonts w:ascii="Times New Roman" w:hAnsi="Times New Roman"/>
        </w:rPr>
        <w:t xml:space="preserve"> capital and liquidity positions</w:t>
      </w:r>
      <w:r w:rsidRPr="001D13C7" w:rsidR="00071076">
        <w:rPr>
          <w:rFonts w:ascii="Times New Roman" w:hAnsi="Times New Roman"/>
        </w:rPr>
        <w:t xml:space="preserve">. The report calls for an improvement of the resilience and supervision of </w:t>
      </w:r>
      <w:r w:rsidRPr="001D13C7" w:rsidR="5A776A7C">
        <w:rPr>
          <w:rFonts w:ascii="Times New Roman" w:hAnsi="Times New Roman"/>
        </w:rPr>
        <w:t>the Non</w:t>
      </w:r>
      <w:r w:rsidRPr="001D13C7" w:rsidR="4147C07C">
        <w:rPr>
          <w:rFonts w:ascii="Times New Roman" w:hAnsi="Times New Roman"/>
        </w:rPr>
        <w:t>-</w:t>
      </w:r>
      <w:r w:rsidRPr="001D13C7" w:rsidR="5A776A7C">
        <w:rPr>
          <w:rFonts w:ascii="Times New Roman" w:hAnsi="Times New Roman"/>
        </w:rPr>
        <w:t xml:space="preserve">bank </w:t>
      </w:r>
      <w:r w:rsidRPr="001D13C7" w:rsidR="55F00011">
        <w:rPr>
          <w:rFonts w:ascii="Times New Roman" w:hAnsi="Times New Roman"/>
        </w:rPr>
        <w:t>F</w:t>
      </w:r>
      <w:r w:rsidRPr="001D13C7" w:rsidR="5A776A7C">
        <w:rPr>
          <w:rFonts w:ascii="Times New Roman" w:hAnsi="Times New Roman"/>
        </w:rPr>
        <w:t xml:space="preserve">inancial </w:t>
      </w:r>
      <w:r w:rsidRPr="001D13C7" w:rsidR="2CEA9D64">
        <w:rPr>
          <w:rFonts w:ascii="Times New Roman" w:hAnsi="Times New Roman"/>
        </w:rPr>
        <w:t>I</w:t>
      </w:r>
      <w:r w:rsidRPr="001D13C7" w:rsidR="5A776A7C">
        <w:rPr>
          <w:rFonts w:ascii="Times New Roman" w:hAnsi="Times New Roman"/>
        </w:rPr>
        <w:t>n</w:t>
      </w:r>
      <w:r w:rsidRPr="001D13C7" w:rsidR="08AD27D0">
        <w:rPr>
          <w:rFonts w:ascii="Times New Roman" w:hAnsi="Times New Roman"/>
        </w:rPr>
        <w:t xml:space="preserve">termediaries </w:t>
      </w:r>
      <w:r w:rsidRPr="001D13C7" w:rsidR="5A776A7C">
        <w:rPr>
          <w:rFonts w:ascii="Times New Roman" w:hAnsi="Times New Roman"/>
        </w:rPr>
        <w:t>(</w:t>
      </w:r>
      <w:r w:rsidRPr="001D13C7" w:rsidR="00071076">
        <w:rPr>
          <w:rFonts w:ascii="Times New Roman" w:hAnsi="Times New Roman"/>
        </w:rPr>
        <w:t>NBFIs</w:t>
      </w:r>
      <w:r w:rsidRPr="001D13C7" w:rsidR="758315CB">
        <w:rPr>
          <w:rFonts w:ascii="Times New Roman" w:hAnsi="Times New Roman"/>
        </w:rPr>
        <w:t>)</w:t>
      </w:r>
      <w:r w:rsidRPr="001D13C7" w:rsidR="00071076">
        <w:rPr>
          <w:rFonts w:ascii="Times New Roman" w:hAnsi="Times New Roman"/>
        </w:rPr>
        <w:t xml:space="preserve"> and a close monitoring of the specific risks associated with crypto-assets, including euro-denominated stablecoins</w:t>
      </w:r>
      <w:r w:rsidRPr="001D13C7" w:rsidR="1FE6D175">
        <w:rPr>
          <w:rFonts w:ascii="Times New Roman" w:hAnsi="Times New Roman"/>
        </w:rPr>
        <w:t>.</w:t>
      </w:r>
    </w:p>
    <w:p w:rsidR="0083167E" w:rsidRPr="001D13C7" w:rsidP="38E719A3" w14:paraId="4AD04AD1" w14:textId="77777777">
      <w:pPr>
        <w:spacing w:after="0" w:line="240" w:lineRule="auto"/>
        <w:jc w:val="both"/>
        <w:rPr>
          <w:rFonts w:ascii="Times New Roman" w:hAnsi="Times New Roman"/>
          <w:color w:val="000000" w:themeColor="text1"/>
        </w:rPr>
      </w:pPr>
    </w:p>
    <w:p w:rsidR="00DF5D86" w:rsidRPr="0074739B" w:rsidP="38E719A3" w14:paraId="5358440B" w14:textId="45F57336">
      <w:pPr>
        <w:spacing w:after="0" w:line="240" w:lineRule="auto"/>
        <w:jc w:val="both"/>
        <w:rPr>
          <w:rFonts w:ascii="Times New Roman" w:hAnsi="Times New Roman"/>
        </w:rPr>
      </w:pPr>
      <w:r w:rsidRPr="001D13C7">
        <w:rPr>
          <w:rFonts w:ascii="Times New Roman" w:hAnsi="Times New Roman"/>
          <w:color w:val="000000" w:themeColor="text1"/>
        </w:rPr>
        <w:t>In section 3 ‘resolution’ and section 4 ‘deposit insurance</w:t>
      </w:r>
      <w:r w:rsidRPr="001D13C7" w:rsidR="7ED31C31">
        <w:rPr>
          <w:rFonts w:ascii="Times New Roman" w:hAnsi="Times New Roman"/>
          <w:color w:val="000000" w:themeColor="text1"/>
        </w:rPr>
        <w:t>’</w:t>
      </w:r>
      <w:r w:rsidRPr="001D13C7" w:rsidR="1FE6D175">
        <w:rPr>
          <w:rFonts w:ascii="Times New Roman" w:hAnsi="Times New Roman"/>
          <w:color w:val="000000" w:themeColor="text1"/>
        </w:rPr>
        <w:t>, the European Parliament</w:t>
      </w:r>
      <w:r w:rsidRPr="001D13C7" w:rsidR="1FE6D175">
        <w:rPr>
          <w:rFonts w:ascii="Times New Roman" w:hAnsi="Times New Roman"/>
        </w:rPr>
        <w:t xml:space="preserve"> commends the </w:t>
      </w:r>
      <w:r w:rsidRPr="001D13C7" w:rsidR="63F46460">
        <w:rPr>
          <w:rFonts w:ascii="Times New Roman" w:hAnsi="Times New Roman"/>
        </w:rPr>
        <w:t>Crisis Management and Deposit Insurance (</w:t>
      </w:r>
      <w:r w:rsidRPr="001D13C7" w:rsidR="1FE6D175">
        <w:rPr>
          <w:rFonts w:ascii="Times New Roman" w:hAnsi="Times New Roman"/>
        </w:rPr>
        <w:t>CMDI</w:t>
      </w:r>
      <w:r w:rsidRPr="001D13C7" w:rsidR="43CD2A64">
        <w:rPr>
          <w:rFonts w:ascii="Times New Roman" w:hAnsi="Times New Roman"/>
        </w:rPr>
        <w:t>)</w:t>
      </w:r>
      <w:r w:rsidRPr="001D13C7" w:rsidR="1FE6D175">
        <w:rPr>
          <w:rFonts w:ascii="Times New Roman" w:hAnsi="Times New Roman"/>
        </w:rPr>
        <w:t xml:space="preserve"> reform for providing a coherent crisis management framework, with flexibility for small and medium-sized banks and effective tools for authorities. </w:t>
      </w:r>
      <w:r w:rsidRPr="001D13C7" w:rsidR="7D709A87">
        <w:rPr>
          <w:rFonts w:ascii="Times New Roman" w:hAnsi="Times New Roman"/>
        </w:rPr>
        <w:t>The report also</w:t>
      </w:r>
      <w:r w:rsidRPr="001D13C7" w:rsidR="1FE6D175">
        <w:rPr>
          <w:rFonts w:ascii="Times New Roman" w:hAnsi="Times New Roman"/>
        </w:rPr>
        <w:t xml:space="preserve"> reiterates that the Banking Union remains incomplete without EDIS and urges the Council and the new President of the Eurogroup to advance on negotiations.</w:t>
      </w:r>
    </w:p>
    <w:p w:rsidR="005F62E1" w:rsidRPr="001D13C7" w:rsidP="00D236D3" w14:paraId="7BB9050A" w14:textId="0C655011">
      <w:pPr>
        <w:numPr>
          <w:ilvl w:val="0"/>
          <w:numId w:val="11"/>
        </w:numPr>
        <w:spacing w:before="240" w:after="0" w:line="240" w:lineRule="auto"/>
        <w:ind w:left="284" w:hanging="357"/>
        <w:jc w:val="both"/>
        <w:rPr>
          <w:rFonts w:ascii="Times New Roman" w:hAnsi="Times New Roman"/>
          <w:b/>
        </w:rPr>
      </w:pPr>
      <w:r w:rsidRPr="001D13C7">
        <w:rPr>
          <w:rFonts w:ascii="Times New Roman" w:hAnsi="Times New Roman"/>
          <w:b/>
        </w:rPr>
        <w:t>Response to requests and overview of actions taken, or intended to be taken, by the</w:t>
      </w:r>
      <w:r w:rsidRPr="001D13C7" w:rsidR="5AF4BF4F">
        <w:rPr>
          <w:rFonts w:ascii="Times New Roman" w:hAnsi="Times New Roman"/>
          <w:b/>
        </w:rPr>
        <w:t xml:space="preserve"> </w:t>
      </w:r>
      <w:r w:rsidRPr="001D13C7">
        <w:rPr>
          <w:rFonts w:ascii="Times New Roman" w:hAnsi="Times New Roman"/>
          <w:b/>
        </w:rPr>
        <w:t>Commission</w:t>
      </w:r>
    </w:p>
    <w:p w:rsidR="005F62E1" w:rsidRPr="001D13C7" w:rsidP="38E719A3" w14:paraId="336E358F" w14:textId="77777777">
      <w:pPr>
        <w:spacing w:line="240" w:lineRule="auto"/>
        <w:jc w:val="both"/>
        <w:rPr>
          <w:rFonts w:ascii="Times New Roman" w:hAnsi="Times New Roman"/>
          <w:b/>
        </w:rPr>
      </w:pPr>
    </w:p>
    <w:p w:rsidR="00454B0A" w:rsidRPr="001D13C7" w:rsidP="087C75D6" w14:paraId="34B6D5F0" w14:textId="7AD70A35">
      <w:pPr>
        <w:spacing w:after="0" w:line="240" w:lineRule="auto"/>
        <w:jc w:val="both"/>
        <w:rPr>
          <w:rFonts w:ascii="Times New Roman" w:hAnsi="Times New Roman"/>
          <w:b/>
          <w:i/>
        </w:rPr>
      </w:pPr>
      <w:r w:rsidRPr="001D13C7">
        <w:rPr>
          <w:rFonts w:ascii="Times New Roman" w:hAnsi="Times New Roman"/>
          <w:b/>
          <w:i/>
        </w:rPr>
        <w:t>General consideration</w:t>
      </w:r>
      <w:r w:rsidRPr="001D13C7" w:rsidR="00C84ABD">
        <w:rPr>
          <w:rFonts w:ascii="Times New Roman" w:hAnsi="Times New Roman"/>
          <w:b/>
          <w:i/>
        </w:rPr>
        <w:t>s</w:t>
      </w:r>
    </w:p>
    <w:p w:rsidR="0083167E" w:rsidRPr="001D13C7" w:rsidP="0083167E" w14:paraId="379529BF" w14:textId="77777777">
      <w:pPr>
        <w:spacing w:after="0" w:line="240" w:lineRule="auto"/>
        <w:jc w:val="both"/>
        <w:rPr>
          <w:rFonts w:ascii="Times New Roman" w:hAnsi="Times New Roman"/>
        </w:rPr>
      </w:pPr>
    </w:p>
    <w:p w:rsidR="0083167E" w:rsidRPr="001D13C7" w:rsidP="0083167E" w14:paraId="706F5635" w14:textId="705BB89A">
      <w:pPr>
        <w:spacing w:after="0" w:line="240" w:lineRule="auto"/>
        <w:jc w:val="both"/>
        <w:rPr>
          <w:rFonts w:ascii="Times New Roman" w:hAnsi="Times New Roman"/>
        </w:rPr>
      </w:pPr>
      <w:r w:rsidRPr="001D13C7">
        <w:rPr>
          <w:rFonts w:ascii="Times New Roman" w:hAnsi="Times New Roman"/>
          <w:b/>
        </w:rPr>
        <w:t>In paragraph 1, t</w:t>
      </w:r>
      <w:r w:rsidRPr="001D13C7">
        <w:rPr>
          <w:rFonts w:ascii="Times New Roman" w:hAnsi="Times New Roman"/>
          <w:b/>
        </w:rPr>
        <w:t xml:space="preserve">he </w:t>
      </w:r>
      <w:r w:rsidRPr="001D13C7">
        <w:rPr>
          <w:rFonts w:ascii="Times New Roman" w:hAnsi="Times New Roman"/>
          <w:b/>
        </w:rPr>
        <w:t>European Parliament</w:t>
      </w:r>
      <w:r w:rsidRPr="001D13C7">
        <w:rPr>
          <w:rFonts w:ascii="Times New Roman" w:hAnsi="Times New Roman"/>
          <w:b/>
        </w:rPr>
        <w:t xml:space="preserve"> welcomes the significant progress achieved through the SSM and SRM but considers the Banking Union to remain incomplete in the absence of EDIS</w:t>
      </w:r>
      <w:r w:rsidRPr="001D13C7">
        <w:rPr>
          <w:rFonts w:ascii="Times New Roman" w:hAnsi="Times New Roman"/>
        </w:rPr>
        <w:t xml:space="preserve">. The report calls for the swift completion of the Banking Union, including </w:t>
      </w:r>
      <w:r w:rsidRPr="001D13C7">
        <w:rPr>
          <w:rFonts w:ascii="Times New Roman" w:hAnsi="Times New Roman"/>
        </w:rPr>
        <w:t>measures to facilitate the free circulation of capital and liquidity within cross-border banking groups and to further deepen market integration. The report also stresses that the Banking Union should contribute to inclusiveness, competitiveness, sustainability, and the green and digital transitions and that completing the Capital Markets Union alongside developing the Banking Union will help to deliver better conditions for the financing of the European economy.</w:t>
      </w:r>
    </w:p>
    <w:p w:rsidR="084196AE" w:rsidRPr="001D13C7" w:rsidP="087C75D6" w14:paraId="22148076" w14:textId="62583AE3">
      <w:pPr>
        <w:spacing w:after="0" w:line="240" w:lineRule="auto"/>
        <w:jc w:val="both"/>
        <w:rPr>
          <w:rFonts w:ascii="Times New Roman" w:hAnsi="Times New Roman"/>
        </w:rPr>
      </w:pPr>
    </w:p>
    <w:p w:rsidR="0083167E" w:rsidRPr="001D13C7" w:rsidP="00307C46" w14:paraId="1665B900" w14:textId="65817B4A">
      <w:pPr>
        <w:spacing w:line="240" w:lineRule="auto"/>
        <w:jc w:val="both"/>
        <w:rPr>
          <w:rFonts w:ascii="Times New Roman" w:hAnsi="Times New Roman"/>
        </w:rPr>
      </w:pPr>
      <w:r w:rsidRPr="001D13C7">
        <w:rPr>
          <w:rFonts w:ascii="Times New Roman" w:hAnsi="Times New Roman"/>
        </w:rPr>
        <w:t xml:space="preserve">The Commission shares the objective of completing the Banking Union and continues to consider it a strategic priority for strengthening the resilience, integration and competitiveness of the EU financial system. As announced in the </w:t>
      </w:r>
      <w:r w:rsidRPr="001D13C7" w:rsidR="77CE9CAA">
        <w:rPr>
          <w:rFonts w:ascii="Times New Roman" w:hAnsi="Times New Roman"/>
        </w:rPr>
        <w:t>Savings and Investments Union (</w:t>
      </w:r>
      <w:r w:rsidRPr="001D13C7">
        <w:rPr>
          <w:rFonts w:ascii="Times New Roman" w:hAnsi="Times New Roman"/>
        </w:rPr>
        <w:t>SIU</w:t>
      </w:r>
      <w:r w:rsidRPr="001D13C7" w:rsidR="2E154D44">
        <w:rPr>
          <w:rFonts w:ascii="Times New Roman" w:hAnsi="Times New Roman"/>
        </w:rPr>
        <w:t>)</w:t>
      </w:r>
      <w:r w:rsidRPr="001D13C7">
        <w:rPr>
          <w:rFonts w:ascii="Times New Roman" w:hAnsi="Times New Roman"/>
        </w:rPr>
        <w:t xml:space="preserve"> Communication, the Commission remains committed to finding a way forward on a</w:t>
      </w:r>
      <w:r w:rsidRPr="001D13C7" w:rsidR="3300DB08">
        <w:rPr>
          <w:rFonts w:ascii="Times New Roman" w:hAnsi="Times New Roman"/>
        </w:rPr>
        <w:t xml:space="preserve"> common deposit insurance mechanism</w:t>
      </w:r>
      <w:r w:rsidRPr="001D13C7">
        <w:rPr>
          <w:rFonts w:ascii="Times New Roman" w:hAnsi="Times New Roman"/>
        </w:rPr>
        <w:t xml:space="preserve"> and to reducing the remaining barriers to cross-border banking activity, including obstacles to the efficient circulation of capital and liquidity within cross-border groups. </w:t>
      </w:r>
      <w:r w:rsidRPr="001D13C7" w:rsidR="137EA218">
        <w:rPr>
          <w:rFonts w:ascii="Times New Roman" w:hAnsi="Times New Roman"/>
        </w:rPr>
        <w:t xml:space="preserve">The Commission also agrees that the Banking Union should support a diverse, integrated and competitive banking ecosystem, capable of scaling up and competing effectively at global level while continuing to support households, SMEs and local economies, and financing the green and digital transitions, while preserving financial stability. </w:t>
      </w:r>
      <w:r w:rsidRPr="001D13C7" w:rsidR="3993DBFA">
        <w:rPr>
          <w:rFonts w:ascii="Times New Roman" w:eastAsia="Times New Roman" w:hAnsi="Times New Roman" w:cs="Times New Roman"/>
        </w:rPr>
        <w:t>Th</w:t>
      </w:r>
      <w:r w:rsidRPr="001D13C7" w:rsidR="00000CC7">
        <w:rPr>
          <w:rFonts w:ascii="Times New Roman" w:eastAsia="Times New Roman" w:hAnsi="Times New Roman" w:cs="Times New Roman"/>
        </w:rPr>
        <w:t>o</w:t>
      </w:r>
      <w:r w:rsidRPr="001D13C7" w:rsidR="3993DBFA">
        <w:rPr>
          <w:rFonts w:ascii="Times New Roman" w:eastAsia="Times New Roman" w:hAnsi="Times New Roman" w:cs="Times New Roman"/>
        </w:rPr>
        <w:t>se</w:t>
      </w:r>
      <w:r w:rsidRPr="001D13C7" w:rsidR="3993DBFA">
        <w:rPr>
          <w:rFonts w:ascii="Times New Roman" w:hAnsi="Times New Roman"/>
        </w:rPr>
        <w:t xml:space="preserve"> dimensions are also being considered in the context of the Commission’s forthcoming report on the competitiveness of the EU banking sector, expected in July 2026.</w:t>
      </w:r>
      <w:r w:rsidRPr="001D13C7" w:rsidR="50BC3CF3">
        <w:rPr>
          <w:rFonts w:ascii="Times New Roman" w:hAnsi="Times New Roman"/>
        </w:rPr>
        <w:t xml:space="preserve"> The Commission’s work in </w:t>
      </w:r>
      <w:r w:rsidRPr="001D13C7" w:rsidR="50BC3CF3">
        <w:rPr>
          <w:rFonts w:ascii="Times New Roman" w:eastAsia="Times New Roman" w:hAnsi="Times New Roman" w:cs="Times New Roman"/>
        </w:rPr>
        <w:t>th</w:t>
      </w:r>
      <w:r w:rsidRPr="001D13C7" w:rsidR="00A70D5A">
        <w:rPr>
          <w:rFonts w:ascii="Times New Roman" w:eastAsia="Times New Roman" w:hAnsi="Times New Roman" w:cs="Times New Roman"/>
        </w:rPr>
        <w:t>at</w:t>
      </w:r>
      <w:r w:rsidRPr="001D13C7" w:rsidR="50BC3CF3">
        <w:rPr>
          <w:rFonts w:ascii="Times New Roman" w:hAnsi="Times New Roman"/>
        </w:rPr>
        <w:t xml:space="preserve"> area is part of the overall implementation of the SIU Strategy of March 2025, in which the dimensions of banking and capital markets are complementary. In </w:t>
      </w:r>
      <w:r w:rsidRPr="001D13C7" w:rsidR="50BC3CF3">
        <w:rPr>
          <w:rFonts w:ascii="Times New Roman" w:eastAsia="Times New Roman" w:hAnsi="Times New Roman" w:cs="Times New Roman"/>
        </w:rPr>
        <w:t>th</w:t>
      </w:r>
      <w:r w:rsidRPr="001D13C7" w:rsidR="00A70D5A">
        <w:rPr>
          <w:rFonts w:ascii="Times New Roman" w:eastAsia="Times New Roman" w:hAnsi="Times New Roman" w:cs="Times New Roman"/>
        </w:rPr>
        <w:t>at</w:t>
      </w:r>
      <w:r w:rsidRPr="001D13C7" w:rsidR="50BC3CF3">
        <w:rPr>
          <w:rFonts w:ascii="Times New Roman" w:hAnsi="Times New Roman"/>
        </w:rPr>
        <w:t xml:space="preserve"> context, the Commission agrees that further integrating and developing capital markets alongside the development of the Banking Union will help to further improve access to finance in the European economy.</w:t>
      </w:r>
    </w:p>
    <w:p w:rsidR="00C6543F" w:rsidRPr="001D13C7" w:rsidP="00C6543F" w14:paraId="67C02007" w14:textId="2C60B347">
      <w:pPr>
        <w:spacing w:after="0" w:line="240" w:lineRule="auto"/>
        <w:jc w:val="both"/>
        <w:rPr>
          <w:rFonts w:ascii="Times New Roman" w:hAnsi="Times New Roman"/>
        </w:rPr>
      </w:pPr>
      <w:r w:rsidRPr="001D13C7">
        <w:rPr>
          <w:rFonts w:ascii="Times New Roman" w:hAnsi="Times New Roman"/>
          <w:b/>
        </w:rPr>
        <w:t>In paragraph 4, the European Parliament emphasises the banking sector’s role in financing the twin transition and highlights the simplification efforts under the EU’s sustainable finance framework</w:t>
      </w:r>
      <w:r w:rsidRPr="001D13C7">
        <w:rPr>
          <w:rFonts w:ascii="Times New Roman" w:hAnsi="Times New Roman"/>
        </w:rPr>
        <w:t>.</w:t>
      </w:r>
    </w:p>
    <w:p w:rsidR="00C6543F" w:rsidRPr="001D13C7" w:rsidP="00C6543F" w14:paraId="50998C13" w14:textId="77777777">
      <w:pPr>
        <w:spacing w:after="0" w:line="240" w:lineRule="auto"/>
        <w:jc w:val="both"/>
        <w:rPr>
          <w:rFonts w:ascii="Times New Roman" w:hAnsi="Times New Roman"/>
          <w:b/>
        </w:rPr>
      </w:pPr>
    </w:p>
    <w:p w:rsidR="00C6543F" w:rsidRPr="001D13C7" w:rsidP="00C6543F" w14:paraId="2D9FA572" w14:textId="0E6AF27F">
      <w:pPr>
        <w:spacing w:line="240" w:lineRule="auto"/>
        <w:jc w:val="both"/>
        <w:rPr>
          <w:rFonts w:ascii="Times New Roman" w:hAnsi="Times New Roman"/>
        </w:rPr>
      </w:pPr>
      <w:r w:rsidRPr="001D13C7">
        <w:rPr>
          <w:rFonts w:ascii="Times New Roman" w:hAnsi="Times New Roman"/>
        </w:rPr>
        <w:t xml:space="preserve">The Commission </w:t>
      </w:r>
      <w:r w:rsidRPr="001D13C7">
        <w:rPr>
          <w:rFonts w:ascii="Times New Roman" w:eastAsia="Times New Roman" w:hAnsi="Times New Roman" w:cs="Times New Roman"/>
        </w:rPr>
        <w:t>acknowledge</w:t>
      </w:r>
      <w:r w:rsidRPr="001D13C7" w:rsidR="005554A7">
        <w:rPr>
          <w:rFonts w:ascii="Times New Roman" w:eastAsia="Times New Roman" w:hAnsi="Times New Roman" w:cs="Times New Roman"/>
        </w:rPr>
        <w:t>s</w:t>
      </w:r>
      <w:r w:rsidRPr="001D13C7">
        <w:rPr>
          <w:rFonts w:ascii="Times New Roman" w:hAnsi="Times New Roman"/>
        </w:rPr>
        <w:t xml:space="preserve"> that the financial sector—particularly banking—plays a crucial role in financing the transition to a c</w:t>
      </w:r>
      <w:r w:rsidRPr="001D13C7" w:rsidR="090601F4">
        <w:rPr>
          <w:rFonts w:ascii="Times New Roman" w:hAnsi="Times New Roman"/>
        </w:rPr>
        <w:t>limate</w:t>
      </w:r>
      <w:r w:rsidRPr="001D13C7">
        <w:rPr>
          <w:rFonts w:ascii="Times New Roman" w:hAnsi="Times New Roman"/>
        </w:rPr>
        <w:t xml:space="preserve">-neutral economy. To channel investment into sustainable activities, the EU has developed its Sustainable Finance Framework, </w:t>
      </w:r>
      <w:r w:rsidRPr="001D13C7" w:rsidR="263507AA">
        <w:rPr>
          <w:rFonts w:ascii="Times New Roman" w:eastAsia="Times New Roman" w:hAnsi="Times New Roman" w:cs="Times New Roman"/>
        </w:rPr>
        <w:t>including</w:t>
      </w:r>
      <w:r w:rsidR="001D13C7">
        <w:rPr>
          <w:rFonts w:ascii="Times New Roman" w:eastAsia="Times New Roman" w:hAnsi="Times New Roman" w:cs="Times New Roman"/>
        </w:rPr>
        <w:t xml:space="preserve"> </w:t>
      </w:r>
      <w:r w:rsidRPr="001D13C7">
        <w:rPr>
          <w:rFonts w:ascii="Times New Roman" w:hAnsi="Times New Roman"/>
        </w:rPr>
        <w:t>the EU Taxonomy</w:t>
      </w:r>
      <w:r w:rsidRPr="001D13C7" w:rsidR="7EF2DBD9">
        <w:rPr>
          <w:rFonts w:ascii="Times New Roman" w:hAnsi="Times New Roman"/>
        </w:rPr>
        <w:t>,</w:t>
      </w:r>
      <w:r w:rsidRPr="001D13C7">
        <w:rPr>
          <w:rFonts w:ascii="Times New Roman" w:hAnsi="Times New Roman"/>
        </w:rPr>
        <w:t xml:space="preserve"> the Corporate Sustainability Reporting Directive (CSRD)</w:t>
      </w:r>
      <w:r w:rsidRPr="001D13C7" w:rsidR="6C0B145F">
        <w:rPr>
          <w:rFonts w:ascii="Times New Roman" w:hAnsi="Times New Roman"/>
        </w:rPr>
        <w:t xml:space="preserve"> and the Sustainable Finance Disclosure Regulation</w:t>
      </w:r>
      <w:r w:rsidRPr="001D13C7">
        <w:rPr>
          <w:rFonts w:ascii="Times New Roman" w:hAnsi="Times New Roman"/>
        </w:rPr>
        <w:t>.</w:t>
      </w:r>
    </w:p>
    <w:p w:rsidR="00461990" w:rsidRPr="001D13C7" w:rsidP="00307C46" w14:paraId="668655F6" w14:textId="1849AC2D">
      <w:pPr>
        <w:spacing w:line="240" w:lineRule="auto"/>
        <w:jc w:val="both"/>
        <w:rPr>
          <w:rFonts w:ascii="Times New Roman" w:hAnsi="Times New Roman"/>
        </w:rPr>
      </w:pPr>
      <w:r w:rsidRPr="001D13C7">
        <w:rPr>
          <w:rFonts w:ascii="Times New Roman" w:hAnsi="Times New Roman"/>
        </w:rPr>
        <w:t xml:space="preserve">The </w:t>
      </w:r>
      <w:r w:rsidRPr="001D13C7">
        <w:rPr>
          <w:rFonts w:ascii="Times New Roman" w:hAnsi="Times New Roman"/>
        </w:rPr>
        <w:t xml:space="preserve">Commission notes that </w:t>
      </w:r>
      <w:r w:rsidRPr="001D13C7" w:rsidR="005554A7">
        <w:rPr>
          <w:rFonts w:ascii="Times New Roman" w:eastAsia="Times New Roman" w:hAnsi="Times New Roman" w:cs="Times New Roman"/>
        </w:rPr>
        <w:t xml:space="preserve">the </w:t>
      </w:r>
      <w:r w:rsidRPr="001D13C7">
        <w:rPr>
          <w:rFonts w:ascii="Times New Roman" w:hAnsi="Times New Roman"/>
        </w:rPr>
        <w:t xml:space="preserve">main goal of </w:t>
      </w:r>
      <w:r w:rsidRPr="001D13C7" w:rsidR="005554A7">
        <w:rPr>
          <w:rFonts w:ascii="Times New Roman" w:eastAsia="Times New Roman" w:hAnsi="Times New Roman" w:cs="Times New Roman"/>
        </w:rPr>
        <w:t>the</w:t>
      </w:r>
      <w:r w:rsidRPr="001D13C7" w:rsidR="005554A7">
        <w:rPr>
          <w:rFonts w:ascii="Times New Roman" w:hAnsi="Times New Roman"/>
        </w:rPr>
        <w:t xml:space="preserve"> </w:t>
      </w:r>
      <w:r w:rsidRPr="001D13C7">
        <w:rPr>
          <w:rFonts w:ascii="Times New Roman" w:hAnsi="Times New Roman"/>
        </w:rPr>
        <w:t>simplification is to boost private investment in sustainable activities while removing unnecessary barriers and complexity</w:t>
      </w:r>
      <w:r w:rsidRPr="001D13C7" w:rsidR="07BBED1A">
        <w:rPr>
          <w:rFonts w:ascii="Times New Roman" w:eastAsia="Times New Roman" w:hAnsi="Times New Roman" w:cs="Times New Roman"/>
        </w:rPr>
        <w:t xml:space="preserve">. Omnibus I on sustainability reporting, which entered into </w:t>
      </w:r>
      <w:r w:rsidRPr="00307C46" w:rsidR="07BBED1A">
        <w:rPr>
          <w:rFonts w:ascii="Times New Roman" w:hAnsi="Times New Roman"/>
        </w:rPr>
        <w:t>force</w:t>
      </w:r>
      <w:r w:rsidRPr="001D13C7" w:rsidR="07BBED1A">
        <w:rPr>
          <w:rFonts w:ascii="Times New Roman" w:eastAsia="Times New Roman" w:hAnsi="Times New Roman" w:cs="Times New Roman"/>
        </w:rPr>
        <w:t xml:space="preserve"> </w:t>
      </w:r>
      <w:r w:rsidRPr="001D13C7" w:rsidR="001D13C7">
        <w:rPr>
          <w:rFonts w:ascii="Times New Roman" w:eastAsia="Times New Roman" w:hAnsi="Times New Roman" w:cs="Times New Roman"/>
        </w:rPr>
        <w:t>on</w:t>
      </w:r>
      <w:r w:rsidRPr="001D13C7" w:rsidR="07BBED1A">
        <w:rPr>
          <w:rFonts w:ascii="Times New Roman" w:eastAsia="Times New Roman" w:hAnsi="Times New Roman" w:cs="Times New Roman"/>
        </w:rPr>
        <w:t xml:space="preserve"> </w:t>
      </w:r>
      <w:r w:rsidRPr="001D13C7" w:rsidR="2C1573EB">
        <w:rPr>
          <w:rFonts w:ascii="Times New Roman" w:eastAsia="Times New Roman" w:hAnsi="Times New Roman" w:cs="Times New Roman"/>
        </w:rPr>
        <w:t>18</w:t>
      </w:r>
      <w:r w:rsidRPr="001D13C7" w:rsidR="0C71F78C">
        <w:rPr>
          <w:rFonts w:ascii="Times New Roman" w:eastAsia="Times New Roman" w:hAnsi="Times New Roman" w:cs="Times New Roman"/>
        </w:rPr>
        <w:t xml:space="preserve"> March</w:t>
      </w:r>
      <w:r w:rsidRPr="001D13C7" w:rsidR="07BBED1A">
        <w:rPr>
          <w:rFonts w:ascii="Times New Roman" w:eastAsia="Times New Roman" w:hAnsi="Times New Roman" w:cs="Times New Roman"/>
        </w:rPr>
        <w:t xml:space="preserve"> 2026,</w:t>
      </w:r>
      <w:r w:rsidRPr="001D13C7">
        <w:rPr>
          <w:rFonts w:ascii="Times New Roman" w:hAnsi="Times New Roman"/>
        </w:rPr>
        <w:t xml:space="preserve"> streamlines transparency obligations</w:t>
      </w:r>
      <w:r w:rsidR="00067DF2">
        <w:rPr>
          <w:rFonts w:ascii="Times New Roman" w:hAnsi="Times New Roman"/>
        </w:rPr>
        <w:t xml:space="preserve"> and adjusts their scope of application</w:t>
      </w:r>
      <w:r w:rsidRPr="001D13C7">
        <w:rPr>
          <w:rFonts w:ascii="Times New Roman" w:hAnsi="Times New Roman"/>
        </w:rPr>
        <w:t xml:space="preserve"> </w:t>
      </w:r>
      <w:r w:rsidRPr="001D13C7" w:rsidR="08AEEE20">
        <w:rPr>
          <w:rFonts w:ascii="Times New Roman" w:eastAsia="Times New Roman" w:hAnsi="Times New Roman" w:cs="Times New Roman"/>
        </w:rPr>
        <w:t xml:space="preserve">while respecting the original objectives </w:t>
      </w:r>
      <w:r w:rsidRPr="001D13C7" w:rsidR="5DBC11F3">
        <w:rPr>
          <w:rFonts w:ascii="Times New Roman" w:eastAsia="Times New Roman" w:hAnsi="Times New Roman" w:cs="Times New Roman"/>
        </w:rPr>
        <w:t>of the frameworks</w:t>
      </w:r>
      <w:r w:rsidR="009C026A">
        <w:rPr>
          <w:rFonts w:ascii="Times New Roman" w:eastAsia="Times New Roman" w:hAnsi="Times New Roman" w:cs="Times New Roman"/>
        </w:rPr>
        <w:t>.</w:t>
      </w:r>
    </w:p>
    <w:p w:rsidR="00C6543F" w:rsidRPr="001D13C7" w:rsidP="00307C46" w14:paraId="2F973AED" w14:textId="3655F295">
      <w:pPr>
        <w:spacing w:line="240" w:lineRule="auto"/>
        <w:jc w:val="both"/>
        <w:rPr>
          <w:rFonts w:ascii="Times New Roman" w:hAnsi="Times New Roman"/>
        </w:rPr>
      </w:pPr>
      <w:r w:rsidRPr="001D13C7">
        <w:rPr>
          <w:rFonts w:ascii="Times New Roman" w:eastAsia="Times New Roman" w:hAnsi="Times New Roman" w:cs="Times New Roman"/>
        </w:rPr>
        <w:t>Th</w:t>
      </w:r>
      <w:r w:rsidRPr="001D13C7" w:rsidR="005554A7">
        <w:rPr>
          <w:rFonts w:ascii="Times New Roman" w:eastAsia="Times New Roman" w:hAnsi="Times New Roman" w:cs="Times New Roman"/>
        </w:rPr>
        <w:t>at</w:t>
      </w:r>
      <w:r w:rsidRPr="001D13C7">
        <w:rPr>
          <w:rFonts w:ascii="Times New Roman" w:hAnsi="Times New Roman"/>
        </w:rPr>
        <w:t xml:space="preserve"> approach to reporting aims to meet sustainability goals while adopting a proportionate system, limiting reporting burdens cascading down to </w:t>
      </w:r>
      <w:r w:rsidR="001F3F68">
        <w:rPr>
          <w:rFonts w:ascii="Times New Roman" w:hAnsi="Times New Roman"/>
        </w:rPr>
        <w:t xml:space="preserve">smaller corporates, including </w:t>
      </w:r>
      <w:r w:rsidRPr="001D13C7">
        <w:rPr>
          <w:rFonts w:ascii="Times New Roman" w:hAnsi="Times New Roman"/>
        </w:rPr>
        <w:t>SMEs. Large companies, whose combined environmental impact remains most significant, will still face strict transparency requirements.</w:t>
      </w:r>
    </w:p>
    <w:p w:rsidR="00C6543F" w:rsidRPr="001D13C7" w:rsidP="00307C46" w14:paraId="7125329E" w14:textId="5D5F087F">
      <w:pPr>
        <w:spacing w:line="240" w:lineRule="auto"/>
        <w:jc w:val="both"/>
        <w:rPr>
          <w:rFonts w:ascii="Times New Roman" w:hAnsi="Times New Roman"/>
        </w:rPr>
      </w:pPr>
      <w:r w:rsidRPr="001D13C7">
        <w:rPr>
          <w:rFonts w:ascii="Times New Roman" w:hAnsi="Times New Roman"/>
        </w:rPr>
        <w:t xml:space="preserve">The </w:t>
      </w:r>
      <w:r w:rsidRPr="001D13C7" w:rsidR="00461990">
        <w:rPr>
          <w:rFonts w:ascii="Times New Roman" w:hAnsi="Times New Roman"/>
        </w:rPr>
        <w:t xml:space="preserve">Commission notes that the </w:t>
      </w:r>
      <w:r w:rsidRPr="001D13C7">
        <w:rPr>
          <w:rFonts w:ascii="Times New Roman" w:hAnsi="Times New Roman"/>
        </w:rPr>
        <w:t xml:space="preserve">implementation of </w:t>
      </w:r>
      <w:r w:rsidRPr="001D13C7" w:rsidR="2CB93D23">
        <w:rPr>
          <w:rFonts w:ascii="Times New Roman" w:hAnsi="Times New Roman"/>
        </w:rPr>
        <w:t>the sixth Capital Requirements Directive (</w:t>
      </w:r>
      <w:r w:rsidRPr="001D13C7">
        <w:rPr>
          <w:rFonts w:ascii="Times New Roman" w:hAnsi="Times New Roman"/>
        </w:rPr>
        <w:t>CRD VI</w:t>
      </w:r>
      <w:r w:rsidRPr="001D13C7" w:rsidR="7068C7C7">
        <w:rPr>
          <w:rFonts w:ascii="Times New Roman" w:hAnsi="Times New Roman"/>
        </w:rPr>
        <w:t>)</w:t>
      </w:r>
      <w:r w:rsidRPr="001D13C7">
        <w:rPr>
          <w:rFonts w:ascii="Times New Roman" w:hAnsi="Times New Roman"/>
        </w:rPr>
        <w:t xml:space="preserve"> aligns with </w:t>
      </w:r>
      <w:r w:rsidRPr="00307C46">
        <w:rPr>
          <w:rFonts w:ascii="Times New Roman" w:hAnsi="Times New Roman"/>
        </w:rPr>
        <w:t>th</w:t>
      </w:r>
      <w:r w:rsidRPr="00307C46" w:rsidR="005554A7">
        <w:rPr>
          <w:rFonts w:ascii="Times New Roman" w:hAnsi="Times New Roman"/>
        </w:rPr>
        <w:t>at</w:t>
      </w:r>
      <w:r w:rsidRPr="001D13C7">
        <w:rPr>
          <w:rFonts w:ascii="Times New Roman" w:hAnsi="Times New Roman"/>
        </w:rPr>
        <w:t xml:space="preserve"> approach, setting clear climate risk management and mitigation requirements for banks. In particular, </w:t>
      </w:r>
      <w:r w:rsidR="00067DF2">
        <w:rPr>
          <w:rFonts w:ascii="Times New Roman" w:hAnsi="Times New Roman"/>
        </w:rPr>
        <w:t>b</w:t>
      </w:r>
      <w:r w:rsidRPr="001D13C7">
        <w:rPr>
          <w:rFonts w:ascii="Times New Roman" w:hAnsi="Times New Roman"/>
        </w:rPr>
        <w:t xml:space="preserve">anks must develop specific transition risk plans ("prudential transition plans") over a medium- to long-term horizon. The </w:t>
      </w:r>
      <w:r w:rsidRPr="001D13C7" w:rsidR="0E0F5264">
        <w:rPr>
          <w:rFonts w:ascii="Times New Roman" w:hAnsi="Times New Roman"/>
        </w:rPr>
        <w:t>European Banking Authority (</w:t>
      </w:r>
      <w:r w:rsidRPr="001D13C7">
        <w:rPr>
          <w:rFonts w:ascii="Times New Roman" w:hAnsi="Times New Roman"/>
        </w:rPr>
        <w:t>EBA</w:t>
      </w:r>
      <w:r w:rsidRPr="001D13C7" w:rsidR="4A89A7C3">
        <w:rPr>
          <w:rFonts w:ascii="Times New Roman" w:hAnsi="Times New Roman"/>
        </w:rPr>
        <w:t>)</w:t>
      </w:r>
      <w:r w:rsidRPr="001D13C7">
        <w:rPr>
          <w:rFonts w:ascii="Times New Roman" w:hAnsi="Times New Roman"/>
        </w:rPr>
        <w:t xml:space="preserve"> published its </w:t>
      </w:r>
      <w:r w:rsidRPr="001D13C7" w:rsidR="799A2C8C">
        <w:rPr>
          <w:rFonts w:ascii="Times New Roman" w:hAnsi="Times New Roman"/>
        </w:rPr>
        <w:t>Environment</w:t>
      </w:r>
      <w:r w:rsidRPr="001D13C7" w:rsidR="55178258">
        <w:rPr>
          <w:rFonts w:ascii="Times New Roman" w:hAnsi="Times New Roman"/>
        </w:rPr>
        <w:t>al</w:t>
      </w:r>
      <w:r w:rsidRPr="001D13C7" w:rsidR="799A2C8C">
        <w:rPr>
          <w:rFonts w:ascii="Times New Roman" w:hAnsi="Times New Roman"/>
        </w:rPr>
        <w:t>, Social and Governance (</w:t>
      </w:r>
      <w:r w:rsidRPr="001D13C7">
        <w:rPr>
          <w:rFonts w:ascii="Times New Roman" w:hAnsi="Times New Roman"/>
        </w:rPr>
        <w:t>ESG</w:t>
      </w:r>
      <w:r w:rsidRPr="001D13C7" w:rsidR="2AF8420B">
        <w:rPr>
          <w:rFonts w:ascii="Times New Roman" w:hAnsi="Times New Roman"/>
        </w:rPr>
        <w:t>)</w:t>
      </w:r>
      <w:r w:rsidRPr="001D13C7">
        <w:rPr>
          <w:rFonts w:ascii="Times New Roman" w:hAnsi="Times New Roman"/>
        </w:rPr>
        <w:t xml:space="preserve"> risk management and governance guidelines in early 2025, which should facilitate compliance.</w:t>
      </w:r>
    </w:p>
    <w:p w:rsidR="00C6543F" w:rsidRPr="001D13C7" w:rsidP="00307C46" w14:paraId="616236B7" w14:textId="2CBC0B91">
      <w:pPr>
        <w:spacing w:line="240" w:lineRule="auto"/>
        <w:jc w:val="both"/>
        <w:rPr>
          <w:rFonts w:ascii="Times New Roman" w:hAnsi="Times New Roman"/>
        </w:rPr>
      </w:pPr>
      <w:r w:rsidRPr="001D13C7">
        <w:rPr>
          <w:rFonts w:ascii="Times New Roman" w:hAnsi="Times New Roman"/>
        </w:rPr>
        <w:t>Meanwhile, the Commission is ensuring coherence in the sustainable finance framework, particularly on transparency rules</w:t>
      </w:r>
      <w:r w:rsidRPr="001D13C7" w:rsidR="005554A7">
        <w:rPr>
          <w:rFonts w:ascii="Times New Roman" w:eastAsia="Times New Roman" w:hAnsi="Times New Roman" w:cs="Times New Roman"/>
        </w:rPr>
        <w:t>,</w:t>
      </w:r>
      <w:r w:rsidRPr="001D13C7" w:rsidR="00461990">
        <w:rPr>
          <w:rFonts w:ascii="Times New Roman" w:hAnsi="Times New Roman"/>
        </w:rPr>
        <w:t xml:space="preserve"> and is</w:t>
      </w:r>
      <w:r w:rsidRPr="001D13C7">
        <w:rPr>
          <w:rFonts w:ascii="Times New Roman" w:hAnsi="Times New Roman"/>
        </w:rPr>
        <w:t xml:space="preserve"> working closely with the EBA </w:t>
      </w:r>
      <w:r w:rsidR="001F3F68">
        <w:rPr>
          <w:rFonts w:ascii="Times New Roman" w:hAnsi="Times New Roman"/>
        </w:rPr>
        <w:t>on the ongoing</w:t>
      </w:r>
      <w:r w:rsidRPr="001D13C7" w:rsidR="001F3F68">
        <w:rPr>
          <w:rFonts w:ascii="Times New Roman" w:hAnsi="Times New Roman"/>
        </w:rPr>
        <w:t xml:space="preserve"> </w:t>
      </w:r>
      <w:r w:rsidRPr="001D13C7">
        <w:rPr>
          <w:rFonts w:ascii="Times New Roman" w:hAnsi="Times New Roman"/>
        </w:rPr>
        <w:t xml:space="preserve">review </w:t>
      </w:r>
      <w:r w:rsidR="001F3F68">
        <w:rPr>
          <w:rFonts w:ascii="Times New Roman" w:hAnsi="Times New Roman"/>
        </w:rPr>
        <w:t xml:space="preserve">of </w:t>
      </w:r>
      <w:r w:rsidRPr="001D13C7">
        <w:rPr>
          <w:rFonts w:ascii="Times New Roman" w:hAnsi="Times New Roman"/>
        </w:rPr>
        <w:t xml:space="preserve">Pillar 3 ESG disclosure requirements, ensuring prudential obligations align with the reduced reporting scope under the Omnibus </w:t>
      </w:r>
      <w:r w:rsidR="001F3F68">
        <w:rPr>
          <w:rFonts w:ascii="Times New Roman" w:hAnsi="Times New Roman"/>
        </w:rPr>
        <w:t xml:space="preserve">I </w:t>
      </w:r>
      <w:r w:rsidRPr="001D13C7">
        <w:rPr>
          <w:rFonts w:ascii="Times New Roman" w:hAnsi="Times New Roman"/>
        </w:rPr>
        <w:t>reform and the adjustment to the Taxonomy disclosures.</w:t>
      </w:r>
    </w:p>
    <w:p w:rsidR="0083167E" w:rsidRPr="001D13C7" w:rsidP="0083167E" w14:paraId="32B4072F" w14:textId="21D5DB49">
      <w:pPr>
        <w:spacing w:after="0" w:line="240" w:lineRule="auto"/>
        <w:jc w:val="both"/>
        <w:rPr>
          <w:rFonts w:ascii="Times New Roman" w:hAnsi="Times New Roman"/>
        </w:rPr>
      </w:pPr>
      <w:r w:rsidRPr="001D13C7">
        <w:rPr>
          <w:rFonts w:ascii="Times New Roman" w:hAnsi="Times New Roman"/>
          <w:b/>
        </w:rPr>
        <w:t>In paragraph 5, t</w:t>
      </w:r>
      <w:r w:rsidRPr="001D13C7">
        <w:rPr>
          <w:rFonts w:ascii="Times New Roman" w:hAnsi="Times New Roman"/>
          <w:b/>
        </w:rPr>
        <w:t xml:space="preserve">he </w:t>
      </w:r>
      <w:r w:rsidRPr="001D13C7">
        <w:rPr>
          <w:rFonts w:ascii="Times New Roman" w:hAnsi="Times New Roman"/>
          <w:b/>
        </w:rPr>
        <w:t>European Parliament</w:t>
      </w:r>
      <w:r w:rsidRPr="001D13C7">
        <w:rPr>
          <w:rFonts w:ascii="Times New Roman" w:hAnsi="Times New Roman"/>
          <w:b/>
        </w:rPr>
        <w:t xml:space="preserve"> </w:t>
      </w:r>
      <w:r w:rsidRPr="001D13C7">
        <w:rPr>
          <w:rFonts w:ascii="Times New Roman" w:hAnsi="Times New Roman"/>
          <w:b/>
        </w:rPr>
        <w:t>underlines</w:t>
      </w:r>
      <w:r w:rsidRPr="001D13C7">
        <w:rPr>
          <w:rFonts w:ascii="Times New Roman" w:hAnsi="Times New Roman"/>
          <w:b/>
        </w:rPr>
        <w:t xml:space="preserve"> the remaining barriers to cross-border retail banking services</w:t>
      </w:r>
      <w:r w:rsidRPr="001D13C7">
        <w:rPr>
          <w:rFonts w:ascii="Times New Roman" w:hAnsi="Times New Roman"/>
        </w:rPr>
        <w:t>. The report acknowledges</w:t>
      </w:r>
      <w:r w:rsidRPr="001D13C7">
        <w:rPr>
          <w:rFonts w:ascii="Times New Roman" w:hAnsi="Times New Roman"/>
        </w:rPr>
        <w:t xml:space="preserve"> the institutional and regulatory progress that has strengthened the resilience of euro area banks while noting that significant barriers to a full single market for financial services persist. </w:t>
      </w:r>
      <w:r w:rsidRPr="001D13C7" w:rsidR="005E4B7C">
        <w:rPr>
          <w:rFonts w:ascii="Times New Roman" w:hAnsi="Times New Roman"/>
        </w:rPr>
        <w:t>It calls</w:t>
      </w:r>
      <w:r w:rsidRPr="001D13C7">
        <w:rPr>
          <w:rFonts w:ascii="Times New Roman" w:hAnsi="Times New Roman"/>
        </w:rPr>
        <w:t xml:space="preserve"> on the Commission, Member States and </w:t>
      </w:r>
      <w:r w:rsidRPr="001D13C7" w:rsidR="00CE71EC">
        <w:rPr>
          <w:rFonts w:ascii="Times New Roman" w:hAnsi="Times New Roman"/>
        </w:rPr>
        <w:t xml:space="preserve">EU </w:t>
      </w:r>
      <w:r w:rsidRPr="001D13C7">
        <w:rPr>
          <w:rFonts w:ascii="Times New Roman" w:hAnsi="Times New Roman"/>
        </w:rPr>
        <w:t>bodies to match ambition with concrete steps on the SIU and simplification</w:t>
      </w:r>
      <w:r w:rsidRPr="001D13C7">
        <w:rPr>
          <w:rFonts w:ascii="Times New Roman" w:hAnsi="Times New Roman"/>
        </w:rPr>
        <w:t xml:space="preserve"> and</w:t>
      </w:r>
      <w:r w:rsidRPr="001D13C7">
        <w:rPr>
          <w:rFonts w:ascii="Times New Roman" w:hAnsi="Times New Roman"/>
        </w:rPr>
        <w:t xml:space="preserve"> asks the Commission to propose meaningful actions in its 2026 </w:t>
      </w:r>
      <w:r w:rsidRPr="00327670" w:rsidR="00327670">
        <w:rPr>
          <w:rFonts w:ascii="Times New Roman" w:hAnsi="Times New Roman"/>
        </w:rPr>
        <w:t>report on the competitiveness of the EU banking sector</w:t>
      </w:r>
      <w:r w:rsidRPr="001D13C7">
        <w:rPr>
          <w:rFonts w:ascii="Times New Roman" w:hAnsi="Times New Roman"/>
        </w:rPr>
        <w:t>, while preserving banks' role in financing the green and digital transitions</w:t>
      </w:r>
      <w:r w:rsidR="00A85F8E">
        <w:rPr>
          <w:rFonts w:ascii="Times New Roman" w:hAnsi="Times New Roman"/>
        </w:rPr>
        <w:t xml:space="preserve"> (</w:t>
      </w:r>
      <w:r w:rsidR="009906BC">
        <w:rPr>
          <w:rFonts w:ascii="Times New Roman" w:hAnsi="Times New Roman"/>
        </w:rPr>
        <w:t xml:space="preserve">see also </w:t>
      </w:r>
      <w:r w:rsidR="00A85F8E">
        <w:rPr>
          <w:rFonts w:ascii="Times New Roman" w:hAnsi="Times New Roman"/>
        </w:rPr>
        <w:t>paragraph 12).</w:t>
      </w:r>
    </w:p>
    <w:p w:rsidR="0083167E" w:rsidRPr="001D13C7" w:rsidP="0083167E" w14:paraId="70ABEA6C" w14:textId="77777777">
      <w:pPr>
        <w:spacing w:after="0" w:line="240" w:lineRule="auto"/>
        <w:jc w:val="both"/>
        <w:rPr>
          <w:rFonts w:ascii="Times New Roman" w:hAnsi="Times New Roman"/>
        </w:rPr>
      </w:pPr>
    </w:p>
    <w:p w:rsidR="0083167E" w:rsidRPr="001D13C7" w:rsidP="003F3B22" w14:paraId="30E51A1F" w14:textId="2225EBD3">
      <w:pPr>
        <w:spacing w:after="0" w:line="240" w:lineRule="auto"/>
        <w:jc w:val="both"/>
        <w:rPr>
          <w:rFonts w:ascii="Times New Roman" w:hAnsi="Times New Roman"/>
          <w:color w:val="000000" w:themeColor="text1"/>
        </w:rPr>
      </w:pPr>
      <w:r w:rsidRPr="001D13C7">
        <w:rPr>
          <w:rFonts w:ascii="Times New Roman" w:hAnsi="Times New Roman"/>
        </w:rPr>
        <w:t xml:space="preserve">The Commission </w:t>
      </w:r>
      <w:r w:rsidRPr="001D13C7">
        <w:rPr>
          <w:rFonts w:ascii="Times New Roman" w:eastAsia="Times New Roman" w:hAnsi="Times New Roman" w:cs="Times New Roman"/>
        </w:rPr>
        <w:t>acknowledge</w:t>
      </w:r>
      <w:r w:rsidRPr="001D13C7" w:rsidR="522811AF">
        <w:rPr>
          <w:rFonts w:ascii="Times New Roman" w:eastAsia="Times New Roman" w:hAnsi="Times New Roman" w:cs="Times New Roman"/>
        </w:rPr>
        <w:t>s</w:t>
      </w:r>
      <w:r w:rsidRPr="001D13C7">
        <w:rPr>
          <w:rFonts w:ascii="Times New Roman" w:hAnsi="Times New Roman"/>
        </w:rPr>
        <w:t xml:space="preserve"> that f</w:t>
      </w:r>
      <w:r w:rsidRPr="001D13C7">
        <w:rPr>
          <w:rFonts w:ascii="Times New Roman" w:hAnsi="Times New Roman"/>
        </w:rPr>
        <w:t xml:space="preserve">ragmentation persists across capital and liquidity allocation within groups, supervisory practices, macroprudential calibration, and non-prudential rules (insolvency, tax, consumer protection, product offering). </w:t>
      </w:r>
      <w:r w:rsidRPr="001D13C7" w:rsidR="00BE5AF8">
        <w:rPr>
          <w:rFonts w:ascii="Times New Roman" w:hAnsi="Times New Roman"/>
        </w:rPr>
        <w:t>It notes that c</w:t>
      </w:r>
      <w:r w:rsidRPr="001D13C7">
        <w:rPr>
          <w:rFonts w:ascii="Times New Roman" w:hAnsi="Times New Roman"/>
        </w:rPr>
        <w:t>ross-border consolidation has been limited despite the single rulebook and passporting</w:t>
      </w:r>
      <w:r w:rsidRPr="001D13C7" w:rsidR="00BE5AF8">
        <w:rPr>
          <w:rFonts w:ascii="Times New Roman" w:hAnsi="Times New Roman"/>
        </w:rPr>
        <w:t xml:space="preserve"> and that</w:t>
      </w:r>
      <w:r w:rsidRPr="001D13C7">
        <w:rPr>
          <w:rFonts w:ascii="Times New Roman" w:hAnsi="Times New Roman"/>
        </w:rPr>
        <w:t xml:space="preserve"> cross-border banking activity in the euro area has not grown materially over the past decade.</w:t>
      </w:r>
      <w:r w:rsidRPr="001D13C7">
        <w:rPr>
          <w:rFonts w:ascii="Times New Roman" w:hAnsi="Times New Roman"/>
          <w:color w:val="000000" w:themeColor="text1"/>
        </w:rPr>
        <w:t xml:space="preserve"> </w:t>
      </w:r>
      <w:r w:rsidRPr="001D13C7" w:rsidR="00BE5AF8">
        <w:rPr>
          <w:rFonts w:ascii="Times New Roman" w:hAnsi="Times New Roman"/>
          <w:color w:val="000000" w:themeColor="text1"/>
        </w:rPr>
        <w:t>The Commission agrees that i</w:t>
      </w:r>
      <w:r w:rsidRPr="001D13C7">
        <w:rPr>
          <w:rFonts w:ascii="Times New Roman" w:hAnsi="Times New Roman"/>
          <w:color w:val="000000" w:themeColor="text1"/>
        </w:rPr>
        <w:t xml:space="preserve">ncreasing cross-border integration and facilitating cross-border provision of banking services is key to </w:t>
      </w:r>
      <w:r w:rsidRPr="001D13C7" w:rsidR="005554A7">
        <w:rPr>
          <w:rFonts w:ascii="Times New Roman" w:eastAsia="Times New Roman" w:hAnsi="Times New Roman" w:cs="Times New Roman"/>
          <w:color w:val="000000" w:themeColor="text1"/>
        </w:rPr>
        <w:t xml:space="preserve">the </w:t>
      </w:r>
      <w:r w:rsidRPr="001D13C7">
        <w:rPr>
          <w:rFonts w:ascii="Times New Roman" w:hAnsi="Times New Roman"/>
          <w:color w:val="000000" w:themeColor="text1"/>
        </w:rPr>
        <w:t>EU banks’ scale-up and stimulation of competition to the benefit of citizens and companies</w:t>
      </w:r>
      <w:r w:rsidRPr="001D13C7" w:rsidR="00BE5AF8">
        <w:rPr>
          <w:rFonts w:ascii="Times New Roman" w:hAnsi="Times New Roman"/>
          <w:color w:val="000000" w:themeColor="text1"/>
        </w:rPr>
        <w:t xml:space="preserve"> as s</w:t>
      </w:r>
      <w:r w:rsidRPr="001D13C7">
        <w:rPr>
          <w:rFonts w:ascii="Times New Roman" w:hAnsi="Times New Roman"/>
          <w:color w:val="000000" w:themeColor="text1"/>
        </w:rPr>
        <w:t>cale is needed to be competitive as banking is a business with increasing returns to scale.</w:t>
      </w:r>
    </w:p>
    <w:p w:rsidR="0083167E" w:rsidRPr="001D13C7" w:rsidP="0083167E" w14:paraId="374BC110" w14:textId="77777777">
      <w:pPr>
        <w:spacing w:after="0" w:line="240" w:lineRule="auto"/>
        <w:jc w:val="both"/>
        <w:rPr>
          <w:rFonts w:ascii="Times New Roman" w:hAnsi="Times New Roman"/>
          <w:color w:val="000000" w:themeColor="text1"/>
        </w:rPr>
      </w:pPr>
    </w:p>
    <w:p w:rsidR="0083167E" w:rsidRPr="001D13C7" w:rsidP="003F3B22" w14:paraId="117B3639" w14:textId="510B64F3">
      <w:pPr>
        <w:spacing w:after="0" w:line="240" w:lineRule="auto"/>
        <w:jc w:val="both"/>
        <w:rPr>
          <w:rFonts w:ascii="Times New Roman" w:hAnsi="Times New Roman"/>
          <w:color w:val="000000" w:themeColor="text1"/>
        </w:rPr>
      </w:pPr>
      <w:r w:rsidRPr="001D13C7">
        <w:rPr>
          <w:rFonts w:ascii="Times New Roman" w:hAnsi="Times New Roman"/>
          <w:color w:val="000000" w:themeColor="text1"/>
        </w:rPr>
        <w:t xml:space="preserve">The </w:t>
      </w:r>
      <w:r w:rsidRPr="001D13C7" w:rsidR="00BE5AF8">
        <w:rPr>
          <w:rFonts w:ascii="Times New Roman" w:hAnsi="Times New Roman"/>
          <w:color w:val="000000" w:themeColor="text1"/>
        </w:rPr>
        <w:t xml:space="preserve">Commission notes that the </w:t>
      </w:r>
      <w:r w:rsidRPr="001D13C7">
        <w:rPr>
          <w:rFonts w:ascii="Times New Roman" w:hAnsi="Times New Roman"/>
          <w:color w:val="000000" w:themeColor="text1"/>
        </w:rPr>
        <w:t>fragmentation of the single market impairs the ability of the banking sector to support citizens and businesses, but also the financing of EU priorities in critical areas.</w:t>
      </w:r>
      <w:r w:rsidRPr="001D13C7" w:rsidR="005E4B7C">
        <w:rPr>
          <w:rFonts w:ascii="Times New Roman" w:hAnsi="Times New Roman"/>
          <w:color w:val="000000" w:themeColor="text1"/>
        </w:rPr>
        <w:t xml:space="preserve"> </w:t>
      </w:r>
      <w:r w:rsidRPr="001D13C7" w:rsidR="00BE5AF8">
        <w:rPr>
          <w:rFonts w:ascii="Times New Roman" w:hAnsi="Times New Roman"/>
          <w:color w:val="000000" w:themeColor="text1"/>
        </w:rPr>
        <w:t xml:space="preserve">It recalls that with regard to </w:t>
      </w:r>
      <w:r w:rsidRPr="001D13C7">
        <w:rPr>
          <w:rFonts w:ascii="Times New Roman" w:hAnsi="Times New Roman"/>
          <w:color w:val="000000" w:themeColor="text1"/>
        </w:rPr>
        <w:t>fragmentation arising from insolvency frameworks, Directive (EU) 2026/799, which was published in April 2026, harmonises key aspects of insolvency law across all Member States and thereby partially addresses such fragmentation.</w:t>
      </w:r>
    </w:p>
    <w:p w:rsidR="0083167E" w:rsidRPr="001D13C7" w:rsidP="0083167E" w14:paraId="60CA990E" w14:textId="77777777">
      <w:pPr>
        <w:spacing w:after="0" w:line="240" w:lineRule="auto"/>
        <w:jc w:val="both"/>
        <w:rPr>
          <w:rFonts w:ascii="Times New Roman" w:hAnsi="Times New Roman"/>
        </w:rPr>
      </w:pPr>
    </w:p>
    <w:p w:rsidR="0083167E" w:rsidRPr="001D13C7" w:rsidP="0083167E" w14:paraId="102E5A92" w14:textId="269BC3FE">
      <w:pPr>
        <w:spacing w:line="240" w:lineRule="auto"/>
        <w:jc w:val="both"/>
        <w:rPr>
          <w:rFonts w:ascii="Times New Roman" w:hAnsi="Times New Roman"/>
        </w:rPr>
      </w:pPr>
      <w:r w:rsidRPr="4BA82AFD">
        <w:rPr>
          <w:rFonts w:ascii="Times New Roman" w:hAnsi="Times New Roman"/>
          <w:b/>
          <w:bCs/>
        </w:rPr>
        <w:t>In paragraph 6, the European Parliament</w:t>
      </w:r>
      <w:r w:rsidRPr="4BA82AFD">
        <w:rPr>
          <w:rFonts w:ascii="Times New Roman" w:hAnsi="Times New Roman"/>
          <w:b/>
          <w:bCs/>
        </w:rPr>
        <w:t xml:space="preserve"> acknowledges</w:t>
      </w:r>
      <w:r w:rsidRPr="4BA82AFD">
        <w:rPr>
          <w:rFonts w:ascii="Times New Roman" w:hAnsi="Times New Roman"/>
        </w:rPr>
        <w:t xml:space="preserve"> </w:t>
      </w:r>
      <w:r w:rsidRPr="4BA82AFD">
        <w:rPr>
          <w:rFonts w:ascii="Times New Roman" w:hAnsi="Times New Roman"/>
          <w:b/>
          <w:bCs/>
        </w:rPr>
        <w:t>progress in digital euro’s negotiations</w:t>
      </w:r>
      <w:r w:rsidRPr="4BA82AFD">
        <w:rPr>
          <w:rFonts w:ascii="Times New Roman" w:hAnsi="Times New Roman"/>
          <w:b/>
          <w:bCs/>
        </w:rPr>
        <w:t xml:space="preserve"> </w:t>
      </w:r>
      <w:r w:rsidRPr="4BA82AFD">
        <w:rPr>
          <w:rFonts w:ascii="Times New Roman" w:hAnsi="Times New Roman"/>
        </w:rPr>
        <w:t>and</w:t>
      </w:r>
      <w:r w:rsidRPr="4BA82AFD">
        <w:rPr>
          <w:rFonts w:ascii="Times New Roman" w:hAnsi="Times New Roman"/>
          <w:b/>
          <w:bCs/>
        </w:rPr>
        <w:t xml:space="preserve"> </w:t>
      </w:r>
      <w:r w:rsidRPr="4BA82AFD">
        <w:rPr>
          <w:rFonts w:ascii="Times New Roman" w:hAnsi="Times New Roman"/>
        </w:rPr>
        <w:t>welcomes the digital euro’s potential to complement cash,</w:t>
      </w:r>
      <w:r w:rsidRPr="4BA82AFD">
        <w:rPr>
          <w:rFonts w:ascii="Times New Roman" w:hAnsi="Times New Roman"/>
        </w:rPr>
        <w:t xml:space="preserve"> to</w:t>
      </w:r>
      <w:r w:rsidRPr="4BA82AFD">
        <w:rPr>
          <w:rFonts w:ascii="Times New Roman" w:hAnsi="Times New Roman"/>
        </w:rPr>
        <w:t xml:space="preserve"> enhance the EU’s financial sovereignty and autonomy, and promote financial inclusion. </w:t>
      </w:r>
      <w:r w:rsidRPr="4BA82AFD">
        <w:rPr>
          <w:rFonts w:ascii="Times New Roman" w:hAnsi="Times New Roman"/>
        </w:rPr>
        <w:t>The report</w:t>
      </w:r>
      <w:r w:rsidRPr="4BA82AFD">
        <w:rPr>
          <w:rFonts w:ascii="Times New Roman" w:hAnsi="Times New Roman"/>
        </w:rPr>
        <w:t xml:space="preserve"> also welcomes the Council’s adoption of its General Approach on the Digital Euro Regulation in December 2025 and stresses the importance of Parliament finalising negotiations on its position swiftly.</w:t>
      </w:r>
    </w:p>
    <w:p w:rsidR="00E63B9D" w:rsidRPr="001D13C7" w:rsidP="17B2748B" w14:paraId="467C5BE7" w14:textId="4F3A5C17">
      <w:pPr>
        <w:spacing w:after="0" w:line="240" w:lineRule="auto"/>
        <w:jc w:val="both"/>
        <w:rPr>
          <w:rFonts w:ascii="Times New Roman" w:hAnsi="Times New Roman"/>
          <w:b/>
          <w:bCs/>
        </w:rPr>
      </w:pPr>
      <w:r w:rsidRPr="001D13C7">
        <w:rPr>
          <w:rFonts w:ascii="Times New Roman" w:hAnsi="Times New Roman"/>
        </w:rPr>
        <w:t>T</w:t>
      </w:r>
      <w:r w:rsidRPr="001D13C7">
        <w:rPr>
          <w:rFonts w:ascii="Times New Roman" w:hAnsi="Times New Roman"/>
        </w:rPr>
        <w:t xml:space="preserve">he Commission welcomes the European Parliament’s efforts to reach an agreement on the Digital Euro </w:t>
      </w:r>
      <w:r w:rsidRPr="001D13C7" w:rsidR="00E07661">
        <w:rPr>
          <w:rFonts w:ascii="Times New Roman" w:eastAsia="Times New Roman" w:hAnsi="Times New Roman" w:cs="Times New Roman"/>
        </w:rPr>
        <w:t xml:space="preserve">package </w:t>
      </w:r>
      <w:r w:rsidRPr="001D13C7" w:rsidR="00836F89">
        <w:rPr>
          <w:rFonts w:ascii="Times New Roman" w:hAnsi="Times New Roman"/>
        </w:rPr>
        <w:t xml:space="preserve">and </w:t>
      </w:r>
      <w:r w:rsidRPr="001D13C7" w:rsidR="00836F89">
        <w:rPr>
          <w:rFonts w:ascii="Times New Roman" w:eastAsia="Times New Roman" w:hAnsi="Times New Roman" w:cs="Times New Roman"/>
        </w:rPr>
        <w:t>note</w:t>
      </w:r>
      <w:r w:rsidRPr="001D13C7" w:rsidR="0051237E">
        <w:rPr>
          <w:rFonts w:ascii="Times New Roman" w:eastAsia="Times New Roman" w:hAnsi="Times New Roman" w:cs="Times New Roman"/>
        </w:rPr>
        <w:t>s</w:t>
      </w:r>
      <w:r w:rsidRPr="001D13C7" w:rsidR="00836F89">
        <w:rPr>
          <w:rFonts w:ascii="Times New Roman" w:hAnsi="Times New Roman"/>
        </w:rPr>
        <w:t xml:space="preserve"> that the</w:t>
      </w:r>
      <w:r w:rsidRPr="001D13C7">
        <w:rPr>
          <w:rFonts w:ascii="Times New Roman" w:hAnsi="Times New Roman"/>
        </w:rPr>
        <w:t xml:space="preserve"> digital euro would provide a European payments infrastructure </w:t>
      </w:r>
      <w:r w:rsidRPr="001D13C7" w:rsidR="00F132B2">
        <w:rPr>
          <w:rFonts w:ascii="Times New Roman" w:eastAsia="Times New Roman" w:hAnsi="Times New Roman" w:cs="Times New Roman"/>
        </w:rPr>
        <w:t>reducing</w:t>
      </w:r>
      <w:r w:rsidRPr="001D13C7">
        <w:rPr>
          <w:rFonts w:ascii="Times New Roman" w:hAnsi="Times New Roman"/>
        </w:rPr>
        <w:t xml:space="preserve"> dependencies and </w:t>
      </w:r>
      <w:r w:rsidRPr="001D13C7">
        <w:rPr>
          <w:rFonts w:ascii="Times New Roman" w:eastAsia="Times New Roman" w:hAnsi="Times New Roman" w:cs="Times New Roman"/>
        </w:rPr>
        <w:t>strengthen</w:t>
      </w:r>
      <w:r w:rsidRPr="001D13C7" w:rsidR="00F132B2">
        <w:rPr>
          <w:rFonts w:ascii="Times New Roman" w:eastAsia="Times New Roman" w:hAnsi="Times New Roman" w:cs="Times New Roman"/>
        </w:rPr>
        <w:t>ing</w:t>
      </w:r>
      <w:r w:rsidRPr="001D13C7">
        <w:rPr>
          <w:rFonts w:ascii="Times New Roman" w:hAnsi="Times New Roman"/>
        </w:rPr>
        <w:t xml:space="preserve"> </w:t>
      </w:r>
      <w:r w:rsidRPr="001D13C7" w:rsidR="0051237E">
        <w:rPr>
          <w:rFonts w:ascii="Times New Roman" w:eastAsia="Times New Roman" w:hAnsi="Times New Roman" w:cs="Times New Roman"/>
        </w:rPr>
        <w:t>the EU’s</w:t>
      </w:r>
      <w:r w:rsidRPr="001D13C7" w:rsidR="0051237E">
        <w:rPr>
          <w:rFonts w:ascii="Times New Roman" w:hAnsi="Times New Roman"/>
        </w:rPr>
        <w:t xml:space="preserve"> </w:t>
      </w:r>
      <w:r w:rsidRPr="001D13C7">
        <w:rPr>
          <w:rFonts w:ascii="Times New Roman" w:hAnsi="Times New Roman"/>
        </w:rPr>
        <w:t>strategic autonomy and resilience, while also supporting private initiatives to scale up across the euro area.</w:t>
      </w:r>
      <w:r w:rsidRPr="001D13C7">
        <w:rPr>
          <w:rFonts w:ascii="Times New Roman" w:hAnsi="Times New Roman"/>
        </w:rPr>
        <w:t xml:space="preserve"> </w:t>
      </w:r>
      <w:r w:rsidRPr="001D13C7" w:rsidR="00836F89">
        <w:rPr>
          <w:rFonts w:ascii="Times New Roman" w:hAnsi="Times New Roman"/>
        </w:rPr>
        <w:t xml:space="preserve">The Commission underlines that </w:t>
      </w:r>
      <w:r w:rsidRPr="001D13C7" w:rsidR="00836F89">
        <w:rPr>
          <w:rFonts w:ascii="Times New Roman" w:hAnsi="Times New Roman"/>
          <w:b/>
          <w:bCs/>
        </w:rPr>
        <w:t>i</w:t>
      </w:r>
      <w:r w:rsidRPr="001D13C7">
        <w:rPr>
          <w:rFonts w:ascii="Times New Roman" w:hAnsi="Times New Roman"/>
          <w:b/>
          <w:bCs/>
        </w:rPr>
        <w:t xml:space="preserve">n light of recent geopolitical developments and the agreement on the 'One Europe, One Market' Roadmap, </w:t>
      </w:r>
      <w:r w:rsidRPr="001D13C7" w:rsidR="00500232">
        <w:rPr>
          <w:rFonts w:ascii="Times New Roman" w:eastAsia="Times New Roman" w:hAnsi="Times New Roman" w:cs="Times New Roman"/>
          <w:b/>
          <w:bCs/>
        </w:rPr>
        <w:t>in order to conclude the negotiations by</w:t>
      </w:r>
      <w:r w:rsidRPr="001D13C7">
        <w:rPr>
          <w:rFonts w:ascii="Times New Roman" w:hAnsi="Times New Roman"/>
          <w:b/>
          <w:bCs/>
        </w:rPr>
        <w:t xml:space="preserve"> the end of this year</w:t>
      </w:r>
      <w:r w:rsidRPr="001D13C7" w:rsidR="00500232">
        <w:rPr>
          <w:rFonts w:ascii="Times New Roman" w:eastAsia="Times New Roman" w:hAnsi="Times New Roman" w:cs="Times New Roman"/>
          <w:b/>
          <w:bCs/>
        </w:rPr>
        <w:t xml:space="preserve">, it </w:t>
      </w:r>
      <w:r w:rsidRPr="001D13C7" w:rsidR="00731BF2">
        <w:rPr>
          <w:rFonts w:ascii="Times New Roman" w:eastAsia="Times New Roman" w:hAnsi="Times New Roman" w:cs="Times New Roman"/>
          <w:b/>
          <w:bCs/>
        </w:rPr>
        <w:t xml:space="preserve">is crucial that the </w:t>
      </w:r>
      <w:r w:rsidRPr="001D13C7" w:rsidR="006167DB">
        <w:rPr>
          <w:rFonts w:ascii="Times New Roman" w:eastAsia="Times New Roman" w:hAnsi="Times New Roman" w:cs="Times New Roman"/>
          <w:b/>
          <w:bCs/>
        </w:rPr>
        <w:t>Parliament’s</w:t>
      </w:r>
      <w:r w:rsidRPr="001D13C7" w:rsidR="00643463">
        <w:rPr>
          <w:rFonts w:ascii="Times New Roman" w:eastAsia="Times New Roman" w:hAnsi="Times New Roman" w:cs="Times New Roman"/>
          <w:b/>
          <w:bCs/>
        </w:rPr>
        <w:t xml:space="preserve"> negotiating position is </w:t>
      </w:r>
      <w:r w:rsidRPr="001D13C7" w:rsidR="006944DD">
        <w:rPr>
          <w:rFonts w:ascii="Times New Roman" w:eastAsia="Times New Roman" w:hAnsi="Times New Roman" w:cs="Times New Roman"/>
          <w:b/>
          <w:bCs/>
        </w:rPr>
        <w:t xml:space="preserve">agreed </w:t>
      </w:r>
      <w:r w:rsidRPr="001D13C7" w:rsidR="006167DB">
        <w:rPr>
          <w:rFonts w:ascii="Times New Roman" w:eastAsia="Times New Roman" w:hAnsi="Times New Roman" w:cs="Times New Roman"/>
          <w:b/>
          <w:bCs/>
        </w:rPr>
        <w:t>very soon</w:t>
      </w:r>
      <w:r w:rsidRPr="001D13C7">
        <w:rPr>
          <w:rFonts w:ascii="Times New Roman" w:hAnsi="Times New Roman"/>
        </w:rPr>
        <w:t>.</w:t>
      </w:r>
    </w:p>
    <w:p w:rsidR="005E4B7C" w:rsidRPr="001D13C7" w:rsidP="005E4B7C" w14:paraId="0BA68090" w14:textId="7E624395">
      <w:pPr>
        <w:spacing w:before="240" w:after="240" w:line="240" w:lineRule="auto"/>
        <w:jc w:val="both"/>
        <w:rPr>
          <w:rFonts w:ascii="Times New Roman" w:hAnsi="Times New Roman"/>
        </w:rPr>
      </w:pPr>
      <w:r w:rsidRPr="001D13C7">
        <w:rPr>
          <w:rFonts w:ascii="Times New Roman" w:hAnsi="Times New Roman"/>
          <w:b/>
          <w:bCs/>
        </w:rPr>
        <w:t xml:space="preserve">In paragraph 7, the European Parliament </w:t>
      </w:r>
      <w:r w:rsidRPr="001D13C7">
        <w:rPr>
          <w:rFonts w:ascii="Times New Roman" w:hAnsi="Times New Roman"/>
          <w:b/>
          <w:bCs/>
        </w:rPr>
        <w:t>considers the progress on gender balance in financial institutions to be limited</w:t>
      </w:r>
      <w:r w:rsidRPr="001D13C7">
        <w:rPr>
          <w:rFonts w:ascii="Times New Roman" w:hAnsi="Times New Roman"/>
        </w:rPr>
        <w:t>, especially in management</w:t>
      </w:r>
      <w:r w:rsidRPr="001D13C7" w:rsidR="0051237E">
        <w:rPr>
          <w:rFonts w:ascii="Times New Roman" w:eastAsia="Times New Roman" w:hAnsi="Times New Roman" w:cs="Times New Roman"/>
        </w:rPr>
        <w:t>,</w:t>
      </w:r>
      <w:r w:rsidRPr="001D13C7">
        <w:rPr>
          <w:rFonts w:ascii="Times New Roman" w:hAnsi="Times New Roman"/>
        </w:rPr>
        <w:t xml:space="preserve"> and stresses that diverse leadership and better access to finance for women-led firms enhance governance, innovation</w:t>
      </w:r>
      <w:r w:rsidRPr="001D13C7" w:rsidR="74187FA2">
        <w:rPr>
          <w:rFonts w:ascii="Times New Roman" w:hAnsi="Times New Roman"/>
        </w:rPr>
        <w:t xml:space="preserve"> </w:t>
      </w:r>
      <w:r w:rsidRPr="001D13C7">
        <w:rPr>
          <w:rFonts w:ascii="Times New Roman" w:hAnsi="Times New Roman"/>
        </w:rPr>
        <w:t>and economic performance</w:t>
      </w:r>
      <w:r w:rsidRPr="001D13C7">
        <w:rPr>
          <w:rFonts w:ascii="Times New Roman" w:hAnsi="Times New Roman"/>
        </w:rPr>
        <w:t>. The report calls on financial institutions, stakeholders, the Commission and Member States to adopt effective diversity strategies, monitor gender gaps and embed gender equality in supervisory and investment frameworks.</w:t>
      </w:r>
      <w:r w:rsidRPr="001D13C7">
        <w:rPr>
          <w:rFonts w:ascii="Times New Roman" w:hAnsi="Times New Roman"/>
        </w:rPr>
        <w:t xml:space="preserve"> </w:t>
      </w:r>
    </w:p>
    <w:p w:rsidR="005E4B7C" w:rsidRPr="001D13C7" w:rsidP="00307C46" w14:paraId="0D9ED248" w14:textId="211D32DA">
      <w:pPr>
        <w:spacing w:before="240" w:after="240" w:line="240" w:lineRule="auto"/>
        <w:jc w:val="both"/>
        <w:rPr>
          <w:rFonts w:ascii="Times New Roman" w:hAnsi="Times New Roman"/>
        </w:rPr>
      </w:pPr>
      <w:r w:rsidRPr="001D13C7">
        <w:rPr>
          <w:rFonts w:ascii="Times New Roman" w:hAnsi="Times New Roman"/>
        </w:rPr>
        <w:t xml:space="preserve">The Commission notes that </w:t>
      </w:r>
      <w:r w:rsidRPr="001D13C7">
        <w:rPr>
          <w:rFonts w:ascii="Times New Roman" w:hAnsi="Times New Roman"/>
        </w:rPr>
        <w:t>EU legislation prohibits discrimination in the workplace and promotes diversity and gender balance, including in financial institutions. First, Directive 2006/54/EC on gender equality in employment and occupation consolidates the EU legal framework on gender equality in employment and occupation and ensures, inter alia, the equal treatment of women and men in relation to access to employment, working conditions, and career progression, including promotion. Furthermore, Directive 2022/2381 on gender balance on company boards requires Member States to ensure that large</w:t>
      </w:r>
      <w:r w:rsidR="00811E68">
        <w:rPr>
          <w:rFonts w:ascii="Times New Roman" w:hAnsi="Times New Roman"/>
        </w:rPr>
        <w:t>,</w:t>
      </w:r>
      <w:r w:rsidRPr="001D13C7">
        <w:rPr>
          <w:rFonts w:ascii="Times New Roman" w:hAnsi="Times New Roman"/>
        </w:rPr>
        <w:t xml:space="preserve"> listed companies, including listed banks, are required to meet by 30 June 2026 the objective that the underrepresented sex holds at least either 40% of non-executive director positions or 33% of all director positions. Large</w:t>
      </w:r>
      <w:r w:rsidR="00811E68">
        <w:rPr>
          <w:rFonts w:ascii="Times New Roman" w:hAnsi="Times New Roman"/>
        </w:rPr>
        <w:t>,</w:t>
      </w:r>
      <w:r w:rsidRPr="001D13C7">
        <w:rPr>
          <w:rFonts w:ascii="Times New Roman" w:hAnsi="Times New Roman"/>
        </w:rPr>
        <w:t xml:space="preserve"> listed companies that fail to meet </w:t>
      </w:r>
      <w:r w:rsidRPr="001D13C7">
        <w:rPr>
          <w:rFonts w:ascii="Times New Roman" w:eastAsia="Times New Roman" w:hAnsi="Times New Roman" w:cs="Times New Roman"/>
        </w:rPr>
        <w:t>the</w:t>
      </w:r>
      <w:r w:rsidRPr="001D13C7" w:rsidR="64DAA3A0">
        <w:rPr>
          <w:rFonts w:ascii="Times New Roman" w:eastAsia="Times New Roman" w:hAnsi="Times New Roman" w:cs="Times New Roman"/>
        </w:rPr>
        <w:t>se</w:t>
      </w:r>
      <w:r w:rsidRPr="001D13C7">
        <w:rPr>
          <w:rFonts w:ascii="Times New Roman" w:hAnsi="Times New Roman"/>
        </w:rPr>
        <w:t xml:space="preserve"> objectives are required to report the reasons and the measures they are taking or intend to take to address it. The Commission monitors the implementation of </w:t>
      </w:r>
      <w:r w:rsidRPr="001D13C7">
        <w:rPr>
          <w:rFonts w:ascii="Times New Roman" w:eastAsia="Times New Roman" w:hAnsi="Times New Roman" w:cs="Times New Roman"/>
        </w:rPr>
        <w:t>th</w:t>
      </w:r>
      <w:r w:rsidRPr="001D13C7" w:rsidR="0051237E">
        <w:rPr>
          <w:rFonts w:ascii="Times New Roman" w:eastAsia="Times New Roman" w:hAnsi="Times New Roman" w:cs="Times New Roman"/>
        </w:rPr>
        <w:t>o</w:t>
      </w:r>
      <w:r w:rsidRPr="001D13C7">
        <w:rPr>
          <w:rFonts w:ascii="Times New Roman" w:eastAsia="Times New Roman" w:hAnsi="Times New Roman" w:cs="Times New Roman"/>
        </w:rPr>
        <w:t>se</w:t>
      </w:r>
      <w:r w:rsidRPr="001D13C7">
        <w:rPr>
          <w:rFonts w:ascii="Times New Roman" w:hAnsi="Times New Roman"/>
        </w:rPr>
        <w:t xml:space="preserve"> directives by Member States.</w:t>
      </w:r>
    </w:p>
    <w:p w:rsidR="005E4B7C" w:rsidRPr="001D13C7" w:rsidP="00307C46" w14:paraId="1137752C" w14:textId="4C89D988">
      <w:pPr>
        <w:spacing w:before="240" w:after="240" w:line="240" w:lineRule="auto"/>
        <w:jc w:val="both"/>
        <w:rPr>
          <w:rFonts w:ascii="Times New Roman" w:hAnsi="Times New Roman"/>
        </w:rPr>
      </w:pPr>
      <w:r w:rsidRPr="001D13C7">
        <w:rPr>
          <w:rFonts w:ascii="Times New Roman" w:hAnsi="Times New Roman"/>
        </w:rPr>
        <w:t>The Commission notes that i</w:t>
      </w:r>
      <w:r w:rsidRPr="001D13C7">
        <w:rPr>
          <w:rFonts w:ascii="Times New Roman" w:hAnsi="Times New Roman"/>
        </w:rPr>
        <w:t xml:space="preserve">n addition, the EU rules related to gender balance and diversity in financial institutions go beyond the general rules applicable to companies. </w:t>
      </w:r>
      <w:r w:rsidRPr="001D13C7">
        <w:rPr>
          <w:rFonts w:ascii="Times New Roman" w:eastAsia="Times New Roman" w:hAnsi="Times New Roman" w:cs="Times New Roman"/>
        </w:rPr>
        <w:t xml:space="preserve">The </w:t>
      </w:r>
      <w:r w:rsidRPr="001D13C7" w:rsidR="0051237E">
        <w:rPr>
          <w:rFonts w:ascii="Times New Roman" w:eastAsia="Times New Roman" w:hAnsi="Times New Roman" w:cs="Times New Roman"/>
        </w:rPr>
        <w:t>Capital Requirements Directive was</w:t>
      </w:r>
      <w:r w:rsidRPr="001D13C7" w:rsidR="0051237E">
        <w:rPr>
          <w:rFonts w:ascii="Times New Roman" w:hAnsi="Times New Roman"/>
        </w:rPr>
        <w:t xml:space="preserve"> </w:t>
      </w:r>
      <w:r w:rsidRPr="001D13C7">
        <w:rPr>
          <w:rFonts w:ascii="Times New Roman" w:hAnsi="Times New Roman"/>
        </w:rPr>
        <w:t xml:space="preserve">amended </w:t>
      </w:r>
      <w:r w:rsidRPr="001D13C7" w:rsidR="00EA0998">
        <w:rPr>
          <w:rFonts w:ascii="Times New Roman" w:eastAsia="Times New Roman" w:hAnsi="Times New Roman" w:cs="Times New Roman"/>
        </w:rPr>
        <w:t>by Directive (EU) 2024/1619</w:t>
      </w:r>
      <w:r w:rsidRPr="001D13C7">
        <w:rPr>
          <w:rFonts w:ascii="Times New Roman" w:hAnsi="Times New Roman"/>
        </w:rPr>
        <w:t xml:space="preserve">, </w:t>
      </w:r>
      <w:r w:rsidRPr="001D13C7" w:rsidR="00EA0998">
        <w:rPr>
          <w:rFonts w:ascii="Times New Roman" w:eastAsia="Times New Roman" w:hAnsi="Times New Roman" w:cs="Times New Roman"/>
        </w:rPr>
        <w:t xml:space="preserve">the provisions of </w:t>
      </w:r>
      <w:r w:rsidRPr="001D13C7">
        <w:rPr>
          <w:rFonts w:ascii="Times New Roman" w:hAnsi="Times New Roman"/>
        </w:rPr>
        <w:t>which</w:t>
      </w:r>
      <w:r w:rsidR="001D13C7">
        <w:rPr>
          <w:rFonts w:ascii="Times New Roman" w:hAnsi="Times New Roman"/>
        </w:rPr>
        <w:t xml:space="preserve"> </w:t>
      </w:r>
      <w:r w:rsidRPr="001D13C7" w:rsidR="00EA0998">
        <w:rPr>
          <w:rFonts w:ascii="Times New Roman" w:eastAsia="Times New Roman" w:hAnsi="Times New Roman" w:cs="Times New Roman"/>
        </w:rPr>
        <w:t xml:space="preserve">the Member States were to </w:t>
      </w:r>
      <w:r w:rsidRPr="001D13C7" w:rsidR="0051237E">
        <w:rPr>
          <w:rFonts w:ascii="Times New Roman" w:eastAsia="Times New Roman" w:hAnsi="Times New Roman" w:cs="Times New Roman"/>
        </w:rPr>
        <w:t>apply</w:t>
      </w:r>
      <w:r w:rsidRPr="001D13C7">
        <w:rPr>
          <w:rFonts w:ascii="Times New Roman" w:eastAsia="Times New Roman" w:hAnsi="Times New Roman" w:cs="Times New Roman"/>
        </w:rPr>
        <w:t xml:space="preserve"> </w:t>
      </w:r>
      <w:r w:rsidRPr="001D13C7" w:rsidR="00EA0998">
        <w:rPr>
          <w:rFonts w:ascii="Times New Roman" w:eastAsia="Times New Roman" w:hAnsi="Times New Roman" w:cs="Times New Roman"/>
        </w:rPr>
        <w:t>as of 11</w:t>
      </w:r>
      <w:r w:rsidRPr="001D13C7">
        <w:rPr>
          <w:rFonts w:ascii="Times New Roman" w:hAnsi="Times New Roman"/>
        </w:rPr>
        <w:t xml:space="preserve"> January 2026</w:t>
      </w:r>
      <w:r w:rsidRPr="001D13C7" w:rsidR="0051237E">
        <w:rPr>
          <w:rFonts w:ascii="Times New Roman" w:eastAsia="Times New Roman" w:hAnsi="Times New Roman" w:cs="Times New Roman"/>
        </w:rPr>
        <w:t xml:space="preserve">. </w:t>
      </w:r>
      <w:r w:rsidRPr="001D13C7" w:rsidR="00EA0998">
        <w:rPr>
          <w:rFonts w:ascii="Times New Roman" w:eastAsia="Times New Roman" w:hAnsi="Times New Roman" w:cs="Times New Roman"/>
        </w:rPr>
        <w:t xml:space="preserve">Due to that amendment, </w:t>
      </w:r>
      <w:r w:rsidRPr="001D13C7">
        <w:rPr>
          <w:rFonts w:ascii="Times New Roman" w:hAnsi="Times New Roman"/>
        </w:rPr>
        <w:t xml:space="preserve">competent authorities </w:t>
      </w:r>
      <w:r w:rsidRPr="001D13C7" w:rsidR="00EA0998">
        <w:rPr>
          <w:rFonts w:ascii="Times New Roman" w:eastAsia="Times New Roman" w:hAnsi="Times New Roman" w:cs="Times New Roman"/>
        </w:rPr>
        <w:t xml:space="preserve">are </w:t>
      </w:r>
      <w:r w:rsidRPr="001D13C7">
        <w:rPr>
          <w:rFonts w:ascii="Times New Roman" w:hAnsi="Times New Roman"/>
        </w:rPr>
        <w:t xml:space="preserve">to collect information </w:t>
      </w:r>
      <w:r w:rsidRPr="001D13C7" w:rsidR="00EA0998">
        <w:rPr>
          <w:rFonts w:ascii="Times New Roman" w:eastAsia="Times New Roman" w:hAnsi="Times New Roman" w:cs="Times New Roman"/>
        </w:rPr>
        <w:t xml:space="preserve">on the policy </w:t>
      </w:r>
      <w:r w:rsidRPr="001D13C7" w:rsidR="00EC647B">
        <w:rPr>
          <w:rFonts w:ascii="Times New Roman" w:eastAsia="Times New Roman" w:hAnsi="Times New Roman" w:cs="Times New Roman"/>
        </w:rPr>
        <w:t xml:space="preserve">of institutions </w:t>
      </w:r>
      <w:r w:rsidRPr="001D13C7" w:rsidR="00EA0998">
        <w:rPr>
          <w:rFonts w:ascii="Times New Roman" w:eastAsia="Times New Roman" w:hAnsi="Times New Roman" w:cs="Times New Roman"/>
        </w:rPr>
        <w:t xml:space="preserve">on diversity to select members of the management body, </w:t>
      </w:r>
      <w:r w:rsidRPr="001D13C7" w:rsidR="00EC647B">
        <w:rPr>
          <w:rFonts w:ascii="Times New Roman" w:eastAsia="Times New Roman" w:hAnsi="Times New Roman" w:cs="Times New Roman"/>
        </w:rPr>
        <w:t>their</w:t>
      </w:r>
      <w:r w:rsidRPr="001D13C7" w:rsidR="00EA0998">
        <w:rPr>
          <w:rFonts w:ascii="Times New Roman" w:eastAsia="Times New Roman" w:hAnsi="Times New Roman" w:cs="Times New Roman"/>
        </w:rPr>
        <w:t xml:space="preserve"> objectives </w:t>
      </w:r>
      <w:r w:rsidRPr="001D13C7" w:rsidR="009E121C">
        <w:rPr>
          <w:rFonts w:ascii="Times New Roman" w:eastAsia="Times New Roman" w:hAnsi="Times New Roman" w:cs="Times New Roman"/>
        </w:rPr>
        <w:t xml:space="preserve">and </w:t>
      </w:r>
      <w:r w:rsidRPr="001D13C7" w:rsidR="00EA0998">
        <w:rPr>
          <w:rFonts w:ascii="Times New Roman" w:eastAsia="Times New Roman" w:hAnsi="Times New Roman" w:cs="Times New Roman"/>
        </w:rPr>
        <w:t>any relevant targets set out in that policy, and the extent to which those objectives and targets have been achieved</w:t>
      </w:r>
      <w:r w:rsidRPr="001D13C7">
        <w:rPr>
          <w:rFonts w:ascii="Times New Roman" w:hAnsi="Times New Roman"/>
        </w:rPr>
        <w:t>.</w:t>
      </w:r>
      <w:r w:rsidRPr="001D13C7" w:rsidR="009E121C">
        <w:rPr>
          <w:rFonts w:ascii="Times New Roman" w:hAnsi="Times New Roman"/>
        </w:rPr>
        <w:t xml:space="preserve"> </w:t>
      </w:r>
      <w:r w:rsidRPr="001D13C7">
        <w:rPr>
          <w:rFonts w:ascii="Times New Roman" w:hAnsi="Times New Roman"/>
        </w:rPr>
        <w:t xml:space="preserve">Competent authorities provide EBA with that information to benchmark diversity practices at </w:t>
      </w:r>
      <w:r w:rsidRPr="001D13C7" w:rsidR="00CE71EC">
        <w:rPr>
          <w:rFonts w:ascii="Times New Roman" w:hAnsi="Times New Roman"/>
        </w:rPr>
        <w:t xml:space="preserve">EU </w:t>
      </w:r>
      <w:r w:rsidRPr="001D13C7">
        <w:rPr>
          <w:rFonts w:ascii="Times New Roman" w:hAnsi="Times New Roman"/>
        </w:rPr>
        <w:t>level.</w:t>
      </w:r>
    </w:p>
    <w:p w:rsidR="005E4B7C" w:rsidRPr="001D13C7" w:rsidP="005E4B7C" w14:paraId="0F8D7846" w14:textId="07D4E421">
      <w:pPr>
        <w:spacing w:after="0" w:line="240" w:lineRule="auto"/>
        <w:jc w:val="both"/>
        <w:rPr>
          <w:rFonts w:ascii="Times New Roman" w:hAnsi="Times New Roman"/>
        </w:rPr>
      </w:pPr>
      <w:r w:rsidRPr="001D13C7">
        <w:rPr>
          <w:rFonts w:ascii="Times New Roman" w:hAnsi="Times New Roman"/>
          <w:b/>
        </w:rPr>
        <w:t>In paragraph 9, the European Parliament underlines</w:t>
      </w:r>
      <w:r w:rsidRPr="001D13C7">
        <w:rPr>
          <w:rFonts w:ascii="Times New Roman" w:hAnsi="Times New Roman"/>
          <w:b/>
        </w:rPr>
        <w:t xml:space="preserve"> that the proper functioning and credibility of the Banking Union also depend on full respect for, and effective enforcement of, EU consumer protection law in the banking sector</w:t>
      </w:r>
      <w:r w:rsidRPr="001D13C7">
        <w:rPr>
          <w:rFonts w:ascii="Times New Roman" w:hAnsi="Times New Roman"/>
        </w:rPr>
        <w:t>.</w:t>
      </w:r>
    </w:p>
    <w:p w:rsidR="005E4B7C" w:rsidRPr="001D13C7" w:rsidP="005E4B7C" w14:paraId="414BD9EA" w14:textId="77777777">
      <w:pPr>
        <w:spacing w:after="0" w:line="240" w:lineRule="auto"/>
        <w:jc w:val="both"/>
        <w:rPr>
          <w:rFonts w:ascii="Times New Roman" w:hAnsi="Times New Roman"/>
        </w:rPr>
      </w:pPr>
    </w:p>
    <w:p w:rsidR="0083167E" w:rsidRPr="001D13C7" w:rsidP="38E719A3" w14:paraId="3535632B" w14:textId="6AD2E6C9">
      <w:pPr>
        <w:spacing w:after="0" w:line="240" w:lineRule="auto"/>
        <w:jc w:val="both"/>
        <w:rPr>
          <w:rFonts w:ascii="Times New Roman" w:hAnsi="Times New Roman"/>
        </w:rPr>
      </w:pPr>
      <w:r w:rsidRPr="001D13C7">
        <w:rPr>
          <w:rFonts w:ascii="Times New Roman" w:hAnsi="Times New Roman"/>
        </w:rPr>
        <w:t>The</w:t>
      </w:r>
      <w:r w:rsidRPr="001D13C7" w:rsidR="00C6543F">
        <w:rPr>
          <w:rFonts w:ascii="Times New Roman" w:hAnsi="Times New Roman"/>
        </w:rPr>
        <w:t xml:space="preserve"> Commission notes that the</w:t>
      </w:r>
      <w:r w:rsidRPr="001D13C7">
        <w:rPr>
          <w:rFonts w:ascii="Times New Roman" w:hAnsi="Times New Roman"/>
        </w:rPr>
        <w:t xml:space="preserve"> revised rules on payment services will improve consumers’ protection against fraud risks, by introducing new refund rights for consumers reflecting new fraud patterns such as bank impersonation fraud</w:t>
      </w:r>
      <w:r w:rsidRPr="001D13C7" w:rsidR="00EC647B">
        <w:rPr>
          <w:rFonts w:ascii="Times New Roman" w:eastAsia="Times New Roman" w:hAnsi="Times New Roman" w:cs="Times New Roman"/>
        </w:rPr>
        <w:t>.</w:t>
      </w:r>
      <w:r w:rsidRPr="001D13C7">
        <w:rPr>
          <w:rFonts w:ascii="Times New Roman" w:eastAsia="Times New Roman" w:hAnsi="Times New Roman" w:cs="Times New Roman"/>
        </w:rPr>
        <w:t xml:space="preserve"> </w:t>
      </w:r>
      <w:r w:rsidRPr="001D13C7" w:rsidR="00EC647B">
        <w:rPr>
          <w:rFonts w:ascii="Times New Roman" w:eastAsia="Times New Roman" w:hAnsi="Times New Roman" w:cs="Times New Roman"/>
        </w:rPr>
        <w:t>T</w:t>
      </w:r>
      <w:r w:rsidRPr="001D13C7">
        <w:rPr>
          <w:rFonts w:ascii="Times New Roman" w:hAnsi="Times New Roman"/>
        </w:rPr>
        <w:t xml:space="preserve">he forthcoming Payment Services Regulation will also introduce stronger fraud controls (e.g. verification of payee for all credit transfers within the </w:t>
      </w:r>
      <w:r w:rsidRPr="001D13C7" w:rsidR="00CE71EC">
        <w:rPr>
          <w:rFonts w:ascii="Times New Roman" w:hAnsi="Times New Roman"/>
        </w:rPr>
        <w:t>EU</w:t>
      </w:r>
      <w:r w:rsidRPr="001D13C7">
        <w:rPr>
          <w:rFonts w:ascii="Times New Roman" w:hAnsi="Times New Roman"/>
        </w:rPr>
        <w:t>, the application of delay periods when spending limits are increased and better transaction monitoring), and an ecosystemic approach to fraud prevention, with more information sharing, greater focus on fraud awareness and new prevention obligations for telecommunication operators and online platforms.</w:t>
      </w:r>
    </w:p>
    <w:p w:rsidR="00C6543F" w:rsidRPr="001D13C7" w:rsidP="00307C46" w14:paraId="318D6029" w14:textId="448EAF48">
      <w:pPr>
        <w:spacing w:before="240" w:after="240" w:line="240" w:lineRule="auto"/>
        <w:jc w:val="both"/>
        <w:rPr>
          <w:rFonts w:ascii="Times New Roman" w:hAnsi="Times New Roman"/>
        </w:rPr>
      </w:pPr>
      <w:r w:rsidRPr="001D13C7">
        <w:rPr>
          <w:rFonts w:ascii="Times New Roman" w:hAnsi="Times New Roman"/>
          <w:b/>
        </w:rPr>
        <w:t xml:space="preserve">In paragraph 10, the European Parliament report welcomes </w:t>
      </w:r>
      <w:r w:rsidRPr="001D13C7" w:rsidR="5900964D">
        <w:rPr>
          <w:rFonts w:ascii="Times New Roman" w:hAnsi="Times New Roman"/>
          <w:b/>
        </w:rPr>
        <w:t>the</w:t>
      </w:r>
      <w:r w:rsidRPr="001D13C7" w:rsidR="3964B7DE">
        <w:rPr>
          <w:rFonts w:ascii="Times New Roman" w:hAnsi="Times New Roman"/>
          <w:b/>
        </w:rPr>
        <w:t xml:space="preserve"> </w:t>
      </w:r>
      <w:r w:rsidRPr="001D13C7" w:rsidR="5900964D">
        <w:rPr>
          <w:rFonts w:ascii="Times New Roman" w:hAnsi="Times New Roman"/>
          <w:b/>
        </w:rPr>
        <w:t xml:space="preserve">Anti-Money Laundering Authority </w:t>
      </w:r>
      <w:r w:rsidRPr="001D13C7" w:rsidR="5613507D">
        <w:rPr>
          <w:rFonts w:ascii="Times New Roman" w:hAnsi="Times New Roman"/>
          <w:b/>
        </w:rPr>
        <w:t>(</w:t>
      </w:r>
      <w:r w:rsidRPr="001D13C7">
        <w:rPr>
          <w:rFonts w:ascii="Times New Roman" w:hAnsi="Times New Roman"/>
          <w:b/>
        </w:rPr>
        <w:t>AMLA</w:t>
      </w:r>
      <w:r w:rsidRPr="001D13C7" w:rsidR="5143F018">
        <w:rPr>
          <w:rFonts w:ascii="Times New Roman" w:hAnsi="Times New Roman"/>
          <w:b/>
        </w:rPr>
        <w:t>)</w:t>
      </w:r>
      <w:r w:rsidRPr="001D13C7">
        <w:rPr>
          <w:rFonts w:ascii="Times New Roman" w:hAnsi="Times New Roman"/>
          <w:b/>
        </w:rPr>
        <w:t>’s role in strengthening the EU’s fight against money laundering and terrorist financing</w:t>
      </w:r>
      <w:r w:rsidRPr="001D13C7">
        <w:rPr>
          <w:rFonts w:ascii="Times New Roman" w:hAnsi="Times New Roman"/>
        </w:rPr>
        <w:t xml:space="preserve"> and calls for consistent implementation, enhanced cooperation, information sharing and coordinated enforcement across the EU. The report also stresses the need for efficient cooperation between AMLA</w:t>
      </w:r>
      <w:r w:rsidRPr="001D13C7" w:rsidR="00EC647B">
        <w:rPr>
          <w:rFonts w:ascii="Times New Roman" w:eastAsia="Times New Roman" w:hAnsi="Times New Roman" w:cs="Times New Roman"/>
        </w:rPr>
        <w:t>,</w:t>
      </w:r>
      <w:r w:rsidRPr="001D13C7">
        <w:rPr>
          <w:rFonts w:ascii="Times New Roman" w:hAnsi="Times New Roman"/>
        </w:rPr>
        <w:t xml:space="preserve"> the </w:t>
      </w:r>
      <w:r w:rsidRPr="001D13C7">
        <w:rPr>
          <w:rFonts w:ascii="Times New Roman" w:eastAsia="Times New Roman" w:hAnsi="Times New Roman" w:cs="Times New Roman"/>
        </w:rPr>
        <w:t>E</w:t>
      </w:r>
      <w:r w:rsidRPr="001D13C7" w:rsidR="00EC647B">
        <w:rPr>
          <w:rFonts w:ascii="Times New Roman" w:eastAsia="Times New Roman" w:hAnsi="Times New Roman" w:cs="Times New Roman"/>
        </w:rPr>
        <w:t xml:space="preserve">uropean </w:t>
      </w:r>
      <w:r w:rsidRPr="001D13C7">
        <w:rPr>
          <w:rFonts w:ascii="Times New Roman" w:eastAsia="Times New Roman" w:hAnsi="Times New Roman" w:cs="Times New Roman"/>
        </w:rPr>
        <w:t>S</w:t>
      </w:r>
      <w:r w:rsidRPr="001D13C7" w:rsidR="00EC647B">
        <w:rPr>
          <w:rFonts w:ascii="Times New Roman" w:eastAsia="Times New Roman" w:hAnsi="Times New Roman" w:cs="Times New Roman"/>
        </w:rPr>
        <w:t xml:space="preserve">upervisory </w:t>
      </w:r>
      <w:r w:rsidRPr="001D13C7">
        <w:rPr>
          <w:rFonts w:ascii="Times New Roman" w:eastAsia="Times New Roman" w:hAnsi="Times New Roman" w:cs="Times New Roman"/>
        </w:rPr>
        <w:t>A</w:t>
      </w:r>
      <w:r w:rsidRPr="001D13C7" w:rsidR="00EC647B">
        <w:rPr>
          <w:rFonts w:ascii="Times New Roman" w:eastAsia="Times New Roman" w:hAnsi="Times New Roman" w:cs="Times New Roman"/>
        </w:rPr>
        <w:t>uthorities (</w:t>
      </w:r>
      <w:r w:rsidRPr="001D13C7" w:rsidR="00EC647B">
        <w:rPr>
          <w:rFonts w:ascii="Times New Roman" w:hAnsi="Times New Roman"/>
        </w:rPr>
        <w:t>ESAs</w:t>
      </w:r>
      <w:r w:rsidRPr="001D13C7" w:rsidR="00EC647B">
        <w:rPr>
          <w:rFonts w:ascii="Times New Roman" w:eastAsia="Times New Roman" w:hAnsi="Times New Roman" w:cs="Times New Roman"/>
        </w:rPr>
        <w:t>)</w:t>
      </w:r>
      <w:r w:rsidRPr="001D13C7">
        <w:rPr>
          <w:rFonts w:ascii="Times New Roman" w:hAnsi="Times New Roman"/>
        </w:rPr>
        <w:t xml:space="preserve"> </w:t>
      </w:r>
      <w:r w:rsidRPr="001D13C7" w:rsidR="00EC647B">
        <w:rPr>
          <w:rFonts w:ascii="Times New Roman" w:eastAsia="Times New Roman" w:hAnsi="Times New Roman" w:cs="Times New Roman"/>
        </w:rPr>
        <w:t>and</w:t>
      </w:r>
      <w:r w:rsidRPr="001D13C7">
        <w:rPr>
          <w:rFonts w:ascii="Times New Roman" w:hAnsi="Times New Roman"/>
        </w:rPr>
        <w:t xml:space="preserve"> prudential authorities and highlights the need for AMLA to adhere to the principle of proportionality and coordination in its supervisory and regulatory work.</w:t>
      </w:r>
    </w:p>
    <w:p w:rsidR="00C6543F" w:rsidRPr="001D13C7" w:rsidP="00307C46" w14:paraId="26AFD17E" w14:textId="0656ECB1">
      <w:pPr>
        <w:spacing w:before="240" w:after="240" w:line="240" w:lineRule="auto"/>
        <w:jc w:val="both"/>
        <w:rPr>
          <w:rFonts w:ascii="Times New Roman" w:hAnsi="Times New Roman"/>
          <w:b/>
        </w:rPr>
      </w:pPr>
      <w:r w:rsidRPr="001D13C7">
        <w:rPr>
          <w:rFonts w:ascii="Times New Roman" w:hAnsi="Times New Roman"/>
        </w:rPr>
        <w:t xml:space="preserve">The Commission shares the Parliament’s support for AMLA’s role in strengthening the EU’s fight against money laundering and terrorist financing. The Commission works with AMLA to ensure timely and consistent implementation of the EU’s AML </w:t>
      </w:r>
      <w:r w:rsidRPr="001D13C7" w:rsidR="00EC647B">
        <w:rPr>
          <w:rFonts w:ascii="Times New Roman" w:eastAsia="Times New Roman" w:hAnsi="Times New Roman" w:cs="Times New Roman"/>
        </w:rPr>
        <w:t>f</w:t>
      </w:r>
      <w:r w:rsidRPr="001D13C7">
        <w:rPr>
          <w:rFonts w:ascii="Times New Roman" w:hAnsi="Times New Roman"/>
        </w:rPr>
        <w:t xml:space="preserve">ramework and believes AMLA is essential to </w:t>
      </w:r>
      <w:r w:rsidRPr="00307C46">
        <w:rPr>
          <w:rFonts w:ascii="Times New Roman" w:hAnsi="Times New Roman"/>
          <w:b/>
        </w:rPr>
        <w:t>deepening</w:t>
      </w:r>
      <w:r w:rsidRPr="001D13C7">
        <w:rPr>
          <w:rFonts w:ascii="Times New Roman" w:hAnsi="Times New Roman"/>
        </w:rPr>
        <w:t xml:space="preserve"> cooperation and information sharing between authorities across the EU. The Commission fully shares the Parliament’s call for AMLA to adhere to the principle of proportionality in its supervisory and regulatory work and is working with AMLA to ensure proper implementation of </w:t>
      </w:r>
      <w:r w:rsidRPr="001D13C7">
        <w:rPr>
          <w:rFonts w:ascii="Times New Roman" w:eastAsia="Times New Roman" w:hAnsi="Times New Roman" w:cs="Times New Roman"/>
        </w:rPr>
        <w:t>th</w:t>
      </w:r>
      <w:r w:rsidRPr="001D13C7" w:rsidR="00EC647B">
        <w:rPr>
          <w:rFonts w:ascii="Times New Roman" w:eastAsia="Times New Roman" w:hAnsi="Times New Roman" w:cs="Times New Roman"/>
        </w:rPr>
        <w:t>at</w:t>
      </w:r>
      <w:r w:rsidRPr="001D13C7">
        <w:rPr>
          <w:rFonts w:ascii="Times New Roman" w:hAnsi="Times New Roman"/>
        </w:rPr>
        <w:t xml:space="preserve"> principle.</w:t>
      </w:r>
    </w:p>
    <w:p w:rsidR="00FC52F6" w:rsidRPr="001D13C7" w:rsidP="00FC52F6" w14:paraId="7B69C17C" w14:textId="7DCDB5CB">
      <w:pPr>
        <w:spacing w:after="0" w:line="240" w:lineRule="auto"/>
        <w:jc w:val="both"/>
        <w:rPr>
          <w:rFonts w:ascii="Times New Roman" w:hAnsi="Times New Roman"/>
        </w:rPr>
      </w:pPr>
      <w:r w:rsidRPr="001D13C7">
        <w:rPr>
          <w:rFonts w:ascii="Times New Roman" w:hAnsi="Times New Roman"/>
          <w:b/>
        </w:rPr>
        <w:t>In paragraph 11, the European Parliament</w:t>
      </w:r>
      <w:r w:rsidRPr="001D13C7">
        <w:rPr>
          <w:rFonts w:ascii="Times New Roman" w:hAnsi="Times New Roman"/>
        </w:rPr>
        <w:t xml:space="preserve"> </w:t>
      </w:r>
      <w:r w:rsidRPr="001D13C7">
        <w:rPr>
          <w:rFonts w:ascii="Times New Roman" w:hAnsi="Times New Roman"/>
          <w:b/>
        </w:rPr>
        <w:t>underlines that robust, proportionate, consistent and timely financial reporting is essential to support effective supervision and safeguard financial stability</w:t>
      </w:r>
      <w:r w:rsidRPr="001D13C7">
        <w:rPr>
          <w:rFonts w:ascii="Times New Roman" w:hAnsi="Times New Roman"/>
        </w:rPr>
        <w:t xml:space="preserve">. It emphasises the importance of legal certainty, predictability and regulatory stability for the banking sector, while stressing that simplification efforts should not come at the expense of prudential safeguards, resilience, consumer protection or financial stability. The </w:t>
      </w:r>
      <w:r w:rsidR="002507F0">
        <w:rPr>
          <w:rFonts w:ascii="Times New Roman" w:hAnsi="Times New Roman"/>
        </w:rPr>
        <w:t xml:space="preserve">Commission </w:t>
      </w:r>
      <w:r w:rsidR="00981E4A">
        <w:rPr>
          <w:rFonts w:ascii="Times New Roman" w:hAnsi="Times New Roman"/>
        </w:rPr>
        <w:t xml:space="preserve">analysis suggests the need </w:t>
      </w:r>
      <w:r w:rsidRPr="001D13C7">
        <w:rPr>
          <w:rFonts w:ascii="Times New Roman" w:hAnsi="Times New Roman"/>
        </w:rPr>
        <w:t xml:space="preserve">for further measures to advance digitalisation and simplification, including through more integrated reporting solutions, standardised definitions, a common data dictionary and shared data infrastructures, to </w:t>
      </w:r>
      <w:r w:rsidRPr="001D13C7">
        <w:rPr>
          <w:rFonts w:ascii="Times New Roman" w:eastAsia="Times New Roman" w:hAnsi="Times New Roman" w:cs="Times New Roman"/>
        </w:rPr>
        <w:t>reduc</w:t>
      </w:r>
      <w:r w:rsidRPr="001D13C7" w:rsidR="00EC647B">
        <w:rPr>
          <w:rFonts w:ascii="Times New Roman" w:eastAsia="Times New Roman" w:hAnsi="Times New Roman" w:cs="Times New Roman"/>
        </w:rPr>
        <w:t>e</w:t>
      </w:r>
      <w:r w:rsidRPr="001D13C7">
        <w:rPr>
          <w:rFonts w:ascii="Times New Roman" w:hAnsi="Times New Roman"/>
        </w:rPr>
        <w:t xml:space="preserve"> unnecessary complexity, duplication and reporting burdens across authorities while preserving the robustness of the Banking Union framework.</w:t>
      </w:r>
    </w:p>
    <w:p w:rsidR="00FC52F6" w:rsidRPr="001D13C7" w:rsidP="00307C46" w14:paraId="1F0A0159" w14:textId="7F63551C">
      <w:pPr>
        <w:spacing w:before="240" w:after="240" w:line="240" w:lineRule="auto"/>
        <w:jc w:val="both"/>
        <w:rPr>
          <w:rFonts w:ascii="Times New Roman" w:hAnsi="Times New Roman"/>
        </w:rPr>
      </w:pPr>
      <w:r w:rsidRPr="001D13C7">
        <w:rPr>
          <w:rFonts w:ascii="Times New Roman" w:hAnsi="Times New Roman"/>
          <w:b/>
        </w:rPr>
        <w:t>In paragraph 12, the European Parliament acknowledges the</w:t>
      </w:r>
      <w:r w:rsidRPr="001D13C7">
        <w:rPr>
          <w:rFonts w:ascii="Times New Roman" w:hAnsi="Times New Roman"/>
        </w:rPr>
        <w:t xml:space="preserve"> </w:t>
      </w:r>
      <w:r w:rsidRPr="001D13C7">
        <w:rPr>
          <w:rFonts w:ascii="Times New Roman" w:hAnsi="Times New Roman"/>
          <w:b/>
        </w:rPr>
        <w:t>regulatory and institutional progress achieved since the financial crisis, while underlining that significant barriers to the full integration of the Single Market for financial services continue to persist</w:t>
      </w:r>
      <w:r w:rsidRPr="001D13C7">
        <w:rPr>
          <w:rFonts w:ascii="Times New Roman" w:hAnsi="Times New Roman"/>
        </w:rPr>
        <w:t>. It calls for concrete measures to enhance simplification and competitiveness and invites the Commission to put forward meaningful actions in the context of its forthcoming 2026 report on the competitiveness of the EU banking sector. The report further emphasises that efforts to strengthen competitiveness should remain consistent with banks’ role in supporting the green and digital transitions.</w:t>
      </w:r>
    </w:p>
    <w:p w:rsidR="00FC52F6" w:rsidRPr="001D13C7" w:rsidP="00307C46" w14:paraId="54A8412D" w14:textId="7160BF01">
      <w:pPr>
        <w:spacing w:before="240" w:after="240" w:line="240" w:lineRule="auto"/>
        <w:jc w:val="both"/>
        <w:rPr>
          <w:rFonts w:ascii="Times New Roman" w:hAnsi="Times New Roman"/>
        </w:rPr>
      </w:pPr>
      <w:r w:rsidRPr="001D13C7">
        <w:rPr>
          <w:rFonts w:ascii="Times New Roman" w:hAnsi="Times New Roman"/>
        </w:rPr>
        <w:t xml:space="preserve">A resilient, integrated and </w:t>
      </w:r>
      <w:r w:rsidRPr="00307C46">
        <w:rPr>
          <w:rFonts w:ascii="Times New Roman" w:hAnsi="Times New Roman"/>
          <w:b/>
        </w:rPr>
        <w:t>competitive</w:t>
      </w:r>
      <w:r w:rsidRPr="001D13C7">
        <w:rPr>
          <w:rFonts w:ascii="Times New Roman" w:hAnsi="Times New Roman"/>
        </w:rPr>
        <w:t xml:space="preserve"> banking sector is essential to support investment, innovation and sustainable growth. </w:t>
      </w:r>
      <w:r w:rsidRPr="001D13C7" w:rsidR="00EC647B">
        <w:rPr>
          <w:rFonts w:ascii="Times New Roman" w:eastAsia="Times New Roman" w:hAnsi="Times New Roman" w:cs="Times New Roman"/>
        </w:rPr>
        <w:t>The EU</w:t>
      </w:r>
      <w:r w:rsidRPr="001D13C7" w:rsidR="00EC647B">
        <w:rPr>
          <w:rFonts w:ascii="Times New Roman" w:hAnsi="Times New Roman"/>
        </w:rPr>
        <w:t xml:space="preserve"> </w:t>
      </w:r>
      <w:r w:rsidRPr="001D13C7">
        <w:rPr>
          <w:rFonts w:ascii="Times New Roman" w:hAnsi="Times New Roman"/>
        </w:rPr>
        <w:t xml:space="preserve">also needs banks able to scale up and compete effectively at international level, while preserving a diverse banking ecosystem that continues to support SMEs, local economies and citizens across the </w:t>
      </w:r>
      <w:r w:rsidRPr="001D13C7" w:rsidR="00EC647B">
        <w:rPr>
          <w:rFonts w:ascii="Times New Roman" w:eastAsia="Times New Roman" w:hAnsi="Times New Roman" w:cs="Times New Roman"/>
        </w:rPr>
        <w:t>E</w:t>
      </w:r>
      <w:r w:rsidRPr="001D13C7">
        <w:rPr>
          <w:rFonts w:ascii="Times New Roman" w:eastAsia="Times New Roman" w:hAnsi="Times New Roman" w:cs="Times New Roman"/>
        </w:rPr>
        <w:t>U</w:t>
      </w:r>
      <w:r w:rsidRPr="001D13C7">
        <w:rPr>
          <w:rFonts w:ascii="Times New Roman" w:hAnsi="Times New Roman"/>
        </w:rPr>
        <w:t>.</w:t>
      </w:r>
    </w:p>
    <w:p w:rsidR="00FC52F6" w:rsidRPr="001D13C7" w:rsidP="00FC52F6" w14:paraId="1A5307EE" w14:textId="57C42CF3">
      <w:pPr>
        <w:spacing w:after="0" w:line="240" w:lineRule="auto"/>
        <w:jc w:val="both"/>
        <w:rPr>
          <w:rFonts w:ascii="Times New Roman" w:hAnsi="Times New Roman"/>
        </w:rPr>
      </w:pPr>
      <w:r w:rsidRPr="001D13C7">
        <w:rPr>
          <w:rFonts w:ascii="Times New Roman" w:hAnsi="Times New Roman"/>
          <w:b/>
        </w:rPr>
        <w:t>In paragraph 13, the European Parliament stresses that geopolitical uncertainty, financial market volatility and risks stemming from the non-bank financial sector require supervisors to remain vigilant</w:t>
      </w:r>
      <w:r w:rsidRPr="001D13C7">
        <w:rPr>
          <w:rFonts w:ascii="Times New Roman" w:hAnsi="Times New Roman"/>
        </w:rPr>
        <w:t>. It calls for banks to maintain adequate capital buffers and operational resilience, while highlighting the importance of prudent supervision to protect taxpayers, depositors and the real economy.</w:t>
      </w:r>
    </w:p>
    <w:p w:rsidR="17B2748B" w:rsidRPr="001D13C7" w:rsidP="17B2748B" w14:paraId="74AA341B" w14:textId="7C87D537">
      <w:pPr>
        <w:spacing w:before="240" w:after="240" w:line="240" w:lineRule="auto"/>
        <w:jc w:val="both"/>
        <w:rPr>
          <w:rFonts w:ascii="Times New Roman" w:hAnsi="Times New Roman"/>
        </w:rPr>
      </w:pPr>
      <w:r w:rsidRPr="001D13C7">
        <w:rPr>
          <w:rFonts w:ascii="Times New Roman" w:hAnsi="Times New Roman"/>
        </w:rPr>
        <w:t>The Commission also agrees that the current geopolitical and macro-financial environment requires continued vigilance from supervisors and market participants. Strong capital and liquidity positions, sound risk management and operational resilience remain essential to ensure that banks can continue supporting the economy throughout the cycle, including during periods of stress.</w:t>
      </w:r>
    </w:p>
    <w:p w:rsidR="00E63B9D" w:rsidRPr="001D13C7" w:rsidP="00E63B9D" w14:paraId="65B22F4C" w14:textId="4589C49F">
      <w:pPr>
        <w:spacing w:after="0" w:line="240" w:lineRule="auto"/>
        <w:jc w:val="both"/>
        <w:rPr>
          <w:rFonts w:ascii="Times New Roman" w:hAnsi="Times New Roman"/>
        </w:rPr>
      </w:pPr>
      <w:r w:rsidRPr="001D13C7">
        <w:rPr>
          <w:rFonts w:ascii="Times New Roman" w:hAnsi="Times New Roman"/>
          <w:b/>
          <w:i/>
        </w:rPr>
        <w:t>Supervision</w:t>
      </w:r>
    </w:p>
    <w:p w:rsidR="00E63B9D" w:rsidRPr="001D13C7" w:rsidP="00E63B9D" w14:paraId="2E5DE968" w14:textId="3A15952C">
      <w:pPr>
        <w:spacing w:before="240" w:after="240" w:line="240" w:lineRule="auto"/>
        <w:jc w:val="both"/>
        <w:rPr>
          <w:rFonts w:ascii="Times New Roman" w:hAnsi="Times New Roman"/>
        </w:rPr>
      </w:pPr>
      <w:r w:rsidRPr="001D13C7">
        <w:rPr>
          <w:rFonts w:ascii="Times New Roman" w:hAnsi="Times New Roman"/>
          <w:b/>
        </w:rPr>
        <w:t>In paragraph 14, the European Parliament underlines that EU banks continue to maintain strong capital and liquidity positions</w:t>
      </w:r>
      <w:r w:rsidRPr="001D13C7">
        <w:rPr>
          <w:rFonts w:ascii="Times New Roman" w:hAnsi="Times New Roman"/>
        </w:rPr>
        <w:t xml:space="preserve">, with SSM banks reporting high </w:t>
      </w:r>
      <w:r w:rsidRPr="001D13C7" w:rsidR="52DE3A7F">
        <w:rPr>
          <w:rFonts w:ascii="Times New Roman" w:hAnsi="Times New Roman"/>
        </w:rPr>
        <w:t>Common Equity Tier 1 (</w:t>
      </w:r>
      <w:r w:rsidRPr="001D13C7">
        <w:rPr>
          <w:rFonts w:ascii="Times New Roman" w:hAnsi="Times New Roman"/>
        </w:rPr>
        <w:t>CET1</w:t>
      </w:r>
      <w:r w:rsidRPr="001D13C7" w:rsidR="35D30D51">
        <w:rPr>
          <w:rFonts w:ascii="Times New Roman" w:hAnsi="Times New Roman"/>
        </w:rPr>
        <w:t xml:space="preserve">) </w:t>
      </w:r>
      <w:r w:rsidRPr="001D13C7">
        <w:rPr>
          <w:rFonts w:ascii="Times New Roman" w:hAnsi="Times New Roman"/>
        </w:rPr>
        <w:t xml:space="preserve">ratios, improved profitability and declining levels of non-performing loans. At the same time, it emphasises the importance of continued monitoring of credit risk and the need for banks to maintain adequate capital and liquidity buffers in light of adverse macroeconomic conditions and heightened geopolitical uncertainty that could affect asset quality. </w:t>
      </w:r>
      <w:r w:rsidRPr="001D13C7" w:rsidR="4910C6A7">
        <w:rPr>
          <w:rFonts w:ascii="Times New Roman" w:hAnsi="Times New Roman"/>
        </w:rPr>
        <w:t>The report further highlights that progress achieved on risk reduction has not yet been accompanied by equivalent progress on risk sharing within the Banking Union.</w:t>
      </w:r>
    </w:p>
    <w:p w:rsidR="00DF5D86" w:rsidRPr="001D13C7" w:rsidP="00E63B9D" w14:paraId="326DB541" w14:textId="7F1C0AD1">
      <w:pPr>
        <w:spacing w:before="240" w:after="240" w:line="240" w:lineRule="auto"/>
        <w:jc w:val="both"/>
        <w:rPr>
          <w:rFonts w:ascii="Times New Roman" w:hAnsi="Times New Roman"/>
        </w:rPr>
      </w:pPr>
      <w:r w:rsidRPr="001D13C7">
        <w:rPr>
          <w:rFonts w:ascii="Times New Roman" w:hAnsi="Times New Roman"/>
        </w:rPr>
        <w:t xml:space="preserve">The Commission notes that </w:t>
      </w:r>
      <w:r w:rsidRPr="001D13C7">
        <w:rPr>
          <w:rFonts w:ascii="Times New Roman" w:eastAsia="Times New Roman" w:hAnsi="Times New Roman" w:cs="Times New Roman"/>
        </w:rPr>
        <w:t>th</w:t>
      </w:r>
      <w:r w:rsidRPr="001D13C7" w:rsidR="00EC647B">
        <w:rPr>
          <w:rFonts w:ascii="Times New Roman" w:eastAsia="Times New Roman" w:hAnsi="Times New Roman" w:cs="Times New Roman"/>
        </w:rPr>
        <w:t>o</w:t>
      </w:r>
      <w:r w:rsidRPr="001D13C7">
        <w:rPr>
          <w:rFonts w:ascii="Times New Roman" w:eastAsia="Times New Roman" w:hAnsi="Times New Roman" w:cs="Times New Roman"/>
        </w:rPr>
        <w:t>se</w:t>
      </w:r>
      <w:r w:rsidRPr="001D13C7">
        <w:rPr>
          <w:rFonts w:ascii="Times New Roman" w:hAnsi="Times New Roman"/>
        </w:rPr>
        <w:t xml:space="preserve"> issues are being considered in the context of the Commission’s forthcoming report on the competitiveness of the EU banking sector which will assess how to further strengthen the resilience, integration, scalability and competitiveness of </w:t>
      </w:r>
      <w:r w:rsidRPr="001D13C7">
        <w:rPr>
          <w:rFonts w:ascii="Times New Roman" w:hAnsi="Times New Roman"/>
        </w:rPr>
        <w:t>the EU banking sector while preserving financial stability and banks’ capacity to finance the real economy.</w:t>
      </w:r>
    </w:p>
    <w:p w:rsidR="00461990" w:rsidRPr="001D13C7" w:rsidP="00461990" w14:paraId="4350756C" w14:textId="4A1FFD4C">
      <w:pPr>
        <w:spacing w:after="0" w:line="240" w:lineRule="auto"/>
        <w:jc w:val="both"/>
        <w:rPr>
          <w:rFonts w:ascii="Times New Roman" w:hAnsi="Times New Roman"/>
          <w:b/>
        </w:rPr>
      </w:pPr>
      <w:r w:rsidRPr="001D13C7">
        <w:rPr>
          <w:rFonts w:ascii="Times New Roman" w:hAnsi="Times New Roman"/>
          <w:b/>
        </w:rPr>
        <w:t xml:space="preserve">In paragraph 16, the European Parliament calls for an improvement of the resilience and supervision of </w:t>
      </w:r>
      <w:r w:rsidRPr="001D13C7" w:rsidR="00EC647B">
        <w:rPr>
          <w:rFonts w:ascii="Times New Roman" w:eastAsia="Times New Roman" w:hAnsi="Times New Roman" w:cs="Times New Roman"/>
          <w:b/>
          <w:bCs/>
        </w:rPr>
        <w:t>Non-Bank Financial Institutions (</w:t>
      </w:r>
      <w:r w:rsidRPr="001D13C7">
        <w:rPr>
          <w:rFonts w:ascii="Times New Roman" w:hAnsi="Times New Roman"/>
          <w:b/>
        </w:rPr>
        <w:t>NBFIs</w:t>
      </w:r>
      <w:r w:rsidRPr="001D13C7" w:rsidR="00EC647B">
        <w:rPr>
          <w:rFonts w:ascii="Times New Roman" w:eastAsia="Times New Roman" w:hAnsi="Times New Roman" w:cs="Times New Roman"/>
          <w:b/>
          <w:bCs/>
        </w:rPr>
        <w:t>)</w:t>
      </w:r>
      <w:r w:rsidRPr="001D13C7">
        <w:rPr>
          <w:rFonts w:ascii="Times New Roman" w:eastAsia="Times New Roman" w:hAnsi="Times New Roman" w:cs="Times New Roman"/>
        </w:rPr>
        <w:t>,</w:t>
      </w:r>
      <w:r w:rsidRPr="001D13C7">
        <w:rPr>
          <w:rFonts w:ascii="Times New Roman" w:hAnsi="Times New Roman"/>
        </w:rPr>
        <w:t xml:space="preserve"> including forward-looking risk monitoring to address emerging vulnerabilities, a comprehensive European supervision of the NBFI sector, with particular attention to potential risks for banks from liquidity and counterparty exposures to NBFIs, </w:t>
      </w:r>
      <w:r w:rsidRPr="001D13C7">
        <w:rPr>
          <w:rFonts w:ascii="Times New Roman" w:hAnsi="Times New Roman"/>
          <w:b/>
        </w:rPr>
        <w:t>s</w:t>
      </w:r>
      <w:r w:rsidRPr="001D13C7">
        <w:rPr>
          <w:rFonts w:ascii="Times New Roman" w:hAnsi="Times New Roman"/>
        </w:rPr>
        <w:t>ystem-wide stress tests to assess core market resilience</w:t>
      </w:r>
      <w:r w:rsidRPr="001D13C7" w:rsidR="00EC647B">
        <w:rPr>
          <w:rFonts w:ascii="Times New Roman" w:eastAsia="Times New Roman" w:hAnsi="Times New Roman" w:cs="Times New Roman"/>
        </w:rPr>
        <w:t>,</w:t>
      </w:r>
      <w:r w:rsidRPr="001D13C7">
        <w:rPr>
          <w:rFonts w:ascii="Times New Roman" w:hAnsi="Times New Roman"/>
        </w:rPr>
        <w:t xml:space="preserve"> an examination of gaps in the supervisory toolkit, including liquidity and systemic risks, and proposals for measures to safeguard financial stability, where appropriate.</w:t>
      </w:r>
    </w:p>
    <w:p w:rsidR="00461990" w:rsidRPr="001D13C7" w:rsidP="00461990" w14:paraId="00B57E8A" w14:textId="77777777">
      <w:pPr>
        <w:spacing w:after="0" w:line="240" w:lineRule="auto"/>
        <w:jc w:val="both"/>
        <w:rPr>
          <w:rFonts w:ascii="Times New Roman" w:hAnsi="Times New Roman"/>
          <w:b/>
        </w:rPr>
      </w:pPr>
    </w:p>
    <w:p w:rsidR="00FC52F6" w:rsidRPr="001D13C7" w:rsidP="45AA128E" w14:paraId="069C7D4D" w14:textId="7E73C17B">
      <w:pPr>
        <w:spacing w:after="0" w:line="240" w:lineRule="auto"/>
        <w:jc w:val="both"/>
        <w:rPr>
          <w:rFonts w:ascii="Times New Roman" w:hAnsi="Times New Roman"/>
          <w:b/>
          <w:bCs/>
        </w:rPr>
      </w:pPr>
      <w:r w:rsidRPr="001D13C7">
        <w:rPr>
          <w:rFonts w:ascii="Times New Roman" w:hAnsi="Times New Roman"/>
        </w:rPr>
        <w:t xml:space="preserve">The Commission </w:t>
      </w:r>
      <w:r w:rsidRPr="001D13C7" w:rsidR="3B274670">
        <w:rPr>
          <w:rFonts w:ascii="Times New Roman" w:hAnsi="Times New Roman"/>
        </w:rPr>
        <w:t>agrees on the need to identify</w:t>
      </w:r>
      <w:r w:rsidRPr="001D13C7">
        <w:rPr>
          <w:rFonts w:ascii="Times New Roman" w:hAnsi="Times New Roman"/>
        </w:rPr>
        <w:t xml:space="preserve"> systemic risks stemming from NBFIs, particularly due to their growing interconnectedness with the traditional banking sector and highlights the need for comprehensive </w:t>
      </w:r>
      <w:r w:rsidRPr="001D13C7">
        <w:rPr>
          <w:rFonts w:ascii="Times New Roman" w:eastAsia="Times New Roman" w:hAnsi="Times New Roman" w:cs="Times New Roman"/>
        </w:rPr>
        <w:t>E</w:t>
      </w:r>
      <w:r w:rsidRPr="001D13C7" w:rsidR="63F48724">
        <w:rPr>
          <w:rFonts w:ascii="Times New Roman" w:eastAsia="Times New Roman" w:hAnsi="Times New Roman" w:cs="Times New Roman"/>
        </w:rPr>
        <w:t>U</w:t>
      </w:r>
      <w:r w:rsidRPr="001D13C7">
        <w:rPr>
          <w:rFonts w:ascii="Times New Roman" w:hAnsi="Times New Roman"/>
        </w:rPr>
        <w:t xml:space="preserve"> supervision. The Commission closely monitors the evolution of the NBFI sector and associated risks, including in relation to bank-NBFI interconnectedness, for example where it concerns banks and NBFIs exposures to private markets. In </w:t>
      </w:r>
      <w:r w:rsidRPr="001D13C7">
        <w:rPr>
          <w:rFonts w:ascii="Times New Roman" w:eastAsia="Times New Roman" w:hAnsi="Times New Roman" w:cs="Times New Roman"/>
        </w:rPr>
        <w:t>th</w:t>
      </w:r>
      <w:r w:rsidRPr="001D13C7" w:rsidR="63F48724">
        <w:rPr>
          <w:rFonts w:ascii="Times New Roman" w:eastAsia="Times New Roman" w:hAnsi="Times New Roman" w:cs="Times New Roman"/>
        </w:rPr>
        <w:t>at</w:t>
      </w:r>
      <w:r w:rsidRPr="001D13C7">
        <w:rPr>
          <w:rFonts w:ascii="Times New Roman" w:hAnsi="Times New Roman"/>
        </w:rPr>
        <w:t xml:space="preserve"> context, the Commission has already called for a more holistic, cross-sectoral, and well-coordinated approach to macroprudential oversight and risk monitoring. A system-wide stress test constitutes an important element of such a holistic approach. The Commission closely tracks system-wide stress test initiatives undertaken in</w:t>
      </w:r>
      <w:r w:rsidRPr="001D13C7" w:rsidR="78830F29">
        <w:rPr>
          <w:rFonts w:ascii="Times New Roman" w:hAnsi="Times New Roman"/>
        </w:rPr>
        <w:t xml:space="preserve"> different jurisdictions</w:t>
      </w:r>
      <w:r w:rsidRPr="001D13C7">
        <w:rPr>
          <w:rFonts w:ascii="Times New Roman" w:hAnsi="Times New Roman"/>
        </w:rPr>
        <w:t xml:space="preserve">. Additionally, the Commission encourages supervisors to use the powers at their disposal to close relevant data gaps to the extent possible. Adequate macroprudential oversight needs to rely on effective tools and supervisory coordination. In the Markets Integration and Supervision Package, the Commission has proposed to reinforce the role of </w:t>
      </w:r>
      <w:r w:rsidRPr="001D13C7" w:rsidR="3E825F29">
        <w:rPr>
          <w:rFonts w:ascii="Times New Roman" w:hAnsi="Times New Roman"/>
        </w:rPr>
        <w:t>the European Securities and Markets Authority (</w:t>
      </w:r>
      <w:r w:rsidRPr="001D13C7">
        <w:rPr>
          <w:rFonts w:ascii="Times New Roman" w:hAnsi="Times New Roman"/>
        </w:rPr>
        <w:t>ESMA</w:t>
      </w:r>
      <w:r w:rsidRPr="001D13C7" w:rsidR="363AC49B">
        <w:rPr>
          <w:rFonts w:ascii="Times New Roman" w:hAnsi="Times New Roman"/>
        </w:rPr>
        <w:t>)</w:t>
      </w:r>
      <w:r w:rsidRPr="001D13C7">
        <w:rPr>
          <w:rFonts w:ascii="Times New Roman" w:hAnsi="Times New Roman"/>
        </w:rPr>
        <w:t xml:space="preserve"> when it comes to supervision, supervisory coordination and systemic risk monitoring. </w:t>
      </w:r>
      <w:r w:rsidRPr="001D13C7" w:rsidR="10E7F75E">
        <w:rPr>
          <w:rFonts w:ascii="Times New Roman" w:eastAsia="Times New Roman" w:hAnsi="Times New Roman" w:cs="Times New Roman"/>
        </w:rPr>
        <w:t>Specifically</w:t>
      </w:r>
      <w:r w:rsidRPr="001D13C7" w:rsidR="4B9CA779">
        <w:rPr>
          <w:rFonts w:ascii="Times New Roman" w:eastAsia="Times New Roman" w:hAnsi="Times New Roman" w:cs="Times New Roman"/>
        </w:rPr>
        <w:t>,</w:t>
      </w:r>
      <w:r w:rsidRPr="001D13C7" w:rsidR="10E7F75E">
        <w:rPr>
          <w:rFonts w:ascii="Times New Roman" w:eastAsia="Times New Roman" w:hAnsi="Times New Roman" w:cs="Times New Roman"/>
        </w:rPr>
        <w:t xml:space="preserve"> w</w:t>
      </w:r>
      <w:r w:rsidRPr="001D13C7">
        <w:rPr>
          <w:rFonts w:ascii="Times New Roman" w:hAnsi="Times New Roman"/>
        </w:rPr>
        <w:t xml:space="preserve">ith regard to Money Market Funds (MMFs), the Commission has published a report </w:t>
      </w:r>
      <w:r w:rsidRPr="001D13C7" w:rsidR="10E7F75E">
        <w:rPr>
          <w:rFonts w:ascii="Times New Roman" w:hAnsi="Times New Roman"/>
        </w:rPr>
        <w:t xml:space="preserve">on </w:t>
      </w:r>
      <w:r w:rsidRPr="001D13C7" w:rsidR="10E7F75E">
        <w:rPr>
          <w:rFonts w:ascii="Times New Roman" w:eastAsia="Times New Roman" w:hAnsi="Times New Roman" w:cs="Times New Roman"/>
        </w:rPr>
        <w:t xml:space="preserve">11 May 2026 </w:t>
      </w:r>
      <w:r w:rsidRPr="001D13C7">
        <w:rPr>
          <w:rFonts w:ascii="Times New Roman" w:eastAsia="Times New Roman" w:hAnsi="Times New Roman" w:cs="Times New Roman"/>
        </w:rPr>
        <w:t xml:space="preserve">on </w:t>
      </w:r>
      <w:r w:rsidRPr="001D13C7">
        <w:rPr>
          <w:rFonts w:ascii="Times New Roman" w:hAnsi="Times New Roman"/>
        </w:rPr>
        <w:t>the adequacy of the MMF Regulation containing guidance to support more consistent supervision and strengthen the resilience of the sector. In other areas, the Commission continues to assess whether enhancements can be made in a way that is compatible with the SIU objectives, building on the feedback collected from stakeholders in the 2024-2025 public consultation where some new macroprudential powers were discussed.</w:t>
      </w:r>
    </w:p>
    <w:p w:rsidR="00E63B9D" w:rsidRPr="001D13C7" w:rsidP="00E63B9D" w14:paraId="63D018D0" w14:textId="6E1D7E6C">
      <w:pPr>
        <w:spacing w:before="240" w:after="240" w:line="240" w:lineRule="auto"/>
        <w:jc w:val="both"/>
        <w:rPr>
          <w:rFonts w:ascii="Times New Roman" w:hAnsi="Times New Roman"/>
        </w:rPr>
      </w:pPr>
      <w:r w:rsidRPr="001D13C7">
        <w:rPr>
          <w:rFonts w:ascii="Times New Roman" w:hAnsi="Times New Roman"/>
          <w:b/>
          <w:bCs/>
        </w:rPr>
        <w:t>In paragraph 17, the European Parliament</w:t>
      </w:r>
      <w:r w:rsidRPr="001D13C7">
        <w:rPr>
          <w:rFonts w:ascii="Times New Roman" w:hAnsi="Times New Roman"/>
        </w:rPr>
        <w:t xml:space="preserve"> </w:t>
      </w:r>
      <w:r w:rsidRPr="001D13C7" w:rsidR="28CA6C35">
        <w:rPr>
          <w:rFonts w:ascii="Times New Roman" w:hAnsi="Times New Roman"/>
          <w:b/>
          <w:bCs/>
        </w:rPr>
        <w:t>welcomes the finalisation and implementation of the Basel III framework in the EU</w:t>
      </w:r>
      <w:r w:rsidRPr="001D13C7" w:rsidR="44BE87B4">
        <w:rPr>
          <w:rFonts w:ascii="Times New Roman" w:hAnsi="Times New Roman"/>
        </w:rPr>
        <w:t xml:space="preserve">. At the same time, it notes diverging approaches across jurisdictions and calls for close monitoring of international implementation developments. It also recalls the </w:t>
      </w:r>
      <w:r w:rsidRPr="001D13C7" w:rsidR="1CB7FC19">
        <w:rPr>
          <w:rFonts w:ascii="Times New Roman" w:hAnsi="Times New Roman"/>
        </w:rPr>
        <w:t>European Central Bank (</w:t>
      </w:r>
      <w:r w:rsidRPr="001D13C7" w:rsidR="44BE87B4">
        <w:rPr>
          <w:rFonts w:ascii="Times New Roman" w:hAnsi="Times New Roman"/>
        </w:rPr>
        <w:t>ECB</w:t>
      </w:r>
      <w:r w:rsidRPr="001D13C7" w:rsidR="4AE55DFB">
        <w:rPr>
          <w:rFonts w:ascii="Times New Roman" w:hAnsi="Times New Roman"/>
        </w:rPr>
        <w:t>)</w:t>
      </w:r>
      <w:r w:rsidRPr="001D13C7" w:rsidR="44BE87B4">
        <w:rPr>
          <w:rFonts w:ascii="Times New Roman" w:hAnsi="Times New Roman"/>
        </w:rPr>
        <w:t>’s position that the implementation of the Fundamental Review of the Trading Book strengthens resilience without undermining competitiveness</w:t>
      </w:r>
      <w:r w:rsidRPr="001D13C7" w:rsidR="1989D8F8">
        <w:rPr>
          <w:rFonts w:ascii="Times New Roman" w:hAnsi="Times New Roman"/>
        </w:rPr>
        <w:t>.</w:t>
      </w:r>
    </w:p>
    <w:p w:rsidR="00461990" w:rsidRPr="001D13C7" w:rsidP="00E63B9D" w14:paraId="1175806A" w14:textId="0F1F8BE2">
      <w:pPr>
        <w:spacing w:before="240" w:after="240" w:line="240" w:lineRule="auto"/>
        <w:jc w:val="both"/>
        <w:rPr>
          <w:rFonts w:ascii="Times New Roman" w:hAnsi="Times New Roman"/>
        </w:rPr>
      </w:pPr>
      <w:r w:rsidRPr="001D13C7">
        <w:rPr>
          <w:rFonts w:ascii="Times New Roman" w:hAnsi="Times New Roman"/>
        </w:rPr>
        <w:t xml:space="preserve">The Commission remains committed to the implementation of internationally agreed Basel standards, while also recognising the importance of ensuring a level playing field for European banks. In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at</w:t>
      </w:r>
      <w:r w:rsidRPr="001D13C7">
        <w:rPr>
          <w:rFonts w:ascii="Times New Roman" w:hAnsi="Times New Roman"/>
        </w:rPr>
        <w:t xml:space="preserve"> context, the Commission will continue to closely monitor implementation developments in other jurisdictions and assess their potential implications </w:t>
      </w:r>
      <w:r w:rsidRPr="001D13C7" w:rsidR="7AEDA926">
        <w:rPr>
          <w:rFonts w:ascii="Times New Roman" w:eastAsia="Times New Roman" w:hAnsi="Times New Roman" w:cs="Times New Roman"/>
        </w:rPr>
        <w:t xml:space="preserve">as part of the report on </w:t>
      </w:r>
      <w:r w:rsidRPr="001D13C7">
        <w:rPr>
          <w:rFonts w:ascii="Times New Roman" w:hAnsi="Times New Roman"/>
        </w:rPr>
        <w:t>the competitiveness of the EU banking sector.</w:t>
      </w:r>
    </w:p>
    <w:p w:rsidR="00E63B9D" w:rsidRPr="001D13C7" w:rsidP="00E63B9D" w14:paraId="4154E231" w14:textId="0F2C76F6">
      <w:pPr>
        <w:spacing w:before="240" w:after="240" w:line="240" w:lineRule="auto"/>
        <w:jc w:val="both"/>
        <w:rPr>
          <w:rFonts w:ascii="Times New Roman" w:hAnsi="Times New Roman"/>
        </w:rPr>
      </w:pPr>
      <w:r w:rsidRPr="001D13C7">
        <w:rPr>
          <w:rFonts w:ascii="Times New Roman" w:hAnsi="Times New Roman"/>
          <w:b/>
        </w:rPr>
        <w:t>In paragraph 19, the European Parliament</w:t>
      </w:r>
      <w:r w:rsidRPr="001D13C7">
        <w:rPr>
          <w:rFonts w:ascii="Times New Roman" w:hAnsi="Times New Roman"/>
          <w:b/>
        </w:rPr>
        <w:t xml:space="preserve"> expresses concern about the continued closure of bank branches</w:t>
      </w:r>
      <w:r w:rsidRPr="001D13C7">
        <w:rPr>
          <w:rFonts w:ascii="Times New Roman" w:hAnsi="Times New Roman"/>
        </w:rPr>
        <w:t>, particularly in vulnerable and peripheral areas, and reiterates the importance of ensuring access to basic banking services for citizens and small businesses. It also highlights the contribution of smaller institutions and the diversity of banking business models to the resilience, inclusiveness and territorial coverage of the financial system.</w:t>
      </w:r>
    </w:p>
    <w:p w:rsidR="00461990" w:rsidRPr="001D13C7" w:rsidP="00461990" w14:paraId="5F60D86C" w14:textId="48461692">
      <w:pPr>
        <w:spacing w:before="240" w:after="240" w:line="240" w:lineRule="auto"/>
        <w:jc w:val="both"/>
        <w:rPr>
          <w:rFonts w:ascii="Times New Roman" w:hAnsi="Times New Roman"/>
        </w:rPr>
      </w:pPr>
      <w:r w:rsidRPr="001D13C7">
        <w:rPr>
          <w:rFonts w:ascii="Times New Roman" w:hAnsi="Times New Roman"/>
        </w:rPr>
        <w:t xml:space="preserve">The Commission also recognises the importance of preserving access to essential banking services across the </w:t>
      </w:r>
      <w:r w:rsidRPr="001D13C7" w:rsidR="00CE71EC">
        <w:rPr>
          <w:rFonts w:ascii="Times New Roman" w:hAnsi="Times New Roman"/>
        </w:rPr>
        <w:t>EU</w:t>
      </w:r>
      <w:r w:rsidRPr="001D13C7">
        <w:rPr>
          <w:rFonts w:ascii="Times New Roman" w:hAnsi="Times New Roman"/>
        </w:rPr>
        <w:t>, including in vulnerable and peripheral areas. The diversity of banking business models, including smaller and regionally focused institutions, contributes to the resilience, inclusiveness and territorial coverage of the financial system.</w:t>
      </w:r>
    </w:p>
    <w:p w:rsidR="00461990" w:rsidRPr="001D13C7" w:rsidP="00461990" w14:paraId="35099D0B" w14:textId="2B82F30F">
      <w:pPr>
        <w:spacing w:line="240" w:lineRule="auto"/>
        <w:jc w:val="both"/>
        <w:rPr>
          <w:rFonts w:ascii="Times New Roman" w:hAnsi="Times New Roman"/>
        </w:rPr>
      </w:pPr>
      <w:r w:rsidRPr="001D13C7">
        <w:rPr>
          <w:rFonts w:ascii="Times New Roman" w:hAnsi="Times New Roman"/>
          <w:b/>
        </w:rPr>
        <w:t>In paragraph 20, the European Parliament recognises the specific risks and opportunities associated with crypto-assets, including euro-denominated stablecoins</w:t>
      </w:r>
      <w:r w:rsidRPr="001D13C7">
        <w:rPr>
          <w:rFonts w:ascii="Times New Roman" w:hAnsi="Times New Roman"/>
        </w:rPr>
        <w:t xml:space="preserve">. It advocates for consistent, innovation-friendly supervision to ensure that innovation serves the public interest and urges the EU and national authorities to monitor exposures, address risks, and curb speculative behaviour, while also combating financial crime and protecting consumers. The report further emphasises the importance of establishing global regulatory standards in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at</w:t>
      </w:r>
      <w:r w:rsidRPr="001D13C7">
        <w:rPr>
          <w:rFonts w:ascii="Times New Roman" w:hAnsi="Times New Roman"/>
        </w:rPr>
        <w:t xml:space="preserve"> area. Additionally, the report calls on the Commission, the European Banking Authority (EBA), and national competent authorities within the Banking Union to ensure the strict, consistent, and full implementation and enforcement of the Markets in Crypto-Assets Regulation</w:t>
      </w:r>
      <w:r w:rsidRPr="001D13C7" w:rsidR="008C0ECE">
        <w:rPr>
          <w:rFonts w:ascii="Times New Roman" w:hAnsi="Times New Roman"/>
        </w:rPr>
        <w:t xml:space="preserve"> </w:t>
      </w:r>
      <w:r w:rsidRPr="001D13C7" w:rsidR="008C0ECE">
        <w:rPr>
          <w:rFonts w:ascii="Times New Roman" w:eastAsia="Times New Roman" w:hAnsi="Times New Roman" w:cs="Times New Roman"/>
        </w:rPr>
        <w:t>(MiCAR)</w:t>
      </w:r>
      <w:r w:rsidRPr="001D13C7">
        <w:rPr>
          <w:rFonts w:ascii="Times New Roman" w:eastAsia="Times New Roman" w:hAnsi="Times New Roman" w:cs="Times New Roman"/>
        </w:rPr>
        <w:t>,</w:t>
      </w:r>
      <w:r w:rsidRPr="001D13C7">
        <w:rPr>
          <w:rFonts w:ascii="Times New Roman" w:hAnsi="Times New Roman"/>
        </w:rPr>
        <w:t xml:space="preserve"> which complements the </w:t>
      </w:r>
      <w:r w:rsidRPr="001D13C7" w:rsidR="00CE71EC">
        <w:rPr>
          <w:rFonts w:ascii="Times New Roman" w:hAnsi="Times New Roman"/>
        </w:rPr>
        <w:t xml:space="preserve">EU’s </w:t>
      </w:r>
      <w:r w:rsidRPr="001D13C7">
        <w:rPr>
          <w:rFonts w:ascii="Times New Roman" w:hAnsi="Times New Roman"/>
        </w:rPr>
        <w:t xml:space="preserve">bank-based financial stability framework. The report also highlights the uncertainties posed by third-country multi-issuance stablecoins for EU banks, warning that regulatory arbitrage between jurisdictions could trigger bank runs and systemic spillover effects within the </w:t>
      </w:r>
      <w:r w:rsidRPr="001D13C7" w:rsidR="00CE71EC">
        <w:rPr>
          <w:rFonts w:ascii="Times New Roman" w:hAnsi="Times New Roman"/>
        </w:rPr>
        <w:t>EU</w:t>
      </w:r>
      <w:r w:rsidRPr="001D13C7">
        <w:rPr>
          <w:rFonts w:ascii="Times New Roman" w:hAnsi="Times New Roman"/>
        </w:rPr>
        <w:t>.</w:t>
      </w:r>
    </w:p>
    <w:p w:rsidR="00461990" w:rsidRPr="001D13C7" w:rsidP="354D79CC" w14:paraId="75C356CB" w14:textId="4573DFE8">
      <w:pPr>
        <w:spacing w:line="240" w:lineRule="auto"/>
        <w:jc w:val="both"/>
        <w:rPr>
          <w:rFonts w:ascii="Times New Roman" w:hAnsi="Times New Roman"/>
        </w:rPr>
      </w:pPr>
      <w:r w:rsidRPr="001D13C7">
        <w:rPr>
          <w:rFonts w:ascii="Times New Roman" w:hAnsi="Times New Roman"/>
        </w:rPr>
        <w:t>The Commission agrees that c</w:t>
      </w:r>
      <w:r w:rsidRPr="001D13C7">
        <w:rPr>
          <w:rFonts w:ascii="Times New Roman" w:hAnsi="Times New Roman"/>
        </w:rPr>
        <w:t xml:space="preserve">rypto-assets and global stablecoins have gained in significance since </w:t>
      </w:r>
      <w:r w:rsidRPr="001D13C7" w:rsidR="5ED8B55D">
        <w:rPr>
          <w:rFonts w:ascii="Times New Roman" w:hAnsi="Times New Roman"/>
        </w:rPr>
        <w:t xml:space="preserve">the </w:t>
      </w:r>
      <w:r w:rsidRPr="001D13C7" w:rsidR="008C0ECE">
        <w:rPr>
          <w:rFonts w:ascii="Times New Roman" w:eastAsia="Times New Roman" w:hAnsi="Times New Roman" w:cs="Times New Roman"/>
        </w:rPr>
        <w:t>adoption of MiCAR</w:t>
      </w:r>
      <w:r w:rsidRPr="001D13C7">
        <w:rPr>
          <w:rFonts w:ascii="Times New Roman" w:hAnsi="Times New Roman"/>
        </w:rPr>
        <w:t xml:space="preserve"> and may lead to faster growth in the short to medium term of crypto-asset markets, including stablecoins. A strong ecosystem of euro-denominated stablecoins could also reinforce the international role of the euro and support a resilient, competitive and innovative </w:t>
      </w:r>
      <w:r w:rsidRPr="001D13C7">
        <w:rPr>
          <w:rFonts w:ascii="Times New Roman" w:eastAsia="Times New Roman" w:hAnsi="Times New Roman" w:cs="Times New Roman"/>
        </w:rPr>
        <w:t>E</w:t>
      </w:r>
      <w:r w:rsidRPr="001D13C7" w:rsidR="008C0ECE">
        <w:rPr>
          <w:rFonts w:ascii="Times New Roman" w:eastAsia="Times New Roman" w:hAnsi="Times New Roman" w:cs="Times New Roman"/>
        </w:rPr>
        <w:t>U</w:t>
      </w:r>
      <w:r w:rsidRPr="001D13C7">
        <w:rPr>
          <w:rFonts w:ascii="Times New Roman" w:hAnsi="Times New Roman"/>
        </w:rPr>
        <w:t xml:space="preserve"> digital economy.</w:t>
      </w:r>
      <w:r w:rsidRPr="001D13C7">
        <w:rPr>
          <w:rFonts w:ascii="Times New Roman" w:hAnsi="Times New Roman"/>
        </w:rPr>
        <w:t xml:space="preserve"> The Commission considers that </w:t>
      </w:r>
      <w:r w:rsidRPr="001D13C7" w:rsidR="008C0ECE">
        <w:rPr>
          <w:rFonts w:ascii="Times New Roman" w:eastAsia="Times New Roman" w:hAnsi="Times New Roman" w:cs="Times New Roman"/>
        </w:rPr>
        <w:t>MiCAR</w:t>
      </w:r>
      <w:r w:rsidRPr="001D13C7">
        <w:rPr>
          <w:rFonts w:ascii="Times New Roman" w:hAnsi="Times New Roman"/>
        </w:rPr>
        <w:t xml:space="preserve"> already provides strong safeguards to manage the risks of global stablecoins</w:t>
      </w:r>
      <w:r w:rsidRPr="001D13C7" w:rsidR="00707A24">
        <w:rPr>
          <w:rFonts w:ascii="Times New Roman" w:eastAsia="Times New Roman" w:hAnsi="Times New Roman" w:cs="Times New Roman"/>
        </w:rPr>
        <w:t xml:space="preserve"> which can be offered to the public or admitted to trading within the </w:t>
      </w:r>
      <w:r w:rsidRPr="001D13C7" w:rsidR="00CE71EC">
        <w:rPr>
          <w:rFonts w:ascii="Times New Roman" w:eastAsia="Times New Roman" w:hAnsi="Times New Roman" w:cs="Times New Roman"/>
        </w:rPr>
        <w:t>EU</w:t>
      </w:r>
      <w:r w:rsidRPr="001D13C7" w:rsidR="009E121C">
        <w:rPr>
          <w:rFonts w:ascii="Times New Roman" w:eastAsia="Times New Roman" w:hAnsi="Times New Roman" w:cs="Times New Roman"/>
        </w:rPr>
        <w:t>.</w:t>
      </w:r>
    </w:p>
    <w:p w:rsidR="00461990" w:rsidRPr="001D13C7" w:rsidP="00461990" w14:paraId="1A44F6CF" w14:textId="2D7F36AB">
      <w:pPr>
        <w:spacing w:line="240" w:lineRule="auto"/>
        <w:jc w:val="both"/>
        <w:rPr>
          <w:rFonts w:ascii="Times New Roman" w:hAnsi="Times New Roman"/>
        </w:rPr>
      </w:pPr>
      <w:r w:rsidRPr="001D13C7">
        <w:rPr>
          <w:rFonts w:ascii="Times New Roman" w:hAnsi="Times New Roman"/>
        </w:rPr>
        <w:t xml:space="preserve">Beyond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at</w:t>
      </w:r>
      <w:r w:rsidRPr="001D13C7">
        <w:rPr>
          <w:rFonts w:ascii="Times New Roman" w:hAnsi="Times New Roman"/>
        </w:rPr>
        <w:t>,</w:t>
      </w:r>
      <w:r w:rsidRPr="001D13C7" w:rsidR="00FC52F6">
        <w:rPr>
          <w:rFonts w:ascii="Times New Roman" w:hAnsi="Times New Roman"/>
        </w:rPr>
        <w:t xml:space="preserve"> the Commission notes that</w:t>
      </w:r>
      <w:r w:rsidRPr="001D13C7">
        <w:rPr>
          <w:rFonts w:ascii="Times New Roman" w:hAnsi="Times New Roman"/>
        </w:rPr>
        <w:t xml:space="preserve"> </w:t>
      </w:r>
      <w:r w:rsidRPr="001D13C7">
        <w:rPr>
          <w:rFonts w:ascii="Times New Roman" w:eastAsia="Times New Roman" w:hAnsi="Times New Roman" w:cs="Times New Roman"/>
        </w:rPr>
        <w:t>MiCA</w:t>
      </w:r>
      <w:r w:rsidRPr="001D13C7" w:rsidR="008C0ECE">
        <w:rPr>
          <w:rFonts w:ascii="Times New Roman" w:eastAsia="Times New Roman" w:hAnsi="Times New Roman" w:cs="Times New Roman"/>
        </w:rPr>
        <w:t>R</w:t>
      </w:r>
      <w:r w:rsidRPr="001D13C7">
        <w:rPr>
          <w:rFonts w:ascii="Times New Roman" w:hAnsi="Times New Roman"/>
        </w:rPr>
        <w:t xml:space="preserve"> itself sets robust requirements to limit risks from stablecoins, particularly those not pegged to the euro.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o</w:t>
      </w:r>
      <w:r w:rsidRPr="001D13C7">
        <w:rPr>
          <w:rFonts w:ascii="Times New Roman" w:eastAsia="Times New Roman" w:hAnsi="Times New Roman" w:cs="Times New Roman"/>
        </w:rPr>
        <w:t>se</w:t>
      </w:r>
      <w:r w:rsidRPr="001D13C7">
        <w:rPr>
          <w:rFonts w:ascii="Times New Roman" w:hAnsi="Times New Roman"/>
        </w:rPr>
        <w:t xml:space="preserve"> tokens face restrictions on their circulation and cannot be used widely for everyday payments in the EU. The </w:t>
      </w:r>
      <w:r w:rsidRPr="001D13C7">
        <w:rPr>
          <w:rFonts w:ascii="Times New Roman" w:eastAsia="Times New Roman" w:hAnsi="Times New Roman" w:cs="Times New Roman"/>
        </w:rPr>
        <w:t>E</w:t>
      </w:r>
      <w:r w:rsidRPr="001D13C7" w:rsidR="008C0ECE">
        <w:rPr>
          <w:rFonts w:ascii="Times New Roman" w:eastAsia="Times New Roman" w:hAnsi="Times New Roman" w:cs="Times New Roman"/>
        </w:rPr>
        <w:t>CB</w:t>
      </w:r>
      <w:r w:rsidRPr="001D13C7">
        <w:rPr>
          <w:rFonts w:ascii="Times New Roman" w:hAnsi="Times New Roman"/>
        </w:rPr>
        <w:t xml:space="preserve"> also has the authority to issue a binding negative opinion </w:t>
      </w:r>
      <w:r w:rsidRPr="001D13C7" w:rsidR="008C0ECE">
        <w:rPr>
          <w:rFonts w:ascii="Times New Roman" w:eastAsia="Times New Roman" w:hAnsi="Times New Roman" w:cs="Times New Roman"/>
        </w:rPr>
        <w:t>where</w:t>
      </w:r>
      <w:r w:rsidRPr="001D13C7">
        <w:rPr>
          <w:rFonts w:ascii="Times New Roman" w:hAnsi="Times New Roman"/>
        </w:rPr>
        <w:t xml:space="preserve"> a stablecoin risks undermining payment systems, monetary policy, or monetary sovereignty. In such cases, national authorities must restrict issuance.</w:t>
      </w:r>
    </w:p>
    <w:p w:rsidR="00461990" w:rsidRPr="001D13C7" w:rsidP="00461990" w14:paraId="62BD353E" w14:textId="49D6C121">
      <w:pPr>
        <w:spacing w:line="240" w:lineRule="auto"/>
        <w:jc w:val="both"/>
        <w:rPr>
          <w:rFonts w:ascii="Times New Roman" w:hAnsi="Times New Roman"/>
        </w:rPr>
      </w:pPr>
      <w:r w:rsidRPr="001D13C7">
        <w:rPr>
          <w:rFonts w:ascii="Times New Roman" w:hAnsi="Times New Roman"/>
        </w:rPr>
        <w:t>Finally,</w:t>
      </w:r>
      <w:r w:rsidRPr="001D13C7" w:rsidR="00FC52F6">
        <w:rPr>
          <w:rFonts w:ascii="Times New Roman" w:hAnsi="Times New Roman"/>
        </w:rPr>
        <w:t xml:space="preserve"> the Commission recalls that</w:t>
      </w:r>
      <w:r w:rsidRPr="001D13C7">
        <w:rPr>
          <w:rFonts w:ascii="Times New Roman" w:hAnsi="Times New Roman"/>
        </w:rPr>
        <w:t xml:space="preserve"> </w:t>
      </w:r>
      <w:r w:rsidRPr="001D13C7">
        <w:rPr>
          <w:rFonts w:ascii="Times New Roman" w:eastAsia="Times New Roman" w:hAnsi="Times New Roman" w:cs="Times New Roman"/>
        </w:rPr>
        <w:t>MiCA</w:t>
      </w:r>
      <w:r w:rsidRPr="001D13C7" w:rsidR="008C0ECE">
        <w:rPr>
          <w:rFonts w:ascii="Times New Roman" w:eastAsia="Times New Roman" w:hAnsi="Times New Roman" w:cs="Times New Roman"/>
        </w:rPr>
        <w:t>R</w:t>
      </w:r>
      <w:r w:rsidRPr="001D13C7">
        <w:rPr>
          <w:rFonts w:ascii="Times New Roman" w:hAnsi="Times New Roman"/>
        </w:rPr>
        <w:t xml:space="preserve"> requires global stablecoin issuers to set up a legal entity within the EU.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at</w:t>
      </w:r>
      <w:r w:rsidRPr="001D13C7">
        <w:rPr>
          <w:rFonts w:ascii="Times New Roman" w:hAnsi="Times New Roman"/>
        </w:rPr>
        <w:t xml:space="preserve"> ensures that any litigation or bankruptcy can be handled under EU law, making procedures faster and less costly for EU holders compared to pursuing claims abroad. The management body of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o</w:t>
      </w:r>
      <w:r w:rsidRPr="001D13C7">
        <w:rPr>
          <w:rFonts w:ascii="Times New Roman" w:eastAsia="Times New Roman" w:hAnsi="Times New Roman" w:cs="Times New Roman"/>
        </w:rPr>
        <w:t>se</w:t>
      </w:r>
      <w:r w:rsidRPr="001D13C7">
        <w:rPr>
          <w:rFonts w:ascii="Times New Roman" w:hAnsi="Times New Roman"/>
        </w:rPr>
        <w:t xml:space="preserve"> EU entities are personally liable for any actions that would deplete reserve of assets in the EU in breach of </w:t>
      </w:r>
      <w:r w:rsidRPr="001D13C7">
        <w:rPr>
          <w:rFonts w:ascii="Times New Roman" w:eastAsia="Times New Roman" w:hAnsi="Times New Roman" w:cs="Times New Roman"/>
        </w:rPr>
        <w:t>MiCA</w:t>
      </w:r>
      <w:r w:rsidRPr="001D13C7" w:rsidR="008C0ECE">
        <w:rPr>
          <w:rFonts w:ascii="Times New Roman" w:eastAsia="Times New Roman" w:hAnsi="Times New Roman" w:cs="Times New Roman"/>
        </w:rPr>
        <w:t>R</w:t>
      </w:r>
      <w:r w:rsidRPr="001D13C7">
        <w:rPr>
          <w:rFonts w:ascii="Times New Roman" w:hAnsi="Times New Roman"/>
        </w:rPr>
        <w:t xml:space="preserve"> requirements.</w:t>
      </w:r>
    </w:p>
    <w:p w:rsidR="003F3B22" w:rsidRPr="001D13C7" w:rsidP="003F3B22" w14:paraId="6B594C25" w14:textId="4FC2BAC0">
      <w:pPr>
        <w:spacing w:line="240" w:lineRule="auto"/>
        <w:jc w:val="both"/>
        <w:rPr>
          <w:rFonts w:ascii="Times New Roman" w:hAnsi="Times New Roman"/>
        </w:rPr>
      </w:pPr>
      <w:r w:rsidRPr="001D13C7">
        <w:rPr>
          <w:rFonts w:ascii="Times New Roman" w:hAnsi="Times New Roman"/>
        </w:rPr>
        <w:t>Additionally, in the upcoming targeted MiCAR consultation (and ahead of the formal MiCAR review in 2027), the</w:t>
      </w:r>
      <w:r w:rsidRPr="001D13C7" w:rsidR="00FC52F6">
        <w:rPr>
          <w:rFonts w:ascii="Times New Roman" w:hAnsi="Times New Roman"/>
        </w:rPr>
        <w:t xml:space="preserve"> Commission</w:t>
      </w:r>
      <w:r w:rsidRPr="001D13C7">
        <w:rPr>
          <w:rFonts w:ascii="Times New Roman" w:hAnsi="Times New Roman"/>
        </w:rPr>
        <w:t xml:space="preserve"> will seek views on key aspects—including the multi-issuance model, capital and liquidity requirements, and financial stability risks and safeguards.</w:t>
      </w:r>
    </w:p>
    <w:p w:rsidR="25DFE563" w:rsidRPr="001D13C7" w:rsidP="25DFE563" w14:paraId="71D0C893" w14:textId="261D3ABE">
      <w:pPr>
        <w:spacing w:after="0" w:line="240" w:lineRule="auto"/>
        <w:jc w:val="both"/>
        <w:rPr>
          <w:rFonts w:ascii="Times New Roman" w:hAnsi="Times New Roman"/>
          <w:b/>
          <w:i/>
        </w:rPr>
      </w:pPr>
      <w:r w:rsidRPr="001D13C7">
        <w:rPr>
          <w:rFonts w:ascii="Times New Roman" w:hAnsi="Times New Roman"/>
          <w:b/>
          <w:i/>
        </w:rPr>
        <w:t>Resolution</w:t>
      </w:r>
    </w:p>
    <w:p w:rsidR="00071076" w:rsidRPr="001D13C7" w:rsidP="00071076" w14:paraId="67564F11" w14:textId="66CB95EA">
      <w:pPr>
        <w:spacing w:before="240" w:after="240" w:line="240" w:lineRule="auto"/>
        <w:jc w:val="both"/>
        <w:rPr>
          <w:rFonts w:ascii="Times New Roman" w:hAnsi="Times New Roman"/>
        </w:rPr>
      </w:pPr>
      <w:r w:rsidRPr="001D13C7">
        <w:rPr>
          <w:rFonts w:ascii="Times New Roman" w:hAnsi="Times New Roman"/>
          <w:b/>
          <w:bCs/>
        </w:rPr>
        <w:t xml:space="preserve">In paragraph 23, the European Parliament </w:t>
      </w:r>
      <w:r w:rsidRPr="001D13C7" w:rsidR="0083167E">
        <w:rPr>
          <w:rFonts w:ascii="Times New Roman" w:hAnsi="Times New Roman"/>
          <w:b/>
          <w:bCs/>
        </w:rPr>
        <w:t>commends the CMDI reform</w:t>
      </w:r>
      <w:r w:rsidRPr="001D13C7" w:rsidR="0083167E">
        <w:rPr>
          <w:rFonts w:ascii="Times New Roman" w:hAnsi="Times New Roman"/>
        </w:rPr>
        <w:t xml:space="preserve"> for providing a coherent crisis management framework, with flexibility for small and medium-sized banks and effective tools for authorities</w:t>
      </w:r>
      <w:r w:rsidRPr="001D13C7">
        <w:rPr>
          <w:rFonts w:ascii="Times New Roman" w:hAnsi="Times New Roman"/>
        </w:rPr>
        <w:t>.</w:t>
      </w:r>
      <w:r w:rsidRPr="001D13C7">
        <w:rPr>
          <w:rFonts w:ascii="Times New Roman" w:hAnsi="Times New Roman"/>
        </w:rPr>
        <w:t xml:space="preserve"> </w:t>
      </w:r>
      <w:r w:rsidRPr="001D13C7">
        <w:rPr>
          <w:rFonts w:ascii="Times New Roman" w:hAnsi="Times New Roman"/>
          <w:b/>
          <w:bCs/>
        </w:rPr>
        <w:t>The report restates</w:t>
      </w:r>
      <w:r w:rsidRPr="001D13C7">
        <w:rPr>
          <w:rFonts w:ascii="Times New Roman" w:eastAsia="Times New Roman" w:hAnsi="Times New Roman" w:cs="Times New Roman"/>
          <w:b/>
          <w:bCs/>
        </w:rPr>
        <w:t xml:space="preserve"> </w:t>
      </w:r>
      <w:r w:rsidRPr="001D13C7" w:rsidR="008C0ECE">
        <w:rPr>
          <w:rFonts w:ascii="Times New Roman" w:eastAsia="Times New Roman" w:hAnsi="Times New Roman" w:cs="Times New Roman"/>
          <w:b/>
          <w:bCs/>
        </w:rPr>
        <w:t>in paragraph 25</w:t>
      </w:r>
      <w:r w:rsidRPr="001D13C7" w:rsidR="008C0ECE">
        <w:rPr>
          <w:rFonts w:ascii="Times New Roman" w:hAnsi="Times New Roman"/>
          <w:b/>
          <w:bCs/>
        </w:rPr>
        <w:t xml:space="preserve"> </w:t>
      </w:r>
      <w:r w:rsidRPr="001D13C7">
        <w:rPr>
          <w:rFonts w:ascii="Times New Roman" w:hAnsi="Times New Roman"/>
          <w:b/>
          <w:bCs/>
        </w:rPr>
        <w:t>the bail-in hierarchy with shareholders, creditors and industry-funded mechanisms first and public funds as a last resort and recalls in paragraph 26 that a sufficient minimum requirement for own funds and eligible liabilities (MREL) is essential for a credible resolution framework</w:t>
      </w:r>
    </w:p>
    <w:p w:rsidR="00DF5D86" w:rsidRPr="001D13C7" w:rsidP="00DF5D86" w14:paraId="01BF0222" w14:textId="06A69E7E">
      <w:pPr>
        <w:spacing w:after="140" w:line="240" w:lineRule="auto"/>
        <w:jc w:val="both"/>
        <w:rPr>
          <w:rFonts w:ascii="Times New Roman" w:hAnsi="Times New Roman"/>
        </w:rPr>
      </w:pPr>
      <w:r w:rsidRPr="001D13C7">
        <w:rPr>
          <w:rFonts w:ascii="Times New Roman" w:hAnsi="Times New Roman"/>
        </w:rPr>
        <w:t xml:space="preserve">The Commission notes that the CMDI package, published on 20 April 2026, closes the main gap on the toolkit for small and medium-sized bank failures and that </w:t>
      </w:r>
      <w:r w:rsidRPr="001D13C7">
        <w:rPr>
          <w:rFonts w:ascii="Times New Roman" w:eastAsia="Times New Roman" w:hAnsi="Times New Roman" w:cs="Times New Roman"/>
        </w:rPr>
        <w:t>th</w:t>
      </w:r>
      <w:r w:rsidRPr="001D13C7" w:rsidR="008C0ECE">
        <w:rPr>
          <w:rFonts w:ascii="Times New Roman" w:eastAsia="Times New Roman" w:hAnsi="Times New Roman" w:cs="Times New Roman"/>
        </w:rPr>
        <w:t>at</w:t>
      </w:r>
      <w:r w:rsidRPr="001D13C7">
        <w:rPr>
          <w:rFonts w:ascii="Times New Roman" w:hAnsi="Times New Roman"/>
        </w:rPr>
        <w:t xml:space="preserve"> reform constitutes an important milestone towards the completion of the Banking Union and the advancement of the </w:t>
      </w:r>
      <w:r w:rsidRPr="001D13C7" w:rsidR="008C0ECE">
        <w:rPr>
          <w:rFonts w:ascii="Times New Roman" w:eastAsia="Times New Roman" w:hAnsi="Times New Roman" w:cs="Times New Roman"/>
        </w:rPr>
        <w:t>s</w:t>
      </w:r>
      <w:r w:rsidRPr="001D13C7">
        <w:rPr>
          <w:rFonts w:ascii="Times New Roman" w:hAnsi="Times New Roman"/>
        </w:rPr>
        <w:t>ingle market for banking. A credible, predictable and proportionate resolution framework is a precondition to further develop cross-border banking.</w:t>
      </w:r>
    </w:p>
    <w:p w:rsidR="0083167E" w:rsidRPr="001D13C7" w:rsidP="354D79CC" w14:paraId="7DCF9AA8" w14:textId="38756E02">
      <w:pPr>
        <w:spacing w:after="140" w:line="240" w:lineRule="auto"/>
        <w:jc w:val="both"/>
        <w:rPr>
          <w:rFonts w:ascii="Times New Roman" w:hAnsi="Times New Roman"/>
        </w:rPr>
      </w:pPr>
      <w:r w:rsidRPr="001D13C7">
        <w:rPr>
          <w:rFonts w:ascii="Times New Roman" w:hAnsi="Times New Roman"/>
        </w:rPr>
        <w:t>Further, the Commission notes that t</w:t>
      </w:r>
      <w:r w:rsidRPr="001D13C7" w:rsidR="5BDFF449">
        <w:rPr>
          <w:rFonts w:ascii="Times New Roman" w:hAnsi="Times New Roman"/>
        </w:rPr>
        <w:t>he targeted consultation that closed on 19 April 2026 explores other potential areas to enhance the resolution framework, such as a transparent EU mechanism for liquidity in resolution and simplification of the crisis management framework, including MREL calibration and prior-permission regimes.</w:t>
      </w:r>
    </w:p>
    <w:p w:rsidR="0083167E" w:rsidRPr="001D13C7" w:rsidP="38E719A3" w14:paraId="5B20DF8C" w14:textId="1321AA87">
      <w:pPr>
        <w:spacing w:after="0" w:line="240" w:lineRule="auto"/>
        <w:jc w:val="both"/>
        <w:rPr>
          <w:rFonts w:ascii="Times New Roman" w:hAnsi="Times New Roman"/>
          <w:b/>
          <w:i/>
        </w:rPr>
      </w:pPr>
      <w:r w:rsidRPr="001D13C7">
        <w:rPr>
          <w:rFonts w:ascii="Times New Roman" w:hAnsi="Times New Roman"/>
          <w:b/>
          <w:i/>
        </w:rPr>
        <w:t>Deposit insurance</w:t>
      </w:r>
    </w:p>
    <w:p w:rsidR="0083167E" w:rsidRPr="001D13C7" w:rsidP="38E719A3" w14:paraId="1C19E1D8" w14:textId="77777777">
      <w:pPr>
        <w:spacing w:after="0" w:line="240" w:lineRule="auto"/>
        <w:jc w:val="both"/>
        <w:rPr>
          <w:rFonts w:ascii="Times New Roman" w:hAnsi="Times New Roman"/>
        </w:rPr>
      </w:pPr>
    </w:p>
    <w:p w:rsidR="0083167E" w:rsidRPr="001D13C7" w:rsidP="0083167E" w14:paraId="3F101EC7" w14:textId="761D227E">
      <w:pPr>
        <w:spacing w:after="0" w:line="240" w:lineRule="auto"/>
        <w:jc w:val="both"/>
        <w:rPr>
          <w:rFonts w:ascii="Times New Roman" w:hAnsi="Times New Roman"/>
        </w:rPr>
      </w:pPr>
      <w:r w:rsidRPr="001D13C7">
        <w:rPr>
          <w:rFonts w:ascii="Times New Roman" w:hAnsi="Times New Roman"/>
          <w:b/>
          <w:bCs/>
        </w:rPr>
        <w:t>In paragraph 30, the European Parliament</w:t>
      </w:r>
      <w:r w:rsidRPr="001D13C7" w:rsidR="4E172A89">
        <w:rPr>
          <w:rFonts w:ascii="Times New Roman" w:hAnsi="Times New Roman"/>
          <w:b/>
          <w:bCs/>
        </w:rPr>
        <w:t xml:space="preserve"> states that the Banking Union remains incomplete without EDIS and recalls the</w:t>
      </w:r>
      <w:r w:rsidRPr="001D13C7" w:rsidR="1448E5F1">
        <w:rPr>
          <w:rFonts w:ascii="Times New Roman" w:hAnsi="Times New Roman"/>
          <w:b/>
          <w:bCs/>
        </w:rPr>
        <w:t xml:space="preserve"> </w:t>
      </w:r>
      <w:r w:rsidRPr="001D13C7" w:rsidR="4E172A89">
        <w:rPr>
          <w:rFonts w:ascii="Times New Roman" w:hAnsi="Times New Roman"/>
          <w:b/>
          <w:bCs/>
        </w:rPr>
        <w:t>taxpayer</w:t>
      </w:r>
      <w:r w:rsidRPr="001D13C7" w:rsidR="50A80EE6">
        <w:rPr>
          <w:rFonts w:ascii="Times New Roman" w:hAnsi="Times New Roman"/>
          <w:b/>
          <w:bCs/>
        </w:rPr>
        <w:t xml:space="preserve"> protection</w:t>
      </w:r>
      <w:r w:rsidRPr="001D13C7" w:rsidR="2D9761BC">
        <w:rPr>
          <w:rFonts w:ascii="Times New Roman" w:hAnsi="Times New Roman"/>
          <w:b/>
          <w:bCs/>
        </w:rPr>
        <w:t xml:space="preserve"> </w:t>
      </w:r>
      <w:r w:rsidRPr="001D13C7" w:rsidR="4E172A89">
        <w:rPr>
          <w:rFonts w:ascii="Times New Roman" w:hAnsi="Times New Roman"/>
          <w:b/>
          <w:bCs/>
        </w:rPr>
        <w:t>objective</w:t>
      </w:r>
      <w:r w:rsidRPr="001D13C7" w:rsidR="4E172A89">
        <w:rPr>
          <w:rFonts w:ascii="Times New Roman" w:hAnsi="Times New Roman"/>
        </w:rPr>
        <w:t>. It notes that the SIU Communication of March 2025 committed to decisive steps on Banking Union completion, including a way forward on EDIS, but observes that no related proposal has since been tabled. It reaffirms the commitment to EDIS as the third pillar of the Banking Union to ensure equal depositor protection and reduce the bank-sovereign link. It welcomes the crisis management and deposit insurance (CMDI) package as strengthening national deposit guarantee schemes (DGSs) and urges the Council and the President of the Eurogroup to advance on EDIS negotiations.</w:t>
      </w:r>
    </w:p>
    <w:p w:rsidR="354D79CC" w:rsidRPr="001D13C7" w:rsidP="354D79CC" w14:paraId="08D7C980" w14:textId="789CA81E">
      <w:pPr>
        <w:spacing w:after="0" w:line="240" w:lineRule="auto"/>
        <w:jc w:val="both"/>
        <w:rPr>
          <w:rFonts w:ascii="Times New Roman" w:hAnsi="Times New Roman"/>
        </w:rPr>
      </w:pPr>
    </w:p>
    <w:p w:rsidR="0083167E" w:rsidRPr="001D13C7" w:rsidP="0083167E" w14:paraId="17F9B5C8" w14:textId="7F6CC54C">
      <w:pPr>
        <w:spacing w:after="0" w:line="240" w:lineRule="auto"/>
        <w:jc w:val="both"/>
        <w:rPr>
          <w:rFonts w:ascii="Times New Roman" w:hAnsi="Times New Roman"/>
        </w:rPr>
      </w:pPr>
      <w:r w:rsidRPr="001D13C7">
        <w:rPr>
          <w:rFonts w:ascii="Times New Roman" w:hAnsi="Times New Roman"/>
        </w:rPr>
        <w:t xml:space="preserve">The </w:t>
      </w:r>
      <w:r w:rsidRPr="001D13C7" w:rsidR="00055031">
        <w:rPr>
          <w:rFonts w:ascii="Times New Roman" w:hAnsi="Times New Roman"/>
        </w:rPr>
        <w:t xml:space="preserve">Commission notes that the </w:t>
      </w:r>
      <w:r w:rsidRPr="001D13C7">
        <w:rPr>
          <w:rFonts w:ascii="Times New Roman" w:hAnsi="Times New Roman"/>
        </w:rPr>
        <w:t xml:space="preserve">completion of the Banking Union remains a key policy objective to which the Commission reaffirmed its commitment in the SIU Communication of 19 March 2025. Today, </w:t>
      </w:r>
      <w:r w:rsidRPr="001D13C7">
        <w:rPr>
          <w:rFonts w:ascii="Times New Roman" w:eastAsia="Times New Roman" w:hAnsi="Times New Roman" w:cs="Times New Roman"/>
        </w:rPr>
        <w:t>th</w:t>
      </w:r>
      <w:r w:rsidRPr="001D13C7" w:rsidR="002D4A87">
        <w:rPr>
          <w:rFonts w:ascii="Times New Roman" w:eastAsia="Times New Roman" w:hAnsi="Times New Roman" w:cs="Times New Roman"/>
        </w:rPr>
        <w:t>at</w:t>
      </w:r>
      <w:r w:rsidRPr="001D13C7">
        <w:rPr>
          <w:rFonts w:ascii="Times New Roman" w:hAnsi="Times New Roman"/>
        </w:rPr>
        <w:t xml:space="preserve"> goal extends beyond mere resilience and financial stability. It also seeks to harness the full potential of the Banking Union for the benefit of European banks, economies, and citizens alike.</w:t>
      </w:r>
    </w:p>
    <w:p w:rsidR="0083167E" w:rsidRPr="001D13C7" w:rsidP="0083167E" w14:paraId="61BF6E1B" w14:textId="77777777">
      <w:pPr>
        <w:spacing w:after="0" w:line="240" w:lineRule="auto"/>
        <w:jc w:val="both"/>
        <w:rPr>
          <w:rFonts w:ascii="Times New Roman" w:hAnsi="Times New Roman"/>
        </w:rPr>
      </w:pPr>
    </w:p>
    <w:p w:rsidR="0083167E" w:rsidRPr="001D13C7" w:rsidP="0083167E" w14:paraId="07EFE159" w14:textId="5BC6264A">
      <w:pPr>
        <w:spacing w:after="0" w:line="240" w:lineRule="auto"/>
        <w:jc w:val="both"/>
        <w:rPr>
          <w:rFonts w:ascii="Times New Roman" w:hAnsi="Times New Roman"/>
        </w:rPr>
      </w:pPr>
      <w:r w:rsidRPr="001D13C7">
        <w:rPr>
          <w:rFonts w:ascii="Times New Roman" w:hAnsi="Times New Roman"/>
        </w:rPr>
        <w:t xml:space="preserve">Achieving </w:t>
      </w:r>
      <w:r w:rsidRPr="001D13C7">
        <w:rPr>
          <w:rFonts w:ascii="Times New Roman" w:eastAsia="Times New Roman" w:hAnsi="Times New Roman" w:cs="Times New Roman"/>
        </w:rPr>
        <w:t>th</w:t>
      </w:r>
      <w:r w:rsidRPr="001D13C7" w:rsidR="002D4A87">
        <w:rPr>
          <w:rFonts w:ascii="Times New Roman" w:eastAsia="Times New Roman" w:hAnsi="Times New Roman" w:cs="Times New Roman"/>
        </w:rPr>
        <w:t>at</w:t>
      </w:r>
      <w:r w:rsidRPr="001D13C7">
        <w:rPr>
          <w:rFonts w:ascii="Times New Roman" w:hAnsi="Times New Roman"/>
        </w:rPr>
        <w:t xml:space="preserve"> vision requires an integrated and competitive banking sector, one capable of financing growth, fostering innovation, and supporting the EU’s strategic priorities in an increasingly complex global environment. To </w:t>
      </w:r>
      <w:r w:rsidRPr="001D13C7">
        <w:rPr>
          <w:rFonts w:ascii="Times New Roman" w:eastAsia="Times New Roman" w:hAnsi="Times New Roman" w:cs="Times New Roman"/>
        </w:rPr>
        <w:t>th</w:t>
      </w:r>
      <w:r w:rsidRPr="001D13C7" w:rsidR="002D4A87">
        <w:rPr>
          <w:rFonts w:ascii="Times New Roman" w:eastAsia="Times New Roman" w:hAnsi="Times New Roman" w:cs="Times New Roman"/>
        </w:rPr>
        <w:t>at</w:t>
      </w:r>
      <w:r w:rsidRPr="001D13C7">
        <w:rPr>
          <w:rFonts w:ascii="Times New Roman" w:hAnsi="Times New Roman"/>
        </w:rPr>
        <w:t xml:space="preserve"> end, the Commission is actively exploring a pathway forward for a common deposit insurance mechanism, building on the progress made to date while accounting for the current economic realities of the banking sector.</w:t>
      </w:r>
    </w:p>
    <w:p w:rsidR="00055031" w:rsidRPr="001D13C7" w:rsidP="0083167E" w14:paraId="010AF803" w14:textId="77777777">
      <w:pPr>
        <w:spacing w:after="0" w:line="240" w:lineRule="auto"/>
        <w:jc w:val="both"/>
        <w:rPr>
          <w:rFonts w:ascii="Times New Roman" w:hAnsi="Times New Roman"/>
        </w:rPr>
      </w:pPr>
    </w:p>
    <w:p w:rsidR="0083167E" w:rsidRPr="001D13C7" w:rsidP="0083167E" w14:paraId="18A4B727" w14:textId="1279E154">
      <w:pPr>
        <w:spacing w:after="0" w:line="240" w:lineRule="auto"/>
        <w:jc w:val="both"/>
        <w:rPr>
          <w:rFonts w:ascii="Times New Roman" w:hAnsi="Times New Roman"/>
        </w:rPr>
      </w:pPr>
      <w:r w:rsidRPr="001D13C7">
        <w:rPr>
          <w:rFonts w:ascii="Times New Roman" w:hAnsi="Times New Roman"/>
        </w:rPr>
        <w:t>The regulatory framework of the Banking Union has already evolved in a way that a</w:t>
      </w:r>
      <w:r w:rsidR="001D13C7">
        <w:rPr>
          <w:rFonts w:ascii="Times New Roman" w:hAnsi="Times New Roman"/>
        </w:rPr>
        <w:t xml:space="preserve"> </w:t>
      </w:r>
      <w:r w:rsidRPr="001D13C7" w:rsidR="044210C1">
        <w:rPr>
          <w:rFonts w:ascii="Times New Roman" w:hAnsi="Times New Roman"/>
        </w:rPr>
        <w:t>f</w:t>
      </w:r>
      <w:r w:rsidRPr="001D13C7">
        <w:rPr>
          <w:rFonts w:ascii="Times New Roman" w:hAnsi="Times New Roman"/>
        </w:rPr>
        <w:t xml:space="preserve">urther progress now demands innovative solutions </w:t>
      </w:r>
      <w:r w:rsidRPr="001D13C7" w:rsidR="2B35CFDF">
        <w:rPr>
          <w:rFonts w:ascii="Times New Roman" w:eastAsia="Times New Roman" w:hAnsi="Times New Roman" w:cs="Times New Roman"/>
        </w:rPr>
        <w:t xml:space="preserve">to promote </w:t>
      </w:r>
      <w:r w:rsidRPr="001D13C7">
        <w:rPr>
          <w:rFonts w:ascii="Times New Roman" w:hAnsi="Times New Roman"/>
        </w:rPr>
        <w:t>the EU’s economic prospects and its ability to fund shared priorities.</w:t>
      </w:r>
    </w:p>
    <w:p w:rsidR="00055031" w:rsidRPr="001D13C7" w:rsidP="0083167E" w14:paraId="39DC0435" w14:textId="77777777">
      <w:pPr>
        <w:spacing w:after="0" w:line="240" w:lineRule="auto"/>
        <w:jc w:val="both"/>
        <w:rPr>
          <w:rFonts w:ascii="Times New Roman" w:hAnsi="Times New Roman"/>
        </w:rPr>
      </w:pPr>
    </w:p>
    <w:p w:rsidR="0083167E" w:rsidRPr="001D13C7" w:rsidP="38E719A3" w14:paraId="3D80FBF9" w14:textId="324F7776">
      <w:pPr>
        <w:spacing w:after="0" w:line="240" w:lineRule="auto"/>
        <w:jc w:val="both"/>
        <w:rPr>
          <w:rFonts w:ascii="Times New Roman" w:hAnsi="Times New Roman"/>
        </w:rPr>
      </w:pPr>
      <w:r w:rsidRPr="001D13C7">
        <w:rPr>
          <w:rFonts w:ascii="Times New Roman" w:hAnsi="Times New Roman"/>
        </w:rPr>
        <w:t xml:space="preserve">As part of </w:t>
      </w:r>
      <w:r w:rsidRPr="001D13C7">
        <w:rPr>
          <w:rFonts w:ascii="Times New Roman" w:eastAsia="Times New Roman" w:hAnsi="Times New Roman" w:cs="Times New Roman"/>
        </w:rPr>
        <w:t>th</w:t>
      </w:r>
      <w:r w:rsidRPr="001D13C7" w:rsidR="002D4A87">
        <w:rPr>
          <w:rFonts w:ascii="Times New Roman" w:eastAsia="Times New Roman" w:hAnsi="Times New Roman" w:cs="Times New Roman"/>
        </w:rPr>
        <w:t>at</w:t>
      </w:r>
      <w:r w:rsidRPr="001D13C7">
        <w:rPr>
          <w:rFonts w:ascii="Times New Roman" w:hAnsi="Times New Roman"/>
        </w:rPr>
        <w:t xml:space="preserve"> effort, the targeted consultation, mentioned above, included questions on a common deposit insurance mechanism. Its purpose was to assess the core design parameters of a potential reform aimed at deeper integration of deposit insurance across the EU. The Commission’s forthcoming report</w:t>
      </w:r>
      <w:r w:rsidRPr="001D13C7" w:rsidR="00071076">
        <w:rPr>
          <w:rFonts w:ascii="Times New Roman" w:hAnsi="Times New Roman"/>
        </w:rPr>
        <w:t xml:space="preserve"> </w:t>
      </w:r>
      <w:r w:rsidRPr="001D13C7">
        <w:rPr>
          <w:rFonts w:ascii="Times New Roman" w:hAnsi="Times New Roman"/>
        </w:rPr>
        <w:t>will mark the next critical milestone in determining the way forward.</w:t>
      </w:r>
    </w:p>
    <w:sectPr>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AC3E1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299E73E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6F81C90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7BB80E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36409FE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5819" w14:paraId="0F3031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FBC6D5"/>
    <w:multiLevelType w:val="hybridMultilevel"/>
    <w:tmpl w:val="B9B02FDE"/>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213FDE5D"/>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5DE77A7"/>
    <w:multiLevelType w:val="hybridMultilevel"/>
    <w:tmpl w:val="07B897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D9A0DCF"/>
    <w:multiLevelType w:val="hybridMultilevel"/>
    <w:tmpl w:val="685614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394D930B"/>
    <w:multiLevelType w:val="hybridMultilevel"/>
    <w:tmpl w:val="FFFFFFFF"/>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F76619A"/>
    <w:multiLevelType w:val="hybridMultilevel"/>
    <w:tmpl w:val="4E48B28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48CF98A7"/>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4ACE481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546C1AB1"/>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69155FE0"/>
    <w:multiLevelType w:val="hybridMultilevel"/>
    <w:tmpl w:val="7784987C"/>
    <w:lvl w:ilvl="0">
      <w:start w:val="1"/>
      <w:numFmt w:val="decimal"/>
      <w:lvlText w:val="%1."/>
      <w:lvlJc w:val="left"/>
      <w:pPr>
        <w:ind w:left="866" w:hanging="360"/>
      </w:pPr>
      <w:rPr>
        <w:b/>
        <w:bCs/>
        <w:lang w:val="en-IE"/>
      </w:rPr>
    </w:lvl>
    <w:lvl w:ilvl="1">
      <w:start w:val="1"/>
      <w:numFmt w:val="lowerLetter"/>
      <w:lvlText w:val="%2."/>
      <w:lvlJc w:val="left"/>
      <w:pPr>
        <w:ind w:left="1586" w:hanging="360"/>
      </w:pPr>
    </w:lvl>
    <w:lvl w:ilvl="2">
      <w:start w:val="1"/>
      <w:numFmt w:val="lowerRoman"/>
      <w:lvlText w:val="%3."/>
      <w:lvlJc w:val="right"/>
      <w:pPr>
        <w:ind w:left="2306" w:hanging="180"/>
      </w:pPr>
    </w:lvl>
    <w:lvl w:ilvl="3">
      <w:start w:val="1"/>
      <w:numFmt w:val="decimal"/>
      <w:lvlText w:val="%4."/>
      <w:lvlJc w:val="left"/>
      <w:pPr>
        <w:ind w:left="3026" w:hanging="360"/>
      </w:pPr>
    </w:lvl>
    <w:lvl w:ilvl="4">
      <w:start w:val="1"/>
      <w:numFmt w:val="lowerLetter"/>
      <w:lvlText w:val="%5."/>
      <w:lvlJc w:val="left"/>
      <w:pPr>
        <w:ind w:left="3746" w:hanging="360"/>
      </w:pPr>
    </w:lvl>
    <w:lvl w:ilvl="5">
      <w:start w:val="1"/>
      <w:numFmt w:val="lowerRoman"/>
      <w:lvlText w:val="%6."/>
      <w:lvlJc w:val="right"/>
      <w:pPr>
        <w:ind w:left="4466" w:hanging="180"/>
      </w:pPr>
    </w:lvl>
    <w:lvl w:ilvl="6">
      <w:start w:val="1"/>
      <w:numFmt w:val="decimal"/>
      <w:lvlText w:val="%7."/>
      <w:lvlJc w:val="left"/>
      <w:pPr>
        <w:ind w:left="5186" w:hanging="360"/>
      </w:pPr>
    </w:lvl>
    <w:lvl w:ilvl="7">
      <w:start w:val="1"/>
      <w:numFmt w:val="lowerLetter"/>
      <w:lvlText w:val="%8."/>
      <w:lvlJc w:val="left"/>
      <w:pPr>
        <w:ind w:left="5906" w:hanging="360"/>
      </w:pPr>
    </w:lvl>
    <w:lvl w:ilvl="8">
      <w:start w:val="1"/>
      <w:numFmt w:val="lowerRoman"/>
      <w:lvlText w:val="%9."/>
      <w:lvlJc w:val="right"/>
      <w:pPr>
        <w:ind w:left="6626" w:hanging="180"/>
      </w:pPr>
    </w:lvl>
  </w:abstractNum>
  <w:abstractNum w:abstractNumId="10">
    <w:nsid w:val="72170732"/>
    <w:multiLevelType w:val="hybridMultilevel"/>
    <w:tmpl w:val="8482E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96433A8"/>
    <w:multiLevelType w:val="hybridMultilevel"/>
    <w:tmpl w:val="093ECB1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D9BB65F"/>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532690065">
    <w:abstractNumId w:val="0"/>
  </w:num>
  <w:num w:numId="2" w16cid:durableId="723678420">
    <w:abstractNumId w:val="3"/>
  </w:num>
  <w:num w:numId="3" w16cid:durableId="456878603">
    <w:abstractNumId w:val="6"/>
  </w:num>
  <w:num w:numId="4" w16cid:durableId="1599023785">
    <w:abstractNumId w:val="1"/>
  </w:num>
  <w:num w:numId="5" w16cid:durableId="451872625">
    <w:abstractNumId w:val="4"/>
  </w:num>
  <w:num w:numId="6" w16cid:durableId="535627596">
    <w:abstractNumId w:val="7"/>
  </w:num>
  <w:num w:numId="7" w16cid:durableId="122508699">
    <w:abstractNumId w:val="8"/>
  </w:num>
  <w:num w:numId="8" w16cid:durableId="2056463463">
    <w:abstractNumId w:val="12"/>
  </w:num>
  <w:num w:numId="9" w16cid:durableId="1035816387">
    <w:abstractNumId w:val="10"/>
  </w:num>
  <w:num w:numId="10" w16cid:durableId="1537042917">
    <w:abstractNumId w:val="2"/>
  </w:num>
  <w:num w:numId="11" w16cid:durableId="16751838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3581998">
    <w:abstractNumId w:val="5"/>
  </w:num>
  <w:num w:numId="13" w16cid:durableId="949437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2E1"/>
    <w:rsid w:val="00000CC7"/>
    <w:rsid w:val="00003775"/>
    <w:rsid w:val="00006175"/>
    <w:rsid w:val="00006E94"/>
    <w:rsid w:val="000075B8"/>
    <w:rsid w:val="00007AB0"/>
    <w:rsid w:val="00007D15"/>
    <w:rsid w:val="0001524E"/>
    <w:rsid w:val="000178EB"/>
    <w:rsid w:val="00021B8A"/>
    <w:rsid w:val="000229F9"/>
    <w:rsid w:val="00033BDE"/>
    <w:rsid w:val="000359D7"/>
    <w:rsid w:val="00046E41"/>
    <w:rsid w:val="000509A7"/>
    <w:rsid w:val="00055031"/>
    <w:rsid w:val="00056A96"/>
    <w:rsid w:val="00057541"/>
    <w:rsid w:val="000579C5"/>
    <w:rsid w:val="00061AD7"/>
    <w:rsid w:val="00067DF2"/>
    <w:rsid w:val="00071076"/>
    <w:rsid w:val="00083FFF"/>
    <w:rsid w:val="0008412E"/>
    <w:rsid w:val="000855FF"/>
    <w:rsid w:val="00096D99"/>
    <w:rsid w:val="000A30BA"/>
    <w:rsid w:val="000A4D7D"/>
    <w:rsid w:val="000A4E37"/>
    <w:rsid w:val="000A7ADF"/>
    <w:rsid w:val="000B0247"/>
    <w:rsid w:val="000C1960"/>
    <w:rsid w:val="000C1D0E"/>
    <w:rsid w:val="000C6769"/>
    <w:rsid w:val="000D146E"/>
    <w:rsid w:val="000D3064"/>
    <w:rsid w:val="000E21A1"/>
    <w:rsid w:val="000E3812"/>
    <w:rsid w:val="000E4871"/>
    <w:rsid w:val="000E5DD0"/>
    <w:rsid w:val="000F00BE"/>
    <w:rsid w:val="000F1427"/>
    <w:rsid w:val="000F185C"/>
    <w:rsid w:val="000F452A"/>
    <w:rsid w:val="000F7174"/>
    <w:rsid w:val="00102AE8"/>
    <w:rsid w:val="00103142"/>
    <w:rsid w:val="001066D2"/>
    <w:rsid w:val="00110823"/>
    <w:rsid w:val="00115453"/>
    <w:rsid w:val="00117890"/>
    <w:rsid w:val="001178B4"/>
    <w:rsid w:val="00121230"/>
    <w:rsid w:val="001217D9"/>
    <w:rsid w:val="00122BAA"/>
    <w:rsid w:val="00122C2C"/>
    <w:rsid w:val="001308A2"/>
    <w:rsid w:val="001466CE"/>
    <w:rsid w:val="00151490"/>
    <w:rsid w:val="00153EA9"/>
    <w:rsid w:val="001543D6"/>
    <w:rsid w:val="001555AA"/>
    <w:rsid w:val="0015595A"/>
    <w:rsid w:val="00157A70"/>
    <w:rsid w:val="001635E9"/>
    <w:rsid w:val="001645AB"/>
    <w:rsid w:val="001674A8"/>
    <w:rsid w:val="0016768E"/>
    <w:rsid w:val="00173CB8"/>
    <w:rsid w:val="00177A87"/>
    <w:rsid w:val="00184DD8"/>
    <w:rsid w:val="00187334"/>
    <w:rsid w:val="00187820"/>
    <w:rsid w:val="00187C18"/>
    <w:rsid w:val="00194E44"/>
    <w:rsid w:val="00196C46"/>
    <w:rsid w:val="001B1F80"/>
    <w:rsid w:val="001B453B"/>
    <w:rsid w:val="001C0BCB"/>
    <w:rsid w:val="001C60B6"/>
    <w:rsid w:val="001D13C7"/>
    <w:rsid w:val="001F1099"/>
    <w:rsid w:val="001F3F68"/>
    <w:rsid w:val="001F5FAF"/>
    <w:rsid w:val="00201C66"/>
    <w:rsid w:val="0020281E"/>
    <w:rsid w:val="00207AC3"/>
    <w:rsid w:val="00212AA1"/>
    <w:rsid w:val="00213AC3"/>
    <w:rsid w:val="00223247"/>
    <w:rsid w:val="00224F36"/>
    <w:rsid w:val="00233C73"/>
    <w:rsid w:val="00235998"/>
    <w:rsid w:val="0024348E"/>
    <w:rsid w:val="00244DEE"/>
    <w:rsid w:val="002507F0"/>
    <w:rsid w:val="002512FE"/>
    <w:rsid w:val="00251EFA"/>
    <w:rsid w:val="00253582"/>
    <w:rsid w:val="00256747"/>
    <w:rsid w:val="00260804"/>
    <w:rsid w:val="00270E7C"/>
    <w:rsid w:val="002742F1"/>
    <w:rsid w:val="00276270"/>
    <w:rsid w:val="0028174F"/>
    <w:rsid w:val="00285165"/>
    <w:rsid w:val="00292A8B"/>
    <w:rsid w:val="002A1D79"/>
    <w:rsid w:val="002A6AAE"/>
    <w:rsid w:val="002B23FC"/>
    <w:rsid w:val="002C6E18"/>
    <w:rsid w:val="002D1F68"/>
    <w:rsid w:val="002D3DC2"/>
    <w:rsid w:val="002D4A87"/>
    <w:rsid w:val="002E0209"/>
    <w:rsid w:val="002E0454"/>
    <w:rsid w:val="002E64F6"/>
    <w:rsid w:val="002E7D36"/>
    <w:rsid w:val="002F36E7"/>
    <w:rsid w:val="002F50BF"/>
    <w:rsid w:val="002F6251"/>
    <w:rsid w:val="003026CD"/>
    <w:rsid w:val="00304AA5"/>
    <w:rsid w:val="00307C46"/>
    <w:rsid w:val="0031148F"/>
    <w:rsid w:val="00311903"/>
    <w:rsid w:val="00317414"/>
    <w:rsid w:val="003204F1"/>
    <w:rsid w:val="00323466"/>
    <w:rsid w:val="00326BED"/>
    <w:rsid w:val="00327670"/>
    <w:rsid w:val="003441C1"/>
    <w:rsid w:val="00345C16"/>
    <w:rsid w:val="003464D9"/>
    <w:rsid w:val="00355F65"/>
    <w:rsid w:val="00357688"/>
    <w:rsid w:val="00373FA0"/>
    <w:rsid w:val="00374B62"/>
    <w:rsid w:val="0038064F"/>
    <w:rsid w:val="0038357B"/>
    <w:rsid w:val="00396061"/>
    <w:rsid w:val="003A4C6E"/>
    <w:rsid w:val="003B1AC9"/>
    <w:rsid w:val="003B60C8"/>
    <w:rsid w:val="003C06CE"/>
    <w:rsid w:val="003D3106"/>
    <w:rsid w:val="003D3D9A"/>
    <w:rsid w:val="003D4CE9"/>
    <w:rsid w:val="003D5164"/>
    <w:rsid w:val="003E2D1B"/>
    <w:rsid w:val="003E3743"/>
    <w:rsid w:val="003E58AE"/>
    <w:rsid w:val="003F3B22"/>
    <w:rsid w:val="0040208F"/>
    <w:rsid w:val="0040681F"/>
    <w:rsid w:val="00406A71"/>
    <w:rsid w:val="0042029B"/>
    <w:rsid w:val="00423B70"/>
    <w:rsid w:val="004251C7"/>
    <w:rsid w:val="004322E0"/>
    <w:rsid w:val="00437D71"/>
    <w:rsid w:val="00443595"/>
    <w:rsid w:val="00443801"/>
    <w:rsid w:val="004452F7"/>
    <w:rsid w:val="00454B0A"/>
    <w:rsid w:val="00461990"/>
    <w:rsid w:val="004646EE"/>
    <w:rsid w:val="00473475"/>
    <w:rsid w:val="00474FC9"/>
    <w:rsid w:val="00484E9D"/>
    <w:rsid w:val="004903E8"/>
    <w:rsid w:val="004917D4"/>
    <w:rsid w:val="00496DA4"/>
    <w:rsid w:val="0049713D"/>
    <w:rsid w:val="004A0BC1"/>
    <w:rsid w:val="004A78AD"/>
    <w:rsid w:val="004C20EB"/>
    <w:rsid w:val="004C3872"/>
    <w:rsid w:val="004C4748"/>
    <w:rsid w:val="004D2105"/>
    <w:rsid w:val="004D33E0"/>
    <w:rsid w:val="004D3601"/>
    <w:rsid w:val="004D577F"/>
    <w:rsid w:val="004D59D0"/>
    <w:rsid w:val="004E239C"/>
    <w:rsid w:val="004E7894"/>
    <w:rsid w:val="00500232"/>
    <w:rsid w:val="00501EAC"/>
    <w:rsid w:val="005020EE"/>
    <w:rsid w:val="005074B4"/>
    <w:rsid w:val="0051237E"/>
    <w:rsid w:val="00513B65"/>
    <w:rsid w:val="005158F6"/>
    <w:rsid w:val="0052142A"/>
    <w:rsid w:val="0052362E"/>
    <w:rsid w:val="005239AC"/>
    <w:rsid w:val="0053582A"/>
    <w:rsid w:val="0055510D"/>
    <w:rsid w:val="005554A7"/>
    <w:rsid w:val="00556084"/>
    <w:rsid w:val="00560DC4"/>
    <w:rsid w:val="0056291A"/>
    <w:rsid w:val="00564787"/>
    <w:rsid w:val="005673F0"/>
    <w:rsid w:val="00570D14"/>
    <w:rsid w:val="005717D6"/>
    <w:rsid w:val="00574BB0"/>
    <w:rsid w:val="00576846"/>
    <w:rsid w:val="00583237"/>
    <w:rsid w:val="00584867"/>
    <w:rsid w:val="0058549A"/>
    <w:rsid w:val="00587A09"/>
    <w:rsid w:val="00590CD7"/>
    <w:rsid w:val="00590D40"/>
    <w:rsid w:val="005911E5"/>
    <w:rsid w:val="005917EC"/>
    <w:rsid w:val="005A2441"/>
    <w:rsid w:val="005A5238"/>
    <w:rsid w:val="005A637A"/>
    <w:rsid w:val="005C29D8"/>
    <w:rsid w:val="005C3BE7"/>
    <w:rsid w:val="005C3C7F"/>
    <w:rsid w:val="005D0502"/>
    <w:rsid w:val="005D3E39"/>
    <w:rsid w:val="005D4221"/>
    <w:rsid w:val="005D52E2"/>
    <w:rsid w:val="005D785F"/>
    <w:rsid w:val="005E32CD"/>
    <w:rsid w:val="005E4B7C"/>
    <w:rsid w:val="005E7F8E"/>
    <w:rsid w:val="005F62E1"/>
    <w:rsid w:val="005F6D9C"/>
    <w:rsid w:val="00604BF7"/>
    <w:rsid w:val="00604FDE"/>
    <w:rsid w:val="00605819"/>
    <w:rsid w:val="0060D08A"/>
    <w:rsid w:val="0061017E"/>
    <w:rsid w:val="00611D6B"/>
    <w:rsid w:val="00615206"/>
    <w:rsid w:val="00616730"/>
    <w:rsid w:val="006167DB"/>
    <w:rsid w:val="00621D37"/>
    <w:rsid w:val="00623C11"/>
    <w:rsid w:val="00625225"/>
    <w:rsid w:val="00625B78"/>
    <w:rsid w:val="006350D5"/>
    <w:rsid w:val="006414B1"/>
    <w:rsid w:val="00643463"/>
    <w:rsid w:val="006502EF"/>
    <w:rsid w:val="006605D1"/>
    <w:rsid w:val="00661E91"/>
    <w:rsid w:val="00662770"/>
    <w:rsid w:val="0067298F"/>
    <w:rsid w:val="00675DFB"/>
    <w:rsid w:val="00676244"/>
    <w:rsid w:val="006763E8"/>
    <w:rsid w:val="00676CA4"/>
    <w:rsid w:val="00680D8D"/>
    <w:rsid w:val="006944DD"/>
    <w:rsid w:val="00694E89"/>
    <w:rsid w:val="00695A1F"/>
    <w:rsid w:val="00695E83"/>
    <w:rsid w:val="006A086F"/>
    <w:rsid w:val="006A3FA6"/>
    <w:rsid w:val="006A4038"/>
    <w:rsid w:val="006A47BD"/>
    <w:rsid w:val="006B0DE9"/>
    <w:rsid w:val="006B50D3"/>
    <w:rsid w:val="006B54F5"/>
    <w:rsid w:val="006C128F"/>
    <w:rsid w:val="006C5487"/>
    <w:rsid w:val="006C5D82"/>
    <w:rsid w:val="006C7F31"/>
    <w:rsid w:val="006D1328"/>
    <w:rsid w:val="006E1BEB"/>
    <w:rsid w:val="006E5A76"/>
    <w:rsid w:val="006F16F7"/>
    <w:rsid w:val="00702099"/>
    <w:rsid w:val="007044A5"/>
    <w:rsid w:val="007051ED"/>
    <w:rsid w:val="00705F93"/>
    <w:rsid w:val="00706CD3"/>
    <w:rsid w:val="00706D0E"/>
    <w:rsid w:val="0070706A"/>
    <w:rsid w:val="00707A24"/>
    <w:rsid w:val="00711517"/>
    <w:rsid w:val="00717EF5"/>
    <w:rsid w:val="007216C0"/>
    <w:rsid w:val="00723C92"/>
    <w:rsid w:val="00723F00"/>
    <w:rsid w:val="00731BF2"/>
    <w:rsid w:val="007323A4"/>
    <w:rsid w:val="007336CE"/>
    <w:rsid w:val="0073605B"/>
    <w:rsid w:val="00736C41"/>
    <w:rsid w:val="0074328B"/>
    <w:rsid w:val="007433F2"/>
    <w:rsid w:val="0074378A"/>
    <w:rsid w:val="00746D83"/>
    <w:rsid w:val="0074739B"/>
    <w:rsid w:val="00750060"/>
    <w:rsid w:val="00750CF1"/>
    <w:rsid w:val="00757908"/>
    <w:rsid w:val="00762F3A"/>
    <w:rsid w:val="007638B7"/>
    <w:rsid w:val="00764821"/>
    <w:rsid w:val="007661F2"/>
    <w:rsid w:val="00767D07"/>
    <w:rsid w:val="007705B9"/>
    <w:rsid w:val="00770C42"/>
    <w:rsid w:val="007724B1"/>
    <w:rsid w:val="00774162"/>
    <w:rsid w:val="00775E6D"/>
    <w:rsid w:val="00776B23"/>
    <w:rsid w:val="007773F3"/>
    <w:rsid w:val="00782F5B"/>
    <w:rsid w:val="00783645"/>
    <w:rsid w:val="007859DC"/>
    <w:rsid w:val="00786FD6"/>
    <w:rsid w:val="00790ECB"/>
    <w:rsid w:val="0079124C"/>
    <w:rsid w:val="00791ABA"/>
    <w:rsid w:val="00793D0B"/>
    <w:rsid w:val="00794FC6"/>
    <w:rsid w:val="00795935"/>
    <w:rsid w:val="007A278E"/>
    <w:rsid w:val="007A4E81"/>
    <w:rsid w:val="007B135E"/>
    <w:rsid w:val="007C0C3B"/>
    <w:rsid w:val="007C4A93"/>
    <w:rsid w:val="007C6526"/>
    <w:rsid w:val="007D2920"/>
    <w:rsid w:val="007D4094"/>
    <w:rsid w:val="007E7A6C"/>
    <w:rsid w:val="007F0E87"/>
    <w:rsid w:val="007F3248"/>
    <w:rsid w:val="007F551D"/>
    <w:rsid w:val="00804B8D"/>
    <w:rsid w:val="00811E68"/>
    <w:rsid w:val="00821B45"/>
    <w:rsid w:val="00830E87"/>
    <w:rsid w:val="0083167E"/>
    <w:rsid w:val="0083236C"/>
    <w:rsid w:val="00836F89"/>
    <w:rsid w:val="00840B6C"/>
    <w:rsid w:val="00847B47"/>
    <w:rsid w:val="00853C1C"/>
    <w:rsid w:val="00857A2E"/>
    <w:rsid w:val="00863E82"/>
    <w:rsid w:val="008643CF"/>
    <w:rsid w:val="00874143"/>
    <w:rsid w:val="00880F79"/>
    <w:rsid w:val="008830A2"/>
    <w:rsid w:val="00885B04"/>
    <w:rsid w:val="00887A09"/>
    <w:rsid w:val="00891444"/>
    <w:rsid w:val="008A3ABE"/>
    <w:rsid w:val="008A3BD5"/>
    <w:rsid w:val="008B015E"/>
    <w:rsid w:val="008B4879"/>
    <w:rsid w:val="008B4AB5"/>
    <w:rsid w:val="008C0D63"/>
    <w:rsid w:val="008C0ECE"/>
    <w:rsid w:val="008C20E6"/>
    <w:rsid w:val="008C236C"/>
    <w:rsid w:val="008C34A5"/>
    <w:rsid w:val="008D1EFC"/>
    <w:rsid w:val="008D45AF"/>
    <w:rsid w:val="008D78F2"/>
    <w:rsid w:val="008E0CF7"/>
    <w:rsid w:val="008E218D"/>
    <w:rsid w:val="008E3560"/>
    <w:rsid w:val="008F016A"/>
    <w:rsid w:val="008F52BB"/>
    <w:rsid w:val="00905B9C"/>
    <w:rsid w:val="00906E07"/>
    <w:rsid w:val="0090786C"/>
    <w:rsid w:val="00912A1E"/>
    <w:rsid w:val="00912FB9"/>
    <w:rsid w:val="00920001"/>
    <w:rsid w:val="009214AE"/>
    <w:rsid w:val="00922D76"/>
    <w:rsid w:val="00922FE7"/>
    <w:rsid w:val="009419A3"/>
    <w:rsid w:val="00944E2A"/>
    <w:rsid w:val="00950928"/>
    <w:rsid w:val="00950EA4"/>
    <w:rsid w:val="00951FBA"/>
    <w:rsid w:val="0096301E"/>
    <w:rsid w:val="00966B1F"/>
    <w:rsid w:val="009726BD"/>
    <w:rsid w:val="0097778F"/>
    <w:rsid w:val="009813CE"/>
    <w:rsid w:val="00981E4A"/>
    <w:rsid w:val="009906BC"/>
    <w:rsid w:val="009976A6"/>
    <w:rsid w:val="009A571A"/>
    <w:rsid w:val="009A6F71"/>
    <w:rsid w:val="009B1793"/>
    <w:rsid w:val="009B71FC"/>
    <w:rsid w:val="009C026A"/>
    <w:rsid w:val="009C3D98"/>
    <w:rsid w:val="009C680A"/>
    <w:rsid w:val="009D1233"/>
    <w:rsid w:val="009D2E38"/>
    <w:rsid w:val="009E121C"/>
    <w:rsid w:val="009E5BD0"/>
    <w:rsid w:val="009F25F4"/>
    <w:rsid w:val="009F642F"/>
    <w:rsid w:val="00A00722"/>
    <w:rsid w:val="00A065B8"/>
    <w:rsid w:val="00A0733B"/>
    <w:rsid w:val="00A12B89"/>
    <w:rsid w:val="00A24844"/>
    <w:rsid w:val="00A24E10"/>
    <w:rsid w:val="00A35E3E"/>
    <w:rsid w:val="00A370BA"/>
    <w:rsid w:val="00A414BA"/>
    <w:rsid w:val="00A44625"/>
    <w:rsid w:val="00A50693"/>
    <w:rsid w:val="00A57199"/>
    <w:rsid w:val="00A6130D"/>
    <w:rsid w:val="00A616AE"/>
    <w:rsid w:val="00A62765"/>
    <w:rsid w:val="00A70D5A"/>
    <w:rsid w:val="00A71D5D"/>
    <w:rsid w:val="00A762DC"/>
    <w:rsid w:val="00A76979"/>
    <w:rsid w:val="00A85F8E"/>
    <w:rsid w:val="00A920E0"/>
    <w:rsid w:val="00A92BF1"/>
    <w:rsid w:val="00AA6EF8"/>
    <w:rsid w:val="00AB1F7B"/>
    <w:rsid w:val="00AC0473"/>
    <w:rsid w:val="00AC1BB8"/>
    <w:rsid w:val="00AC52CD"/>
    <w:rsid w:val="00AC6F29"/>
    <w:rsid w:val="00AD0821"/>
    <w:rsid w:val="00AF28D4"/>
    <w:rsid w:val="00AF4CA3"/>
    <w:rsid w:val="00AF578D"/>
    <w:rsid w:val="00AF723B"/>
    <w:rsid w:val="00B00F1C"/>
    <w:rsid w:val="00B05BEF"/>
    <w:rsid w:val="00B13297"/>
    <w:rsid w:val="00B14489"/>
    <w:rsid w:val="00B22910"/>
    <w:rsid w:val="00B24367"/>
    <w:rsid w:val="00B32422"/>
    <w:rsid w:val="00B41A5B"/>
    <w:rsid w:val="00B43FCF"/>
    <w:rsid w:val="00B53D5C"/>
    <w:rsid w:val="00B57073"/>
    <w:rsid w:val="00B623AF"/>
    <w:rsid w:val="00B653ED"/>
    <w:rsid w:val="00B7252E"/>
    <w:rsid w:val="00B75F3C"/>
    <w:rsid w:val="00B7636C"/>
    <w:rsid w:val="00B76E2F"/>
    <w:rsid w:val="00B82E17"/>
    <w:rsid w:val="00B83288"/>
    <w:rsid w:val="00B83525"/>
    <w:rsid w:val="00B83560"/>
    <w:rsid w:val="00B86C1C"/>
    <w:rsid w:val="00BA6138"/>
    <w:rsid w:val="00BA73E5"/>
    <w:rsid w:val="00BA7A6E"/>
    <w:rsid w:val="00BA7EB6"/>
    <w:rsid w:val="00BB08ED"/>
    <w:rsid w:val="00BB44BA"/>
    <w:rsid w:val="00BC0623"/>
    <w:rsid w:val="00BD2604"/>
    <w:rsid w:val="00BD3341"/>
    <w:rsid w:val="00BD5E09"/>
    <w:rsid w:val="00BD7C17"/>
    <w:rsid w:val="00BE2093"/>
    <w:rsid w:val="00BE4425"/>
    <w:rsid w:val="00BE5616"/>
    <w:rsid w:val="00BE5AF8"/>
    <w:rsid w:val="00BF1C33"/>
    <w:rsid w:val="00BF7267"/>
    <w:rsid w:val="00C00634"/>
    <w:rsid w:val="00C04815"/>
    <w:rsid w:val="00C06D20"/>
    <w:rsid w:val="00C075A5"/>
    <w:rsid w:val="00C07C78"/>
    <w:rsid w:val="00C11B49"/>
    <w:rsid w:val="00C3256A"/>
    <w:rsid w:val="00C3334E"/>
    <w:rsid w:val="00C33929"/>
    <w:rsid w:val="00C34898"/>
    <w:rsid w:val="00C35863"/>
    <w:rsid w:val="00C46E4C"/>
    <w:rsid w:val="00C51874"/>
    <w:rsid w:val="00C51F6A"/>
    <w:rsid w:val="00C5432B"/>
    <w:rsid w:val="00C5465D"/>
    <w:rsid w:val="00C57B09"/>
    <w:rsid w:val="00C61108"/>
    <w:rsid w:val="00C61A41"/>
    <w:rsid w:val="00C6543F"/>
    <w:rsid w:val="00C660B5"/>
    <w:rsid w:val="00C7303E"/>
    <w:rsid w:val="00C75D90"/>
    <w:rsid w:val="00C8097C"/>
    <w:rsid w:val="00C84ABD"/>
    <w:rsid w:val="00C859F4"/>
    <w:rsid w:val="00C93D31"/>
    <w:rsid w:val="00C941B3"/>
    <w:rsid w:val="00C948F0"/>
    <w:rsid w:val="00C95853"/>
    <w:rsid w:val="00C967AC"/>
    <w:rsid w:val="00CA4BC8"/>
    <w:rsid w:val="00CAEE72"/>
    <w:rsid w:val="00CB198A"/>
    <w:rsid w:val="00CB4075"/>
    <w:rsid w:val="00CB74F5"/>
    <w:rsid w:val="00CC6445"/>
    <w:rsid w:val="00CD478B"/>
    <w:rsid w:val="00CE083E"/>
    <w:rsid w:val="00CE54C0"/>
    <w:rsid w:val="00CE5C40"/>
    <w:rsid w:val="00CE71EC"/>
    <w:rsid w:val="00CF091C"/>
    <w:rsid w:val="00D02786"/>
    <w:rsid w:val="00D02847"/>
    <w:rsid w:val="00D0791F"/>
    <w:rsid w:val="00D14745"/>
    <w:rsid w:val="00D153C8"/>
    <w:rsid w:val="00D17CA5"/>
    <w:rsid w:val="00D236D3"/>
    <w:rsid w:val="00D2594F"/>
    <w:rsid w:val="00D34240"/>
    <w:rsid w:val="00D43390"/>
    <w:rsid w:val="00D4562C"/>
    <w:rsid w:val="00D46CFC"/>
    <w:rsid w:val="00D549D6"/>
    <w:rsid w:val="00D55CC7"/>
    <w:rsid w:val="00D56412"/>
    <w:rsid w:val="00D570A5"/>
    <w:rsid w:val="00D57716"/>
    <w:rsid w:val="00D61623"/>
    <w:rsid w:val="00D6418F"/>
    <w:rsid w:val="00D64F45"/>
    <w:rsid w:val="00D67E54"/>
    <w:rsid w:val="00D70425"/>
    <w:rsid w:val="00D72E90"/>
    <w:rsid w:val="00D77F15"/>
    <w:rsid w:val="00D97FA3"/>
    <w:rsid w:val="00DA2013"/>
    <w:rsid w:val="00DA22C2"/>
    <w:rsid w:val="00DA2FC2"/>
    <w:rsid w:val="00DB4C6F"/>
    <w:rsid w:val="00DB7798"/>
    <w:rsid w:val="00DC0B1C"/>
    <w:rsid w:val="00DD40AD"/>
    <w:rsid w:val="00DE0302"/>
    <w:rsid w:val="00DE5D47"/>
    <w:rsid w:val="00DF17A0"/>
    <w:rsid w:val="00DF59A1"/>
    <w:rsid w:val="00DF5D86"/>
    <w:rsid w:val="00E07661"/>
    <w:rsid w:val="00E10018"/>
    <w:rsid w:val="00E12272"/>
    <w:rsid w:val="00E13A37"/>
    <w:rsid w:val="00E2043F"/>
    <w:rsid w:val="00E212C6"/>
    <w:rsid w:val="00E21F26"/>
    <w:rsid w:val="00E24C6E"/>
    <w:rsid w:val="00E25EBC"/>
    <w:rsid w:val="00E373AE"/>
    <w:rsid w:val="00E41152"/>
    <w:rsid w:val="00E43F5A"/>
    <w:rsid w:val="00E44FA1"/>
    <w:rsid w:val="00E46538"/>
    <w:rsid w:val="00E540D1"/>
    <w:rsid w:val="00E5659E"/>
    <w:rsid w:val="00E63920"/>
    <w:rsid w:val="00E63B9D"/>
    <w:rsid w:val="00E63D45"/>
    <w:rsid w:val="00E6A60F"/>
    <w:rsid w:val="00E80868"/>
    <w:rsid w:val="00E81985"/>
    <w:rsid w:val="00E822E3"/>
    <w:rsid w:val="00E827AB"/>
    <w:rsid w:val="00E91792"/>
    <w:rsid w:val="00E92A16"/>
    <w:rsid w:val="00E94E8F"/>
    <w:rsid w:val="00EA0998"/>
    <w:rsid w:val="00EA10F0"/>
    <w:rsid w:val="00EA33AF"/>
    <w:rsid w:val="00EA3FAE"/>
    <w:rsid w:val="00EA6D13"/>
    <w:rsid w:val="00EB02E4"/>
    <w:rsid w:val="00EB05DE"/>
    <w:rsid w:val="00EB0D4B"/>
    <w:rsid w:val="00EB527A"/>
    <w:rsid w:val="00EB6671"/>
    <w:rsid w:val="00EB7833"/>
    <w:rsid w:val="00EC647B"/>
    <w:rsid w:val="00EC6EEA"/>
    <w:rsid w:val="00ED4C52"/>
    <w:rsid w:val="00EE0473"/>
    <w:rsid w:val="00EE2929"/>
    <w:rsid w:val="00EE33C6"/>
    <w:rsid w:val="00EE4732"/>
    <w:rsid w:val="00EE4B08"/>
    <w:rsid w:val="00EE4BD5"/>
    <w:rsid w:val="00EF165F"/>
    <w:rsid w:val="00EF1856"/>
    <w:rsid w:val="00EF3599"/>
    <w:rsid w:val="00EF76C7"/>
    <w:rsid w:val="00F05DEC"/>
    <w:rsid w:val="00F06712"/>
    <w:rsid w:val="00F132B2"/>
    <w:rsid w:val="00F16290"/>
    <w:rsid w:val="00F207B9"/>
    <w:rsid w:val="00F22BD6"/>
    <w:rsid w:val="00F2326B"/>
    <w:rsid w:val="00F2B22F"/>
    <w:rsid w:val="00F30641"/>
    <w:rsid w:val="00F366E4"/>
    <w:rsid w:val="00F3737C"/>
    <w:rsid w:val="00F43604"/>
    <w:rsid w:val="00F44FFE"/>
    <w:rsid w:val="00F46634"/>
    <w:rsid w:val="00F55F10"/>
    <w:rsid w:val="00F569E1"/>
    <w:rsid w:val="00F64C91"/>
    <w:rsid w:val="00F6554B"/>
    <w:rsid w:val="00F665BA"/>
    <w:rsid w:val="00F727C0"/>
    <w:rsid w:val="00F75285"/>
    <w:rsid w:val="00F82469"/>
    <w:rsid w:val="00F844C4"/>
    <w:rsid w:val="00F87485"/>
    <w:rsid w:val="00F87A14"/>
    <w:rsid w:val="00F96E56"/>
    <w:rsid w:val="00FB2B11"/>
    <w:rsid w:val="00FB4016"/>
    <w:rsid w:val="00FB5B56"/>
    <w:rsid w:val="00FB72B6"/>
    <w:rsid w:val="00FC52F6"/>
    <w:rsid w:val="00FC5FA4"/>
    <w:rsid w:val="00FC74F0"/>
    <w:rsid w:val="00FD4DB1"/>
    <w:rsid w:val="00FE4047"/>
    <w:rsid w:val="00FF44A9"/>
    <w:rsid w:val="00FF4646"/>
    <w:rsid w:val="00FF5E92"/>
    <w:rsid w:val="00FF677A"/>
    <w:rsid w:val="010DD550"/>
    <w:rsid w:val="01110586"/>
    <w:rsid w:val="01238FF4"/>
    <w:rsid w:val="0125D9C6"/>
    <w:rsid w:val="012BFF40"/>
    <w:rsid w:val="013AC8DF"/>
    <w:rsid w:val="0169B73C"/>
    <w:rsid w:val="01BC0052"/>
    <w:rsid w:val="01FA5BA9"/>
    <w:rsid w:val="02013A5E"/>
    <w:rsid w:val="026319B8"/>
    <w:rsid w:val="02B6B28D"/>
    <w:rsid w:val="02DD7DBC"/>
    <w:rsid w:val="02E9A5BB"/>
    <w:rsid w:val="02F9692E"/>
    <w:rsid w:val="0301608E"/>
    <w:rsid w:val="031A05CD"/>
    <w:rsid w:val="0338D8D0"/>
    <w:rsid w:val="037AB615"/>
    <w:rsid w:val="03D758EC"/>
    <w:rsid w:val="044210C1"/>
    <w:rsid w:val="04C96EB6"/>
    <w:rsid w:val="04D96202"/>
    <w:rsid w:val="0518C3D9"/>
    <w:rsid w:val="0527B59C"/>
    <w:rsid w:val="0598E2A6"/>
    <w:rsid w:val="059D64B2"/>
    <w:rsid w:val="05A0B249"/>
    <w:rsid w:val="05CAE6DB"/>
    <w:rsid w:val="06208F1C"/>
    <w:rsid w:val="0643B396"/>
    <w:rsid w:val="065131DF"/>
    <w:rsid w:val="0670359E"/>
    <w:rsid w:val="0671EBD9"/>
    <w:rsid w:val="06936E4F"/>
    <w:rsid w:val="073DA3D2"/>
    <w:rsid w:val="07529E41"/>
    <w:rsid w:val="07BBED1A"/>
    <w:rsid w:val="080FCBEF"/>
    <w:rsid w:val="084196AE"/>
    <w:rsid w:val="08464F9A"/>
    <w:rsid w:val="087C75D6"/>
    <w:rsid w:val="089ACC6B"/>
    <w:rsid w:val="08AD27D0"/>
    <w:rsid w:val="08AEEE20"/>
    <w:rsid w:val="08B08744"/>
    <w:rsid w:val="08B88039"/>
    <w:rsid w:val="08E2CD75"/>
    <w:rsid w:val="08EAFAA3"/>
    <w:rsid w:val="090601F4"/>
    <w:rsid w:val="090FFE9F"/>
    <w:rsid w:val="0919F88B"/>
    <w:rsid w:val="091E7D12"/>
    <w:rsid w:val="096A7FC8"/>
    <w:rsid w:val="097FB0D0"/>
    <w:rsid w:val="09BC8905"/>
    <w:rsid w:val="09E2823A"/>
    <w:rsid w:val="0A1D33CA"/>
    <w:rsid w:val="0A1E5E05"/>
    <w:rsid w:val="0A221445"/>
    <w:rsid w:val="0A2BB067"/>
    <w:rsid w:val="0A30FD13"/>
    <w:rsid w:val="0A488D63"/>
    <w:rsid w:val="0A77EF2F"/>
    <w:rsid w:val="0A98A177"/>
    <w:rsid w:val="0AB2A780"/>
    <w:rsid w:val="0AD3C965"/>
    <w:rsid w:val="0AD593BB"/>
    <w:rsid w:val="0AFDF0A3"/>
    <w:rsid w:val="0B00C505"/>
    <w:rsid w:val="0B029B19"/>
    <w:rsid w:val="0B27A51C"/>
    <w:rsid w:val="0B46E4DF"/>
    <w:rsid w:val="0B740B58"/>
    <w:rsid w:val="0B8F61E2"/>
    <w:rsid w:val="0BAEA8D2"/>
    <w:rsid w:val="0BC02D53"/>
    <w:rsid w:val="0BDBFADF"/>
    <w:rsid w:val="0C083B2B"/>
    <w:rsid w:val="0C1693E6"/>
    <w:rsid w:val="0C2EA279"/>
    <w:rsid w:val="0C37A6AB"/>
    <w:rsid w:val="0C5B3868"/>
    <w:rsid w:val="0C6DEF35"/>
    <w:rsid w:val="0C71F78C"/>
    <w:rsid w:val="0CAD6F72"/>
    <w:rsid w:val="0CB70E34"/>
    <w:rsid w:val="0CC551DB"/>
    <w:rsid w:val="0CEA1FE6"/>
    <w:rsid w:val="0CFA5652"/>
    <w:rsid w:val="0D76DDEB"/>
    <w:rsid w:val="0DE6D4E9"/>
    <w:rsid w:val="0E0A4A07"/>
    <w:rsid w:val="0E0F5264"/>
    <w:rsid w:val="0E194845"/>
    <w:rsid w:val="0E74B996"/>
    <w:rsid w:val="0E7913A1"/>
    <w:rsid w:val="0E8C68B2"/>
    <w:rsid w:val="0E9BA048"/>
    <w:rsid w:val="0E9F16AC"/>
    <w:rsid w:val="0EA6D9D9"/>
    <w:rsid w:val="0EADAB6E"/>
    <w:rsid w:val="0ED7B019"/>
    <w:rsid w:val="0EDF1210"/>
    <w:rsid w:val="0EFFF893"/>
    <w:rsid w:val="0F0C0A48"/>
    <w:rsid w:val="0F53DEA8"/>
    <w:rsid w:val="0F7DA0F4"/>
    <w:rsid w:val="0FA4FCF0"/>
    <w:rsid w:val="0FC1ABFE"/>
    <w:rsid w:val="0FF4BA95"/>
    <w:rsid w:val="100F4C6B"/>
    <w:rsid w:val="10368294"/>
    <w:rsid w:val="1046DD39"/>
    <w:rsid w:val="1060B5D0"/>
    <w:rsid w:val="107D4EEB"/>
    <w:rsid w:val="10B16742"/>
    <w:rsid w:val="10E7F75E"/>
    <w:rsid w:val="10FB56B5"/>
    <w:rsid w:val="1104B155"/>
    <w:rsid w:val="1120B25A"/>
    <w:rsid w:val="11245891"/>
    <w:rsid w:val="112F8ACF"/>
    <w:rsid w:val="113BDB76"/>
    <w:rsid w:val="1148BB50"/>
    <w:rsid w:val="11631378"/>
    <w:rsid w:val="1168FF35"/>
    <w:rsid w:val="119DB53E"/>
    <w:rsid w:val="11A649E0"/>
    <w:rsid w:val="11CC992A"/>
    <w:rsid w:val="11D3415F"/>
    <w:rsid w:val="11E20438"/>
    <w:rsid w:val="11F468C5"/>
    <w:rsid w:val="120CCD7B"/>
    <w:rsid w:val="124021B5"/>
    <w:rsid w:val="12B81667"/>
    <w:rsid w:val="12D4C6AA"/>
    <w:rsid w:val="1322FF1B"/>
    <w:rsid w:val="134FEAF3"/>
    <w:rsid w:val="13587AF6"/>
    <w:rsid w:val="135DD401"/>
    <w:rsid w:val="13743DFB"/>
    <w:rsid w:val="137C8570"/>
    <w:rsid w:val="137C9846"/>
    <w:rsid w:val="137EA218"/>
    <w:rsid w:val="13EFE38B"/>
    <w:rsid w:val="13F221B6"/>
    <w:rsid w:val="1421975B"/>
    <w:rsid w:val="14374CF2"/>
    <w:rsid w:val="1437896F"/>
    <w:rsid w:val="1448E5F1"/>
    <w:rsid w:val="14500689"/>
    <w:rsid w:val="1452DADC"/>
    <w:rsid w:val="1464538B"/>
    <w:rsid w:val="146E4B94"/>
    <w:rsid w:val="14928431"/>
    <w:rsid w:val="149A14AF"/>
    <w:rsid w:val="149F86D7"/>
    <w:rsid w:val="152A4AB7"/>
    <w:rsid w:val="152FA4FC"/>
    <w:rsid w:val="1549A833"/>
    <w:rsid w:val="157A0C70"/>
    <w:rsid w:val="15911A84"/>
    <w:rsid w:val="1593D6F8"/>
    <w:rsid w:val="15F5AF1D"/>
    <w:rsid w:val="15FBEF23"/>
    <w:rsid w:val="1612F154"/>
    <w:rsid w:val="1614A980"/>
    <w:rsid w:val="16B41976"/>
    <w:rsid w:val="16F020CD"/>
    <w:rsid w:val="17417096"/>
    <w:rsid w:val="17B2748B"/>
    <w:rsid w:val="17C3AF1C"/>
    <w:rsid w:val="17EF633D"/>
    <w:rsid w:val="1815F264"/>
    <w:rsid w:val="18187AED"/>
    <w:rsid w:val="182D80E6"/>
    <w:rsid w:val="183723E6"/>
    <w:rsid w:val="18396739"/>
    <w:rsid w:val="183E0AB9"/>
    <w:rsid w:val="186021B8"/>
    <w:rsid w:val="187AACDA"/>
    <w:rsid w:val="18BEE9FD"/>
    <w:rsid w:val="18E15898"/>
    <w:rsid w:val="18ED30DE"/>
    <w:rsid w:val="18FCEB31"/>
    <w:rsid w:val="19101E45"/>
    <w:rsid w:val="1917B272"/>
    <w:rsid w:val="194FAEAE"/>
    <w:rsid w:val="197C533A"/>
    <w:rsid w:val="1989D8F8"/>
    <w:rsid w:val="1A107AA4"/>
    <w:rsid w:val="1A181042"/>
    <w:rsid w:val="1A6C3268"/>
    <w:rsid w:val="1A870222"/>
    <w:rsid w:val="1A9C6F54"/>
    <w:rsid w:val="1AB2F1CF"/>
    <w:rsid w:val="1ABC02DC"/>
    <w:rsid w:val="1ACA287F"/>
    <w:rsid w:val="1AEDF332"/>
    <w:rsid w:val="1AF0E9A2"/>
    <w:rsid w:val="1B14F5B0"/>
    <w:rsid w:val="1B4E3636"/>
    <w:rsid w:val="1B4E9E52"/>
    <w:rsid w:val="1B58B93A"/>
    <w:rsid w:val="1BB29FE1"/>
    <w:rsid w:val="1BB69DE2"/>
    <w:rsid w:val="1BB7565C"/>
    <w:rsid w:val="1C100D87"/>
    <w:rsid w:val="1C4DEF72"/>
    <w:rsid w:val="1CB7FC19"/>
    <w:rsid w:val="1CCE2B09"/>
    <w:rsid w:val="1CD251EA"/>
    <w:rsid w:val="1CD3A133"/>
    <w:rsid w:val="1D20EC4A"/>
    <w:rsid w:val="1D24B636"/>
    <w:rsid w:val="1D684554"/>
    <w:rsid w:val="1D776F2C"/>
    <w:rsid w:val="1D7CB972"/>
    <w:rsid w:val="1E1B343D"/>
    <w:rsid w:val="1E1B7E7A"/>
    <w:rsid w:val="1E708C5E"/>
    <w:rsid w:val="1E73CE76"/>
    <w:rsid w:val="1EE5A136"/>
    <w:rsid w:val="1F001C0A"/>
    <w:rsid w:val="1F0356C6"/>
    <w:rsid w:val="1F09C7D3"/>
    <w:rsid w:val="1F6F4ECC"/>
    <w:rsid w:val="1F7E03AC"/>
    <w:rsid w:val="1F82DA36"/>
    <w:rsid w:val="1FB2DF70"/>
    <w:rsid w:val="1FD5CAC6"/>
    <w:rsid w:val="1FE6D175"/>
    <w:rsid w:val="1FED42C3"/>
    <w:rsid w:val="203173E6"/>
    <w:rsid w:val="20819E3E"/>
    <w:rsid w:val="20889754"/>
    <w:rsid w:val="20AC7986"/>
    <w:rsid w:val="20B573E9"/>
    <w:rsid w:val="20CFC77F"/>
    <w:rsid w:val="20DEF6F3"/>
    <w:rsid w:val="20F8CAAD"/>
    <w:rsid w:val="20FD2FD1"/>
    <w:rsid w:val="2101DBE8"/>
    <w:rsid w:val="210C3A69"/>
    <w:rsid w:val="2127877D"/>
    <w:rsid w:val="218A9E5C"/>
    <w:rsid w:val="21BAE791"/>
    <w:rsid w:val="21BB83A7"/>
    <w:rsid w:val="21C5DFDF"/>
    <w:rsid w:val="21DD923D"/>
    <w:rsid w:val="222E8A36"/>
    <w:rsid w:val="223B2FF2"/>
    <w:rsid w:val="225D0CC4"/>
    <w:rsid w:val="22718B6E"/>
    <w:rsid w:val="2287B8B6"/>
    <w:rsid w:val="233DF80D"/>
    <w:rsid w:val="23434896"/>
    <w:rsid w:val="2347E99C"/>
    <w:rsid w:val="234FEED0"/>
    <w:rsid w:val="2367B62D"/>
    <w:rsid w:val="239268EE"/>
    <w:rsid w:val="23959AB9"/>
    <w:rsid w:val="23D85699"/>
    <w:rsid w:val="23E16514"/>
    <w:rsid w:val="23E66089"/>
    <w:rsid w:val="24141AEA"/>
    <w:rsid w:val="248692EF"/>
    <w:rsid w:val="24A012FC"/>
    <w:rsid w:val="253766EC"/>
    <w:rsid w:val="25529C57"/>
    <w:rsid w:val="2557DAE4"/>
    <w:rsid w:val="258B1A0C"/>
    <w:rsid w:val="25DFE563"/>
    <w:rsid w:val="25F9EC86"/>
    <w:rsid w:val="26010817"/>
    <w:rsid w:val="261B7388"/>
    <w:rsid w:val="263507AA"/>
    <w:rsid w:val="26497AA9"/>
    <w:rsid w:val="264E4559"/>
    <w:rsid w:val="26958F49"/>
    <w:rsid w:val="269E9C0D"/>
    <w:rsid w:val="26D40939"/>
    <w:rsid w:val="26F2CF1A"/>
    <w:rsid w:val="272025C3"/>
    <w:rsid w:val="273C3DD3"/>
    <w:rsid w:val="2757E32A"/>
    <w:rsid w:val="27665E8D"/>
    <w:rsid w:val="27ADBCC0"/>
    <w:rsid w:val="27C49C6E"/>
    <w:rsid w:val="27D40E75"/>
    <w:rsid w:val="28648B7C"/>
    <w:rsid w:val="2876DC9F"/>
    <w:rsid w:val="2890991B"/>
    <w:rsid w:val="28B27C08"/>
    <w:rsid w:val="28B420BF"/>
    <w:rsid w:val="28CA6C35"/>
    <w:rsid w:val="295C238C"/>
    <w:rsid w:val="2978FED6"/>
    <w:rsid w:val="29957FF4"/>
    <w:rsid w:val="299E2F4B"/>
    <w:rsid w:val="29A02364"/>
    <w:rsid w:val="29A0C434"/>
    <w:rsid w:val="29F1E807"/>
    <w:rsid w:val="2A1014ED"/>
    <w:rsid w:val="2A644B37"/>
    <w:rsid w:val="2A85CDEB"/>
    <w:rsid w:val="2AE720DA"/>
    <w:rsid w:val="2AEAB51B"/>
    <w:rsid w:val="2AEE3D98"/>
    <w:rsid w:val="2AEF823C"/>
    <w:rsid w:val="2AF8420B"/>
    <w:rsid w:val="2B0F13BD"/>
    <w:rsid w:val="2B35CFDF"/>
    <w:rsid w:val="2B3FB2D7"/>
    <w:rsid w:val="2B6DFCA1"/>
    <w:rsid w:val="2B737C6A"/>
    <w:rsid w:val="2B82C9CA"/>
    <w:rsid w:val="2BBEFC07"/>
    <w:rsid w:val="2BE36298"/>
    <w:rsid w:val="2BF776EB"/>
    <w:rsid w:val="2BFE73C0"/>
    <w:rsid w:val="2C0A95FB"/>
    <w:rsid w:val="2C1573EB"/>
    <w:rsid w:val="2C365026"/>
    <w:rsid w:val="2C5C5409"/>
    <w:rsid w:val="2C63C8C0"/>
    <w:rsid w:val="2C7595CE"/>
    <w:rsid w:val="2C78845D"/>
    <w:rsid w:val="2C7D2B71"/>
    <w:rsid w:val="2C9A3013"/>
    <w:rsid w:val="2CA49D98"/>
    <w:rsid w:val="2CAE8936"/>
    <w:rsid w:val="2CB322BC"/>
    <w:rsid w:val="2CB93D23"/>
    <w:rsid w:val="2CC07A60"/>
    <w:rsid w:val="2CC8DF16"/>
    <w:rsid w:val="2CEA9D64"/>
    <w:rsid w:val="2D3FA541"/>
    <w:rsid w:val="2D63FACA"/>
    <w:rsid w:val="2D67BD9C"/>
    <w:rsid w:val="2D7875A8"/>
    <w:rsid w:val="2D9761BC"/>
    <w:rsid w:val="2DAE86B3"/>
    <w:rsid w:val="2DB0A894"/>
    <w:rsid w:val="2DD1A1DA"/>
    <w:rsid w:val="2DFA31A0"/>
    <w:rsid w:val="2E154D44"/>
    <w:rsid w:val="2E736DC7"/>
    <w:rsid w:val="2EA12C1A"/>
    <w:rsid w:val="2EFC540C"/>
    <w:rsid w:val="2F252FD6"/>
    <w:rsid w:val="2F3BD450"/>
    <w:rsid w:val="2F768715"/>
    <w:rsid w:val="2F84883C"/>
    <w:rsid w:val="2FA0F9CF"/>
    <w:rsid w:val="2FB74FDE"/>
    <w:rsid w:val="2FC678DC"/>
    <w:rsid w:val="2FCB68AD"/>
    <w:rsid w:val="2FCE420D"/>
    <w:rsid w:val="2FFC24CE"/>
    <w:rsid w:val="301755DE"/>
    <w:rsid w:val="3050F029"/>
    <w:rsid w:val="30574A00"/>
    <w:rsid w:val="30590DB7"/>
    <w:rsid w:val="306C5D8B"/>
    <w:rsid w:val="3079D7CD"/>
    <w:rsid w:val="309744B3"/>
    <w:rsid w:val="30FE76F6"/>
    <w:rsid w:val="311042CE"/>
    <w:rsid w:val="312C7814"/>
    <w:rsid w:val="313F2BC3"/>
    <w:rsid w:val="314B417E"/>
    <w:rsid w:val="314F2A4F"/>
    <w:rsid w:val="315A4A47"/>
    <w:rsid w:val="316659A7"/>
    <w:rsid w:val="3184D739"/>
    <w:rsid w:val="3190DF94"/>
    <w:rsid w:val="31A1C0EF"/>
    <w:rsid w:val="31B6B55C"/>
    <w:rsid w:val="31E4BB16"/>
    <w:rsid w:val="31EEE653"/>
    <w:rsid w:val="32346AF7"/>
    <w:rsid w:val="325A544C"/>
    <w:rsid w:val="325E97D9"/>
    <w:rsid w:val="32704D08"/>
    <w:rsid w:val="32991022"/>
    <w:rsid w:val="32C0DF5C"/>
    <w:rsid w:val="32C16565"/>
    <w:rsid w:val="32C44BF7"/>
    <w:rsid w:val="32EB842C"/>
    <w:rsid w:val="3300DB08"/>
    <w:rsid w:val="33058F01"/>
    <w:rsid w:val="3332ECE2"/>
    <w:rsid w:val="334A66F6"/>
    <w:rsid w:val="3355906F"/>
    <w:rsid w:val="3365E4C1"/>
    <w:rsid w:val="33A9E062"/>
    <w:rsid w:val="3405943E"/>
    <w:rsid w:val="34077BF9"/>
    <w:rsid w:val="34378E47"/>
    <w:rsid w:val="344B3844"/>
    <w:rsid w:val="344D314A"/>
    <w:rsid w:val="347D9C68"/>
    <w:rsid w:val="348CB322"/>
    <w:rsid w:val="34B79CFF"/>
    <w:rsid w:val="34CBDA5D"/>
    <w:rsid w:val="34DD3A20"/>
    <w:rsid w:val="354D79CC"/>
    <w:rsid w:val="3560D7E7"/>
    <w:rsid w:val="3562ABDB"/>
    <w:rsid w:val="356E22CD"/>
    <w:rsid w:val="357F6BA0"/>
    <w:rsid w:val="35858486"/>
    <w:rsid w:val="358FBFB7"/>
    <w:rsid w:val="35AF7934"/>
    <w:rsid w:val="35D30D51"/>
    <w:rsid w:val="35DC1C51"/>
    <w:rsid w:val="35DC997A"/>
    <w:rsid w:val="35E92B6E"/>
    <w:rsid w:val="360BB6E2"/>
    <w:rsid w:val="362040F4"/>
    <w:rsid w:val="363AC49B"/>
    <w:rsid w:val="363F41B3"/>
    <w:rsid w:val="365EE673"/>
    <w:rsid w:val="36A5C2EF"/>
    <w:rsid w:val="36AAF155"/>
    <w:rsid w:val="36B1DA8E"/>
    <w:rsid w:val="36C2DD40"/>
    <w:rsid w:val="36CFD0F5"/>
    <w:rsid w:val="36F4CB01"/>
    <w:rsid w:val="37086C4F"/>
    <w:rsid w:val="3742DF76"/>
    <w:rsid w:val="3756D5BD"/>
    <w:rsid w:val="37614446"/>
    <w:rsid w:val="378A8291"/>
    <w:rsid w:val="379976F7"/>
    <w:rsid w:val="37C274D0"/>
    <w:rsid w:val="37DB91EC"/>
    <w:rsid w:val="37E66920"/>
    <w:rsid w:val="37EBF79A"/>
    <w:rsid w:val="383034DB"/>
    <w:rsid w:val="38454961"/>
    <w:rsid w:val="384DD761"/>
    <w:rsid w:val="3864C498"/>
    <w:rsid w:val="389AC4D3"/>
    <w:rsid w:val="38AC6644"/>
    <w:rsid w:val="38C7F13E"/>
    <w:rsid w:val="38E719A3"/>
    <w:rsid w:val="38F562F8"/>
    <w:rsid w:val="392B69E0"/>
    <w:rsid w:val="3964B7DE"/>
    <w:rsid w:val="39775DAC"/>
    <w:rsid w:val="398048E3"/>
    <w:rsid w:val="3993DBFA"/>
    <w:rsid w:val="399E8123"/>
    <w:rsid w:val="399FC1B0"/>
    <w:rsid w:val="39B99363"/>
    <w:rsid w:val="39F29BDE"/>
    <w:rsid w:val="39F34660"/>
    <w:rsid w:val="3A78C4F9"/>
    <w:rsid w:val="3A866A5B"/>
    <w:rsid w:val="3A983742"/>
    <w:rsid w:val="3AA6CC0F"/>
    <w:rsid w:val="3AB0B498"/>
    <w:rsid w:val="3ADA2334"/>
    <w:rsid w:val="3AFA5F9D"/>
    <w:rsid w:val="3B0253A1"/>
    <w:rsid w:val="3B135BF8"/>
    <w:rsid w:val="3B225C2F"/>
    <w:rsid w:val="3B274670"/>
    <w:rsid w:val="3B498308"/>
    <w:rsid w:val="3B4A49BE"/>
    <w:rsid w:val="3B5B54B4"/>
    <w:rsid w:val="3B64D3C8"/>
    <w:rsid w:val="3B654728"/>
    <w:rsid w:val="3B72A141"/>
    <w:rsid w:val="3B918368"/>
    <w:rsid w:val="3BADF64F"/>
    <w:rsid w:val="3BD08F84"/>
    <w:rsid w:val="3C1B2796"/>
    <w:rsid w:val="3C6E414E"/>
    <w:rsid w:val="3CCDCBD4"/>
    <w:rsid w:val="3CD3C08D"/>
    <w:rsid w:val="3CE4786F"/>
    <w:rsid w:val="3D02D54B"/>
    <w:rsid w:val="3D221A8F"/>
    <w:rsid w:val="3D2EC4DD"/>
    <w:rsid w:val="3D307265"/>
    <w:rsid w:val="3D32ED70"/>
    <w:rsid w:val="3D41E91A"/>
    <w:rsid w:val="3D4DD158"/>
    <w:rsid w:val="3D634798"/>
    <w:rsid w:val="3D6FD7E8"/>
    <w:rsid w:val="3D7DEEAA"/>
    <w:rsid w:val="3DBB9A77"/>
    <w:rsid w:val="3E19EB07"/>
    <w:rsid w:val="3E4814F7"/>
    <w:rsid w:val="3E7E05E2"/>
    <w:rsid w:val="3E825F29"/>
    <w:rsid w:val="3E91D23D"/>
    <w:rsid w:val="3EC129CB"/>
    <w:rsid w:val="3EEE0C7B"/>
    <w:rsid w:val="3F086CEB"/>
    <w:rsid w:val="3F193D52"/>
    <w:rsid w:val="3F1AA4BD"/>
    <w:rsid w:val="3F1B257E"/>
    <w:rsid w:val="3F1EAD09"/>
    <w:rsid w:val="3F3564AD"/>
    <w:rsid w:val="3F389C93"/>
    <w:rsid w:val="3FD5A7E5"/>
    <w:rsid w:val="3FE74679"/>
    <w:rsid w:val="3FED2598"/>
    <w:rsid w:val="3FFCD31C"/>
    <w:rsid w:val="400A4A99"/>
    <w:rsid w:val="4028F639"/>
    <w:rsid w:val="4054EDD6"/>
    <w:rsid w:val="406A368F"/>
    <w:rsid w:val="40ABEDC9"/>
    <w:rsid w:val="40ACCA46"/>
    <w:rsid w:val="4119811A"/>
    <w:rsid w:val="4134603C"/>
    <w:rsid w:val="413C5ADD"/>
    <w:rsid w:val="4147C07C"/>
    <w:rsid w:val="41541E57"/>
    <w:rsid w:val="41977676"/>
    <w:rsid w:val="41A91F88"/>
    <w:rsid w:val="41E38C1E"/>
    <w:rsid w:val="41E716D9"/>
    <w:rsid w:val="41F7B667"/>
    <w:rsid w:val="4233F94E"/>
    <w:rsid w:val="42373A3A"/>
    <w:rsid w:val="42AB7632"/>
    <w:rsid w:val="42FED888"/>
    <w:rsid w:val="43164592"/>
    <w:rsid w:val="4356A0AB"/>
    <w:rsid w:val="43582302"/>
    <w:rsid w:val="437AF501"/>
    <w:rsid w:val="43BAAB93"/>
    <w:rsid w:val="43BCB6CE"/>
    <w:rsid w:val="43CD2A64"/>
    <w:rsid w:val="43EB1B0A"/>
    <w:rsid w:val="43F09227"/>
    <w:rsid w:val="43FF3DCD"/>
    <w:rsid w:val="44452391"/>
    <w:rsid w:val="444B8B9B"/>
    <w:rsid w:val="445CF66A"/>
    <w:rsid w:val="44949CDD"/>
    <w:rsid w:val="44BE87B4"/>
    <w:rsid w:val="44E29959"/>
    <w:rsid w:val="4532035A"/>
    <w:rsid w:val="45AA128E"/>
    <w:rsid w:val="45CAAED3"/>
    <w:rsid w:val="45FEDC62"/>
    <w:rsid w:val="45FF6B8C"/>
    <w:rsid w:val="460BA9B0"/>
    <w:rsid w:val="46194512"/>
    <w:rsid w:val="4630E82F"/>
    <w:rsid w:val="46BCBF8B"/>
    <w:rsid w:val="46EFD904"/>
    <w:rsid w:val="4723B9E6"/>
    <w:rsid w:val="473D0A20"/>
    <w:rsid w:val="47A147A3"/>
    <w:rsid w:val="47B281B4"/>
    <w:rsid w:val="480EE02D"/>
    <w:rsid w:val="484EC239"/>
    <w:rsid w:val="48517A66"/>
    <w:rsid w:val="486F2733"/>
    <w:rsid w:val="489783CD"/>
    <w:rsid w:val="4910C6A7"/>
    <w:rsid w:val="494812C6"/>
    <w:rsid w:val="49958D9A"/>
    <w:rsid w:val="49CCA9B3"/>
    <w:rsid w:val="49DA76B1"/>
    <w:rsid w:val="49E53447"/>
    <w:rsid w:val="4A23C85D"/>
    <w:rsid w:val="4A495E4B"/>
    <w:rsid w:val="4A800DE5"/>
    <w:rsid w:val="4A89A7C3"/>
    <w:rsid w:val="4A8B201B"/>
    <w:rsid w:val="4AC3D14B"/>
    <w:rsid w:val="4AE55DFB"/>
    <w:rsid w:val="4AF812E6"/>
    <w:rsid w:val="4B1CA5DE"/>
    <w:rsid w:val="4B2AE763"/>
    <w:rsid w:val="4B4E4A28"/>
    <w:rsid w:val="4B5156D4"/>
    <w:rsid w:val="4B5FAA68"/>
    <w:rsid w:val="4B7D0980"/>
    <w:rsid w:val="4B820CF0"/>
    <w:rsid w:val="4B9CA779"/>
    <w:rsid w:val="4BA82AFD"/>
    <w:rsid w:val="4BC4D411"/>
    <w:rsid w:val="4BEDE32C"/>
    <w:rsid w:val="4BEF5DA0"/>
    <w:rsid w:val="4C44098B"/>
    <w:rsid w:val="4C76E2BF"/>
    <w:rsid w:val="4CCEE5E4"/>
    <w:rsid w:val="4CE321B4"/>
    <w:rsid w:val="4CEE2ACB"/>
    <w:rsid w:val="4CEEBEA7"/>
    <w:rsid w:val="4D00CB03"/>
    <w:rsid w:val="4D049162"/>
    <w:rsid w:val="4D2188EF"/>
    <w:rsid w:val="4D3DA961"/>
    <w:rsid w:val="4D594379"/>
    <w:rsid w:val="4D61CAA1"/>
    <w:rsid w:val="4D750346"/>
    <w:rsid w:val="4DBCCBCC"/>
    <w:rsid w:val="4DF1773F"/>
    <w:rsid w:val="4E172A89"/>
    <w:rsid w:val="4E223E11"/>
    <w:rsid w:val="4E4E2502"/>
    <w:rsid w:val="4E62D065"/>
    <w:rsid w:val="4E70A27F"/>
    <w:rsid w:val="4E7B838E"/>
    <w:rsid w:val="4E8A1AD4"/>
    <w:rsid w:val="4E98B68C"/>
    <w:rsid w:val="4EAE9DDA"/>
    <w:rsid w:val="4ECE1752"/>
    <w:rsid w:val="4F2C9860"/>
    <w:rsid w:val="4F4B0B1A"/>
    <w:rsid w:val="4F7BF2C4"/>
    <w:rsid w:val="4F7DC8CC"/>
    <w:rsid w:val="4FB0296D"/>
    <w:rsid w:val="4FD99BAB"/>
    <w:rsid w:val="4FDED700"/>
    <w:rsid w:val="4FE0A964"/>
    <w:rsid w:val="4FFE348B"/>
    <w:rsid w:val="501AF086"/>
    <w:rsid w:val="502C9542"/>
    <w:rsid w:val="503C3825"/>
    <w:rsid w:val="50A80EE6"/>
    <w:rsid w:val="50B5F4B8"/>
    <w:rsid w:val="50BC3CF3"/>
    <w:rsid w:val="50C3CF0D"/>
    <w:rsid w:val="50CCD832"/>
    <w:rsid w:val="50DAC3A1"/>
    <w:rsid w:val="50E2BCB6"/>
    <w:rsid w:val="5107B8AE"/>
    <w:rsid w:val="513EC578"/>
    <w:rsid w:val="5143F018"/>
    <w:rsid w:val="5150D72A"/>
    <w:rsid w:val="5177C149"/>
    <w:rsid w:val="518412C3"/>
    <w:rsid w:val="51AB14A2"/>
    <w:rsid w:val="51B6437E"/>
    <w:rsid w:val="51D99BB7"/>
    <w:rsid w:val="51EED165"/>
    <w:rsid w:val="522811AF"/>
    <w:rsid w:val="52546430"/>
    <w:rsid w:val="529BF00A"/>
    <w:rsid w:val="529F2896"/>
    <w:rsid w:val="52A2D7C7"/>
    <w:rsid w:val="52AE8AA0"/>
    <w:rsid w:val="52DB7DEA"/>
    <w:rsid w:val="52DE3A7F"/>
    <w:rsid w:val="52E5B602"/>
    <w:rsid w:val="52E814BB"/>
    <w:rsid w:val="53207AFF"/>
    <w:rsid w:val="534F6530"/>
    <w:rsid w:val="539F5B54"/>
    <w:rsid w:val="53A19B31"/>
    <w:rsid w:val="53BC5BC3"/>
    <w:rsid w:val="53F512EC"/>
    <w:rsid w:val="54238EAA"/>
    <w:rsid w:val="5444E625"/>
    <w:rsid w:val="547A3A9C"/>
    <w:rsid w:val="54A2B957"/>
    <w:rsid w:val="54B19CD0"/>
    <w:rsid w:val="54E404B9"/>
    <w:rsid w:val="54EAFF10"/>
    <w:rsid w:val="55175431"/>
    <w:rsid w:val="55178258"/>
    <w:rsid w:val="55240392"/>
    <w:rsid w:val="5524C251"/>
    <w:rsid w:val="55256EFA"/>
    <w:rsid w:val="553A9922"/>
    <w:rsid w:val="556243DC"/>
    <w:rsid w:val="55641B23"/>
    <w:rsid w:val="5569FEAA"/>
    <w:rsid w:val="55A0F544"/>
    <w:rsid w:val="55C5BDE7"/>
    <w:rsid w:val="55F00011"/>
    <w:rsid w:val="55F9B85B"/>
    <w:rsid w:val="55FE8D89"/>
    <w:rsid w:val="5611020C"/>
    <w:rsid w:val="5613507D"/>
    <w:rsid w:val="56279B06"/>
    <w:rsid w:val="56331512"/>
    <w:rsid w:val="564015C8"/>
    <w:rsid w:val="564C83BF"/>
    <w:rsid w:val="56570BEF"/>
    <w:rsid w:val="566493FE"/>
    <w:rsid w:val="567905CA"/>
    <w:rsid w:val="56908BE9"/>
    <w:rsid w:val="56928EC7"/>
    <w:rsid w:val="56A5F097"/>
    <w:rsid w:val="56F96BC0"/>
    <w:rsid w:val="57003121"/>
    <w:rsid w:val="5779C160"/>
    <w:rsid w:val="57998566"/>
    <w:rsid w:val="5833D215"/>
    <w:rsid w:val="5861D020"/>
    <w:rsid w:val="586E30F3"/>
    <w:rsid w:val="58954B49"/>
    <w:rsid w:val="58959009"/>
    <w:rsid w:val="58EA7068"/>
    <w:rsid w:val="58F3B145"/>
    <w:rsid w:val="5900964D"/>
    <w:rsid w:val="5930F0D5"/>
    <w:rsid w:val="5965128D"/>
    <w:rsid w:val="596E6A58"/>
    <w:rsid w:val="597EBEDF"/>
    <w:rsid w:val="59824F12"/>
    <w:rsid w:val="59B24231"/>
    <w:rsid w:val="59C65F5F"/>
    <w:rsid w:val="5A10ED8B"/>
    <w:rsid w:val="5A776A7C"/>
    <w:rsid w:val="5AA52A45"/>
    <w:rsid w:val="5ACEFA24"/>
    <w:rsid w:val="5ADF23E2"/>
    <w:rsid w:val="5AF4BF4F"/>
    <w:rsid w:val="5B28B618"/>
    <w:rsid w:val="5B2EC33A"/>
    <w:rsid w:val="5B93CB0E"/>
    <w:rsid w:val="5BA20FFB"/>
    <w:rsid w:val="5BAB152E"/>
    <w:rsid w:val="5BD3E992"/>
    <w:rsid w:val="5BDF5325"/>
    <w:rsid w:val="5BDFF449"/>
    <w:rsid w:val="5C1C4160"/>
    <w:rsid w:val="5C564B58"/>
    <w:rsid w:val="5C9C2E33"/>
    <w:rsid w:val="5CBDD1AD"/>
    <w:rsid w:val="5CCF35F8"/>
    <w:rsid w:val="5CD85C32"/>
    <w:rsid w:val="5D42A441"/>
    <w:rsid w:val="5D45F96A"/>
    <w:rsid w:val="5D61E644"/>
    <w:rsid w:val="5DBC11F3"/>
    <w:rsid w:val="5DBF852C"/>
    <w:rsid w:val="5DE77D28"/>
    <w:rsid w:val="5E2ADA4F"/>
    <w:rsid w:val="5E5E2FC0"/>
    <w:rsid w:val="5E801FCA"/>
    <w:rsid w:val="5ED8B55D"/>
    <w:rsid w:val="5EDF8A97"/>
    <w:rsid w:val="5F376B56"/>
    <w:rsid w:val="5F7B5641"/>
    <w:rsid w:val="5F856D87"/>
    <w:rsid w:val="5F905C52"/>
    <w:rsid w:val="5F9681DF"/>
    <w:rsid w:val="5FBEF235"/>
    <w:rsid w:val="602E77D6"/>
    <w:rsid w:val="60448B4B"/>
    <w:rsid w:val="6059057F"/>
    <w:rsid w:val="605F6752"/>
    <w:rsid w:val="60679420"/>
    <w:rsid w:val="606A1699"/>
    <w:rsid w:val="60886C9B"/>
    <w:rsid w:val="609664E1"/>
    <w:rsid w:val="60AE8E1D"/>
    <w:rsid w:val="60B95E1B"/>
    <w:rsid w:val="60E26C02"/>
    <w:rsid w:val="61270CA6"/>
    <w:rsid w:val="6129A479"/>
    <w:rsid w:val="6131B010"/>
    <w:rsid w:val="613BE62D"/>
    <w:rsid w:val="618278AF"/>
    <w:rsid w:val="618F59FE"/>
    <w:rsid w:val="61A589D0"/>
    <w:rsid w:val="621C8D7B"/>
    <w:rsid w:val="62385FFB"/>
    <w:rsid w:val="62931852"/>
    <w:rsid w:val="62D29E25"/>
    <w:rsid w:val="62E6D34E"/>
    <w:rsid w:val="636255B5"/>
    <w:rsid w:val="6362AF05"/>
    <w:rsid w:val="636EA505"/>
    <w:rsid w:val="637D9A55"/>
    <w:rsid w:val="63B903AE"/>
    <w:rsid w:val="63F46460"/>
    <w:rsid w:val="63F48724"/>
    <w:rsid w:val="63F6714C"/>
    <w:rsid w:val="6431AAC0"/>
    <w:rsid w:val="6437319C"/>
    <w:rsid w:val="643BA7DB"/>
    <w:rsid w:val="6464AB40"/>
    <w:rsid w:val="6479DECF"/>
    <w:rsid w:val="64A4E05C"/>
    <w:rsid w:val="64CE9BFC"/>
    <w:rsid w:val="64DAA3A0"/>
    <w:rsid w:val="64FC8402"/>
    <w:rsid w:val="64FE1816"/>
    <w:rsid w:val="6503A87B"/>
    <w:rsid w:val="65079E3A"/>
    <w:rsid w:val="65303F98"/>
    <w:rsid w:val="6536AA05"/>
    <w:rsid w:val="65544874"/>
    <w:rsid w:val="65A985E0"/>
    <w:rsid w:val="65ADC78B"/>
    <w:rsid w:val="65CE90E1"/>
    <w:rsid w:val="65F676F9"/>
    <w:rsid w:val="6621C0BD"/>
    <w:rsid w:val="6658A475"/>
    <w:rsid w:val="66852020"/>
    <w:rsid w:val="66A61B16"/>
    <w:rsid w:val="66E93F1C"/>
    <w:rsid w:val="66F24980"/>
    <w:rsid w:val="66F963B6"/>
    <w:rsid w:val="672C9B3F"/>
    <w:rsid w:val="67416468"/>
    <w:rsid w:val="674C6163"/>
    <w:rsid w:val="67528182"/>
    <w:rsid w:val="6752C496"/>
    <w:rsid w:val="676779F8"/>
    <w:rsid w:val="67797C64"/>
    <w:rsid w:val="67BAD528"/>
    <w:rsid w:val="67CF8221"/>
    <w:rsid w:val="67D182B8"/>
    <w:rsid w:val="67DE4371"/>
    <w:rsid w:val="68212F67"/>
    <w:rsid w:val="682E0673"/>
    <w:rsid w:val="682E2EAB"/>
    <w:rsid w:val="68651C1C"/>
    <w:rsid w:val="68666C36"/>
    <w:rsid w:val="6884E47B"/>
    <w:rsid w:val="68A78B1F"/>
    <w:rsid w:val="68AD3AE7"/>
    <w:rsid w:val="68B82791"/>
    <w:rsid w:val="68BB88A1"/>
    <w:rsid w:val="68CA63F8"/>
    <w:rsid w:val="691BB533"/>
    <w:rsid w:val="6925EE63"/>
    <w:rsid w:val="69430AE3"/>
    <w:rsid w:val="696201BD"/>
    <w:rsid w:val="696649FE"/>
    <w:rsid w:val="69A6ED27"/>
    <w:rsid w:val="6A2AEC63"/>
    <w:rsid w:val="6A4D29C4"/>
    <w:rsid w:val="6AAE5F6C"/>
    <w:rsid w:val="6AC39A9F"/>
    <w:rsid w:val="6AD04944"/>
    <w:rsid w:val="6ADCA3AA"/>
    <w:rsid w:val="6AEB24C1"/>
    <w:rsid w:val="6B31C3C3"/>
    <w:rsid w:val="6B36C01C"/>
    <w:rsid w:val="6B476904"/>
    <w:rsid w:val="6B49D9CB"/>
    <w:rsid w:val="6B65FBB6"/>
    <w:rsid w:val="6B811FF9"/>
    <w:rsid w:val="6B87B681"/>
    <w:rsid w:val="6BC8436E"/>
    <w:rsid w:val="6BE99363"/>
    <w:rsid w:val="6C0B145F"/>
    <w:rsid w:val="6C576A35"/>
    <w:rsid w:val="6C5C221D"/>
    <w:rsid w:val="6C803173"/>
    <w:rsid w:val="6C8ABD64"/>
    <w:rsid w:val="6CB37B84"/>
    <w:rsid w:val="6CC277B9"/>
    <w:rsid w:val="6CC9D824"/>
    <w:rsid w:val="6CD07A41"/>
    <w:rsid w:val="6D37753D"/>
    <w:rsid w:val="6D78EB17"/>
    <w:rsid w:val="6DAC0C93"/>
    <w:rsid w:val="6DF44995"/>
    <w:rsid w:val="6E5054B7"/>
    <w:rsid w:val="6E6F9705"/>
    <w:rsid w:val="6E7E6D85"/>
    <w:rsid w:val="6ECA7F66"/>
    <w:rsid w:val="6EF04384"/>
    <w:rsid w:val="6F0F6060"/>
    <w:rsid w:val="6F1E95D7"/>
    <w:rsid w:val="6FA0DDCA"/>
    <w:rsid w:val="6FABAA6B"/>
    <w:rsid w:val="6FC2C90B"/>
    <w:rsid w:val="6FD2CBF4"/>
    <w:rsid w:val="702BDD64"/>
    <w:rsid w:val="7068C7C7"/>
    <w:rsid w:val="706B17CD"/>
    <w:rsid w:val="706CC550"/>
    <w:rsid w:val="70A2FFE6"/>
    <w:rsid w:val="70B09920"/>
    <w:rsid w:val="712F9916"/>
    <w:rsid w:val="71B83953"/>
    <w:rsid w:val="71D372EC"/>
    <w:rsid w:val="71E9941D"/>
    <w:rsid w:val="71F91185"/>
    <w:rsid w:val="71FCE707"/>
    <w:rsid w:val="72091653"/>
    <w:rsid w:val="72A83A20"/>
    <w:rsid w:val="72B537CA"/>
    <w:rsid w:val="72CDBB58"/>
    <w:rsid w:val="730E9102"/>
    <w:rsid w:val="7321DEF1"/>
    <w:rsid w:val="7324FEA2"/>
    <w:rsid w:val="7364C4EE"/>
    <w:rsid w:val="7393BDDA"/>
    <w:rsid w:val="73EC11A5"/>
    <w:rsid w:val="74187FA2"/>
    <w:rsid w:val="747B1A92"/>
    <w:rsid w:val="749A3CCD"/>
    <w:rsid w:val="74D11997"/>
    <w:rsid w:val="74E78D1C"/>
    <w:rsid w:val="74F5F1F0"/>
    <w:rsid w:val="751FCDC2"/>
    <w:rsid w:val="7533F7C6"/>
    <w:rsid w:val="753FF563"/>
    <w:rsid w:val="75427F9F"/>
    <w:rsid w:val="7550ED3C"/>
    <w:rsid w:val="758315CB"/>
    <w:rsid w:val="7584C78D"/>
    <w:rsid w:val="758E9284"/>
    <w:rsid w:val="75A23108"/>
    <w:rsid w:val="75AB10B9"/>
    <w:rsid w:val="75B44548"/>
    <w:rsid w:val="75D22F71"/>
    <w:rsid w:val="75E50398"/>
    <w:rsid w:val="75E64789"/>
    <w:rsid w:val="75EA5852"/>
    <w:rsid w:val="75F43255"/>
    <w:rsid w:val="75F67F41"/>
    <w:rsid w:val="7671E262"/>
    <w:rsid w:val="767F39BC"/>
    <w:rsid w:val="7688FCFC"/>
    <w:rsid w:val="76A85C6B"/>
    <w:rsid w:val="76C7B281"/>
    <w:rsid w:val="76F059EB"/>
    <w:rsid w:val="76F4E7EB"/>
    <w:rsid w:val="7713B263"/>
    <w:rsid w:val="77970312"/>
    <w:rsid w:val="77A3A536"/>
    <w:rsid w:val="77A69A2D"/>
    <w:rsid w:val="77BEDB32"/>
    <w:rsid w:val="77CE9CAA"/>
    <w:rsid w:val="77DDEFA6"/>
    <w:rsid w:val="77F0304A"/>
    <w:rsid w:val="7818D616"/>
    <w:rsid w:val="78264C8E"/>
    <w:rsid w:val="783AC155"/>
    <w:rsid w:val="78443FE9"/>
    <w:rsid w:val="78609879"/>
    <w:rsid w:val="7875A1C5"/>
    <w:rsid w:val="78830F29"/>
    <w:rsid w:val="78AEDDE3"/>
    <w:rsid w:val="78C33405"/>
    <w:rsid w:val="78D66C61"/>
    <w:rsid w:val="79042FB9"/>
    <w:rsid w:val="795076A3"/>
    <w:rsid w:val="795F36FE"/>
    <w:rsid w:val="799A2C8C"/>
    <w:rsid w:val="79B75BC3"/>
    <w:rsid w:val="7A0B7D65"/>
    <w:rsid w:val="7A19E80A"/>
    <w:rsid w:val="7A1A2FB1"/>
    <w:rsid w:val="7A3D90FC"/>
    <w:rsid w:val="7A4A5E07"/>
    <w:rsid w:val="7A4DEA8D"/>
    <w:rsid w:val="7A78EA4D"/>
    <w:rsid w:val="7AADAB19"/>
    <w:rsid w:val="7ACAF25A"/>
    <w:rsid w:val="7AEDA926"/>
    <w:rsid w:val="7AF474B0"/>
    <w:rsid w:val="7B06C590"/>
    <w:rsid w:val="7B4B89C8"/>
    <w:rsid w:val="7B5BC7C4"/>
    <w:rsid w:val="7B709D33"/>
    <w:rsid w:val="7BD06FD4"/>
    <w:rsid w:val="7BEE9342"/>
    <w:rsid w:val="7C41B4C1"/>
    <w:rsid w:val="7C63AC32"/>
    <w:rsid w:val="7C7BAF37"/>
    <w:rsid w:val="7C99DF19"/>
    <w:rsid w:val="7CB33D1A"/>
    <w:rsid w:val="7D2DC0D3"/>
    <w:rsid w:val="7D709A87"/>
    <w:rsid w:val="7D7239A6"/>
    <w:rsid w:val="7DAAB9E6"/>
    <w:rsid w:val="7DFDF4FA"/>
    <w:rsid w:val="7E15928D"/>
    <w:rsid w:val="7E1C7332"/>
    <w:rsid w:val="7E3E4BDB"/>
    <w:rsid w:val="7E637BAD"/>
    <w:rsid w:val="7E63B619"/>
    <w:rsid w:val="7E83D0F1"/>
    <w:rsid w:val="7EA5676D"/>
    <w:rsid w:val="7EBE9821"/>
    <w:rsid w:val="7EBF9C7D"/>
    <w:rsid w:val="7EC18560"/>
    <w:rsid w:val="7ED31C31"/>
    <w:rsid w:val="7EEA0D59"/>
    <w:rsid w:val="7EF2DBD9"/>
    <w:rsid w:val="7F047CB4"/>
    <w:rsid w:val="7F0DBCA7"/>
    <w:rsid w:val="7F0F0C39"/>
    <w:rsid w:val="7F30CDD9"/>
    <w:rsid w:val="7F336873"/>
    <w:rsid w:val="7F531DA9"/>
  </w:rsids>
  <w:docVars>
    <w:docVar w:name="LW_DocType" w:val="NORMAL"/>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B398758"/>
  <w15:chartTrackingRefBased/>
  <w15:docId w15:val="{5B803F04-36BB-4683-AC30-311BA2B0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2E1"/>
    <w:rPr>
      <w:rFonts w:eastAsiaTheme="majorEastAsia" w:cstheme="majorBidi"/>
      <w:color w:val="272727" w:themeColor="text1" w:themeTint="D8"/>
    </w:rPr>
  </w:style>
  <w:style w:type="paragraph" w:styleId="Title">
    <w:name w:val="Title"/>
    <w:basedOn w:val="Normal"/>
    <w:next w:val="Normal"/>
    <w:link w:val="TitleChar"/>
    <w:uiPriority w:val="10"/>
    <w:qFormat/>
    <w:rsid w:val="005F6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2E1"/>
    <w:pPr>
      <w:spacing w:before="160"/>
      <w:jc w:val="center"/>
    </w:pPr>
    <w:rPr>
      <w:i/>
      <w:iCs/>
      <w:color w:val="404040" w:themeColor="text1" w:themeTint="BF"/>
    </w:rPr>
  </w:style>
  <w:style w:type="character" w:customStyle="1" w:styleId="QuoteChar">
    <w:name w:val="Quote Char"/>
    <w:basedOn w:val="DefaultParagraphFont"/>
    <w:link w:val="Quote"/>
    <w:uiPriority w:val="29"/>
    <w:rsid w:val="005F62E1"/>
    <w:rPr>
      <w:i/>
      <w:iCs/>
      <w:color w:val="404040" w:themeColor="text1" w:themeTint="BF"/>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2"/>
    <w:basedOn w:val="Normal"/>
    <w:link w:val="ListParagraphChar"/>
    <w:uiPriority w:val="34"/>
    <w:qFormat/>
    <w:rsid w:val="005F62E1"/>
    <w:pPr>
      <w:ind w:left="720"/>
      <w:contextualSpacing/>
    </w:pPr>
  </w:style>
  <w:style w:type="character" w:styleId="IntenseEmphasis">
    <w:name w:val="Intense Emphasis"/>
    <w:basedOn w:val="DefaultParagraphFont"/>
    <w:uiPriority w:val="21"/>
    <w:qFormat/>
    <w:rsid w:val="005F62E1"/>
    <w:rPr>
      <w:i/>
      <w:iCs/>
      <w:color w:val="0F4761" w:themeColor="accent1" w:themeShade="BF"/>
    </w:rPr>
  </w:style>
  <w:style w:type="paragraph" w:styleId="IntenseQuote">
    <w:name w:val="Intense Quote"/>
    <w:basedOn w:val="Normal"/>
    <w:next w:val="Normal"/>
    <w:link w:val="IntenseQuoteChar"/>
    <w:uiPriority w:val="30"/>
    <w:qFormat/>
    <w:rsid w:val="005F6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2E1"/>
    <w:rPr>
      <w:i/>
      <w:iCs/>
      <w:color w:val="0F4761" w:themeColor="accent1" w:themeShade="BF"/>
    </w:rPr>
  </w:style>
  <w:style w:type="character" w:styleId="IntenseReference">
    <w:name w:val="Intense Reference"/>
    <w:basedOn w:val="DefaultParagraphFont"/>
    <w:uiPriority w:val="32"/>
    <w:qFormat/>
    <w:rsid w:val="005F62E1"/>
    <w:rPr>
      <w:b/>
      <w:bCs/>
      <w:smallCaps/>
      <w:color w:val="0F4761" w:themeColor="accent1" w:themeShade="BF"/>
      <w:spacing w:val="5"/>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2 Char"/>
    <w:link w:val="ListParagraph"/>
    <w:uiPriority w:val="34"/>
    <w:qFormat/>
    <w:locked/>
    <w:rsid w:val="005F62E1"/>
  </w:style>
  <w:style w:type="paragraph" w:styleId="Revision">
    <w:name w:val="Revision"/>
    <w:hidden/>
    <w:uiPriority w:val="99"/>
    <w:semiHidden/>
    <w:rsid w:val="00675DFB"/>
    <w:pPr>
      <w:spacing w:after="0" w:line="240" w:lineRule="auto"/>
    </w:pPr>
  </w:style>
  <w:style w:type="character" w:styleId="CommentReference">
    <w:name w:val="annotation reference"/>
    <w:basedOn w:val="DefaultParagraphFont"/>
    <w:uiPriority w:val="99"/>
    <w:semiHidden/>
    <w:unhideWhenUsed/>
    <w:rsid w:val="00786FD6"/>
    <w:rPr>
      <w:sz w:val="16"/>
      <w:szCs w:val="16"/>
    </w:rPr>
  </w:style>
  <w:style w:type="paragraph" w:styleId="CommentText">
    <w:name w:val="annotation text"/>
    <w:basedOn w:val="Normal"/>
    <w:link w:val="CommentTextChar"/>
    <w:uiPriority w:val="99"/>
    <w:unhideWhenUsed/>
    <w:rsid w:val="00786FD6"/>
    <w:pPr>
      <w:spacing w:line="240" w:lineRule="auto"/>
    </w:pPr>
    <w:rPr>
      <w:sz w:val="20"/>
      <w:szCs w:val="20"/>
    </w:rPr>
  </w:style>
  <w:style w:type="character" w:customStyle="1" w:styleId="CommentTextChar">
    <w:name w:val="Comment Text Char"/>
    <w:basedOn w:val="DefaultParagraphFont"/>
    <w:link w:val="CommentText"/>
    <w:uiPriority w:val="99"/>
    <w:rsid w:val="00786FD6"/>
    <w:rPr>
      <w:sz w:val="20"/>
      <w:szCs w:val="20"/>
    </w:rPr>
  </w:style>
  <w:style w:type="paragraph" w:styleId="CommentSubject">
    <w:name w:val="annotation subject"/>
    <w:basedOn w:val="CommentText"/>
    <w:next w:val="CommentText"/>
    <w:link w:val="CommentSubjectChar"/>
    <w:uiPriority w:val="99"/>
    <w:semiHidden/>
    <w:unhideWhenUsed/>
    <w:rsid w:val="00786FD6"/>
    <w:rPr>
      <w:b/>
      <w:bCs/>
    </w:rPr>
  </w:style>
  <w:style w:type="character" w:customStyle="1" w:styleId="CommentSubjectChar">
    <w:name w:val="Comment Subject Char"/>
    <w:basedOn w:val="CommentTextChar"/>
    <w:link w:val="CommentSubject"/>
    <w:uiPriority w:val="99"/>
    <w:semiHidden/>
    <w:rsid w:val="00786FD6"/>
    <w:rPr>
      <w:b/>
      <w:bCs/>
      <w:sz w:val="20"/>
      <w:szCs w:val="20"/>
    </w:rPr>
  </w:style>
  <w:style w:type="paragraph" w:styleId="Header">
    <w:name w:val="header"/>
    <w:basedOn w:val="Normal"/>
    <w:link w:val="HeaderChar"/>
    <w:uiPriority w:val="99"/>
    <w:unhideWhenUsed/>
    <w:rsid w:val="006058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819"/>
  </w:style>
  <w:style w:type="paragraph" w:styleId="Footer">
    <w:name w:val="footer"/>
    <w:basedOn w:val="Normal"/>
    <w:link w:val="FooterChar"/>
    <w:uiPriority w:val="99"/>
    <w:unhideWhenUsed/>
    <w:rsid w:val="006058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819"/>
  </w:style>
  <w:style w:type="character" w:styleId="Mention">
    <w:name w:val="Mention"/>
    <w:basedOn w:val="DefaultParagraphFont"/>
    <w:uiPriority w:val="99"/>
    <w:unhideWhenUsed/>
    <w:rsid w:val="00B144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1FC77-8D7E-4EC2-9963-B9B12BAE6A75}">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7018D838-632C-460A-87B9-CCEAE495E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A0FDF0-BBE7-4D08-826D-806E1E23EE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4050</Words>
  <Characters>24383</Characters>
  <Application>Microsoft Office Word</Application>
  <DocSecurity>0</DocSecurity>
  <Lines>363</Lines>
  <Paragraphs>71</Paragraphs>
  <ScaleCrop>false</ScaleCrop>
  <Company/>
  <LinksUpToDate>false</LinksUpToDate>
  <CharactersWithSpaces>28362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cp:lastPrinted>2026-05-27T16:45:00Z</cp:lastPrinted>
  <dcterms:created xsi:type="dcterms:W3CDTF">2026-08-04T06:22:00Z</dcterms:created>
  <dcterms:modified xsi:type="dcterms:W3CDTF">2026-08-04T06:22:00Z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0x010100271BB73A879EDE41AFDC9232B9EB1EA9</vt:lpwstr>
  </property>
  <property fmtid="{D5CDD505-2E9C-101B-9397-08002B2CF9AE}" pid="3" name="EC_TX_All_World_Countries">
    <vt:lpwstr/>
  </property>
  <property fmtid="{D5CDD505-2E9C-101B-9397-08002B2CF9AE}" pid="4" name="EC_TX_Corporate Body">
    <vt:lpwstr/>
  </property>
  <property fmtid="{D5CDD505-2E9C-101B-9397-08002B2CF9AE}" pid="5" name="EC_TX_Corporate_x0020_Body">
    <vt:lpwstr/>
  </property>
  <property fmtid="{D5CDD505-2E9C-101B-9397-08002B2CF9AE}" pid="6" name="EC_TX_EU_Member_State">
    <vt:lpwstr/>
  </property>
  <property fmtid="{D5CDD505-2E9C-101B-9397-08002B2CF9AE}" pid="7" name="EC_TX_EU_Political_Leader">
    <vt:lpwstr/>
  </property>
  <property fmtid="{D5CDD505-2E9C-101B-9397-08002B2CF9AE}" pid="8" name="EC_TX_Resource_Type">
    <vt:lpwstr/>
  </property>
  <property fmtid="{D5CDD505-2E9C-101B-9397-08002B2CF9AE}" pid="9" name="EC_TX_Strategic_Priority">
    <vt:lpwstr/>
  </property>
  <property fmtid="{D5CDD505-2E9C-101B-9397-08002B2CF9AE}" pid="10" name="eff2cf69f10b4279bbb27215ca009b37">
    <vt:lpwstr/>
  </property>
  <property fmtid="{D5CDD505-2E9C-101B-9397-08002B2CF9AE}" pid="11" name="g81cb4d17be94922847ce418ea81f55a">
    <vt:lpwstr/>
  </property>
  <property fmtid="{D5CDD505-2E9C-101B-9397-08002B2CF9AE}" pid="12" name="i8c8ab8b63424c5d9f8c4a8434abf670">
    <vt:lpwstr/>
  </property>
  <property fmtid="{D5CDD505-2E9C-101B-9397-08002B2CF9AE}" pid="13" name="j8309f8bc3e645d1a2f07391f8e5795a">
    <vt:lpwstr/>
  </property>
  <property fmtid="{D5CDD505-2E9C-101B-9397-08002B2CF9AE}" pid="14" name="k2c54712f93b47eb83e1835ba301b6c6">
    <vt:lpwstr/>
  </property>
  <property fmtid="{D5CDD505-2E9C-101B-9397-08002B2CF9AE}" pid="15" name="MediaServiceImageTags">
    <vt:lpwstr/>
  </property>
  <property fmtid="{D5CDD505-2E9C-101B-9397-08002B2CF9AE}" pid="16" name="MSIP_Label_6bd9ddd1-4d20-43f6-abfa-fc3c07406f94_ActionId">
    <vt:lpwstr>57fcf407-2e04-4a51-82c8-3ae6910b2589</vt:lpwstr>
  </property>
  <property fmtid="{D5CDD505-2E9C-101B-9397-08002B2CF9AE}" pid="17" name="MSIP_Label_6bd9ddd1-4d20-43f6-abfa-fc3c07406f94_ContentBits">
    <vt:lpwstr>0</vt:lpwstr>
  </property>
  <property fmtid="{D5CDD505-2E9C-101B-9397-08002B2CF9AE}" pid="18" name="MSIP_Label_6bd9ddd1-4d20-43f6-abfa-fc3c07406f94_Enabled">
    <vt:lpwstr>true</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etDate">
    <vt:lpwstr>2026-01-06T12:36:13Z</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Tag">
    <vt:lpwstr>10, 3, 0, 1</vt:lpwstr>
  </property>
  <property fmtid="{D5CDD505-2E9C-101B-9397-08002B2CF9AE}" pid="24" name="p26229aee9004b9f888149fd0449ec68">
    <vt:lpwstr/>
  </property>
  <property fmtid="{D5CDD505-2E9C-101B-9397-08002B2CF9AE}" pid="25" name="TaxCatchAll">
    <vt:lpwstr/>
  </property>
</Properties>
</file>