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p w:rsidR="005F62E1" w:rsidRPr="001D13C7" w:rsidP="38E719A3" w14:paraId="66A37F55" w14:textId="244A4F9F">
      <w:pPr>
        <w:spacing w:before="240" w:after="0" w:line="240" w:lineRule="auto"/>
        <w:jc w:val="center"/>
      </w:pPr>
      <w:r>
        <w:rPr>
          <w:rFonts w:ascii="Times New Roman" w:hAnsi="Times New Roman"/>
          <w:b/>
        </w:rPr>
        <w:t xml:space="preserve">Suite donnée à la résolution non législative du Parlement européen sur </w:t>
      </w:r>
      <w:r>
        <w:t xml:space="preserve"> </w:t>
      </w:r>
      <w:r>
        <w:br/>
      </w:r>
      <w:r>
        <w:rPr>
          <w:rFonts w:ascii="Times New Roman" w:hAnsi="Times New Roman"/>
          <w:b/>
        </w:rPr>
        <w:t>l’Union bancaire – rapport annuel 2025</w:t>
      </w:r>
      <w:r>
        <w:t xml:space="preserve"> </w:t>
      </w:r>
      <w:r>
        <w:br/>
      </w:r>
    </w:p>
    <w:p w:rsidR="3FED2598" w:rsidRPr="001D13C7" w:rsidP="38E719A3" w14:paraId="0B464EE3" w14:textId="7DC31EAA">
      <w:pPr>
        <w:numPr>
          <w:ilvl w:val="0"/>
          <w:numId w:val="11"/>
        </w:numPr>
        <w:spacing w:before="240" w:after="0" w:line="240" w:lineRule="auto"/>
        <w:ind w:left="284" w:hanging="357"/>
        <w:jc w:val="both"/>
        <w:rPr>
          <w:rFonts w:ascii="Times New Roman" w:hAnsi="Times New Roman"/>
        </w:rPr>
      </w:pPr>
      <w:r>
        <w:rPr>
          <w:rFonts w:ascii="Times New Roman" w:hAnsi="Times New Roman"/>
          <w:b/>
        </w:rPr>
        <w:t xml:space="preserve">Rapporteur[e]: </w:t>
      </w:r>
      <w:r>
        <w:rPr>
          <w:rFonts w:ascii="Times New Roman" w:hAnsi="Times New Roman"/>
        </w:rPr>
        <w:t>Evelyn REGNER (S&amp;D/AT)</w:t>
      </w:r>
    </w:p>
    <w:p w:rsidR="005F62E1" w:rsidRPr="00D236D3" w:rsidP="087C75D6" w14:paraId="2958D48B" w14:textId="5E0DCE03">
      <w:pPr>
        <w:numPr>
          <w:ilvl w:val="0"/>
          <w:numId w:val="11"/>
        </w:numPr>
        <w:spacing w:before="240" w:after="0" w:line="240" w:lineRule="auto"/>
        <w:ind w:left="284" w:hanging="357"/>
        <w:jc w:val="both"/>
        <w:rPr>
          <w:rFonts w:ascii="Times New Roman" w:hAnsi="Times New Roman"/>
        </w:rPr>
      </w:pPr>
      <w:r>
        <w:rPr>
          <w:rFonts w:ascii="Times New Roman" w:hAnsi="Times New Roman"/>
          <w:b/>
        </w:rPr>
        <w:t>Références</w:t>
      </w:r>
      <w:r>
        <w:rPr>
          <w:rFonts w:ascii="Times New Roman" w:hAnsi="Times New Roman"/>
        </w:rPr>
        <w:t>: 2025/2136(INI) / A10-0079/2026 / P10_TA(2026)0159</w:t>
      </w:r>
    </w:p>
    <w:p w:rsidR="005F62E1" w:rsidRPr="001D13C7" w:rsidP="087C75D6" w14:paraId="4FDEAB37" w14:textId="3D28A834">
      <w:pPr>
        <w:numPr>
          <w:ilvl w:val="0"/>
          <w:numId w:val="11"/>
        </w:numPr>
        <w:spacing w:before="240" w:after="0" w:line="240" w:lineRule="auto"/>
        <w:ind w:left="284" w:hanging="357"/>
        <w:jc w:val="both"/>
        <w:rPr>
          <w:rFonts w:ascii="Times New Roman" w:hAnsi="Times New Roman"/>
        </w:rPr>
      </w:pPr>
      <w:r>
        <w:rPr>
          <w:rFonts w:ascii="Times New Roman" w:hAnsi="Times New Roman"/>
          <w:b/>
        </w:rPr>
        <w:t>Date d’adoption de la résolution:</w:t>
      </w:r>
      <w:r>
        <w:rPr>
          <w:rFonts w:ascii="Times New Roman" w:hAnsi="Times New Roman"/>
        </w:rPr>
        <w:t xml:space="preserve"> 30 avril 2026</w:t>
      </w:r>
    </w:p>
    <w:p w:rsidR="005F62E1" w:rsidRPr="001D13C7" w:rsidP="087C75D6" w14:paraId="15D2030E" w14:textId="77777777">
      <w:pPr>
        <w:numPr>
          <w:ilvl w:val="0"/>
          <w:numId w:val="11"/>
        </w:numPr>
        <w:spacing w:before="240" w:after="0" w:line="240" w:lineRule="auto"/>
        <w:ind w:left="284" w:hanging="357"/>
        <w:jc w:val="both"/>
        <w:rPr>
          <w:rFonts w:ascii="Times New Roman" w:hAnsi="Times New Roman"/>
        </w:rPr>
      </w:pPr>
      <w:r>
        <w:rPr>
          <w:rFonts w:ascii="Times New Roman" w:hAnsi="Times New Roman"/>
          <w:b/>
        </w:rPr>
        <w:t xml:space="preserve">Commission parlementaire compétente: </w:t>
      </w:r>
      <w:r>
        <w:rPr>
          <w:rFonts w:ascii="Times New Roman" w:hAnsi="Times New Roman"/>
        </w:rPr>
        <w:t>commission des affaires économiques et monétaires (ECON)</w:t>
      </w:r>
    </w:p>
    <w:p w:rsidR="005F62E1" w:rsidRPr="001D13C7" w:rsidP="087C75D6" w14:paraId="440C0F78" w14:textId="688497AA">
      <w:pPr>
        <w:numPr>
          <w:ilvl w:val="0"/>
          <w:numId w:val="11"/>
        </w:numPr>
        <w:spacing w:before="240" w:after="0" w:line="240" w:lineRule="auto"/>
        <w:ind w:left="284" w:hanging="357"/>
        <w:jc w:val="both"/>
        <w:rPr>
          <w:rFonts w:ascii="Times New Roman" w:hAnsi="Times New Roman"/>
        </w:rPr>
      </w:pPr>
      <w:r>
        <w:rPr>
          <w:rFonts w:ascii="Times New Roman" w:hAnsi="Times New Roman"/>
          <w:b/>
        </w:rPr>
        <w:t>Analyse/évaluation succincte de la résolution et des demandes qu’elle contient:</w:t>
      </w:r>
    </w:p>
    <w:p w:rsidR="621C8D7B" w:rsidRPr="001D13C7" w:rsidP="087C75D6" w14:paraId="57ECF6EF" w14:textId="14F6927D">
      <w:pPr>
        <w:spacing w:after="0" w:line="240" w:lineRule="auto"/>
        <w:ind w:left="720"/>
        <w:jc w:val="both"/>
        <w:rPr>
          <w:rFonts w:ascii="Times New Roman" w:hAnsi="Times New Roman"/>
        </w:rPr>
      </w:pPr>
    </w:p>
    <w:p w:rsidR="3184D739" w:rsidRPr="001D13C7" w:rsidP="38E719A3" w14:paraId="71B96EA8" w14:textId="644792E7">
      <w:pPr>
        <w:spacing w:after="0" w:line="240" w:lineRule="auto"/>
        <w:jc w:val="both"/>
        <w:rPr>
          <w:rFonts w:ascii="Times New Roman" w:hAnsi="Times New Roman"/>
          <w:color w:val="000000" w:themeColor="text1"/>
        </w:rPr>
      </w:pPr>
      <w:r>
        <w:rPr>
          <w:rFonts w:ascii="Times New Roman" w:hAnsi="Times New Roman"/>
          <w:color w:val="000000" w:themeColor="text1"/>
        </w:rPr>
        <w:t>La résolution appelle à parachever rapidement l’union bancaire, notamment en poursuivant les travaux visant à mettre en place son troisième pilier, le système européen d’assurance des dépôts (SEAD), et en adoptant des mesures destinées à approfondir l’intégration des marchés et à faciliter la circulation efficace des capitaux et des liquidités au sein des groupes bancaires.</w:t>
      </w:r>
    </w:p>
    <w:p w:rsidR="0083167E" w:rsidRPr="001D13C7" w:rsidP="38E719A3" w14:paraId="29472625" w14:textId="77777777">
      <w:pPr>
        <w:spacing w:after="0" w:line="240" w:lineRule="auto"/>
        <w:jc w:val="both"/>
        <w:rPr>
          <w:rFonts w:ascii="Times New Roman" w:hAnsi="Times New Roman"/>
          <w:color w:val="000000" w:themeColor="text1"/>
        </w:rPr>
      </w:pPr>
    </w:p>
    <w:p w:rsidR="00115453" w:rsidRPr="001D13C7" w:rsidP="00115453" w14:paraId="7D190922" w14:textId="447AE8ED">
      <w:pPr>
        <w:spacing w:after="0" w:line="240" w:lineRule="auto"/>
        <w:jc w:val="both"/>
        <w:rPr>
          <w:rFonts w:ascii="Times New Roman" w:hAnsi="Times New Roman"/>
        </w:rPr>
      </w:pPr>
      <w:r>
        <w:rPr>
          <w:rFonts w:ascii="Times New Roman" w:hAnsi="Times New Roman"/>
        </w:rPr>
        <w:t>Dans la section 1 «Considérations générales», le Parlement européen se félicite des progrès significatifs accomplis grâce au mécanisme de surveillance unique (MSU) et au mécanisme de résolution unique (MRU), tout en considérant que l’union bancaire reste incomplète en l’absence de SEAD. Il pointe aussi les obstacles à la prestation transfrontière de services de banque de détail qui subsistent encore et demande à la Commission de proposer, dans son rapport de 2026 sur la compétitivité du secteur bancaire de l’Union, des mesures concrètes visant à accroître la compétitivité des banques de l’Union tout en préservant leur rôle essentiel dans le financement des investissements nécessaires à la réalisation des transitions écologique et numérique de l’Union.</w:t>
      </w:r>
    </w:p>
    <w:p w:rsidR="00102AE8" w:rsidRPr="001D13C7" w:rsidP="38E719A3" w14:paraId="5622664E" w14:textId="77777777">
      <w:pPr>
        <w:spacing w:after="0" w:line="240" w:lineRule="auto"/>
        <w:jc w:val="both"/>
        <w:rPr>
          <w:rFonts w:ascii="Times New Roman" w:hAnsi="Times New Roman"/>
        </w:rPr>
      </w:pPr>
    </w:p>
    <w:p w:rsidR="00836F89" w:rsidRPr="001D13C7" w:rsidP="38E719A3" w14:paraId="61D66782" w14:textId="7BF4B24F">
      <w:pPr>
        <w:spacing w:after="0" w:line="240" w:lineRule="auto"/>
        <w:jc w:val="both"/>
        <w:rPr>
          <w:rFonts w:ascii="Times New Roman" w:hAnsi="Times New Roman"/>
        </w:rPr>
      </w:pPr>
      <w:r>
        <w:rPr>
          <w:rFonts w:ascii="Times New Roman" w:hAnsi="Times New Roman"/>
        </w:rPr>
        <w:t>Dans la section 2 «Surveillance», le Parlement européen salue la finalisation et la mise en œuvre du dispositif de Bâle III dans l’Union et reconnaît la solide position des banques de l’Union en matière de fonds propres et de liquidité. Il appelle à améliorer la résilience et la surveillance des intermédiaires financiers non bancaires (IFNB) et à suivre étroitement les risques spécifiques associés aux crypto-actifs, et notamment aux cryptomonnaies stables libellées en euros.</w:t>
      </w:r>
    </w:p>
    <w:p w:rsidR="0083167E" w:rsidRPr="001D13C7" w:rsidP="38E719A3" w14:paraId="4AD04AD1" w14:textId="77777777">
      <w:pPr>
        <w:spacing w:after="0" w:line="240" w:lineRule="auto"/>
        <w:jc w:val="both"/>
        <w:rPr>
          <w:rFonts w:ascii="Times New Roman" w:hAnsi="Times New Roman"/>
          <w:color w:val="000000" w:themeColor="text1"/>
        </w:rPr>
      </w:pPr>
    </w:p>
    <w:p w:rsidR="00DF5D86" w:rsidRPr="0074739B" w:rsidP="38E719A3" w14:paraId="5358440B" w14:textId="45F57336">
      <w:pPr>
        <w:spacing w:after="0" w:line="240" w:lineRule="auto"/>
        <w:jc w:val="both"/>
        <w:rPr>
          <w:rFonts w:ascii="Times New Roman" w:hAnsi="Times New Roman"/>
        </w:rPr>
      </w:pPr>
      <w:r>
        <w:rPr>
          <w:rFonts w:ascii="Times New Roman" w:hAnsi="Times New Roman"/>
        </w:rPr>
        <w:t>Dans la section 3 «Résolution» et la section 4 «Assurance des dépôts», le Parlement européen salue la réforme du cadre pour la gestion des crises bancaires et la garantie des dépôts (CMDI) comme permettant une gestion cohérente des crises, en offrant une certaine souplesse pour les banques de petite et moyenne taille et en dotant les autorités d’outils efficaces. Il réaffirme également que l’union bancaire reste incomplète sans SEAD et invite instamment le Conseil et le nouveau président de l’Eurogroupe à faire avancer les négociations à ce sujet.</w:t>
      </w:r>
    </w:p>
    <w:p w:rsidR="005F62E1" w:rsidRPr="001D13C7" w:rsidP="00D236D3" w14:paraId="7BB9050A" w14:textId="0C655011">
      <w:pPr>
        <w:numPr>
          <w:ilvl w:val="0"/>
          <w:numId w:val="11"/>
        </w:numPr>
        <w:spacing w:before="240" w:after="0" w:line="240" w:lineRule="auto"/>
        <w:ind w:left="284" w:hanging="357"/>
        <w:jc w:val="both"/>
        <w:rPr>
          <w:rFonts w:ascii="Times New Roman" w:hAnsi="Times New Roman"/>
          <w:b/>
        </w:rPr>
      </w:pPr>
      <w:r>
        <w:rPr>
          <w:rFonts w:ascii="Times New Roman" w:hAnsi="Times New Roman"/>
          <w:b/>
        </w:rPr>
        <w:t>Réponse à ces demandes et aperçu des mesures que la Commission a prises ou envisage de prendre:</w:t>
      </w:r>
    </w:p>
    <w:p w:rsidR="005F62E1" w:rsidRPr="001D13C7" w:rsidP="38E719A3" w14:paraId="336E358F" w14:textId="77777777">
      <w:pPr>
        <w:spacing w:line="240" w:lineRule="auto"/>
        <w:jc w:val="both"/>
        <w:rPr>
          <w:rFonts w:ascii="Times New Roman" w:hAnsi="Times New Roman"/>
          <w:b/>
        </w:rPr>
      </w:pPr>
    </w:p>
    <w:p w:rsidR="00454B0A" w:rsidRPr="001D13C7" w:rsidP="087C75D6" w14:paraId="34B6D5F0" w14:textId="7AD70A35">
      <w:pPr>
        <w:spacing w:after="0" w:line="240" w:lineRule="auto"/>
        <w:jc w:val="both"/>
        <w:rPr>
          <w:rFonts w:ascii="Times New Roman" w:hAnsi="Times New Roman"/>
          <w:b/>
          <w:i/>
        </w:rPr>
      </w:pPr>
      <w:r>
        <w:rPr>
          <w:rFonts w:ascii="Times New Roman" w:hAnsi="Times New Roman"/>
          <w:b/>
          <w:i/>
        </w:rPr>
        <w:t>Considérations générales</w:t>
      </w:r>
    </w:p>
    <w:p w:rsidR="0083167E" w:rsidRPr="001D13C7" w:rsidP="0083167E" w14:paraId="379529BF" w14:textId="77777777">
      <w:pPr>
        <w:spacing w:after="0" w:line="240" w:lineRule="auto"/>
        <w:jc w:val="both"/>
        <w:rPr>
          <w:rFonts w:ascii="Times New Roman" w:hAnsi="Times New Roman"/>
        </w:rPr>
      </w:pPr>
    </w:p>
    <w:p w:rsidR="0083167E" w:rsidRPr="001D13C7" w:rsidP="0083167E" w14:paraId="706F5635" w14:textId="705BB89A">
      <w:pPr>
        <w:spacing w:after="0" w:line="240" w:lineRule="auto"/>
        <w:jc w:val="both"/>
        <w:rPr>
          <w:rFonts w:ascii="Times New Roman" w:hAnsi="Times New Roman"/>
        </w:rPr>
      </w:pPr>
      <w:r>
        <w:rPr>
          <w:rFonts w:ascii="Times New Roman" w:hAnsi="Times New Roman"/>
          <w:b/>
        </w:rPr>
        <w:t>Au paragraphe 1, le Parlement européen se félicite des progrès significatifs accomplis grâce au MSU et au MRU, mais considère que l’union bancaire reste incomplète en l’absence de SEAD</w:t>
      </w:r>
      <w:r>
        <w:rPr>
          <w:rFonts w:ascii="Times New Roman" w:hAnsi="Times New Roman"/>
        </w:rPr>
        <w:t>. Le rapport appelle à parachever rapidement l’union bancaire, notamment par des mesures destinées à faciliter la libre circulation des capitaux et des liquidités au sein des groupes bancaires transfrontières et à approfondir encore l’intégration des marchés. Le rapport souligne en outre que l’union bancaire devrait contribuer à l’inclusion, à la compétitivité, à la durabilité et aux transitions écologique et numérique, et que l’achèvement de l’union des marchés des capitaux parallèlement au développement de l’union bancaire contribuera à créer des conditions plus favorables au financement de l’économie européenne.</w:t>
      </w:r>
    </w:p>
    <w:p w:rsidR="084196AE" w:rsidRPr="001D13C7" w:rsidP="087C75D6" w14:paraId="22148076" w14:textId="62583AE3">
      <w:pPr>
        <w:spacing w:after="0" w:line="240" w:lineRule="auto"/>
        <w:jc w:val="both"/>
        <w:rPr>
          <w:rFonts w:ascii="Times New Roman" w:hAnsi="Times New Roman"/>
        </w:rPr>
      </w:pPr>
    </w:p>
    <w:p w:rsidR="0083167E" w:rsidRPr="001D13C7" w:rsidP="00307C46" w14:paraId="1665B900" w14:textId="65817B4A">
      <w:pPr>
        <w:spacing w:line="240" w:lineRule="auto"/>
        <w:jc w:val="both"/>
        <w:rPr>
          <w:rFonts w:ascii="Times New Roman" w:hAnsi="Times New Roman"/>
        </w:rPr>
      </w:pPr>
      <w:r>
        <w:rPr>
          <w:rFonts w:ascii="Times New Roman" w:hAnsi="Times New Roman"/>
        </w:rPr>
        <w:t>La Commission partage l’objectif d’achever l’union bancaire. Elle considère toujours qu’il s’agit d’une priorité stratégique pour renforcer la résilience, l’intégration et la compétitivité du système financier de l’UE. Comme annoncé dans sa communication sur l’union de l’épargne et des investissements (UEI), la Commission reste déterminée à trouver une solution pour la mise en place d’un mécanisme commun d’assurance des dépôts et à lever les obstacles à l’activité bancaire transfrontière qui subsistent, y compris les obstacles à la circulation efficace des capitaux et des liquidités au sein des groupes transfrontières. La Commission convient également que l’union bancaire devrait favoriser un écosystème bancaire diversifié, intégré et compétitif, capable de se développer à plus grande échelle et d’affronter efficacement la concurrence mondiale, tout en continuant à soutenir les ménages, les PME et les économies locales et à financer les transitions écologique et numérique et tout en préservant la stabilité financière. Ces dimensions sont aussi prises en considération dans le nouveau rapport de la Commission sur la compétitivité du secteur bancaire de l’UE, prévu pour juillet 2026. Les travaux de la Commission dans ce domaine s’inscrivent dans le cadre de la mise en œuvre globale de la stratégie relative à l’UEI de mars 2025, dans laquelle les dimensions «secteur bancaire» et «marchés des capitaux» sont complémentaires. Dans ce contexte, la Commission convient que la poursuite de l’intégration et du développement des marchés des capitaux parallèlement au développement de l’union bancaire contribuera à améliorer encore l’accès aux financements au sein de l’économie européenne.</w:t>
      </w:r>
    </w:p>
    <w:p w:rsidR="00C6543F" w:rsidRPr="001D13C7" w:rsidP="00C6543F" w14:paraId="67C02007" w14:textId="2C60B347">
      <w:pPr>
        <w:spacing w:after="0" w:line="240" w:lineRule="auto"/>
        <w:jc w:val="both"/>
        <w:rPr>
          <w:rFonts w:ascii="Times New Roman" w:hAnsi="Times New Roman"/>
        </w:rPr>
      </w:pPr>
      <w:r>
        <w:rPr>
          <w:rFonts w:ascii="Times New Roman" w:hAnsi="Times New Roman"/>
          <w:b/>
          <w:bCs/>
        </w:rPr>
        <w:t>Au paragraphe 4, le Parlement européen souligne le rôle du secteur bancaire dans le financement de la double transition et les efforts de simplification déployés pour le cadre de l’Union en matière de finance durable</w:t>
      </w:r>
      <w:r>
        <w:rPr>
          <w:rFonts w:ascii="Times New Roman" w:hAnsi="Times New Roman"/>
        </w:rPr>
        <w:t>.</w:t>
      </w:r>
    </w:p>
    <w:p w:rsidR="00C6543F" w:rsidRPr="001D13C7" w:rsidP="00C6543F" w14:paraId="50998C13" w14:textId="77777777">
      <w:pPr>
        <w:spacing w:after="0" w:line="240" w:lineRule="auto"/>
        <w:jc w:val="both"/>
        <w:rPr>
          <w:rFonts w:ascii="Times New Roman" w:hAnsi="Times New Roman"/>
          <w:b/>
        </w:rPr>
      </w:pPr>
    </w:p>
    <w:p w:rsidR="00C6543F" w:rsidRPr="001D13C7" w:rsidP="00C6543F" w14:paraId="2D9FA572" w14:textId="0E6AF27F">
      <w:pPr>
        <w:spacing w:line="240" w:lineRule="auto"/>
        <w:jc w:val="both"/>
        <w:rPr>
          <w:rFonts w:ascii="Times New Roman" w:hAnsi="Times New Roman"/>
        </w:rPr>
      </w:pPr>
      <w:r>
        <w:rPr>
          <w:rFonts w:ascii="Times New Roman" w:hAnsi="Times New Roman"/>
        </w:rPr>
        <w:t>La Commission reconnaît que le secteur financier, et en particulier les banques, joue un rôle crucial dans le financement de la transition vers une économie neutre pour le climat. Afin d’orienter les investissements vers des activités durables, l’UE a élaboré son cadre en matière de finance durable, dont la taxinomie, la directive sur la publication d’informations en matière de durabilité par les entreprises (CSRD) et le règlement sur la publication d’informations en matière de durabilité dans le secteur des services financiers (SFDR).</w:t>
      </w:r>
    </w:p>
    <w:p w:rsidR="00461990" w:rsidRPr="001D13C7" w:rsidP="00307C46" w14:paraId="668655F6" w14:textId="1849AC2D">
      <w:pPr>
        <w:spacing w:line="240" w:lineRule="auto"/>
        <w:jc w:val="both"/>
        <w:rPr>
          <w:rFonts w:ascii="Times New Roman" w:hAnsi="Times New Roman"/>
        </w:rPr>
      </w:pPr>
      <w:r>
        <w:rPr>
          <w:rFonts w:ascii="Times New Roman" w:hAnsi="Times New Roman"/>
        </w:rPr>
        <w:t>La Commission souligne que le principal objectif de la simplification est de stimuler les investissements privés dans des activités durables en supprimant les obstacles et la complexité inutiles. Le train de mesures Omnibus I sur la publication d’informations en matière de durabilité, entré en vigueur le 18 mars 2026, rationalise les obligations de transparence et adapte leur champ d’application, tout en respectant les objectifs initiaux du cadre.</w:t>
      </w:r>
    </w:p>
    <w:p w:rsidR="00C6543F" w:rsidRPr="001D13C7" w:rsidP="00307C46" w14:paraId="2F973AED" w14:textId="3655F295">
      <w:pPr>
        <w:spacing w:line="240" w:lineRule="auto"/>
        <w:jc w:val="both"/>
        <w:rPr>
          <w:rFonts w:ascii="Times New Roman" w:hAnsi="Times New Roman"/>
        </w:rPr>
      </w:pPr>
      <w:r>
        <w:rPr>
          <w:rFonts w:ascii="Times New Roman" w:hAnsi="Times New Roman"/>
        </w:rPr>
        <w:t xml:space="preserve">L’objectif de cette approche de la publication d’informations est d’atteindre les objectifs de durabilité, mais selon un système proportionné, qui limite la répercussion en cascade des charges de publication sur les entreprises de plus petite taille, notamment les PME. Les grandes </w:t>
      </w:r>
      <w:r>
        <w:rPr>
          <w:rFonts w:ascii="Times New Roman" w:hAnsi="Times New Roman"/>
        </w:rPr>
        <w:t>entreprises, dont l’impact environnemental combiné demeure le plus important, resteront soumises à des exigences strictes en matière de transparence.</w:t>
      </w:r>
    </w:p>
    <w:p w:rsidR="00C6543F" w:rsidRPr="001D13C7" w:rsidP="00307C46" w14:paraId="7125329E" w14:textId="5D5F087F">
      <w:pPr>
        <w:spacing w:line="240" w:lineRule="auto"/>
        <w:jc w:val="both"/>
        <w:rPr>
          <w:rFonts w:ascii="Times New Roman" w:hAnsi="Times New Roman"/>
        </w:rPr>
      </w:pPr>
      <w:r>
        <w:rPr>
          <w:rFonts w:ascii="Times New Roman" w:hAnsi="Times New Roman"/>
        </w:rPr>
        <w:t>La Commission relève que la sixième directive sur les exigences de fonds propres (CRD VI) s’aligne sur cette approche, en fixant aux banques des exigences claires en matière de gestion et d’atténuation des risques climatiques. En particulier, les banques sont tenues d’élaborer des plans spécifiques pour les risques de transition («plans prudentiels de transition») sur un horizon de moyen à long terme. Début 2025, l’Autorité bancaire européenne (ABE) a publié ses orientations en matière de gestion des risques environnementaux, sociaux et de gouvernance (ESG), qui devraient faciliter le respect des règles.</w:t>
      </w:r>
    </w:p>
    <w:p w:rsidR="00C6543F" w:rsidRPr="001D13C7" w:rsidP="00307C46" w14:paraId="616236B7" w14:textId="2CBC0B91">
      <w:pPr>
        <w:spacing w:line="240" w:lineRule="auto"/>
        <w:jc w:val="both"/>
        <w:rPr>
          <w:rFonts w:ascii="Times New Roman" w:hAnsi="Times New Roman"/>
        </w:rPr>
      </w:pPr>
      <w:r>
        <w:rPr>
          <w:rFonts w:ascii="Times New Roman" w:hAnsi="Times New Roman"/>
        </w:rPr>
        <w:t>Dans le même temps, la Commission veille à la cohérence du cadre en matière de finance durable, en particulier en ce qui concerne les règles de transparence. Elle travaille en étroite collaboration avec l’ABE sur le réexamen en cours des exigences de publication d’informations ESG au titre du pilier 3, en veillant à aligner les exigences prudentielles sur le champ d’application du reporting tel que réduit par la réforme Omnibus tel que réduit par la réforme Omnibus I et les ajustements apportés aux informations à publier en lien avec la taxinomie.</w:t>
      </w:r>
    </w:p>
    <w:p w:rsidR="0083167E" w:rsidRPr="001D13C7" w:rsidP="0083167E" w14:paraId="32B4072F" w14:textId="21D5DB49">
      <w:pPr>
        <w:spacing w:after="0" w:line="240" w:lineRule="auto"/>
        <w:jc w:val="both"/>
        <w:rPr>
          <w:rFonts w:ascii="Times New Roman" w:hAnsi="Times New Roman"/>
        </w:rPr>
      </w:pPr>
      <w:r>
        <w:rPr>
          <w:rFonts w:ascii="Times New Roman" w:hAnsi="Times New Roman"/>
          <w:b/>
        </w:rPr>
        <w:t>Au paragraphe 5, le Parlement européen déplore les obstacles aux services transfrontières de banque de détail qui subsistent encore</w:t>
      </w:r>
      <w:r>
        <w:rPr>
          <w:rFonts w:ascii="Times New Roman" w:hAnsi="Times New Roman"/>
        </w:rPr>
        <w:t>. Le rapport salue les progrès institutionnels et réglementaires qui ont renforcé la résilience des banques de la zone euro, tout en relevant qu’il existe toujours d’importants obstacles à un marché unique des services financiers libérant tout son potentiel. Il invite la Commission, les États membres et les organes de l’UE à prendre des mesures concrètes à la hauteur de leurs ambitions en ce qui concerne l’UEI et le marché unique et il demande à la Commission de proposer des mesures concrètes dans son rapport de 2026 sur la compétitivité du secteur bancaire de l’UE, tout en préservant le rôle des banques dans le financement des transitions écologique et numérique (voir aussi le point 12).</w:t>
      </w:r>
    </w:p>
    <w:p w:rsidR="0083167E" w:rsidRPr="001D13C7" w:rsidP="0083167E" w14:paraId="70ABEA6C" w14:textId="77777777">
      <w:pPr>
        <w:spacing w:after="0" w:line="240" w:lineRule="auto"/>
        <w:jc w:val="both"/>
        <w:rPr>
          <w:rFonts w:ascii="Times New Roman" w:hAnsi="Times New Roman"/>
        </w:rPr>
      </w:pPr>
    </w:p>
    <w:p w:rsidR="0083167E" w:rsidRPr="001D13C7" w:rsidP="003F3B22" w14:paraId="30E51A1F" w14:textId="2225EBD3">
      <w:pPr>
        <w:spacing w:after="0" w:line="240" w:lineRule="auto"/>
        <w:jc w:val="both"/>
        <w:rPr>
          <w:rFonts w:ascii="Times New Roman" w:hAnsi="Times New Roman"/>
          <w:color w:val="000000" w:themeColor="text1"/>
        </w:rPr>
      </w:pPr>
      <w:r>
        <w:rPr>
          <w:rFonts w:ascii="Times New Roman" w:hAnsi="Times New Roman"/>
        </w:rPr>
        <w:t>La Commission reconnaît la persistance de la fragmentation en ce qui concerne l’allocation des fonds propres et des liquidités au sein des groupes, les pratiques de surveillance, le calibrage macroprudentiel et les règles non prudentielles (insolvabilité, fiscalité, protection des consommateurs, offre de produits). Elle relève qu’il n’y a guère eu de concentrations transfrontières malgré le corpus réglementaire unique et le régime de passeport, et que l’activité bancaire transfrontière dans la zone euro n’a pas augmenté sensiblement au cours de la dernière décennie.</w:t>
      </w:r>
      <w:r>
        <w:rPr>
          <w:rFonts w:ascii="Times New Roman" w:hAnsi="Times New Roman"/>
          <w:color w:val="000000" w:themeColor="text1"/>
        </w:rPr>
        <w:t xml:space="preserve"> La Commission convient qu’il est essentiel de pousser plus loin l’intégration transfrontière et de faciliter la prestation transfrontière de services bancaires, pour permettre aux banques de l’UE de passer à l’échelle supérieure et stimuler la concurrence au bénéfice des citoyens et des entreprises; la banque étant une activité où les rendements d’échelle sont de plus en plus importants, atteindre une certaine taille est en effet nécessaire pour être compétitif.</w:t>
      </w:r>
    </w:p>
    <w:p w:rsidR="0083167E" w:rsidRPr="001D13C7" w:rsidP="0083167E" w14:paraId="374BC110" w14:textId="77777777">
      <w:pPr>
        <w:spacing w:after="0" w:line="240" w:lineRule="auto"/>
        <w:jc w:val="both"/>
        <w:rPr>
          <w:rFonts w:ascii="Times New Roman" w:hAnsi="Times New Roman"/>
          <w:color w:val="000000" w:themeColor="text1"/>
        </w:rPr>
      </w:pPr>
    </w:p>
    <w:p w:rsidR="0083167E" w:rsidRPr="001D13C7" w:rsidP="003F3B22" w14:paraId="117B3639" w14:textId="510B64F3">
      <w:pPr>
        <w:spacing w:after="0" w:line="240" w:lineRule="auto"/>
        <w:jc w:val="both"/>
        <w:rPr>
          <w:rFonts w:ascii="Times New Roman" w:hAnsi="Times New Roman"/>
          <w:color w:val="000000" w:themeColor="text1"/>
        </w:rPr>
      </w:pPr>
      <w:r>
        <w:rPr>
          <w:rFonts w:ascii="Times New Roman" w:hAnsi="Times New Roman"/>
          <w:color w:val="000000" w:themeColor="text1"/>
        </w:rPr>
        <w:t>La Commission note que la fragmentation du marché unique nuit à la capacité qu’a le secteur bancaire de soutenir les citoyens et les entreprises, mais aussi au financement des priorités de l’UE dans des domaines critiques. Elle rappelle qu’en ce qui concerne la fragmentation découlant des cadres en matière d’insolvabilité, la directive (UE) 2026/799, publiée en avril 2026, harmonise des aspects essentiels du droit de l’insolvabilité dans l’ensemble des États membres et remédie ainsi partiellement à cette fragmentation.</w:t>
      </w:r>
    </w:p>
    <w:p w:rsidR="0083167E" w:rsidRPr="001D13C7" w:rsidP="0083167E" w14:paraId="60CA990E" w14:textId="77777777">
      <w:pPr>
        <w:spacing w:after="0" w:line="240" w:lineRule="auto"/>
        <w:jc w:val="both"/>
        <w:rPr>
          <w:rFonts w:ascii="Times New Roman" w:hAnsi="Times New Roman"/>
        </w:rPr>
      </w:pPr>
    </w:p>
    <w:p w:rsidR="0083167E" w:rsidRPr="001D13C7" w:rsidP="0083167E" w14:paraId="102E5A92" w14:textId="269BC3FE">
      <w:pPr>
        <w:spacing w:line="240" w:lineRule="auto"/>
        <w:jc w:val="both"/>
        <w:rPr>
          <w:rFonts w:ascii="Times New Roman" w:hAnsi="Times New Roman"/>
        </w:rPr>
      </w:pPr>
      <w:r>
        <w:rPr>
          <w:rFonts w:ascii="Times New Roman" w:hAnsi="Times New Roman"/>
          <w:b/>
        </w:rPr>
        <w:t>Au paragraphe 6, le Parlement européen prend acte de l’avancée des négociations sur l’euro numérique</w:t>
      </w:r>
      <w:r>
        <w:rPr>
          <w:rFonts w:ascii="Times New Roman" w:hAnsi="Times New Roman"/>
        </w:rPr>
        <w:t xml:space="preserve">, tout en se félicitant du potentiel qu’a l’euro numérique de compléter les espèces, de renforcer la souveraineté et l’autonomie financières de l’Union et de favoriser l’inclusion financière. Le rapport loue l’adoption par le Conseil, en décembre 2025, de son </w:t>
      </w:r>
      <w:r>
        <w:rPr>
          <w:rFonts w:ascii="Times New Roman" w:hAnsi="Times New Roman"/>
        </w:rPr>
        <w:t>orientation générale sur le règlement relatif à l’euro numérique et souligne qu’il importe que le Parlement arrête rapidement sa position.</w:t>
      </w:r>
    </w:p>
    <w:p w:rsidR="00E63B9D" w:rsidRPr="001D13C7" w:rsidP="17B2748B" w14:paraId="467C5BE7" w14:textId="4F3A5C17">
      <w:pPr>
        <w:spacing w:after="0" w:line="240" w:lineRule="auto"/>
        <w:jc w:val="both"/>
        <w:rPr>
          <w:rFonts w:ascii="Times New Roman" w:hAnsi="Times New Roman"/>
          <w:b/>
          <w:bCs/>
        </w:rPr>
      </w:pPr>
      <w:r>
        <w:rPr>
          <w:rFonts w:ascii="Times New Roman" w:hAnsi="Times New Roman"/>
        </w:rPr>
        <w:t>La Commission salue les efforts déployés par le Parlement européen pour parvenir à un accord sur le paquet «euro numérique» et souligne que l’euro numérique permettrait de disposer d’une infrastructure de paiement européenne réduisant les dépendances et renforçant l’autonomie stratégique et la résilience de l’Union, tout en soutenant les initiatives d’expansion privées dans l’ensemble de la zone euro. La Commission souligne qu’</w:t>
      </w:r>
      <w:r>
        <w:rPr>
          <w:rFonts w:ascii="Times New Roman" w:hAnsi="Times New Roman"/>
          <w:b/>
        </w:rPr>
        <w:t>étant donné les évolutions géopolitiques récentes et l’accord sur la feuille de route «Une Europe, un marché», il est essentiel que le Parlement arrête très vite sa position de négociation pour que les négociations soient conclues d’ici à la fin de cette année</w:t>
      </w:r>
      <w:r>
        <w:rPr>
          <w:rFonts w:ascii="Times New Roman" w:hAnsi="Times New Roman"/>
        </w:rPr>
        <w:t>.</w:t>
      </w:r>
    </w:p>
    <w:p w:rsidR="005E4B7C" w:rsidRPr="001D13C7" w:rsidP="005E4B7C" w14:paraId="0BA68090" w14:textId="7E624395">
      <w:pPr>
        <w:spacing w:before="240" w:after="240" w:line="240" w:lineRule="auto"/>
        <w:jc w:val="both"/>
        <w:rPr>
          <w:rFonts w:ascii="Times New Roman" w:hAnsi="Times New Roman"/>
        </w:rPr>
      </w:pPr>
      <w:r>
        <w:rPr>
          <w:rFonts w:ascii="Times New Roman" w:hAnsi="Times New Roman"/>
          <w:b/>
        </w:rPr>
        <w:t>Au paragraphe 7, le Parlement européen juge limités les progrès accomplis en matière d’équilibre hommes-femmes dans les établissements financiers</w:t>
      </w:r>
      <w:r>
        <w:rPr>
          <w:rFonts w:ascii="Times New Roman" w:hAnsi="Times New Roman"/>
        </w:rPr>
        <w:t xml:space="preserve">, en particulier au niveau de l’encadrement, et souligne qu’une direction diversifiée et un meilleur accès aux financements pour les entreprises dirigées par des femmes améliorent la gouvernance, l’innovation et les performances économiques. Le rapport invite les établissements financiers, les parties prenantes, la Commission et les États membres à adopter des stratégies efficaces en matière de diversité, à surveiller les inégalités de genre et à intégrer l’égalité de genre dans les cadres de surveillance et d’investissement. </w:t>
      </w:r>
    </w:p>
    <w:p w:rsidR="005E4B7C" w:rsidRPr="001D13C7" w:rsidP="00307C46" w14:paraId="0D9ED248" w14:textId="211D32DA">
      <w:pPr>
        <w:spacing w:before="240" w:after="240" w:line="240" w:lineRule="auto"/>
        <w:jc w:val="both"/>
        <w:rPr>
          <w:rFonts w:ascii="Times New Roman" w:hAnsi="Times New Roman"/>
        </w:rPr>
      </w:pPr>
      <w:r>
        <w:rPr>
          <w:rFonts w:ascii="Times New Roman" w:hAnsi="Times New Roman"/>
        </w:rPr>
        <w:t>La Commission note que la législation de l’UE interdit la discrimination sur le lieu de travail et promeut la diversité et l’équilibre entre les hommes et les femmes, y compris dans les établissements financiers. Premièrement, la directive 2006/54/CE relative à l’égalité hommes-femmes en matière d’emploi et de travail consolide le cadre juridique de l’Union sur ce sujet: elle consacre, entre autres, l’égalité de traitement entre les femmes et les hommes en ce qui concerne l’accès à l’emploi, les conditions de travail et la progression de carrière, notamment les promotions. En outre, la directive (UE) 2022/2381 relative à un meilleur équilibre entre les femmes et les hommes parmi les administrateurs des sociétés cotées imposait aux États membres de veiller à ce que les grandes sociétés cotées, y compris les banques cotées, atteignent, au plus tard le 30 juin 2026, l’objectif d’une occupation par le sexe sous-représenté d’au moins 40 % des postes d’administrateurs non exécutifs ou d’au moins 33 % de tous les postes d’administrateurs. Les grandes sociétés cotées qui n’atteignent pas ces objectifs sont tenues de communiquer les raisons de ce manquement et les mesures qu’elles prennent ou ont l’intention de prendre pour y remédier. La Commission surveille la mise en œuvre de ces directives par les États membres.</w:t>
      </w:r>
    </w:p>
    <w:p w:rsidR="005E4B7C" w:rsidRPr="001D13C7" w:rsidP="00307C46" w14:paraId="1137752C" w14:textId="4C89D988">
      <w:pPr>
        <w:spacing w:before="240" w:after="240" w:line="240" w:lineRule="auto"/>
        <w:jc w:val="both"/>
        <w:rPr>
          <w:rFonts w:ascii="Times New Roman" w:hAnsi="Times New Roman"/>
        </w:rPr>
      </w:pPr>
      <w:r>
        <w:rPr>
          <w:rFonts w:ascii="Times New Roman" w:hAnsi="Times New Roman"/>
        </w:rPr>
        <w:t>La Commission note en outre que les règles de l’UE relatives à l’équilibre hommes-femmes et à la diversité dans les établissements financiers vont au-delà des règles applicables aux entreprises en général. La directive sur les exigences de fonds propres (CRD) a été modifiée par la directive (UE) 2024/1619, dont les dispositions devaient être appliquées par les États membres à partir du 11 janvier 2026. En vertu de la CRD telle que modifiée, les autorités compétentes doivent recueillir des informations sur la politique de diversité qu’appliquent les établissements pour sélectionner les membres de l’organe de direction, les objectifs généraux et les objectifs chiffrés de cette politique, et la mesure dans laquelle ces objectifs, tant généraux que chiffrés, ont été atteints. Les autorités compétentes fournissent ces informations à l’ABE pour lui permettre de comparer les pratiques en matière de diversité à l’échelle de l’UE.</w:t>
      </w:r>
    </w:p>
    <w:p w:rsidR="005E4B7C" w:rsidRPr="001D13C7" w:rsidP="005E4B7C" w14:paraId="0F8D7846" w14:textId="07D4E421">
      <w:pPr>
        <w:spacing w:after="0" w:line="240" w:lineRule="auto"/>
        <w:jc w:val="both"/>
        <w:rPr>
          <w:rFonts w:ascii="Times New Roman" w:hAnsi="Times New Roman"/>
        </w:rPr>
      </w:pPr>
      <w:r>
        <w:rPr>
          <w:rFonts w:ascii="Times New Roman" w:hAnsi="Times New Roman"/>
          <w:b/>
          <w:bCs/>
        </w:rPr>
        <w:t xml:space="preserve">Au paragraphe 9, le Parlement européen souligne que le bon fonctionnement et la crédibilité de l’union bancaire dépendent également du plein respect et de l’application </w:t>
      </w:r>
      <w:r>
        <w:rPr>
          <w:rFonts w:ascii="Times New Roman" w:hAnsi="Times New Roman"/>
          <w:b/>
          <w:bCs/>
        </w:rPr>
        <w:t>effective de la législation de l’Union en matière de protection des consommateurs dans le secteur bancaire</w:t>
      </w:r>
      <w:r>
        <w:rPr>
          <w:rFonts w:ascii="Times New Roman" w:hAnsi="Times New Roman"/>
        </w:rPr>
        <w:t>.</w:t>
      </w:r>
    </w:p>
    <w:p w:rsidR="005E4B7C" w:rsidRPr="001D13C7" w:rsidP="005E4B7C" w14:paraId="414BD9EA" w14:textId="77777777">
      <w:pPr>
        <w:spacing w:after="0" w:line="240" w:lineRule="auto"/>
        <w:jc w:val="both"/>
        <w:rPr>
          <w:rFonts w:ascii="Times New Roman" w:hAnsi="Times New Roman"/>
        </w:rPr>
      </w:pPr>
    </w:p>
    <w:p w:rsidR="0083167E" w:rsidRPr="001D13C7" w:rsidP="38E719A3" w14:paraId="3535632B" w14:textId="6AD2E6C9">
      <w:pPr>
        <w:spacing w:after="0" w:line="240" w:lineRule="auto"/>
        <w:jc w:val="both"/>
        <w:rPr>
          <w:rFonts w:ascii="Times New Roman" w:hAnsi="Times New Roman"/>
        </w:rPr>
      </w:pPr>
      <w:r>
        <w:rPr>
          <w:rFonts w:ascii="Times New Roman" w:hAnsi="Times New Roman"/>
        </w:rPr>
        <w:t>La Commission note que les règles révisées sur les services de paiement renforceront la protection des consommateurs contre les risques de fraude, en conférant à ceux-ci de nouveaux droits à remboursement pour de nouveaux types de fraude, tels que l’usurpation d’identité bancaire. Le futur règlement sur les services de paiement instaurera également des contrôles antifraude renforcés (par exemple, la vérification du bénéficiaire pour tous les virements au sein de l’UE, l’application de délais lors du relèvement des limites de dépenses et un meilleur suivi des transactions) ainsi qu’une approche écosystémique de la prévention de la fraude, avec un plus grand partage d’informations, une plus grande insistance sur la sensibilisation aux risques de fraude et de nouvelles obligations de prévention pour les opérateurs de télécommunications et les plateformes en ligne.</w:t>
      </w:r>
    </w:p>
    <w:p w:rsidR="00C6543F" w:rsidRPr="001D13C7" w:rsidP="00307C46" w14:paraId="318D6029" w14:textId="448EAF48">
      <w:pPr>
        <w:spacing w:before="240" w:after="240" w:line="240" w:lineRule="auto"/>
        <w:jc w:val="both"/>
        <w:rPr>
          <w:rFonts w:ascii="Times New Roman" w:hAnsi="Times New Roman"/>
        </w:rPr>
      </w:pPr>
      <w:r>
        <w:rPr>
          <w:rFonts w:ascii="Times New Roman" w:hAnsi="Times New Roman"/>
          <w:b/>
        </w:rPr>
        <w:t>Au paragraphe 10, le Parlement européen se félicite du rôle joué par l’Autorité de lutte contre le blanchiment de capitaux et le financement du terrorisme (ALBC) dans le renforcement de la lutte de l’Union contre ces phénomènes</w:t>
      </w:r>
      <w:r>
        <w:rPr>
          <w:rFonts w:ascii="Times New Roman" w:hAnsi="Times New Roman"/>
        </w:rPr>
        <w:t xml:space="preserve"> et appelle à une mise en œuvre cohérente, à une coopération renforcée, au partage des informations et à une application coordonnée dans l’ensemble de l’Union. Le rapport souligne également la nécessité d’une coopération efficace entre l’ALBC, les autorités européennes de surveillance (AES) et les autorités prudentielles, ainsi que la nécessité, pour l’ALBC, de respecter le principe de proportionnalité et de coordination dans ses travaux de surveillance et de réglementation.</w:t>
      </w:r>
    </w:p>
    <w:p w:rsidR="00C6543F" w:rsidRPr="001D13C7" w:rsidP="00307C46" w14:paraId="26AFD17E" w14:textId="0656ECB1">
      <w:pPr>
        <w:spacing w:before="240" w:after="240" w:line="240" w:lineRule="auto"/>
        <w:jc w:val="both"/>
        <w:rPr>
          <w:rFonts w:ascii="Times New Roman" w:hAnsi="Times New Roman"/>
          <w:b/>
        </w:rPr>
      </w:pPr>
      <w:r>
        <w:rPr>
          <w:rFonts w:ascii="Times New Roman" w:hAnsi="Times New Roman"/>
        </w:rPr>
        <w:t>Comme le Parlement, la Commission se félicite du rôle joué par l’ALBC dans le renforcement de la lutte de l’Union contre le blanchiment de capitaux et le financement du terrorisme. La Commission travaille avec l’ALBC à garantir une mise en œuvre rapide et cohérente du cadre de l’UE en matière de lutte contre le blanchiment de capitaux et estime que l’ALBC est essentielle à l’</w:t>
      </w:r>
      <w:r>
        <w:rPr>
          <w:rFonts w:ascii="Times New Roman" w:hAnsi="Times New Roman"/>
          <w:b/>
        </w:rPr>
        <w:t>approfondissement</w:t>
      </w:r>
      <w:r>
        <w:rPr>
          <w:rFonts w:ascii="Times New Roman" w:hAnsi="Times New Roman"/>
        </w:rPr>
        <w:t xml:space="preserve"> de la coopération et du partage d’informations entre les autorités de l’ensemble de l’UE. La Commission soutient pleinement la demande du Parlement que l’ALBC respecte le principe de proportionnalité dans ses travaux de surveillance et de réglementation et travaille avec l’ALBC à garantir la bonne mise en œuvre de ce principe.</w:t>
      </w:r>
    </w:p>
    <w:p w:rsidR="00FC52F6" w:rsidRPr="001D13C7" w:rsidP="00FC52F6" w14:paraId="7B69C17C" w14:textId="7DCDB5CB">
      <w:pPr>
        <w:spacing w:after="0" w:line="240" w:lineRule="auto"/>
        <w:jc w:val="both"/>
        <w:rPr>
          <w:rFonts w:ascii="Times New Roman" w:hAnsi="Times New Roman"/>
        </w:rPr>
      </w:pPr>
      <w:r>
        <w:rPr>
          <w:rFonts w:ascii="Times New Roman" w:hAnsi="Times New Roman"/>
          <w:b/>
        </w:rPr>
        <w:t>Au paragraphe 11, le Parlement européen fait valoir qu’une information financière solide, proportionnée, cohérente et fournie en temps utile est essentielle à une surveillance efficace et à la préservation de la stabilité financière</w:t>
      </w:r>
      <w:r>
        <w:rPr>
          <w:rFonts w:ascii="Times New Roman" w:hAnsi="Times New Roman"/>
        </w:rPr>
        <w:t>. Il souligne l’importance de la sécurité juridique, de la prévisibilité et de la stabilité réglementaire pour le secteur bancaire, tout en estimant que les efforts de simplification ne doivent pas affaiblir les garanties prudentielles, la résilience, la protection des consommateurs, ni la stabilité financière. L’analyse de la Commission suggère la nécessité de nouvelles mesures pour faire progresser la numérisation et la simplification, notamment des solutions de reporting plus intégrées, des définitions normalisées, un dictionnaire commun de données et des infrastructures de données partagées, afin de supprimer la complexité inutile et les doublons et d’alléger les charges déclaratives d’une autorité à l’autre, tout en préservant la solidité du cadre de l’union bancaire.</w:t>
      </w:r>
    </w:p>
    <w:p w:rsidR="00FC52F6" w:rsidRPr="001D13C7" w:rsidP="00307C46" w14:paraId="1F0A0159" w14:textId="7F63551C">
      <w:pPr>
        <w:spacing w:before="240" w:after="240" w:line="240" w:lineRule="auto"/>
        <w:jc w:val="both"/>
        <w:rPr>
          <w:rFonts w:ascii="Times New Roman" w:hAnsi="Times New Roman"/>
        </w:rPr>
      </w:pPr>
      <w:r>
        <w:rPr>
          <w:rFonts w:ascii="Times New Roman" w:hAnsi="Times New Roman"/>
          <w:b/>
        </w:rPr>
        <w:t>Au paragraphe 12, le Parlement européen reconnaît les progrès réglementaires et institutionnels accomplis depuis la crise financière, tout en soulignant qu’il subsiste des obstacles importants à la pleine intégration du marché unique des services financiers</w:t>
      </w:r>
      <w:r>
        <w:rPr>
          <w:rFonts w:ascii="Times New Roman" w:hAnsi="Times New Roman"/>
        </w:rPr>
        <w:t xml:space="preserve">. Il appelle de ses vœux des mesures concrètes pour aller plus loin dans la simplification et stimuler la compétitivité et invite la Commission à proposer de telles mesures dans le cadre de son prochain rapport de 2026 sur la compétitivité du secteur bancaire de l’UE. Il souligne par </w:t>
      </w:r>
      <w:r>
        <w:rPr>
          <w:rFonts w:ascii="Times New Roman" w:hAnsi="Times New Roman"/>
        </w:rPr>
        <w:t>ailleurs que les efforts tendant à renforcer la compétitivité doivent préserver le rôle de soutien aux transitions écologique et numérique joué par les banques.</w:t>
      </w:r>
    </w:p>
    <w:p w:rsidR="00FC52F6" w:rsidRPr="001D13C7" w:rsidP="00307C46" w14:paraId="54A8412D" w14:textId="7160BF01">
      <w:pPr>
        <w:spacing w:before="240" w:after="240" w:line="240" w:lineRule="auto"/>
        <w:jc w:val="both"/>
        <w:rPr>
          <w:rFonts w:ascii="Times New Roman" w:hAnsi="Times New Roman"/>
        </w:rPr>
      </w:pPr>
      <w:r>
        <w:rPr>
          <w:rFonts w:ascii="Times New Roman" w:hAnsi="Times New Roman"/>
        </w:rPr>
        <w:t xml:space="preserve">Un secteur bancaire résilient, intégré et </w:t>
      </w:r>
      <w:r>
        <w:rPr>
          <w:rFonts w:ascii="Times New Roman" w:hAnsi="Times New Roman"/>
          <w:b/>
        </w:rPr>
        <w:t>compétitif</w:t>
      </w:r>
      <w:r>
        <w:rPr>
          <w:rFonts w:ascii="Times New Roman" w:hAnsi="Times New Roman"/>
        </w:rPr>
        <w:t xml:space="preserve"> est essentiel pour soutenir l’investissement, l’innovation et une croissance durable. Tout en conservant un écosystème bancaire diversifié qui continue de soutenir les PME, les économies locales et l’ensemble de ses citoyens, l’UE a également besoin de banques capables de se développer à plus grande échelle et d’affronter efficacement la concurrence internationale.</w:t>
      </w:r>
    </w:p>
    <w:p w:rsidR="00FC52F6" w:rsidRPr="001D13C7" w:rsidP="00FC52F6" w14:paraId="1A5307EE" w14:textId="57C42CF3">
      <w:pPr>
        <w:spacing w:after="0" w:line="240" w:lineRule="auto"/>
        <w:jc w:val="both"/>
        <w:rPr>
          <w:rFonts w:ascii="Times New Roman" w:hAnsi="Times New Roman"/>
        </w:rPr>
      </w:pPr>
      <w:r>
        <w:rPr>
          <w:rFonts w:ascii="Times New Roman" w:hAnsi="Times New Roman"/>
          <w:b/>
        </w:rPr>
        <w:t>Au paragraphe 13, le Parlement européen souligne que l’incertitude géopolitique, la volatilité des marchés financiers et les risques découlant du secteur financier non bancaire exigent des autorités de surveillance qu’elles restent vigilantes</w:t>
      </w:r>
      <w:r>
        <w:rPr>
          <w:rFonts w:ascii="Times New Roman" w:hAnsi="Times New Roman"/>
        </w:rPr>
        <w:t>. Il invite les banques à conserver des coussins de fonds propres et une résilience opérationnelle adéquats et souligne par ailleurs l’importance d’une surveillance prudente pour protéger les contribuables, les déposants et l’économie réelle.</w:t>
      </w:r>
    </w:p>
    <w:p w:rsidR="17B2748B" w:rsidRPr="001D13C7" w:rsidP="17B2748B" w14:paraId="74AA341B" w14:textId="7C87D537">
      <w:pPr>
        <w:spacing w:before="240" w:after="240" w:line="240" w:lineRule="auto"/>
        <w:jc w:val="both"/>
        <w:rPr>
          <w:rFonts w:ascii="Times New Roman" w:hAnsi="Times New Roman"/>
        </w:rPr>
      </w:pPr>
      <w:r>
        <w:rPr>
          <w:rFonts w:ascii="Times New Roman" w:hAnsi="Times New Roman"/>
        </w:rPr>
        <w:t>La Commission convient elle aussi que l’environnement géopolitique et macrofinancier actuel requiert une vigilance constante de la part des autorités de surveillance et des acteurs du marché. Pour les banques, il est essentiel de conserver de solides positions en matière de fonds propres et de liquidité, une saine gestion des risques et une résilience opérationnelle pour pouvoir continuer à soutenir l’économie tout au long du cycle, y compris en période de tensions.</w:t>
      </w:r>
    </w:p>
    <w:p w:rsidR="00E63B9D" w:rsidRPr="001D13C7" w:rsidP="00E63B9D" w14:paraId="65B22F4C" w14:textId="4589C49F">
      <w:pPr>
        <w:spacing w:after="0" w:line="240" w:lineRule="auto"/>
        <w:jc w:val="both"/>
        <w:rPr>
          <w:rFonts w:ascii="Times New Roman" w:hAnsi="Times New Roman"/>
        </w:rPr>
      </w:pPr>
      <w:r>
        <w:rPr>
          <w:rFonts w:ascii="Times New Roman" w:hAnsi="Times New Roman"/>
          <w:b/>
          <w:i/>
        </w:rPr>
        <w:t>Surveillance</w:t>
      </w:r>
    </w:p>
    <w:p w:rsidR="00E63B9D" w:rsidRPr="001D13C7" w:rsidP="00E63B9D" w14:paraId="2E5DE968" w14:textId="3A15952C">
      <w:pPr>
        <w:spacing w:before="240" w:after="240" w:line="240" w:lineRule="auto"/>
        <w:jc w:val="both"/>
        <w:rPr>
          <w:rFonts w:ascii="Times New Roman" w:hAnsi="Times New Roman"/>
        </w:rPr>
      </w:pPr>
      <w:r>
        <w:rPr>
          <w:rFonts w:ascii="Times New Roman" w:hAnsi="Times New Roman"/>
          <w:b/>
        </w:rPr>
        <w:t>Au paragraphe 14, le Parlement européen souligne que les banques de l’Union conservent de solides positions en matière de fonds propres et de liquidité</w:t>
      </w:r>
      <w:r>
        <w:rPr>
          <w:rFonts w:ascii="Times New Roman" w:hAnsi="Times New Roman"/>
        </w:rPr>
        <w:t>, les banques du MSU faisant état de ratios élevés de fonds propres de base de catégorie 1 (CET1), d’une amélioration de la rentabilité et d’une baisse des ratios de prêts non performants. Dans le même temps, le rapport souligne l’importance d’une surveillance continue du risque de crédit et la nécessité pour les banques de maintenir des coussins de fonds propres et de liquidités suffisants au vu des conditions macroéconomiques défavorables et de l’incertitude géopolitique accrue, qui pourraient affecter la qualité des actifs. Il relève en outre que les progrès accomplis en matière de réduction des risques ne se sont pas encore accompagnés de progrès équivalents en matière de partage des risques au sein de l’union bancaire.</w:t>
      </w:r>
    </w:p>
    <w:p w:rsidR="00DF5D86" w:rsidRPr="001D13C7" w:rsidP="00E63B9D" w14:paraId="326DB541" w14:textId="7F1C0AD1">
      <w:pPr>
        <w:spacing w:before="240" w:after="240" w:line="240" w:lineRule="auto"/>
        <w:jc w:val="both"/>
        <w:rPr>
          <w:rFonts w:ascii="Times New Roman" w:hAnsi="Times New Roman"/>
        </w:rPr>
      </w:pPr>
      <w:r>
        <w:rPr>
          <w:rFonts w:ascii="Times New Roman" w:hAnsi="Times New Roman"/>
        </w:rPr>
        <w:t>La Commission fera observer que ces questions sont actuellement étudiées dans le cadre de son rapport à venir sur la compétitivité du secteur bancaire de l’UE, qui évaluera comment en renforcer encore la résilience, l’intégration, l’évolutivité et la compétitivité tout en préservant la stabilité financière et la capacité des banques à financer l’économie réelle.</w:t>
      </w:r>
    </w:p>
    <w:p w:rsidR="00461990" w:rsidRPr="001D13C7" w:rsidP="00461990" w14:paraId="4350756C" w14:textId="4A1FFD4C">
      <w:pPr>
        <w:spacing w:after="0" w:line="240" w:lineRule="auto"/>
        <w:jc w:val="both"/>
        <w:rPr>
          <w:rFonts w:ascii="Times New Roman" w:hAnsi="Times New Roman"/>
          <w:b/>
        </w:rPr>
      </w:pPr>
      <w:r>
        <w:rPr>
          <w:rFonts w:ascii="Times New Roman" w:hAnsi="Times New Roman"/>
          <w:b/>
        </w:rPr>
        <w:t>Au paragraphe 16, le Parlement européen appelle à accroître la résilience et à renforcer la surveillance des institutions financières non bancaires (IFNB)</w:t>
      </w:r>
      <w:r>
        <w:rPr>
          <w:rFonts w:ascii="Times New Roman" w:hAnsi="Times New Roman"/>
        </w:rPr>
        <w:t>, y compris à un suivi prospectif des risques pour parer aux vulnérabilités émergentes, une surveillance européenne complète du secteur des IFNB, en prêtant une attention particulière aux risques potentiels de liquidité et de contrepartie découlant pour les banques de leur exposition aux IFNB, la conduite de tests de résistance à l’échelle du système afin d’évaluer la résilience fondamentale des marchés, un examen des lacunes de la boîte à outils de surveillance, y compris les risques systémiques et de liquidité, et des propositions de mesures visant à préserver la stabilité financière, s’il y a lieu.</w:t>
      </w:r>
    </w:p>
    <w:p w:rsidR="00461990" w:rsidRPr="001D13C7" w:rsidP="00461990" w14:paraId="00B57E8A" w14:textId="77777777">
      <w:pPr>
        <w:spacing w:after="0" w:line="240" w:lineRule="auto"/>
        <w:jc w:val="both"/>
        <w:rPr>
          <w:rFonts w:ascii="Times New Roman" w:hAnsi="Times New Roman"/>
          <w:b/>
        </w:rPr>
      </w:pPr>
    </w:p>
    <w:p w:rsidR="00FC52F6" w:rsidRPr="001D13C7" w:rsidP="45AA128E" w14:paraId="069C7D4D" w14:textId="7E73C17B">
      <w:pPr>
        <w:spacing w:after="0" w:line="240" w:lineRule="auto"/>
        <w:jc w:val="both"/>
        <w:rPr>
          <w:rFonts w:ascii="Times New Roman" w:hAnsi="Times New Roman"/>
          <w:b/>
          <w:bCs/>
        </w:rPr>
      </w:pPr>
      <w:r>
        <w:rPr>
          <w:rFonts w:ascii="Times New Roman" w:hAnsi="Times New Roman"/>
        </w:rPr>
        <w:t>La Commission convient de la nécessité de recenser les risques systémiques découlant des IFBN, notamment en raison de leur interconnexion croissante avec le secteur bancaire traditionnel, et souligne la nécessité d’une surveillance globale au niveau de l’UE. Elle suit de près l’évolution du secteur des IFBN et les risques qui y sont liés, notamment au niveau de l’interconnexion entre banques et IFBN, par exemple en ce qui concerne les expositions des banques et des IFBN sur les marchés privés. Dans ce contexte, la Commission a déjà plaidé en faveur d’une approche plus globale, transsectorielle et bien coordonnée de la supervision macroprudentielle et du suivi des risques. La conduite de tests de résistance à l’échelle du système constitue un élément important d’une telle approche globale. La Commission suit de près les initiatives de tests de résistance à l’échelle du système menées dans différents pays. Elle encourage en outre les autorités de surveillance à faire usage des pouvoirs dont elles disposent pour combler, dans la mesure du possible, les lacunes dans les données dont elles ont besoin. Une supervision macroprudentielle adéquate doit s’appuyer sur des outils efficaces et une surveillance coordonnée. Dans le train de mesures sur l’intégration et la surveillance des marchés, la Commission a proposé de renforcer le rôle de l’Autorité européenne des marchés financiers (AEMF) en matière de surveillance, de coordination de la surveillance et de suivi du risque systémique. Plus précisément, en ce qui concerne les fonds monétaires, la Commission a publié, le 11 mai 2026, un rapport sur l’adéquation du règlement y afférent, rapport qui contient des orientations visant à favoriser une surveillance plus cohérente et à renforcer la résilience du secteur. Dans d’autres domaines, la Commission continue d’évaluer si des améliorations peuvent être apportées d’une manière compatible avec les objectifs de l’union de l’épargne et des investissements, en s’appuyant sur les retours d’information fournis par les parties prenantes dans le cadre de la consultation publique menée en 2024-2025, où de nouvelles compétences macroprudentielles ont été discutées.</w:t>
      </w:r>
    </w:p>
    <w:p w:rsidR="00E63B9D" w:rsidRPr="001D13C7" w:rsidP="00E63B9D" w14:paraId="63D018D0" w14:textId="6E1D7E6C">
      <w:pPr>
        <w:spacing w:before="240" w:after="240" w:line="240" w:lineRule="auto"/>
        <w:jc w:val="both"/>
        <w:rPr>
          <w:rFonts w:ascii="Times New Roman" w:hAnsi="Times New Roman"/>
        </w:rPr>
      </w:pPr>
      <w:r>
        <w:rPr>
          <w:rFonts w:ascii="Times New Roman" w:hAnsi="Times New Roman"/>
          <w:b/>
        </w:rPr>
        <w:t>Au paragraphe 17, le Parlement européen se félicite de la finalisation et de la mise en œuvre du dispositif de Bâle III dans l’Union</w:t>
      </w:r>
      <w:r>
        <w:rPr>
          <w:rFonts w:ascii="Times New Roman" w:hAnsi="Times New Roman"/>
        </w:rPr>
        <w:t>. Dans le même temps, notant des divergences d’approche d’un pays ou territoire à l’autre, il appelle à un suivi étroit de la mise en œuvre au niveau international. Il rappelle également la position de la Banque centrale européenne (BCE) selon laquelle la mise en œuvre de la révision fondamentale du portefeuille de négociation renforce la résilience sans nuire à la compétitivité.</w:t>
      </w:r>
    </w:p>
    <w:p w:rsidR="00461990" w:rsidRPr="001D13C7" w:rsidP="00E63B9D" w14:paraId="1175806A" w14:textId="0F1F8BE2">
      <w:pPr>
        <w:spacing w:before="240" w:after="240" w:line="240" w:lineRule="auto"/>
        <w:jc w:val="both"/>
        <w:rPr>
          <w:rFonts w:ascii="Times New Roman" w:hAnsi="Times New Roman"/>
        </w:rPr>
      </w:pPr>
      <w:r>
        <w:rPr>
          <w:rFonts w:ascii="Times New Roman" w:hAnsi="Times New Roman"/>
        </w:rPr>
        <w:t>La Commission reste attachée à la mise en œuvre des normes de Bâle convenues au niveau international, tout en reconnaissant l’importance de garantir des conditions de concurrence équitables pour les banques européennes. Dans ce contexte, elle continuera à suivre de près l’évolution de la mise en œuvre dans les autres pays et territoires, et en évaluera les implications potentielles dans son rapport sur la compétitivité du secteur bancaire de l’UE.</w:t>
      </w:r>
    </w:p>
    <w:p w:rsidR="00E63B9D" w:rsidRPr="001D13C7" w:rsidP="00E63B9D" w14:paraId="4154E231" w14:textId="0F2C76F6">
      <w:pPr>
        <w:spacing w:before="240" w:after="240" w:line="240" w:lineRule="auto"/>
        <w:jc w:val="both"/>
        <w:rPr>
          <w:rFonts w:ascii="Times New Roman" w:hAnsi="Times New Roman"/>
        </w:rPr>
      </w:pPr>
      <w:r>
        <w:rPr>
          <w:rFonts w:ascii="Times New Roman" w:hAnsi="Times New Roman"/>
          <w:b/>
        </w:rPr>
        <w:t>Au paragraphe 19, le Parlement européen se déclare préoccupé par la fermeture continue d’agences bancaires</w:t>
      </w:r>
      <w:r>
        <w:rPr>
          <w:rFonts w:ascii="Times New Roman" w:hAnsi="Times New Roman"/>
        </w:rPr>
        <w:t>, en particulier dans les zones périphériques et vulnérables, et rappelle qu’il importe de garantir l’accès des citoyens et des petites entreprises aux services bancaires de base. Il souligne également la contribution des petits établissements et de la diversité des modèles économiques des banques à la résilience, à l’inclusivité et à la couverture territoriale du système financier.</w:t>
      </w:r>
    </w:p>
    <w:p w:rsidR="00461990" w:rsidRPr="001D13C7" w:rsidP="00461990" w14:paraId="5F60D86C" w14:textId="48461692">
      <w:pPr>
        <w:spacing w:before="240" w:after="240" w:line="240" w:lineRule="auto"/>
        <w:jc w:val="both"/>
        <w:rPr>
          <w:rFonts w:ascii="Times New Roman" w:hAnsi="Times New Roman"/>
        </w:rPr>
      </w:pPr>
      <w:r>
        <w:rPr>
          <w:rFonts w:ascii="Times New Roman" w:hAnsi="Times New Roman"/>
        </w:rPr>
        <w:t>La Commission reconnaît tout autant l’importance de préserver l’accès aux services bancaires essentiels dans l’ensemble de l’UE, notamment dans les zones périphériques et vulnérables. La diversité des modèles économiques des banques, y compris des établissements de plus petite taille et privilégiant la dimension régionale, contribue à la résilience, à l’inclusivité et à la couverture territoriale du système financier.</w:t>
      </w:r>
    </w:p>
    <w:p w:rsidR="00461990" w:rsidRPr="001D13C7" w:rsidP="00461990" w14:paraId="35099D0B" w14:textId="2B82F30F">
      <w:pPr>
        <w:spacing w:line="240" w:lineRule="auto"/>
        <w:jc w:val="both"/>
        <w:rPr>
          <w:rFonts w:ascii="Times New Roman" w:hAnsi="Times New Roman"/>
        </w:rPr>
      </w:pPr>
      <w:r>
        <w:rPr>
          <w:rFonts w:ascii="Times New Roman" w:hAnsi="Times New Roman"/>
          <w:b/>
        </w:rPr>
        <w:t>Au paragraphe 20, le Parlement européen reconnaît les risques et opportunités spécifiques associés aux crypto-actifs, notamment les cryptomonnaies stables libellées en euros</w:t>
      </w:r>
      <w:r>
        <w:rPr>
          <w:rFonts w:ascii="Times New Roman" w:hAnsi="Times New Roman"/>
        </w:rPr>
        <w:t>. Il plaide en faveur d’une surveillance cohérente et favorable à l’innovation, pour faire en sorte que l’innovation serve l’intérêt public, et il invite instamment l’UE et les autorités nationales à surveiller les expositions aux risques, à prévenir les risques et à enrayer les comportements spéculatifs, tout en luttant contre la criminalité financière et tout en protégeant les consommateurs. Le rapport souligne en outre l’importance d’établir des normes réglementaires mondiales dans ce domaine. Par ailleurs, le rapport invite la Commission, l’Autorité bancaire européenne (ABE) et les autorités nationales compétentes au sein de l’union bancaire à veiller à la mise en œuvre et à l’application strictes, cohérentes et loyales du règlement sur les marchés de crypto-actifs (règlement MiCA) en tant que complément nécessaire au cadre de stabilité financière de l’Union fondé sur les banques. Il pointe aussi les incertitudes pour les banques de l’UE liées aux cryptomonnaies stables à émission multiple de pays tiers, en mettant en garde contre le risque d’arbitrage réglementaire entre pays et territoires, qui pourrait entraîner des retraits massifs de dépôts bancaires et avoir des répercussions systémiques au sein de l’UE.</w:t>
      </w:r>
    </w:p>
    <w:p w:rsidR="00461990" w:rsidRPr="001D13C7" w:rsidP="354D79CC" w14:paraId="75C356CB" w14:textId="4573DFE8">
      <w:pPr>
        <w:spacing w:line="240" w:lineRule="auto"/>
        <w:jc w:val="both"/>
        <w:rPr>
          <w:rFonts w:ascii="Times New Roman" w:hAnsi="Times New Roman"/>
        </w:rPr>
      </w:pPr>
      <w:r>
        <w:rPr>
          <w:rFonts w:ascii="Times New Roman" w:hAnsi="Times New Roman"/>
        </w:rPr>
        <w:t>La Commission convient que les crypto-actifs, notamment les cryptomonnaies stables de niveau mondial, ont pris de l’importance depuis l’adoption du règlement MiCA et que cela pourrait se traduire par une croissance plus rapide des marchés de crypto-actifs, notamment des cryptomonnaies stables, sur le court à moyen terme. Un solide écosystème de cryptomonnaies stables libellées en euros pourrait renforcer le rôle international de l’euro et soutenir une économie numérique européenne résiliente, compétitive et innovante. La Commission considère que le règlement MiCA offre déjà des garanties solides pour gérer les risques liés aux cryptomonnaies stables de niveau mondial qui peuvent être offertes au public ou admises à la négociation dans l’UE.</w:t>
      </w:r>
    </w:p>
    <w:p w:rsidR="00461990" w:rsidRPr="001D13C7" w:rsidP="00461990" w14:paraId="1A44F6CF" w14:textId="2D7F36AB">
      <w:pPr>
        <w:spacing w:line="240" w:lineRule="auto"/>
        <w:jc w:val="both"/>
        <w:rPr>
          <w:rFonts w:ascii="Times New Roman" w:hAnsi="Times New Roman"/>
        </w:rPr>
      </w:pPr>
      <w:r>
        <w:rPr>
          <w:rFonts w:ascii="Times New Roman" w:hAnsi="Times New Roman"/>
        </w:rPr>
        <w:t>En outre, le règlement MiCA fixe des exigences strictes pour limiter les risques liés aux cryptomonnaies stables, en particulier celles qui ne sont pas rattachées à l’euro: ces jetons sont soumis à des restrictions de circulation et ne peuvent pas être largement utilisés pour les paiements quotidiens dans l’UE. La BCE a également le pouvoir d’émettre un avis négatif contraignant lorsqu’une cryptomonnaie stable risque de porter atteinte aux systèmes de paiement, à la politique monétaire ou à la souveraineté monétaire. Dans un tel cas, les autorités nationales doivent restreindre l’émission.</w:t>
      </w:r>
    </w:p>
    <w:p w:rsidR="00461990" w:rsidRPr="001D13C7" w:rsidP="00461990" w14:paraId="62BD353E" w14:textId="49D6C121">
      <w:pPr>
        <w:spacing w:line="240" w:lineRule="auto"/>
        <w:jc w:val="both"/>
        <w:rPr>
          <w:rFonts w:ascii="Times New Roman" w:hAnsi="Times New Roman"/>
        </w:rPr>
      </w:pPr>
      <w:r>
        <w:rPr>
          <w:rFonts w:ascii="Times New Roman" w:hAnsi="Times New Roman"/>
        </w:rPr>
        <w:t>La Commission rappelle enfin que le règlement MiCA impose aux émetteurs de cryptomonnaies stables de niveau mondial qu’ils créent une entité juridique au sein de l’UE. Cela garantit que tout litige ou toute faillite peut être traité(e) selon le droit de l’UE, ce qui rend les procédures plus rapides et moins coûteuses pour les détenteurs de jetons de l’UE par rapport au recouvrement de créances à l’étranger. L’organe de direction de ces entités créées dans l’UE est personnellement responsable de toute action qui épuiserait la réserve d’actifs dans l’UE en violation des exigences du règlement MiCA.</w:t>
      </w:r>
    </w:p>
    <w:p w:rsidR="003F3B22" w:rsidRPr="001D13C7" w:rsidP="003F3B22" w14:paraId="6B594C25" w14:textId="4FC2BAC0">
      <w:pPr>
        <w:spacing w:line="240" w:lineRule="auto"/>
        <w:jc w:val="both"/>
        <w:rPr>
          <w:rFonts w:ascii="Times New Roman" w:hAnsi="Times New Roman"/>
        </w:rPr>
      </w:pPr>
      <w:r>
        <w:rPr>
          <w:rFonts w:ascii="Times New Roman" w:hAnsi="Times New Roman"/>
        </w:rPr>
        <w:t>Par ailleurs, dans le cadre de la prochaine consultation ciblée sur le règlement MiCA (et dans la perspective du réexamen formel de ce règlement en 2027), la Commission sollicitera des avis sur des aspects clés, notamment le modèle d’émission multiple, les exigences en matière de fonds propres et de liquidité, ainsi que les risques et les garanties pour la stabilité financière.</w:t>
      </w:r>
    </w:p>
    <w:p w:rsidR="25DFE563" w:rsidRPr="001D13C7" w:rsidP="25DFE563" w14:paraId="71D0C893" w14:textId="261D3ABE">
      <w:pPr>
        <w:spacing w:after="0" w:line="240" w:lineRule="auto"/>
        <w:jc w:val="both"/>
        <w:rPr>
          <w:rFonts w:ascii="Times New Roman" w:hAnsi="Times New Roman"/>
          <w:b/>
          <w:i/>
        </w:rPr>
      </w:pPr>
      <w:r>
        <w:rPr>
          <w:rFonts w:ascii="Times New Roman" w:hAnsi="Times New Roman"/>
          <w:b/>
          <w:i/>
        </w:rPr>
        <w:t>Résolution</w:t>
      </w:r>
    </w:p>
    <w:p w:rsidR="00071076" w:rsidRPr="001D13C7" w:rsidP="00071076" w14:paraId="67564F11" w14:textId="66CB95EA">
      <w:pPr>
        <w:spacing w:before="240" w:after="240" w:line="240" w:lineRule="auto"/>
        <w:jc w:val="both"/>
        <w:rPr>
          <w:rFonts w:ascii="Times New Roman" w:hAnsi="Times New Roman"/>
        </w:rPr>
      </w:pPr>
      <w:r>
        <w:rPr>
          <w:rFonts w:ascii="Times New Roman" w:hAnsi="Times New Roman"/>
          <w:b/>
        </w:rPr>
        <w:t>Au paragraphe 23, le Parlement européen salue la réforme du cadre pour la gestion des crises bancaires et la garantie des dépôts (CMDI)</w:t>
      </w:r>
      <w:r>
        <w:rPr>
          <w:rFonts w:ascii="Times New Roman" w:hAnsi="Times New Roman"/>
        </w:rPr>
        <w:t xml:space="preserve"> comme permettant une gestion cohérente </w:t>
      </w:r>
      <w:r>
        <w:rPr>
          <w:rFonts w:ascii="Times New Roman" w:hAnsi="Times New Roman"/>
        </w:rPr>
        <w:t xml:space="preserve">des crises, en offrant une certaine souplesse pour les banques de petite et moyenne taille et en dotant les autorités d’outils efficaces. </w:t>
      </w:r>
      <w:r>
        <w:rPr>
          <w:rFonts w:ascii="Times New Roman" w:hAnsi="Times New Roman"/>
          <w:b/>
        </w:rPr>
        <w:t>Il rappelle, au paragraphe 25, la hiérarchie du renflouement interne, dans laquelle les actionnaires, les créanciers et les mécanismes financés par le secteur doivent intervenir en premier lieu et les fonds publics en dernier ressort, et, au paragraphe 26, qu’une exigence minimale suffisante de fonds propres et d’engagements éligibles (MREL) est essentielle pour garantir la crédibilité du cadre de résolution.</w:t>
      </w:r>
    </w:p>
    <w:p w:rsidR="00DF5D86" w:rsidRPr="001D13C7" w:rsidP="00DF5D86" w14:paraId="01BF0222" w14:textId="06A69E7E">
      <w:pPr>
        <w:spacing w:after="140" w:line="240" w:lineRule="auto"/>
        <w:jc w:val="both"/>
        <w:rPr>
          <w:rFonts w:ascii="Times New Roman" w:hAnsi="Times New Roman"/>
        </w:rPr>
      </w:pPr>
      <w:r>
        <w:rPr>
          <w:rFonts w:ascii="Times New Roman" w:hAnsi="Times New Roman"/>
        </w:rPr>
        <w:t>La Commission fera observer que le paquet CMDI, publié le 20 avril 2026, comble la principale lacune de la boîte à outils (concernant les défaillances des banques de petite et moyenne taille) et que cette réforme constitue une étape importante vers l’achèvement de l’union bancaire et dans l’approfondissement du marché unique bancaire. Un cadre de résolution crédible, prévisible et proportionné est un préalable indispensable à la poursuite du développement des activités bancaires transfrontières.</w:t>
      </w:r>
    </w:p>
    <w:p w:rsidR="0083167E" w:rsidRPr="001D13C7" w:rsidP="354D79CC" w14:paraId="7DCF9AA8" w14:textId="38756E02">
      <w:pPr>
        <w:spacing w:after="140" w:line="240" w:lineRule="auto"/>
        <w:jc w:val="both"/>
        <w:rPr>
          <w:rFonts w:ascii="Times New Roman" w:hAnsi="Times New Roman"/>
        </w:rPr>
      </w:pPr>
      <w:r>
        <w:rPr>
          <w:rFonts w:ascii="Times New Roman" w:hAnsi="Times New Roman"/>
        </w:rPr>
        <w:t>La Commission note en outre que la consultation ciblée qui s’est achevée le 19 avril 2026 explore d’autres domaines dans lesquels le cadre de résolution pourrait être renforcé, comme un mécanisme transparent de l’UE pour la liquidité en résolution et la simplification du cadre de gestion des crises, y compris le calibrage de la MREL et les régimes d’autorisation préalable.</w:t>
      </w:r>
    </w:p>
    <w:p w:rsidR="0083167E" w:rsidRPr="001D13C7" w:rsidP="38E719A3" w14:paraId="5B20DF8C" w14:textId="1321AA87">
      <w:pPr>
        <w:spacing w:after="0" w:line="240" w:lineRule="auto"/>
        <w:jc w:val="both"/>
        <w:rPr>
          <w:rFonts w:ascii="Times New Roman" w:hAnsi="Times New Roman"/>
          <w:b/>
          <w:i/>
        </w:rPr>
      </w:pPr>
      <w:r>
        <w:rPr>
          <w:rFonts w:ascii="Times New Roman" w:hAnsi="Times New Roman"/>
          <w:b/>
          <w:i/>
        </w:rPr>
        <w:t>Assurance des dépôts</w:t>
      </w:r>
    </w:p>
    <w:p w:rsidR="0083167E" w:rsidRPr="001D13C7" w:rsidP="38E719A3" w14:paraId="1C19E1D8" w14:textId="77777777">
      <w:pPr>
        <w:spacing w:after="0" w:line="240" w:lineRule="auto"/>
        <w:jc w:val="both"/>
        <w:rPr>
          <w:rFonts w:ascii="Times New Roman" w:hAnsi="Times New Roman"/>
        </w:rPr>
      </w:pPr>
    </w:p>
    <w:p w:rsidR="0083167E" w:rsidRPr="001D13C7" w:rsidP="0083167E" w14:paraId="3F101EC7" w14:textId="761D227E">
      <w:pPr>
        <w:spacing w:after="0" w:line="240" w:lineRule="auto"/>
        <w:jc w:val="both"/>
        <w:rPr>
          <w:rFonts w:ascii="Times New Roman" w:hAnsi="Times New Roman"/>
        </w:rPr>
      </w:pPr>
      <w:r>
        <w:rPr>
          <w:rFonts w:ascii="Times New Roman" w:hAnsi="Times New Roman"/>
          <w:b/>
        </w:rPr>
        <w:t>Au paragraphe 30, le Parlement européen affirme que l’union bancaire reste incomplète sans SEAD et rappelle l’objectif de protection des contribuables</w:t>
      </w:r>
      <w:r>
        <w:rPr>
          <w:rFonts w:ascii="Times New Roman" w:hAnsi="Times New Roman"/>
        </w:rPr>
        <w:t>. Il note que la communication de mars 2025 sur l’UEI promettait des mesures décisives en vue de l’achèvement de l’union bancaire, y compris une voie à suivre en ce qui concerne le SEAD, mais qu’aucune proposition en ce sens n’a été présentée depuis lors. Il réaffirme son attachement au SEAD en tant que troisième pilier de l’union bancaire, qui permettrait de garantir une protection égale des déposants et de réduire les liens entre banques et émetteurs souverains. Il se félicite de l’adoption du train de mesures sur la gestion des crises bancaires et la garantie des dépôts (CMDI), qui renforce les systèmes nationaux de garantie des dépôts (SGD), et demande instamment au Conseil et au président de l’Eurogroupe de faire avancer les négociations sur le SEAD.</w:t>
      </w:r>
    </w:p>
    <w:p w:rsidR="354D79CC" w:rsidRPr="001D13C7" w:rsidP="354D79CC" w14:paraId="08D7C980" w14:textId="789CA81E">
      <w:pPr>
        <w:spacing w:after="0" w:line="240" w:lineRule="auto"/>
        <w:jc w:val="both"/>
        <w:rPr>
          <w:rFonts w:ascii="Times New Roman" w:hAnsi="Times New Roman"/>
        </w:rPr>
      </w:pPr>
    </w:p>
    <w:p w:rsidR="0083167E" w:rsidRPr="001D13C7" w:rsidP="0083167E" w14:paraId="17F9B5C8" w14:textId="7F6CC54C">
      <w:pPr>
        <w:spacing w:after="0" w:line="240" w:lineRule="auto"/>
        <w:jc w:val="both"/>
        <w:rPr>
          <w:rFonts w:ascii="Times New Roman" w:hAnsi="Times New Roman"/>
        </w:rPr>
      </w:pPr>
      <w:r>
        <w:rPr>
          <w:rFonts w:ascii="Times New Roman" w:hAnsi="Times New Roman"/>
        </w:rPr>
        <w:t>La Commission rappelle que l’achèvement de l’union bancaire demeure un objectif stratégique majeur, comme elle l’a réaffirmé dans la communication sur l’UEI du 19 mars 2025. Aujourd’hui, la finalité n’est plus simplement de garantir la résilience et la stabilité financière. Elle est aussi de libérer tout le potentiel de l’union bancaire pour le plus grand avantage des banques, des économies et des citoyens européens.</w:t>
      </w:r>
    </w:p>
    <w:p w:rsidR="0083167E" w:rsidRPr="001D13C7" w:rsidP="0083167E" w14:paraId="61BF6E1B" w14:textId="77777777">
      <w:pPr>
        <w:spacing w:after="0" w:line="240" w:lineRule="auto"/>
        <w:jc w:val="both"/>
        <w:rPr>
          <w:rFonts w:ascii="Times New Roman" w:hAnsi="Times New Roman"/>
        </w:rPr>
      </w:pPr>
    </w:p>
    <w:p w:rsidR="0083167E" w:rsidRPr="001D13C7" w:rsidP="0083167E" w14:paraId="07EFE159" w14:textId="5BC6264A">
      <w:pPr>
        <w:spacing w:after="0" w:line="240" w:lineRule="auto"/>
        <w:jc w:val="both"/>
        <w:rPr>
          <w:rFonts w:ascii="Times New Roman" w:hAnsi="Times New Roman"/>
        </w:rPr>
      </w:pPr>
      <w:r>
        <w:rPr>
          <w:rFonts w:ascii="Times New Roman" w:hAnsi="Times New Roman"/>
        </w:rPr>
        <w:t>La concrétisation de cette ambition suppose de disposer d’un secteur bancaire intégré et compétitif, capable de financer la croissance, de favoriser l’innovation et de soutenir les priorités stratégiques de l’UE dans un environnement mondial de plus en plus complexe. À cette fin, la Commission étudie activement la voie à suivre pour mettre en place un mécanisme commun d’assurance des dépôts, en s’appuyant sur les progrès accomplis à ce jour tout en tenant compte des réalités économiques actuelles du secteur bancaire.</w:t>
      </w:r>
    </w:p>
    <w:p w:rsidR="00055031" w:rsidRPr="001D13C7" w:rsidP="0083167E" w14:paraId="010AF803" w14:textId="77777777">
      <w:pPr>
        <w:spacing w:after="0" w:line="240" w:lineRule="auto"/>
        <w:jc w:val="both"/>
        <w:rPr>
          <w:rFonts w:ascii="Times New Roman" w:hAnsi="Times New Roman"/>
        </w:rPr>
      </w:pPr>
    </w:p>
    <w:p w:rsidR="0083167E" w:rsidRPr="001D13C7" w:rsidP="0083167E" w14:paraId="18A4B727" w14:textId="1279E154">
      <w:pPr>
        <w:spacing w:after="0" w:line="240" w:lineRule="auto"/>
        <w:jc w:val="both"/>
        <w:rPr>
          <w:rFonts w:ascii="Times New Roman" w:hAnsi="Times New Roman"/>
        </w:rPr>
      </w:pPr>
      <w:r>
        <w:rPr>
          <w:rFonts w:ascii="Times New Roman" w:hAnsi="Times New Roman"/>
        </w:rPr>
        <w:t>Le cadre réglementaire de l’union bancaire a déjà évolué si bien que de nouveaux progrès exigent désormais des solutions innovantes pour promouvoir les perspectives économiques de l’UE et sa capacité à financer des priorités communes.</w:t>
      </w:r>
    </w:p>
    <w:p w:rsidR="00055031" w:rsidRPr="001D13C7" w:rsidP="0083167E" w14:paraId="39DC0435" w14:textId="77777777">
      <w:pPr>
        <w:spacing w:after="0" w:line="240" w:lineRule="auto"/>
        <w:jc w:val="both"/>
        <w:rPr>
          <w:rFonts w:ascii="Times New Roman" w:hAnsi="Times New Roman"/>
        </w:rPr>
      </w:pPr>
    </w:p>
    <w:p w:rsidR="0083167E" w:rsidRPr="001D13C7" w:rsidP="38E719A3" w14:paraId="3D80FBF9" w14:textId="324F7776">
      <w:pPr>
        <w:spacing w:after="0" w:line="240" w:lineRule="auto"/>
        <w:jc w:val="both"/>
        <w:rPr>
          <w:rFonts w:ascii="Times New Roman" w:hAnsi="Times New Roman"/>
        </w:rPr>
      </w:pPr>
      <w:r>
        <w:rPr>
          <w:rFonts w:ascii="Times New Roman" w:hAnsi="Times New Roman"/>
        </w:rPr>
        <w:t>Dans le cadre de cet effort, la consultation ciblée susmentionnée comprenait des questions sur un mécanisme commun d’assurance des dépôts. L’objectif était d’évaluer les principaux paramètres de conception d’une éventuelle réforme visant à approfondir l’intégration de la garantie des dépôts dans l’ensemble de l’UE. Le prochain rapport de la Commission marquera la prochaine étape cruciale dans la définition de la voie à suivre.</w:t>
      </w:r>
    </w:p>
    <w:sectPr>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5819" w14:paraId="7AC3E18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5819" w14:paraId="299E73E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5819" w14:paraId="6F81C90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5819" w14:paraId="7BB80EF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5819" w14:paraId="36409FE8"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5819" w14:paraId="0F30318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4FBC6D5"/>
    <w:multiLevelType w:val="hybridMultilevel"/>
    <w:tmpl w:val="B9B02FDE"/>
    <w:lvl w:ilvl="0">
      <w:start w:val="1"/>
      <w:numFmt w:val="bullet"/>
      <w:lvlText w:val="-"/>
      <w:lvlJc w:val="left"/>
      <w:pPr>
        <w:ind w:left="720" w:hanging="360"/>
      </w:pPr>
      <w:rPr>
        <w:rFonts w:ascii="Aptos" w:hAnsi="Apto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nsid w:val="213FDE5D"/>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nsid w:val="25DE77A7"/>
    <w:multiLevelType w:val="hybridMultilevel"/>
    <w:tmpl w:val="07B897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2D9A0DCF"/>
    <w:multiLevelType w:val="hybridMultilevel"/>
    <w:tmpl w:val="6856142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nsid w:val="394D930B"/>
    <w:multiLevelType w:val="hybridMultilevel"/>
    <w:tmpl w:val="FFFFFFFF"/>
    <w:lvl w:ilvl="0">
      <w:start w:val="1"/>
      <w:numFmt w:val="bullet"/>
      <w:lvlText w:val="-"/>
      <w:lvlJc w:val="left"/>
      <w:pPr>
        <w:ind w:left="720" w:hanging="360"/>
      </w:pPr>
      <w:rPr>
        <w:rFonts w:ascii="Aptos" w:hAnsi="Apto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nsid w:val="3F76619A"/>
    <w:multiLevelType w:val="hybridMultilevel"/>
    <w:tmpl w:val="4E48B28A"/>
    <w:lvl w:ilvl="0">
      <w:start w:val="1"/>
      <w:numFmt w:val="bullet"/>
      <w:lvlText w:val=""/>
      <w:lvlJc w:val="left"/>
      <w:pPr>
        <w:ind w:left="1440" w:hanging="360"/>
      </w:pPr>
      <w:rPr>
        <w:rFonts w:ascii="Wingdings" w:hAnsi="Wingding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6">
    <w:nsid w:val="48CF98A7"/>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nsid w:val="4ACE4819"/>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nsid w:val="546C1AB1"/>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nsid w:val="69155FE0"/>
    <w:multiLevelType w:val="hybridMultilevel"/>
    <w:tmpl w:val="7784987C"/>
    <w:lvl w:ilvl="0">
      <w:start w:val="1"/>
      <w:numFmt w:val="decimal"/>
      <w:lvlText w:val="%1."/>
      <w:lvlJc w:val="left"/>
      <w:pPr>
        <w:ind w:left="866" w:hanging="360"/>
      </w:pPr>
      <w:rPr>
        <w:b/>
        <w:bCs/>
        <w:lang w:val="en-IE"/>
      </w:rPr>
    </w:lvl>
    <w:lvl w:ilvl="1">
      <w:start w:val="1"/>
      <w:numFmt w:val="lowerLetter"/>
      <w:lvlText w:val="%2."/>
      <w:lvlJc w:val="left"/>
      <w:pPr>
        <w:ind w:left="1586" w:hanging="360"/>
      </w:pPr>
    </w:lvl>
    <w:lvl w:ilvl="2">
      <w:start w:val="1"/>
      <w:numFmt w:val="lowerRoman"/>
      <w:lvlText w:val="%3."/>
      <w:lvlJc w:val="right"/>
      <w:pPr>
        <w:ind w:left="2306" w:hanging="180"/>
      </w:pPr>
    </w:lvl>
    <w:lvl w:ilvl="3">
      <w:start w:val="1"/>
      <w:numFmt w:val="decimal"/>
      <w:lvlText w:val="%4."/>
      <w:lvlJc w:val="left"/>
      <w:pPr>
        <w:ind w:left="3026" w:hanging="360"/>
      </w:pPr>
    </w:lvl>
    <w:lvl w:ilvl="4">
      <w:start w:val="1"/>
      <w:numFmt w:val="lowerLetter"/>
      <w:lvlText w:val="%5."/>
      <w:lvlJc w:val="left"/>
      <w:pPr>
        <w:ind w:left="3746" w:hanging="360"/>
      </w:pPr>
    </w:lvl>
    <w:lvl w:ilvl="5">
      <w:start w:val="1"/>
      <w:numFmt w:val="lowerRoman"/>
      <w:lvlText w:val="%6."/>
      <w:lvlJc w:val="right"/>
      <w:pPr>
        <w:ind w:left="4466" w:hanging="180"/>
      </w:pPr>
    </w:lvl>
    <w:lvl w:ilvl="6">
      <w:start w:val="1"/>
      <w:numFmt w:val="decimal"/>
      <w:lvlText w:val="%7."/>
      <w:lvlJc w:val="left"/>
      <w:pPr>
        <w:ind w:left="5186" w:hanging="360"/>
      </w:pPr>
    </w:lvl>
    <w:lvl w:ilvl="7">
      <w:start w:val="1"/>
      <w:numFmt w:val="lowerLetter"/>
      <w:lvlText w:val="%8."/>
      <w:lvlJc w:val="left"/>
      <w:pPr>
        <w:ind w:left="5906" w:hanging="360"/>
      </w:pPr>
    </w:lvl>
    <w:lvl w:ilvl="8">
      <w:start w:val="1"/>
      <w:numFmt w:val="lowerRoman"/>
      <w:lvlText w:val="%9."/>
      <w:lvlJc w:val="right"/>
      <w:pPr>
        <w:ind w:left="6626" w:hanging="180"/>
      </w:pPr>
    </w:lvl>
  </w:abstractNum>
  <w:abstractNum w:abstractNumId="10">
    <w:nsid w:val="72170732"/>
    <w:multiLevelType w:val="hybridMultilevel"/>
    <w:tmpl w:val="8482E4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796433A8"/>
    <w:multiLevelType w:val="hybridMultilevel"/>
    <w:tmpl w:val="093ECB1A"/>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7D9BB65F"/>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532690065">
    <w:abstractNumId w:val="0"/>
  </w:num>
  <w:num w:numId="2" w16cid:durableId="723678420">
    <w:abstractNumId w:val="3"/>
  </w:num>
  <w:num w:numId="3" w16cid:durableId="456878603">
    <w:abstractNumId w:val="6"/>
  </w:num>
  <w:num w:numId="4" w16cid:durableId="1599023785">
    <w:abstractNumId w:val="1"/>
  </w:num>
  <w:num w:numId="5" w16cid:durableId="451872625">
    <w:abstractNumId w:val="4"/>
  </w:num>
  <w:num w:numId="6" w16cid:durableId="535627596">
    <w:abstractNumId w:val="7"/>
  </w:num>
  <w:num w:numId="7" w16cid:durableId="122508699">
    <w:abstractNumId w:val="8"/>
  </w:num>
  <w:num w:numId="8" w16cid:durableId="2056463463">
    <w:abstractNumId w:val="12"/>
  </w:num>
  <w:num w:numId="9" w16cid:durableId="1035816387">
    <w:abstractNumId w:val="10"/>
  </w:num>
  <w:num w:numId="10" w16cid:durableId="1537042917">
    <w:abstractNumId w:val="2"/>
  </w:num>
  <w:num w:numId="11" w16cid:durableId="167518380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63581998">
    <w:abstractNumId w:val="5"/>
  </w:num>
  <w:num w:numId="13" w16cid:durableId="9494378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2E1"/>
    <w:rsid w:val="00000CC7"/>
    <w:rsid w:val="00003775"/>
    <w:rsid w:val="00006175"/>
    <w:rsid w:val="00006E94"/>
    <w:rsid w:val="000075B8"/>
    <w:rsid w:val="00007AB0"/>
    <w:rsid w:val="00007D15"/>
    <w:rsid w:val="0001524E"/>
    <w:rsid w:val="000178EB"/>
    <w:rsid w:val="00021B8A"/>
    <w:rsid w:val="000229F9"/>
    <w:rsid w:val="00033BDE"/>
    <w:rsid w:val="000359D7"/>
    <w:rsid w:val="00046E41"/>
    <w:rsid w:val="000509A7"/>
    <w:rsid w:val="00055031"/>
    <w:rsid w:val="00056A96"/>
    <w:rsid w:val="00057541"/>
    <w:rsid w:val="000579C5"/>
    <w:rsid w:val="00061AD7"/>
    <w:rsid w:val="00067DF2"/>
    <w:rsid w:val="00071076"/>
    <w:rsid w:val="00083FFF"/>
    <w:rsid w:val="0008412E"/>
    <w:rsid w:val="000855FF"/>
    <w:rsid w:val="00096D99"/>
    <w:rsid w:val="000A30BA"/>
    <w:rsid w:val="000A4D7D"/>
    <w:rsid w:val="000A4E37"/>
    <w:rsid w:val="000A7ADF"/>
    <w:rsid w:val="000B0247"/>
    <w:rsid w:val="000C1960"/>
    <w:rsid w:val="000C1D0E"/>
    <w:rsid w:val="000C6769"/>
    <w:rsid w:val="000D146E"/>
    <w:rsid w:val="000D3064"/>
    <w:rsid w:val="000E21A1"/>
    <w:rsid w:val="000E3812"/>
    <w:rsid w:val="000E4871"/>
    <w:rsid w:val="000E5DD0"/>
    <w:rsid w:val="000F00BE"/>
    <w:rsid w:val="000F1427"/>
    <w:rsid w:val="000F185C"/>
    <w:rsid w:val="000F452A"/>
    <w:rsid w:val="000F7174"/>
    <w:rsid w:val="00102AE8"/>
    <w:rsid w:val="00103142"/>
    <w:rsid w:val="001066D2"/>
    <w:rsid w:val="00110823"/>
    <w:rsid w:val="00115453"/>
    <w:rsid w:val="00117890"/>
    <w:rsid w:val="001178B4"/>
    <w:rsid w:val="00121230"/>
    <w:rsid w:val="001217D9"/>
    <w:rsid w:val="00122BAA"/>
    <w:rsid w:val="00122C2C"/>
    <w:rsid w:val="001308A2"/>
    <w:rsid w:val="001466CE"/>
    <w:rsid w:val="00151490"/>
    <w:rsid w:val="00153EA9"/>
    <w:rsid w:val="001543D6"/>
    <w:rsid w:val="001555AA"/>
    <w:rsid w:val="0015595A"/>
    <w:rsid w:val="00157A70"/>
    <w:rsid w:val="001635E9"/>
    <w:rsid w:val="001645AB"/>
    <w:rsid w:val="001674A8"/>
    <w:rsid w:val="0016768E"/>
    <w:rsid w:val="00173CB8"/>
    <w:rsid w:val="00177A87"/>
    <w:rsid w:val="00184DD8"/>
    <w:rsid w:val="00187334"/>
    <w:rsid w:val="00187820"/>
    <w:rsid w:val="00187C18"/>
    <w:rsid w:val="00194E44"/>
    <w:rsid w:val="00196C46"/>
    <w:rsid w:val="001B1F80"/>
    <w:rsid w:val="001B453B"/>
    <w:rsid w:val="001C0BCB"/>
    <w:rsid w:val="001C60B6"/>
    <w:rsid w:val="001D13C7"/>
    <w:rsid w:val="001F1099"/>
    <w:rsid w:val="001F3F68"/>
    <w:rsid w:val="001F5FAF"/>
    <w:rsid w:val="00201C66"/>
    <w:rsid w:val="0020281E"/>
    <w:rsid w:val="00207AC3"/>
    <w:rsid w:val="00212AA1"/>
    <w:rsid w:val="00213AC3"/>
    <w:rsid w:val="00223247"/>
    <w:rsid w:val="00224F36"/>
    <w:rsid w:val="00233C73"/>
    <w:rsid w:val="00235998"/>
    <w:rsid w:val="0024348E"/>
    <w:rsid w:val="00244DEE"/>
    <w:rsid w:val="002507F0"/>
    <w:rsid w:val="002512FE"/>
    <w:rsid w:val="00251EFA"/>
    <w:rsid w:val="00253582"/>
    <w:rsid w:val="00256747"/>
    <w:rsid w:val="00260804"/>
    <w:rsid w:val="00270E7C"/>
    <w:rsid w:val="002742F1"/>
    <w:rsid w:val="00276270"/>
    <w:rsid w:val="0028174F"/>
    <w:rsid w:val="00285165"/>
    <w:rsid w:val="00292A8B"/>
    <w:rsid w:val="002A1D79"/>
    <w:rsid w:val="002A6AAE"/>
    <w:rsid w:val="002B23FC"/>
    <w:rsid w:val="002C6E18"/>
    <w:rsid w:val="002D1F68"/>
    <w:rsid w:val="002D3DC2"/>
    <w:rsid w:val="002D4A87"/>
    <w:rsid w:val="002E0209"/>
    <w:rsid w:val="002E0454"/>
    <w:rsid w:val="002E64F6"/>
    <w:rsid w:val="002E7D36"/>
    <w:rsid w:val="002F36E7"/>
    <w:rsid w:val="002F50BF"/>
    <w:rsid w:val="002F6251"/>
    <w:rsid w:val="003026CD"/>
    <w:rsid w:val="00304AA5"/>
    <w:rsid w:val="00307C46"/>
    <w:rsid w:val="0031148F"/>
    <w:rsid w:val="00311903"/>
    <w:rsid w:val="00317414"/>
    <w:rsid w:val="003204F1"/>
    <w:rsid w:val="00323466"/>
    <w:rsid w:val="00326BED"/>
    <w:rsid w:val="00327670"/>
    <w:rsid w:val="003441C1"/>
    <w:rsid w:val="00345C16"/>
    <w:rsid w:val="003464D9"/>
    <w:rsid w:val="00355F65"/>
    <w:rsid w:val="00357688"/>
    <w:rsid w:val="00365F38"/>
    <w:rsid w:val="00373FA0"/>
    <w:rsid w:val="00374B62"/>
    <w:rsid w:val="0038064F"/>
    <w:rsid w:val="0038357B"/>
    <w:rsid w:val="00396061"/>
    <w:rsid w:val="003A4C6E"/>
    <w:rsid w:val="003B1AC9"/>
    <w:rsid w:val="003B334C"/>
    <w:rsid w:val="003B60C8"/>
    <w:rsid w:val="003C06CE"/>
    <w:rsid w:val="003D3106"/>
    <w:rsid w:val="003D3D9A"/>
    <w:rsid w:val="003D4CE9"/>
    <w:rsid w:val="003D5164"/>
    <w:rsid w:val="003E2D1B"/>
    <w:rsid w:val="003E3743"/>
    <w:rsid w:val="003E58AE"/>
    <w:rsid w:val="003F3B22"/>
    <w:rsid w:val="0040208F"/>
    <w:rsid w:val="0040681F"/>
    <w:rsid w:val="00406A71"/>
    <w:rsid w:val="0042029B"/>
    <w:rsid w:val="00423B70"/>
    <w:rsid w:val="004251C7"/>
    <w:rsid w:val="004322E0"/>
    <w:rsid w:val="00437D71"/>
    <w:rsid w:val="00443595"/>
    <w:rsid w:val="00443801"/>
    <w:rsid w:val="004452F7"/>
    <w:rsid w:val="00454B0A"/>
    <w:rsid w:val="00461990"/>
    <w:rsid w:val="004646EE"/>
    <w:rsid w:val="00473475"/>
    <w:rsid w:val="00474FC9"/>
    <w:rsid w:val="00484E9D"/>
    <w:rsid w:val="004903E8"/>
    <w:rsid w:val="004917D4"/>
    <w:rsid w:val="00496DA4"/>
    <w:rsid w:val="0049713D"/>
    <w:rsid w:val="004A0BC1"/>
    <w:rsid w:val="004A78AD"/>
    <w:rsid w:val="004C20EB"/>
    <w:rsid w:val="004C3872"/>
    <w:rsid w:val="004C4748"/>
    <w:rsid w:val="004D2105"/>
    <w:rsid w:val="004D33E0"/>
    <w:rsid w:val="004D3601"/>
    <w:rsid w:val="004D577F"/>
    <w:rsid w:val="004D59D0"/>
    <w:rsid w:val="004E239C"/>
    <w:rsid w:val="004E7894"/>
    <w:rsid w:val="00500232"/>
    <w:rsid w:val="00501EAC"/>
    <w:rsid w:val="005020EE"/>
    <w:rsid w:val="005074B4"/>
    <w:rsid w:val="0051237E"/>
    <w:rsid w:val="00513B65"/>
    <w:rsid w:val="005158F6"/>
    <w:rsid w:val="0052142A"/>
    <w:rsid w:val="0052362E"/>
    <w:rsid w:val="005239AC"/>
    <w:rsid w:val="0053582A"/>
    <w:rsid w:val="0055510D"/>
    <w:rsid w:val="005554A7"/>
    <w:rsid w:val="00556084"/>
    <w:rsid w:val="00560DC4"/>
    <w:rsid w:val="0056291A"/>
    <w:rsid w:val="00564787"/>
    <w:rsid w:val="005673F0"/>
    <w:rsid w:val="00570D14"/>
    <w:rsid w:val="005717D6"/>
    <w:rsid w:val="00574BB0"/>
    <w:rsid w:val="00576846"/>
    <w:rsid w:val="00583237"/>
    <w:rsid w:val="00584867"/>
    <w:rsid w:val="0058549A"/>
    <w:rsid w:val="00587A09"/>
    <w:rsid w:val="00590CD7"/>
    <w:rsid w:val="00590D40"/>
    <w:rsid w:val="005911E5"/>
    <w:rsid w:val="005917EC"/>
    <w:rsid w:val="005A2441"/>
    <w:rsid w:val="005A5238"/>
    <w:rsid w:val="005A637A"/>
    <w:rsid w:val="005C29D8"/>
    <w:rsid w:val="005C3BE7"/>
    <w:rsid w:val="005C3C7F"/>
    <w:rsid w:val="005D0502"/>
    <w:rsid w:val="005D3E39"/>
    <w:rsid w:val="005D4221"/>
    <w:rsid w:val="005D52E2"/>
    <w:rsid w:val="005D785F"/>
    <w:rsid w:val="005E32CD"/>
    <w:rsid w:val="005E4B7C"/>
    <w:rsid w:val="005E7F8E"/>
    <w:rsid w:val="005F62E1"/>
    <w:rsid w:val="005F6D9C"/>
    <w:rsid w:val="00604BF7"/>
    <w:rsid w:val="00604FDE"/>
    <w:rsid w:val="00605819"/>
    <w:rsid w:val="0060D08A"/>
    <w:rsid w:val="0061017E"/>
    <w:rsid w:val="00611D6B"/>
    <w:rsid w:val="00615206"/>
    <w:rsid w:val="00616730"/>
    <w:rsid w:val="006167DB"/>
    <w:rsid w:val="00621D37"/>
    <w:rsid w:val="00623C11"/>
    <w:rsid w:val="00625225"/>
    <w:rsid w:val="00625B78"/>
    <w:rsid w:val="006350D5"/>
    <w:rsid w:val="006414B1"/>
    <w:rsid w:val="00643463"/>
    <w:rsid w:val="006502EF"/>
    <w:rsid w:val="006605D1"/>
    <w:rsid w:val="00661E91"/>
    <w:rsid w:val="00662770"/>
    <w:rsid w:val="0067298F"/>
    <w:rsid w:val="00675DFB"/>
    <w:rsid w:val="00676244"/>
    <w:rsid w:val="006763E8"/>
    <w:rsid w:val="00676CA4"/>
    <w:rsid w:val="00680D8D"/>
    <w:rsid w:val="006944DD"/>
    <w:rsid w:val="00694E89"/>
    <w:rsid w:val="00695A1F"/>
    <w:rsid w:val="00695E83"/>
    <w:rsid w:val="006A086F"/>
    <w:rsid w:val="006A3FA6"/>
    <w:rsid w:val="006A4038"/>
    <w:rsid w:val="006A47BD"/>
    <w:rsid w:val="006B0DE9"/>
    <w:rsid w:val="006B54F5"/>
    <w:rsid w:val="006C128F"/>
    <w:rsid w:val="006C5487"/>
    <w:rsid w:val="006C5D82"/>
    <w:rsid w:val="006C7F31"/>
    <w:rsid w:val="006D1328"/>
    <w:rsid w:val="006E1BEB"/>
    <w:rsid w:val="006F16F7"/>
    <w:rsid w:val="00702099"/>
    <w:rsid w:val="007044A5"/>
    <w:rsid w:val="007051ED"/>
    <w:rsid w:val="00705F93"/>
    <w:rsid w:val="00706CD3"/>
    <w:rsid w:val="00706D0E"/>
    <w:rsid w:val="0070706A"/>
    <w:rsid w:val="00707A24"/>
    <w:rsid w:val="00711517"/>
    <w:rsid w:val="00717EF5"/>
    <w:rsid w:val="007216C0"/>
    <w:rsid w:val="00723C92"/>
    <w:rsid w:val="00723F00"/>
    <w:rsid w:val="00731BF2"/>
    <w:rsid w:val="007323A4"/>
    <w:rsid w:val="007336CE"/>
    <w:rsid w:val="0073605B"/>
    <w:rsid w:val="00736C41"/>
    <w:rsid w:val="0074328B"/>
    <w:rsid w:val="007433F2"/>
    <w:rsid w:val="0074378A"/>
    <w:rsid w:val="00746D83"/>
    <w:rsid w:val="0074739B"/>
    <w:rsid w:val="00750060"/>
    <w:rsid w:val="00750CF1"/>
    <w:rsid w:val="00757908"/>
    <w:rsid w:val="00762F3A"/>
    <w:rsid w:val="007638B7"/>
    <w:rsid w:val="00764821"/>
    <w:rsid w:val="007661F2"/>
    <w:rsid w:val="00767D07"/>
    <w:rsid w:val="007705B9"/>
    <w:rsid w:val="00770C42"/>
    <w:rsid w:val="007724B1"/>
    <w:rsid w:val="00774162"/>
    <w:rsid w:val="00775E6D"/>
    <w:rsid w:val="00776B23"/>
    <w:rsid w:val="007773F3"/>
    <w:rsid w:val="00782F5B"/>
    <w:rsid w:val="00783645"/>
    <w:rsid w:val="007859DC"/>
    <w:rsid w:val="00786FD6"/>
    <w:rsid w:val="00790ECB"/>
    <w:rsid w:val="0079124C"/>
    <w:rsid w:val="00791ABA"/>
    <w:rsid w:val="00793D0B"/>
    <w:rsid w:val="00794FC6"/>
    <w:rsid w:val="00795935"/>
    <w:rsid w:val="007A278E"/>
    <w:rsid w:val="007A4E81"/>
    <w:rsid w:val="007B135E"/>
    <w:rsid w:val="007C0C3B"/>
    <w:rsid w:val="007C4A93"/>
    <w:rsid w:val="007C6526"/>
    <w:rsid w:val="007D2920"/>
    <w:rsid w:val="007D4094"/>
    <w:rsid w:val="007E7A6C"/>
    <w:rsid w:val="007F0E87"/>
    <w:rsid w:val="007F3248"/>
    <w:rsid w:val="007F551D"/>
    <w:rsid w:val="00804B8D"/>
    <w:rsid w:val="00811E68"/>
    <w:rsid w:val="00821B45"/>
    <w:rsid w:val="00830E87"/>
    <w:rsid w:val="0083167E"/>
    <w:rsid w:val="0083236C"/>
    <w:rsid w:val="00836F89"/>
    <w:rsid w:val="00840B6C"/>
    <w:rsid w:val="00847B47"/>
    <w:rsid w:val="00853C1C"/>
    <w:rsid w:val="00857A2E"/>
    <w:rsid w:val="00863E82"/>
    <w:rsid w:val="008643CF"/>
    <w:rsid w:val="00874143"/>
    <w:rsid w:val="00880F79"/>
    <w:rsid w:val="008830A2"/>
    <w:rsid w:val="00885B04"/>
    <w:rsid w:val="00887A09"/>
    <w:rsid w:val="00891444"/>
    <w:rsid w:val="008A3ABE"/>
    <w:rsid w:val="008A3BD5"/>
    <w:rsid w:val="008B015E"/>
    <w:rsid w:val="008B4879"/>
    <w:rsid w:val="008B4AB5"/>
    <w:rsid w:val="008C0D63"/>
    <w:rsid w:val="008C0ECE"/>
    <w:rsid w:val="008C20E6"/>
    <w:rsid w:val="008C236C"/>
    <w:rsid w:val="008C34A5"/>
    <w:rsid w:val="008D1EFC"/>
    <w:rsid w:val="008D45AF"/>
    <w:rsid w:val="008D78F2"/>
    <w:rsid w:val="008E0CF7"/>
    <w:rsid w:val="008E218D"/>
    <w:rsid w:val="008E3560"/>
    <w:rsid w:val="008F016A"/>
    <w:rsid w:val="008F52BB"/>
    <w:rsid w:val="00905B9C"/>
    <w:rsid w:val="00906E07"/>
    <w:rsid w:val="0090786C"/>
    <w:rsid w:val="00912A1E"/>
    <w:rsid w:val="00912FB9"/>
    <w:rsid w:val="00920001"/>
    <w:rsid w:val="009214AE"/>
    <w:rsid w:val="00922D76"/>
    <w:rsid w:val="00922FE7"/>
    <w:rsid w:val="009419A3"/>
    <w:rsid w:val="00944E2A"/>
    <w:rsid w:val="00950928"/>
    <w:rsid w:val="00950EA4"/>
    <w:rsid w:val="00951FBA"/>
    <w:rsid w:val="0096301E"/>
    <w:rsid w:val="00966B1F"/>
    <w:rsid w:val="009726BD"/>
    <w:rsid w:val="0097778F"/>
    <w:rsid w:val="009813CE"/>
    <w:rsid w:val="00981E4A"/>
    <w:rsid w:val="009906BC"/>
    <w:rsid w:val="009976A6"/>
    <w:rsid w:val="009A571A"/>
    <w:rsid w:val="009A6F71"/>
    <w:rsid w:val="009B1793"/>
    <w:rsid w:val="009B71FC"/>
    <w:rsid w:val="009C026A"/>
    <w:rsid w:val="009C3D98"/>
    <w:rsid w:val="009C680A"/>
    <w:rsid w:val="009D1233"/>
    <w:rsid w:val="009D2E38"/>
    <w:rsid w:val="009E121C"/>
    <w:rsid w:val="009E5BD0"/>
    <w:rsid w:val="009F25F4"/>
    <w:rsid w:val="009F642F"/>
    <w:rsid w:val="00A00722"/>
    <w:rsid w:val="00A065B8"/>
    <w:rsid w:val="00A0733B"/>
    <w:rsid w:val="00A12B89"/>
    <w:rsid w:val="00A24844"/>
    <w:rsid w:val="00A24E10"/>
    <w:rsid w:val="00A35E3E"/>
    <w:rsid w:val="00A370BA"/>
    <w:rsid w:val="00A414BA"/>
    <w:rsid w:val="00A44625"/>
    <w:rsid w:val="00A50693"/>
    <w:rsid w:val="00A57199"/>
    <w:rsid w:val="00A616AE"/>
    <w:rsid w:val="00A62765"/>
    <w:rsid w:val="00A70D5A"/>
    <w:rsid w:val="00A71D5D"/>
    <w:rsid w:val="00A762DC"/>
    <w:rsid w:val="00A76979"/>
    <w:rsid w:val="00A85F8E"/>
    <w:rsid w:val="00A920E0"/>
    <w:rsid w:val="00A92BF1"/>
    <w:rsid w:val="00AA6EF8"/>
    <w:rsid w:val="00AB1F7B"/>
    <w:rsid w:val="00AC0473"/>
    <w:rsid w:val="00AC1BB8"/>
    <w:rsid w:val="00AC52CD"/>
    <w:rsid w:val="00AC6F29"/>
    <w:rsid w:val="00AD0821"/>
    <w:rsid w:val="00AF28D4"/>
    <w:rsid w:val="00AF4CA3"/>
    <w:rsid w:val="00AF578D"/>
    <w:rsid w:val="00AF723B"/>
    <w:rsid w:val="00B00F1C"/>
    <w:rsid w:val="00B05BEF"/>
    <w:rsid w:val="00B13297"/>
    <w:rsid w:val="00B14489"/>
    <w:rsid w:val="00B22910"/>
    <w:rsid w:val="00B24367"/>
    <w:rsid w:val="00B32422"/>
    <w:rsid w:val="00B41A5B"/>
    <w:rsid w:val="00B43FCF"/>
    <w:rsid w:val="00B53D5C"/>
    <w:rsid w:val="00B57073"/>
    <w:rsid w:val="00B623AF"/>
    <w:rsid w:val="00B653ED"/>
    <w:rsid w:val="00B7252E"/>
    <w:rsid w:val="00B75F3C"/>
    <w:rsid w:val="00B7636C"/>
    <w:rsid w:val="00B76E2F"/>
    <w:rsid w:val="00B82E17"/>
    <w:rsid w:val="00B83288"/>
    <w:rsid w:val="00B83525"/>
    <w:rsid w:val="00B83560"/>
    <w:rsid w:val="00B86C1C"/>
    <w:rsid w:val="00BA6138"/>
    <w:rsid w:val="00BA73E5"/>
    <w:rsid w:val="00BA7A6E"/>
    <w:rsid w:val="00BA7EB6"/>
    <w:rsid w:val="00BB08ED"/>
    <w:rsid w:val="00BB44BA"/>
    <w:rsid w:val="00BC0623"/>
    <w:rsid w:val="00BD2604"/>
    <w:rsid w:val="00BD3341"/>
    <w:rsid w:val="00BD5E09"/>
    <w:rsid w:val="00BD7C17"/>
    <w:rsid w:val="00BE2093"/>
    <w:rsid w:val="00BE4425"/>
    <w:rsid w:val="00BE5616"/>
    <w:rsid w:val="00BE5AF8"/>
    <w:rsid w:val="00BF1C33"/>
    <w:rsid w:val="00BF7267"/>
    <w:rsid w:val="00C00634"/>
    <w:rsid w:val="00C04815"/>
    <w:rsid w:val="00C04D42"/>
    <w:rsid w:val="00C06D20"/>
    <w:rsid w:val="00C075A5"/>
    <w:rsid w:val="00C07C78"/>
    <w:rsid w:val="00C11B49"/>
    <w:rsid w:val="00C3256A"/>
    <w:rsid w:val="00C3334E"/>
    <w:rsid w:val="00C33929"/>
    <w:rsid w:val="00C34898"/>
    <w:rsid w:val="00C35863"/>
    <w:rsid w:val="00C46E4C"/>
    <w:rsid w:val="00C51874"/>
    <w:rsid w:val="00C51F6A"/>
    <w:rsid w:val="00C5432B"/>
    <w:rsid w:val="00C5465D"/>
    <w:rsid w:val="00C57B09"/>
    <w:rsid w:val="00C61108"/>
    <w:rsid w:val="00C61A41"/>
    <w:rsid w:val="00C6543F"/>
    <w:rsid w:val="00C660B5"/>
    <w:rsid w:val="00C7303E"/>
    <w:rsid w:val="00C75D90"/>
    <w:rsid w:val="00C8097C"/>
    <w:rsid w:val="00C84ABD"/>
    <w:rsid w:val="00C859F4"/>
    <w:rsid w:val="00C93D31"/>
    <w:rsid w:val="00C941B3"/>
    <w:rsid w:val="00C948F0"/>
    <w:rsid w:val="00C95853"/>
    <w:rsid w:val="00C967AC"/>
    <w:rsid w:val="00CA4BC8"/>
    <w:rsid w:val="00CAEE72"/>
    <w:rsid w:val="00CB198A"/>
    <w:rsid w:val="00CB4075"/>
    <w:rsid w:val="00CB74F5"/>
    <w:rsid w:val="00CC6445"/>
    <w:rsid w:val="00CD478B"/>
    <w:rsid w:val="00CE083E"/>
    <w:rsid w:val="00CE54C0"/>
    <w:rsid w:val="00CE5C40"/>
    <w:rsid w:val="00CE71EC"/>
    <w:rsid w:val="00CF091C"/>
    <w:rsid w:val="00D02786"/>
    <w:rsid w:val="00D02847"/>
    <w:rsid w:val="00D0791F"/>
    <w:rsid w:val="00D14745"/>
    <w:rsid w:val="00D153C8"/>
    <w:rsid w:val="00D17CA5"/>
    <w:rsid w:val="00D236D3"/>
    <w:rsid w:val="00D2594F"/>
    <w:rsid w:val="00D34240"/>
    <w:rsid w:val="00D43390"/>
    <w:rsid w:val="00D4562C"/>
    <w:rsid w:val="00D46CFC"/>
    <w:rsid w:val="00D549D6"/>
    <w:rsid w:val="00D55CC7"/>
    <w:rsid w:val="00D56412"/>
    <w:rsid w:val="00D570A5"/>
    <w:rsid w:val="00D57716"/>
    <w:rsid w:val="00D61623"/>
    <w:rsid w:val="00D6418F"/>
    <w:rsid w:val="00D64F45"/>
    <w:rsid w:val="00D67E54"/>
    <w:rsid w:val="00D70425"/>
    <w:rsid w:val="00D72E90"/>
    <w:rsid w:val="00D77F15"/>
    <w:rsid w:val="00D97FA3"/>
    <w:rsid w:val="00DA2013"/>
    <w:rsid w:val="00DA22C2"/>
    <w:rsid w:val="00DA2FC2"/>
    <w:rsid w:val="00DB4C6F"/>
    <w:rsid w:val="00DB7798"/>
    <w:rsid w:val="00DC0B1C"/>
    <w:rsid w:val="00DD40AD"/>
    <w:rsid w:val="00DE0302"/>
    <w:rsid w:val="00DE5D47"/>
    <w:rsid w:val="00DF17A0"/>
    <w:rsid w:val="00DF59A1"/>
    <w:rsid w:val="00DF5D86"/>
    <w:rsid w:val="00E07661"/>
    <w:rsid w:val="00E10018"/>
    <w:rsid w:val="00E12272"/>
    <w:rsid w:val="00E13A37"/>
    <w:rsid w:val="00E2043F"/>
    <w:rsid w:val="00E212C6"/>
    <w:rsid w:val="00E21F26"/>
    <w:rsid w:val="00E24C6E"/>
    <w:rsid w:val="00E25EBC"/>
    <w:rsid w:val="00E373AE"/>
    <w:rsid w:val="00E41152"/>
    <w:rsid w:val="00E43F5A"/>
    <w:rsid w:val="00E44FA1"/>
    <w:rsid w:val="00E46538"/>
    <w:rsid w:val="00E540D1"/>
    <w:rsid w:val="00E5659E"/>
    <w:rsid w:val="00E63920"/>
    <w:rsid w:val="00E63B9D"/>
    <w:rsid w:val="00E63D45"/>
    <w:rsid w:val="00E6A60F"/>
    <w:rsid w:val="00E80868"/>
    <w:rsid w:val="00E81985"/>
    <w:rsid w:val="00E822E3"/>
    <w:rsid w:val="00E827AB"/>
    <w:rsid w:val="00E91792"/>
    <w:rsid w:val="00E92A16"/>
    <w:rsid w:val="00E94E8F"/>
    <w:rsid w:val="00EA0998"/>
    <w:rsid w:val="00EA10F0"/>
    <w:rsid w:val="00EA33AF"/>
    <w:rsid w:val="00EA3FAE"/>
    <w:rsid w:val="00EA6D13"/>
    <w:rsid w:val="00EB02E4"/>
    <w:rsid w:val="00EB05DE"/>
    <w:rsid w:val="00EB0D4B"/>
    <w:rsid w:val="00EB527A"/>
    <w:rsid w:val="00EB6671"/>
    <w:rsid w:val="00EB7833"/>
    <w:rsid w:val="00EC647B"/>
    <w:rsid w:val="00EC6EEA"/>
    <w:rsid w:val="00ED4C52"/>
    <w:rsid w:val="00EE0473"/>
    <w:rsid w:val="00EE2929"/>
    <w:rsid w:val="00EE33C6"/>
    <w:rsid w:val="00EE4732"/>
    <w:rsid w:val="00EE4B08"/>
    <w:rsid w:val="00EE4BD5"/>
    <w:rsid w:val="00EF165F"/>
    <w:rsid w:val="00EF1856"/>
    <w:rsid w:val="00EF3599"/>
    <w:rsid w:val="00EF76C7"/>
    <w:rsid w:val="00F05DEC"/>
    <w:rsid w:val="00F06712"/>
    <w:rsid w:val="00F132B2"/>
    <w:rsid w:val="00F16290"/>
    <w:rsid w:val="00F207B9"/>
    <w:rsid w:val="00F22BD6"/>
    <w:rsid w:val="00F2326B"/>
    <w:rsid w:val="00F2B22F"/>
    <w:rsid w:val="00F30641"/>
    <w:rsid w:val="00F366E4"/>
    <w:rsid w:val="00F3737C"/>
    <w:rsid w:val="00F43604"/>
    <w:rsid w:val="00F44FFE"/>
    <w:rsid w:val="00F46634"/>
    <w:rsid w:val="00F55F10"/>
    <w:rsid w:val="00F569E1"/>
    <w:rsid w:val="00F64C91"/>
    <w:rsid w:val="00F6554B"/>
    <w:rsid w:val="00F665BA"/>
    <w:rsid w:val="00F727C0"/>
    <w:rsid w:val="00F75285"/>
    <w:rsid w:val="00F82469"/>
    <w:rsid w:val="00F844C4"/>
    <w:rsid w:val="00F87485"/>
    <w:rsid w:val="00F87A14"/>
    <w:rsid w:val="00F96E56"/>
    <w:rsid w:val="00FB2B11"/>
    <w:rsid w:val="00FB4016"/>
    <w:rsid w:val="00FB5B56"/>
    <w:rsid w:val="00FB72B6"/>
    <w:rsid w:val="00FC52F6"/>
    <w:rsid w:val="00FC5FA4"/>
    <w:rsid w:val="00FC74F0"/>
    <w:rsid w:val="00FD4DB1"/>
    <w:rsid w:val="00FE4047"/>
    <w:rsid w:val="00FF44A9"/>
    <w:rsid w:val="00FF4646"/>
    <w:rsid w:val="00FF5E92"/>
    <w:rsid w:val="00FF677A"/>
    <w:rsid w:val="010DD550"/>
    <w:rsid w:val="01110586"/>
    <w:rsid w:val="01238FF4"/>
    <w:rsid w:val="0125D9C6"/>
    <w:rsid w:val="012BFF40"/>
    <w:rsid w:val="013AC8DF"/>
    <w:rsid w:val="0169B73C"/>
    <w:rsid w:val="01BC0052"/>
    <w:rsid w:val="01FA5BA9"/>
    <w:rsid w:val="02013A5E"/>
    <w:rsid w:val="026319B8"/>
    <w:rsid w:val="02B6B28D"/>
    <w:rsid w:val="02DD7DBC"/>
    <w:rsid w:val="02E9A5BB"/>
    <w:rsid w:val="02F9692E"/>
    <w:rsid w:val="0301608E"/>
    <w:rsid w:val="031A05CD"/>
    <w:rsid w:val="0338D8D0"/>
    <w:rsid w:val="037AB615"/>
    <w:rsid w:val="03D758EC"/>
    <w:rsid w:val="044210C1"/>
    <w:rsid w:val="04C96EB6"/>
    <w:rsid w:val="04D96202"/>
    <w:rsid w:val="0518C3D9"/>
    <w:rsid w:val="0527B59C"/>
    <w:rsid w:val="0598E2A6"/>
    <w:rsid w:val="059D64B2"/>
    <w:rsid w:val="05A0B249"/>
    <w:rsid w:val="05CAE6DB"/>
    <w:rsid w:val="06208F1C"/>
    <w:rsid w:val="0643B396"/>
    <w:rsid w:val="065131DF"/>
    <w:rsid w:val="0670359E"/>
    <w:rsid w:val="0671EBD9"/>
    <w:rsid w:val="06936E4F"/>
    <w:rsid w:val="073DA3D2"/>
    <w:rsid w:val="07529E41"/>
    <w:rsid w:val="07BBED1A"/>
    <w:rsid w:val="080FCBEF"/>
    <w:rsid w:val="084196AE"/>
    <w:rsid w:val="08464F9A"/>
    <w:rsid w:val="087C75D6"/>
    <w:rsid w:val="089ACC6B"/>
    <w:rsid w:val="08AD27D0"/>
    <w:rsid w:val="08AEEE20"/>
    <w:rsid w:val="08B08744"/>
    <w:rsid w:val="08B88039"/>
    <w:rsid w:val="08E2CD75"/>
    <w:rsid w:val="08EAFAA3"/>
    <w:rsid w:val="090601F4"/>
    <w:rsid w:val="090FFE9F"/>
    <w:rsid w:val="0919F88B"/>
    <w:rsid w:val="091E7D12"/>
    <w:rsid w:val="096A7FC8"/>
    <w:rsid w:val="097FB0D0"/>
    <w:rsid w:val="09BC8905"/>
    <w:rsid w:val="09E2823A"/>
    <w:rsid w:val="0A1D33CA"/>
    <w:rsid w:val="0A1E5E05"/>
    <w:rsid w:val="0A221445"/>
    <w:rsid w:val="0A2BB067"/>
    <w:rsid w:val="0A30FD13"/>
    <w:rsid w:val="0A488D63"/>
    <w:rsid w:val="0A77EF2F"/>
    <w:rsid w:val="0A98A177"/>
    <w:rsid w:val="0AB2A780"/>
    <w:rsid w:val="0AD3C965"/>
    <w:rsid w:val="0AD593BB"/>
    <w:rsid w:val="0AFDF0A3"/>
    <w:rsid w:val="0B00C505"/>
    <w:rsid w:val="0B029B19"/>
    <w:rsid w:val="0B27A51C"/>
    <w:rsid w:val="0B46E4DF"/>
    <w:rsid w:val="0B740B58"/>
    <w:rsid w:val="0B8F61E2"/>
    <w:rsid w:val="0BAEA8D2"/>
    <w:rsid w:val="0BC02D53"/>
    <w:rsid w:val="0BDBFADF"/>
    <w:rsid w:val="0C083B2B"/>
    <w:rsid w:val="0C1693E6"/>
    <w:rsid w:val="0C2EA279"/>
    <w:rsid w:val="0C37A6AB"/>
    <w:rsid w:val="0C5B3868"/>
    <w:rsid w:val="0C6DEF35"/>
    <w:rsid w:val="0C71F78C"/>
    <w:rsid w:val="0CAD6F72"/>
    <w:rsid w:val="0CB70E34"/>
    <w:rsid w:val="0CC551DB"/>
    <w:rsid w:val="0CEA1FE6"/>
    <w:rsid w:val="0CFA5652"/>
    <w:rsid w:val="0D76DDEB"/>
    <w:rsid w:val="0DE6D4E9"/>
    <w:rsid w:val="0E0A4A07"/>
    <w:rsid w:val="0E0F5264"/>
    <w:rsid w:val="0E194845"/>
    <w:rsid w:val="0E74B996"/>
    <w:rsid w:val="0E7913A1"/>
    <w:rsid w:val="0E8C68B2"/>
    <w:rsid w:val="0E9BA048"/>
    <w:rsid w:val="0E9F16AC"/>
    <w:rsid w:val="0EA6D9D9"/>
    <w:rsid w:val="0EADAB6E"/>
    <w:rsid w:val="0ED7B019"/>
    <w:rsid w:val="0EDF1210"/>
    <w:rsid w:val="0EFFF893"/>
    <w:rsid w:val="0F0C0A48"/>
    <w:rsid w:val="0F53DEA8"/>
    <w:rsid w:val="0F7DA0F4"/>
    <w:rsid w:val="0FA4FCF0"/>
    <w:rsid w:val="0FC1ABFE"/>
    <w:rsid w:val="0FF4BA95"/>
    <w:rsid w:val="100F4C6B"/>
    <w:rsid w:val="10368294"/>
    <w:rsid w:val="1046DD39"/>
    <w:rsid w:val="1060B5D0"/>
    <w:rsid w:val="107D4EEB"/>
    <w:rsid w:val="10B16742"/>
    <w:rsid w:val="10E7F75E"/>
    <w:rsid w:val="10FB56B5"/>
    <w:rsid w:val="1104B155"/>
    <w:rsid w:val="1120B25A"/>
    <w:rsid w:val="11245891"/>
    <w:rsid w:val="112F8ACF"/>
    <w:rsid w:val="113BDB76"/>
    <w:rsid w:val="1148BB50"/>
    <w:rsid w:val="11631378"/>
    <w:rsid w:val="1168FF35"/>
    <w:rsid w:val="119DB53E"/>
    <w:rsid w:val="11A649E0"/>
    <w:rsid w:val="11CC992A"/>
    <w:rsid w:val="11D3415F"/>
    <w:rsid w:val="11E20438"/>
    <w:rsid w:val="11F468C5"/>
    <w:rsid w:val="120CCD7B"/>
    <w:rsid w:val="124021B5"/>
    <w:rsid w:val="12B81667"/>
    <w:rsid w:val="12D4C6AA"/>
    <w:rsid w:val="1322FF1B"/>
    <w:rsid w:val="134FEAF3"/>
    <w:rsid w:val="13587AF6"/>
    <w:rsid w:val="135DD401"/>
    <w:rsid w:val="13743DFB"/>
    <w:rsid w:val="137C8570"/>
    <w:rsid w:val="137C9846"/>
    <w:rsid w:val="137EA218"/>
    <w:rsid w:val="13EFE38B"/>
    <w:rsid w:val="13F221B6"/>
    <w:rsid w:val="1421975B"/>
    <w:rsid w:val="14374CF2"/>
    <w:rsid w:val="1437896F"/>
    <w:rsid w:val="1448E5F1"/>
    <w:rsid w:val="14500689"/>
    <w:rsid w:val="1452DADC"/>
    <w:rsid w:val="1464538B"/>
    <w:rsid w:val="146E4B94"/>
    <w:rsid w:val="14928431"/>
    <w:rsid w:val="149A14AF"/>
    <w:rsid w:val="149F86D7"/>
    <w:rsid w:val="152A4AB7"/>
    <w:rsid w:val="152FA4FC"/>
    <w:rsid w:val="1549A833"/>
    <w:rsid w:val="157A0C70"/>
    <w:rsid w:val="15911A84"/>
    <w:rsid w:val="1593D6F8"/>
    <w:rsid w:val="15F5AF1D"/>
    <w:rsid w:val="15FBEF23"/>
    <w:rsid w:val="1612F154"/>
    <w:rsid w:val="1614A980"/>
    <w:rsid w:val="16B41976"/>
    <w:rsid w:val="16F020CD"/>
    <w:rsid w:val="17417096"/>
    <w:rsid w:val="17B2748B"/>
    <w:rsid w:val="17C3AF1C"/>
    <w:rsid w:val="17EF633D"/>
    <w:rsid w:val="1815F264"/>
    <w:rsid w:val="18187AED"/>
    <w:rsid w:val="182D80E6"/>
    <w:rsid w:val="183723E6"/>
    <w:rsid w:val="18396739"/>
    <w:rsid w:val="183E0AB9"/>
    <w:rsid w:val="186021B8"/>
    <w:rsid w:val="187AACDA"/>
    <w:rsid w:val="18BEE9FD"/>
    <w:rsid w:val="18E15898"/>
    <w:rsid w:val="18ED30DE"/>
    <w:rsid w:val="18FCEB31"/>
    <w:rsid w:val="19101E45"/>
    <w:rsid w:val="1917B272"/>
    <w:rsid w:val="194FAEAE"/>
    <w:rsid w:val="197C533A"/>
    <w:rsid w:val="1989D8F8"/>
    <w:rsid w:val="1A107AA4"/>
    <w:rsid w:val="1A181042"/>
    <w:rsid w:val="1A6C3268"/>
    <w:rsid w:val="1A870222"/>
    <w:rsid w:val="1A9C6F54"/>
    <w:rsid w:val="1AB2F1CF"/>
    <w:rsid w:val="1ABC02DC"/>
    <w:rsid w:val="1ACA287F"/>
    <w:rsid w:val="1AEDF332"/>
    <w:rsid w:val="1AF0E9A2"/>
    <w:rsid w:val="1B14F5B0"/>
    <w:rsid w:val="1B4E3636"/>
    <w:rsid w:val="1B4E9E52"/>
    <w:rsid w:val="1B58B93A"/>
    <w:rsid w:val="1BB29FE1"/>
    <w:rsid w:val="1BB69DE2"/>
    <w:rsid w:val="1BB7565C"/>
    <w:rsid w:val="1C100D87"/>
    <w:rsid w:val="1C4DEF72"/>
    <w:rsid w:val="1CB7FC19"/>
    <w:rsid w:val="1CCE2B09"/>
    <w:rsid w:val="1CD251EA"/>
    <w:rsid w:val="1CD3A133"/>
    <w:rsid w:val="1D20EC4A"/>
    <w:rsid w:val="1D24B636"/>
    <w:rsid w:val="1D684554"/>
    <w:rsid w:val="1D776F2C"/>
    <w:rsid w:val="1D7CB972"/>
    <w:rsid w:val="1E1B343D"/>
    <w:rsid w:val="1E1B7E7A"/>
    <w:rsid w:val="1E708C5E"/>
    <w:rsid w:val="1E73CE76"/>
    <w:rsid w:val="1EE5A136"/>
    <w:rsid w:val="1F001C0A"/>
    <w:rsid w:val="1F0356C6"/>
    <w:rsid w:val="1F09C7D3"/>
    <w:rsid w:val="1F6F4ECC"/>
    <w:rsid w:val="1F7E03AC"/>
    <w:rsid w:val="1F82DA36"/>
    <w:rsid w:val="1FB2DF70"/>
    <w:rsid w:val="1FD5CAC6"/>
    <w:rsid w:val="1FE6D175"/>
    <w:rsid w:val="1FED42C3"/>
    <w:rsid w:val="203173E6"/>
    <w:rsid w:val="20819E3E"/>
    <w:rsid w:val="20889754"/>
    <w:rsid w:val="20AC7986"/>
    <w:rsid w:val="20B573E9"/>
    <w:rsid w:val="20CFC77F"/>
    <w:rsid w:val="20DEF6F3"/>
    <w:rsid w:val="20F8CAAD"/>
    <w:rsid w:val="20FD2FD1"/>
    <w:rsid w:val="2101DBE8"/>
    <w:rsid w:val="210C3A69"/>
    <w:rsid w:val="2127877D"/>
    <w:rsid w:val="218A9E5C"/>
    <w:rsid w:val="21BAE791"/>
    <w:rsid w:val="21BB83A7"/>
    <w:rsid w:val="21C5DFDF"/>
    <w:rsid w:val="21DD923D"/>
    <w:rsid w:val="222E8A36"/>
    <w:rsid w:val="223B2FF2"/>
    <w:rsid w:val="225D0CC4"/>
    <w:rsid w:val="22718B6E"/>
    <w:rsid w:val="2287B8B6"/>
    <w:rsid w:val="233DF80D"/>
    <w:rsid w:val="23434896"/>
    <w:rsid w:val="2347E99C"/>
    <w:rsid w:val="234FEED0"/>
    <w:rsid w:val="2367B62D"/>
    <w:rsid w:val="239268EE"/>
    <w:rsid w:val="23959AB9"/>
    <w:rsid w:val="23D85699"/>
    <w:rsid w:val="23E16514"/>
    <w:rsid w:val="23E66089"/>
    <w:rsid w:val="24141AEA"/>
    <w:rsid w:val="248692EF"/>
    <w:rsid w:val="24A012FC"/>
    <w:rsid w:val="253766EC"/>
    <w:rsid w:val="25529C57"/>
    <w:rsid w:val="2557DAE4"/>
    <w:rsid w:val="258B1A0C"/>
    <w:rsid w:val="25DFE563"/>
    <w:rsid w:val="25F9EC86"/>
    <w:rsid w:val="26010817"/>
    <w:rsid w:val="261B7388"/>
    <w:rsid w:val="263507AA"/>
    <w:rsid w:val="26497AA9"/>
    <w:rsid w:val="264E4559"/>
    <w:rsid w:val="26958F49"/>
    <w:rsid w:val="269E9C0D"/>
    <w:rsid w:val="26D40939"/>
    <w:rsid w:val="26F2CF1A"/>
    <w:rsid w:val="272025C3"/>
    <w:rsid w:val="273C3DD3"/>
    <w:rsid w:val="2757E32A"/>
    <w:rsid w:val="27665E8D"/>
    <w:rsid w:val="27ADBCC0"/>
    <w:rsid w:val="27C49C6E"/>
    <w:rsid w:val="27D40E75"/>
    <w:rsid w:val="28648B7C"/>
    <w:rsid w:val="2876DC9F"/>
    <w:rsid w:val="2890991B"/>
    <w:rsid w:val="28B27C08"/>
    <w:rsid w:val="28B420BF"/>
    <w:rsid w:val="28CA6C35"/>
    <w:rsid w:val="295C238C"/>
    <w:rsid w:val="2978FED6"/>
    <w:rsid w:val="29957FF4"/>
    <w:rsid w:val="299E2F4B"/>
    <w:rsid w:val="29A02364"/>
    <w:rsid w:val="29A0C434"/>
    <w:rsid w:val="29F1E807"/>
    <w:rsid w:val="2A1014ED"/>
    <w:rsid w:val="2A644B37"/>
    <w:rsid w:val="2A85CDEB"/>
    <w:rsid w:val="2AE720DA"/>
    <w:rsid w:val="2AEAB51B"/>
    <w:rsid w:val="2AEE3D98"/>
    <w:rsid w:val="2AEF823C"/>
    <w:rsid w:val="2AF8420B"/>
    <w:rsid w:val="2B0F13BD"/>
    <w:rsid w:val="2B35CFDF"/>
    <w:rsid w:val="2B3FB2D7"/>
    <w:rsid w:val="2B6DFCA1"/>
    <w:rsid w:val="2B737C6A"/>
    <w:rsid w:val="2B82C9CA"/>
    <w:rsid w:val="2BBEFC07"/>
    <w:rsid w:val="2BE36298"/>
    <w:rsid w:val="2BF776EB"/>
    <w:rsid w:val="2BFE73C0"/>
    <w:rsid w:val="2C0A95FB"/>
    <w:rsid w:val="2C1573EB"/>
    <w:rsid w:val="2C365026"/>
    <w:rsid w:val="2C5C5409"/>
    <w:rsid w:val="2C63C8C0"/>
    <w:rsid w:val="2C7595CE"/>
    <w:rsid w:val="2C78845D"/>
    <w:rsid w:val="2C7D2B71"/>
    <w:rsid w:val="2C9A3013"/>
    <w:rsid w:val="2CA49D98"/>
    <w:rsid w:val="2CAE8936"/>
    <w:rsid w:val="2CB322BC"/>
    <w:rsid w:val="2CB93D23"/>
    <w:rsid w:val="2CC07A60"/>
    <w:rsid w:val="2CC8DF16"/>
    <w:rsid w:val="2CEA9D64"/>
    <w:rsid w:val="2D3FA541"/>
    <w:rsid w:val="2D63FACA"/>
    <w:rsid w:val="2D67BD9C"/>
    <w:rsid w:val="2D7875A8"/>
    <w:rsid w:val="2D9761BC"/>
    <w:rsid w:val="2DAE86B3"/>
    <w:rsid w:val="2DB0A894"/>
    <w:rsid w:val="2DD1A1DA"/>
    <w:rsid w:val="2DFA31A0"/>
    <w:rsid w:val="2E154D44"/>
    <w:rsid w:val="2E736DC7"/>
    <w:rsid w:val="2EA12C1A"/>
    <w:rsid w:val="2EFC540C"/>
    <w:rsid w:val="2F252FD6"/>
    <w:rsid w:val="2F3BD450"/>
    <w:rsid w:val="2F768715"/>
    <w:rsid w:val="2F84883C"/>
    <w:rsid w:val="2FA0F9CF"/>
    <w:rsid w:val="2FB74FDE"/>
    <w:rsid w:val="2FC678DC"/>
    <w:rsid w:val="2FCB68AD"/>
    <w:rsid w:val="2FCE420D"/>
    <w:rsid w:val="2FFC24CE"/>
    <w:rsid w:val="301755DE"/>
    <w:rsid w:val="3050F029"/>
    <w:rsid w:val="30574A00"/>
    <w:rsid w:val="30590DB7"/>
    <w:rsid w:val="306C5D8B"/>
    <w:rsid w:val="3079D7CD"/>
    <w:rsid w:val="309744B3"/>
    <w:rsid w:val="30FE76F6"/>
    <w:rsid w:val="311042CE"/>
    <w:rsid w:val="312C7814"/>
    <w:rsid w:val="313F2BC3"/>
    <w:rsid w:val="314B417E"/>
    <w:rsid w:val="314F2A4F"/>
    <w:rsid w:val="315A4A47"/>
    <w:rsid w:val="316659A7"/>
    <w:rsid w:val="3184D739"/>
    <w:rsid w:val="3190DF94"/>
    <w:rsid w:val="31A1C0EF"/>
    <w:rsid w:val="31B6B55C"/>
    <w:rsid w:val="31E4BB16"/>
    <w:rsid w:val="31EEE653"/>
    <w:rsid w:val="32346AF7"/>
    <w:rsid w:val="325A544C"/>
    <w:rsid w:val="325E97D9"/>
    <w:rsid w:val="32704D08"/>
    <w:rsid w:val="32991022"/>
    <w:rsid w:val="32C0DF5C"/>
    <w:rsid w:val="32C16565"/>
    <w:rsid w:val="32C44BF7"/>
    <w:rsid w:val="32EB842C"/>
    <w:rsid w:val="3300DB08"/>
    <w:rsid w:val="33058F01"/>
    <w:rsid w:val="3332ECE2"/>
    <w:rsid w:val="334A66F6"/>
    <w:rsid w:val="3355906F"/>
    <w:rsid w:val="3365E4C1"/>
    <w:rsid w:val="33A9E062"/>
    <w:rsid w:val="3405943E"/>
    <w:rsid w:val="34077BF9"/>
    <w:rsid w:val="34378E47"/>
    <w:rsid w:val="344B3844"/>
    <w:rsid w:val="344D314A"/>
    <w:rsid w:val="347D9C68"/>
    <w:rsid w:val="348CB322"/>
    <w:rsid w:val="34B79CFF"/>
    <w:rsid w:val="34CBDA5D"/>
    <w:rsid w:val="34DD3A20"/>
    <w:rsid w:val="354D79CC"/>
    <w:rsid w:val="3560D7E7"/>
    <w:rsid w:val="3562ABDB"/>
    <w:rsid w:val="356E22CD"/>
    <w:rsid w:val="357F6BA0"/>
    <w:rsid w:val="35858486"/>
    <w:rsid w:val="358FBFB7"/>
    <w:rsid w:val="35AF7934"/>
    <w:rsid w:val="35D30D51"/>
    <w:rsid w:val="35DC1C51"/>
    <w:rsid w:val="35DC997A"/>
    <w:rsid w:val="35E92B6E"/>
    <w:rsid w:val="360BB6E2"/>
    <w:rsid w:val="362040F4"/>
    <w:rsid w:val="363AC49B"/>
    <w:rsid w:val="363F41B3"/>
    <w:rsid w:val="365EE673"/>
    <w:rsid w:val="36A5C2EF"/>
    <w:rsid w:val="36AAF155"/>
    <w:rsid w:val="36B1DA8E"/>
    <w:rsid w:val="36C2DD40"/>
    <w:rsid w:val="36CFD0F5"/>
    <w:rsid w:val="36F4CB01"/>
    <w:rsid w:val="37086C4F"/>
    <w:rsid w:val="3742DF76"/>
    <w:rsid w:val="3756D5BD"/>
    <w:rsid w:val="37614446"/>
    <w:rsid w:val="378A8291"/>
    <w:rsid w:val="379976F7"/>
    <w:rsid w:val="37C274D0"/>
    <w:rsid w:val="37DB91EC"/>
    <w:rsid w:val="37E66920"/>
    <w:rsid w:val="37EBF79A"/>
    <w:rsid w:val="383034DB"/>
    <w:rsid w:val="38454961"/>
    <w:rsid w:val="384DD761"/>
    <w:rsid w:val="3864C498"/>
    <w:rsid w:val="389AC4D3"/>
    <w:rsid w:val="38AC6644"/>
    <w:rsid w:val="38C7F13E"/>
    <w:rsid w:val="38E719A3"/>
    <w:rsid w:val="38F562F8"/>
    <w:rsid w:val="392B69E0"/>
    <w:rsid w:val="3964B7DE"/>
    <w:rsid w:val="39775DAC"/>
    <w:rsid w:val="398048E3"/>
    <w:rsid w:val="3993DBFA"/>
    <w:rsid w:val="399E8123"/>
    <w:rsid w:val="399FC1B0"/>
    <w:rsid w:val="39B99363"/>
    <w:rsid w:val="39F29BDE"/>
    <w:rsid w:val="39F34660"/>
    <w:rsid w:val="3A78C4F9"/>
    <w:rsid w:val="3A866A5B"/>
    <w:rsid w:val="3A983742"/>
    <w:rsid w:val="3AA6CC0F"/>
    <w:rsid w:val="3AB0B498"/>
    <w:rsid w:val="3ADA2334"/>
    <w:rsid w:val="3AFA5F9D"/>
    <w:rsid w:val="3B0253A1"/>
    <w:rsid w:val="3B135BF8"/>
    <w:rsid w:val="3B225C2F"/>
    <w:rsid w:val="3B274670"/>
    <w:rsid w:val="3B498308"/>
    <w:rsid w:val="3B4A49BE"/>
    <w:rsid w:val="3B5B54B4"/>
    <w:rsid w:val="3B64D3C8"/>
    <w:rsid w:val="3B654728"/>
    <w:rsid w:val="3B72A141"/>
    <w:rsid w:val="3B918368"/>
    <w:rsid w:val="3BADF64F"/>
    <w:rsid w:val="3BD08F84"/>
    <w:rsid w:val="3C1B2796"/>
    <w:rsid w:val="3C6E414E"/>
    <w:rsid w:val="3CCDCBD4"/>
    <w:rsid w:val="3CD3C08D"/>
    <w:rsid w:val="3CE4786F"/>
    <w:rsid w:val="3D02D54B"/>
    <w:rsid w:val="3D221A8F"/>
    <w:rsid w:val="3D2EC4DD"/>
    <w:rsid w:val="3D307265"/>
    <w:rsid w:val="3D32ED70"/>
    <w:rsid w:val="3D41E91A"/>
    <w:rsid w:val="3D4DD158"/>
    <w:rsid w:val="3D634798"/>
    <w:rsid w:val="3D6FD7E8"/>
    <w:rsid w:val="3D7DEEAA"/>
    <w:rsid w:val="3DBB9A77"/>
    <w:rsid w:val="3E19EB07"/>
    <w:rsid w:val="3E4814F7"/>
    <w:rsid w:val="3E7E05E2"/>
    <w:rsid w:val="3E825F29"/>
    <w:rsid w:val="3E91D23D"/>
    <w:rsid w:val="3EC129CB"/>
    <w:rsid w:val="3EEE0C7B"/>
    <w:rsid w:val="3F086CEB"/>
    <w:rsid w:val="3F193D52"/>
    <w:rsid w:val="3F1AA4BD"/>
    <w:rsid w:val="3F1B257E"/>
    <w:rsid w:val="3F1EAD09"/>
    <w:rsid w:val="3F3564AD"/>
    <w:rsid w:val="3F389C93"/>
    <w:rsid w:val="3FD5A7E5"/>
    <w:rsid w:val="3FE74679"/>
    <w:rsid w:val="3FED2598"/>
    <w:rsid w:val="3FFCD31C"/>
    <w:rsid w:val="400A4A99"/>
    <w:rsid w:val="4028F639"/>
    <w:rsid w:val="4054EDD6"/>
    <w:rsid w:val="406A368F"/>
    <w:rsid w:val="40ABEDC9"/>
    <w:rsid w:val="40ACCA46"/>
    <w:rsid w:val="4119811A"/>
    <w:rsid w:val="4134603C"/>
    <w:rsid w:val="413C5ADD"/>
    <w:rsid w:val="4147C07C"/>
    <w:rsid w:val="41541E57"/>
    <w:rsid w:val="41977676"/>
    <w:rsid w:val="41A91F88"/>
    <w:rsid w:val="41E38C1E"/>
    <w:rsid w:val="41E716D9"/>
    <w:rsid w:val="41F7B667"/>
    <w:rsid w:val="4233F94E"/>
    <w:rsid w:val="42373A3A"/>
    <w:rsid w:val="42AB7632"/>
    <w:rsid w:val="42FED888"/>
    <w:rsid w:val="43164592"/>
    <w:rsid w:val="4356A0AB"/>
    <w:rsid w:val="43582302"/>
    <w:rsid w:val="437AF501"/>
    <w:rsid w:val="43BAAB93"/>
    <w:rsid w:val="43BCB6CE"/>
    <w:rsid w:val="43CD2A64"/>
    <w:rsid w:val="43EB1B0A"/>
    <w:rsid w:val="43F09227"/>
    <w:rsid w:val="43FF3DCD"/>
    <w:rsid w:val="44452391"/>
    <w:rsid w:val="444B8B9B"/>
    <w:rsid w:val="445CF66A"/>
    <w:rsid w:val="44949CDD"/>
    <w:rsid w:val="44BE87B4"/>
    <w:rsid w:val="44E29959"/>
    <w:rsid w:val="4532035A"/>
    <w:rsid w:val="45AA128E"/>
    <w:rsid w:val="45CAAED3"/>
    <w:rsid w:val="45FEDC62"/>
    <w:rsid w:val="45FF6B8C"/>
    <w:rsid w:val="460BA9B0"/>
    <w:rsid w:val="46194512"/>
    <w:rsid w:val="4630E82F"/>
    <w:rsid w:val="46BCBF8B"/>
    <w:rsid w:val="46EFD904"/>
    <w:rsid w:val="4723B9E6"/>
    <w:rsid w:val="473D0A20"/>
    <w:rsid w:val="47A147A3"/>
    <w:rsid w:val="47B281B4"/>
    <w:rsid w:val="480EE02D"/>
    <w:rsid w:val="484EC239"/>
    <w:rsid w:val="48517A66"/>
    <w:rsid w:val="486F2733"/>
    <w:rsid w:val="489783CD"/>
    <w:rsid w:val="4910C6A7"/>
    <w:rsid w:val="494812C6"/>
    <w:rsid w:val="49958D9A"/>
    <w:rsid w:val="49CCA9B3"/>
    <w:rsid w:val="49DA76B1"/>
    <w:rsid w:val="49E53447"/>
    <w:rsid w:val="4A23C85D"/>
    <w:rsid w:val="4A495E4B"/>
    <w:rsid w:val="4A800DE5"/>
    <w:rsid w:val="4A89A7C3"/>
    <w:rsid w:val="4A8B201B"/>
    <w:rsid w:val="4AC3D14B"/>
    <w:rsid w:val="4AE55DFB"/>
    <w:rsid w:val="4AF812E6"/>
    <w:rsid w:val="4B1CA5DE"/>
    <w:rsid w:val="4B2AE763"/>
    <w:rsid w:val="4B4E4A28"/>
    <w:rsid w:val="4B5156D4"/>
    <w:rsid w:val="4B5FAA68"/>
    <w:rsid w:val="4B7D0980"/>
    <w:rsid w:val="4B820CF0"/>
    <w:rsid w:val="4B9CA779"/>
    <w:rsid w:val="4BA82AFD"/>
    <w:rsid w:val="4BC4D411"/>
    <w:rsid w:val="4BEDE32C"/>
    <w:rsid w:val="4BEF5DA0"/>
    <w:rsid w:val="4C44098B"/>
    <w:rsid w:val="4C76E2BF"/>
    <w:rsid w:val="4CCEE5E4"/>
    <w:rsid w:val="4CE321B4"/>
    <w:rsid w:val="4CEE2ACB"/>
    <w:rsid w:val="4CEEBEA7"/>
    <w:rsid w:val="4D00CB03"/>
    <w:rsid w:val="4D049162"/>
    <w:rsid w:val="4D2188EF"/>
    <w:rsid w:val="4D3DA961"/>
    <w:rsid w:val="4D594379"/>
    <w:rsid w:val="4D61CAA1"/>
    <w:rsid w:val="4D750346"/>
    <w:rsid w:val="4DBCCBCC"/>
    <w:rsid w:val="4DF1773F"/>
    <w:rsid w:val="4E172A89"/>
    <w:rsid w:val="4E223E11"/>
    <w:rsid w:val="4E4E2502"/>
    <w:rsid w:val="4E62D065"/>
    <w:rsid w:val="4E70A27F"/>
    <w:rsid w:val="4E7B838E"/>
    <w:rsid w:val="4E8A1AD4"/>
    <w:rsid w:val="4E98B68C"/>
    <w:rsid w:val="4EAE9DDA"/>
    <w:rsid w:val="4ECE1752"/>
    <w:rsid w:val="4F2C9860"/>
    <w:rsid w:val="4F4B0B1A"/>
    <w:rsid w:val="4F7BF2C4"/>
    <w:rsid w:val="4F7DC8CC"/>
    <w:rsid w:val="4FB0296D"/>
    <w:rsid w:val="4FD99BAB"/>
    <w:rsid w:val="4FDED700"/>
    <w:rsid w:val="4FE0A964"/>
    <w:rsid w:val="4FFE348B"/>
    <w:rsid w:val="501AF086"/>
    <w:rsid w:val="502C9542"/>
    <w:rsid w:val="503C3825"/>
    <w:rsid w:val="50A80EE6"/>
    <w:rsid w:val="50B5F4B8"/>
    <w:rsid w:val="50BC3CF3"/>
    <w:rsid w:val="50C3CF0D"/>
    <w:rsid w:val="50CCD832"/>
    <w:rsid w:val="50DAC3A1"/>
    <w:rsid w:val="50E2BCB6"/>
    <w:rsid w:val="5107B8AE"/>
    <w:rsid w:val="513EC578"/>
    <w:rsid w:val="5143F018"/>
    <w:rsid w:val="5150D72A"/>
    <w:rsid w:val="5177C149"/>
    <w:rsid w:val="518412C3"/>
    <w:rsid w:val="51AB14A2"/>
    <w:rsid w:val="51B6437E"/>
    <w:rsid w:val="51D99BB7"/>
    <w:rsid w:val="51EED165"/>
    <w:rsid w:val="522811AF"/>
    <w:rsid w:val="52546430"/>
    <w:rsid w:val="529BF00A"/>
    <w:rsid w:val="529F2896"/>
    <w:rsid w:val="52A2D7C7"/>
    <w:rsid w:val="52AE8AA0"/>
    <w:rsid w:val="52DB7DEA"/>
    <w:rsid w:val="52DE3A7F"/>
    <w:rsid w:val="52E5B602"/>
    <w:rsid w:val="52E814BB"/>
    <w:rsid w:val="53207AFF"/>
    <w:rsid w:val="534F6530"/>
    <w:rsid w:val="539F5B54"/>
    <w:rsid w:val="53A19B31"/>
    <w:rsid w:val="53BC5BC3"/>
    <w:rsid w:val="53F512EC"/>
    <w:rsid w:val="54238EAA"/>
    <w:rsid w:val="5444E625"/>
    <w:rsid w:val="547A3A9C"/>
    <w:rsid w:val="54A2B957"/>
    <w:rsid w:val="54B19CD0"/>
    <w:rsid w:val="54E404B9"/>
    <w:rsid w:val="54EAFF10"/>
    <w:rsid w:val="55175431"/>
    <w:rsid w:val="55178258"/>
    <w:rsid w:val="55240392"/>
    <w:rsid w:val="5524C251"/>
    <w:rsid w:val="55256EFA"/>
    <w:rsid w:val="553A9922"/>
    <w:rsid w:val="556243DC"/>
    <w:rsid w:val="55641B23"/>
    <w:rsid w:val="5569FEAA"/>
    <w:rsid w:val="55A0F544"/>
    <w:rsid w:val="55C5BDE7"/>
    <w:rsid w:val="55F00011"/>
    <w:rsid w:val="55F9B85B"/>
    <w:rsid w:val="55FE8D89"/>
    <w:rsid w:val="5611020C"/>
    <w:rsid w:val="5613507D"/>
    <w:rsid w:val="56279B06"/>
    <w:rsid w:val="56331512"/>
    <w:rsid w:val="564015C8"/>
    <w:rsid w:val="564C83BF"/>
    <w:rsid w:val="56570BEF"/>
    <w:rsid w:val="566493FE"/>
    <w:rsid w:val="567905CA"/>
    <w:rsid w:val="56908BE9"/>
    <w:rsid w:val="56928EC7"/>
    <w:rsid w:val="56A5F097"/>
    <w:rsid w:val="56F96BC0"/>
    <w:rsid w:val="57003121"/>
    <w:rsid w:val="5779C160"/>
    <w:rsid w:val="57998566"/>
    <w:rsid w:val="5833D215"/>
    <w:rsid w:val="5861D020"/>
    <w:rsid w:val="586E30F3"/>
    <w:rsid w:val="58954B49"/>
    <w:rsid w:val="58959009"/>
    <w:rsid w:val="58EA7068"/>
    <w:rsid w:val="58F3B145"/>
    <w:rsid w:val="5900964D"/>
    <w:rsid w:val="5930F0D5"/>
    <w:rsid w:val="5965128D"/>
    <w:rsid w:val="596E6A58"/>
    <w:rsid w:val="597EBEDF"/>
    <w:rsid w:val="59824F12"/>
    <w:rsid w:val="59B24231"/>
    <w:rsid w:val="59C65F5F"/>
    <w:rsid w:val="5A10ED8B"/>
    <w:rsid w:val="5A776A7C"/>
    <w:rsid w:val="5AA52A45"/>
    <w:rsid w:val="5ACEFA24"/>
    <w:rsid w:val="5ADF23E2"/>
    <w:rsid w:val="5AF4BF4F"/>
    <w:rsid w:val="5B28B618"/>
    <w:rsid w:val="5B2EC33A"/>
    <w:rsid w:val="5B93CB0E"/>
    <w:rsid w:val="5BA20FFB"/>
    <w:rsid w:val="5BAB152E"/>
    <w:rsid w:val="5BD3E992"/>
    <w:rsid w:val="5BDF5325"/>
    <w:rsid w:val="5BDFF449"/>
    <w:rsid w:val="5C1C4160"/>
    <w:rsid w:val="5C564B58"/>
    <w:rsid w:val="5C9C2E33"/>
    <w:rsid w:val="5CBDD1AD"/>
    <w:rsid w:val="5CCF35F8"/>
    <w:rsid w:val="5CD85C32"/>
    <w:rsid w:val="5D42A441"/>
    <w:rsid w:val="5D45F96A"/>
    <w:rsid w:val="5D61E644"/>
    <w:rsid w:val="5DBC11F3"/>
    <w:rsid w:val="5DBF852C"/>
    <w:rsid w:val="5DE77D28"/>
    <w:rsid w:val="5E2ADA4F"/>
    <w:rsid w:val="5E5E2FC0"/>
    <w:rsid w:val="5E801FCA"/>
    <w:rsid w:val="5ED8B55D"/>
    <w:rsid w:val="5EDF8A97"/>
    <w:rsid w:val="5F376B56"/>
    <w:rsid w:val="5F7B5641"/>
    <w:rsid w:val="5F856D87"/>
    <w:rsid w:val="5F905C52"/>
    <w:rsid w:val="5F9681DF"/>
    <w:rsid w:val="5FBEF235"/>
    <w:rsid w:val="602E77D6"/>
    <w:rsid w:val="60448B4B"/>
    <w:rsid w:val="6059057F"/>
    <w:rsid w:val="605F6752"/>
    <w:rsid w:val="60679420"/>
    <w:rsid w:val="606A1699"/>
    <w:rsid w:val="60886C9B"/>
    <w:rsid w:val="609664E1"/>
    <w:rsid w:val="60AE8E1D"/>
    <w:rsid w:val="60B95E1B"/>
    <w:rsid w:val="60E26C02"/>
    <w:rsid w:val="61270CA6"/>
    <w:rsid w:val="6129A479"/>
    <w:rsid w:val="6131B010"/>
    <w:rsid w:val="613BE62D"/>
    <w:rsid w:val="618278AF"/>
    <w:rsid w:val="618F59FE"/>
    <w:rsid w:val="61A589D0"/>
    <w:rsid w:val="621C8D7B"/>
    <w:rsid w:val="62385FFB"/>
    <w:rsid w:val="62931852"/>
    <w:rsid w:val="62D29E25"/>
    <w:rsid w:val="62E6D34E"/>
    <w:rsid w:val="636255B5"/>
    <w:rsid w:val="6362AF05"/>
    <w:rsid w:val="636EA505"/>
    <w:rsid w:val="637D9A55"/>
    <w:rsid w:val="63B903AE"/>
    <w:rsid w:val="63F46460"/>
    <w:rsid w:val="63F48724"/>
    <w:rsid w:val="63F6714C"/>
    <w:rsid w:val="6431AAC0"/>
    <w:rsid w:val="6437319C"/>
    <w:rsid w:val="643BA7DB"/>
    <w:rsid w:val="6464AB40"/>
    <w:rsid w:val="6479DECF"/>
    <w:rsid w:val="64A4E05C"/>
    <w:rsid w:val="64CE9BFC"/>
    <w:rsid w:val="64DAA3A0"/>
    <w:rsid w:val="64FC8402"/>
    <w:rsid w:val="64FE1816"/>
    <w:rsid w:val="6503A87B"/>
    <w:rsid w:val="65079E3A"/>
    <w:rsid w:val="65303F98"/>
    <w:rsid w:val="6536AA05"/>
    <w:rsid w:val="65544874"/>
    <w:rsid w:val="65A985E0"/>
    <w:rsid w:val="65ADC78B"/>
    <w:rsid w:val="65CE90E1"/>
    <w:rsid w:val="65F676F9"/>
    <w:rsid w:val="6621C0BD"/>
    <w:rsid w:val="6658A475"/>
    <w:rsid w:val="66852020"/>
    <w:rsid w:val="66A61B16"/>
    <w:rsid w:val="66E93F1C"/>
    <w:rsid w:val="66F24980"/>
    <w:rsid w:val="66F963B6"/>
    <w:rsid w:val="672C9B3F"/>
    <w:rsid w:val="67416468"/>
    <w:rsid w:val="674C6163"/>
    <w:rsid w:val="67528182"/>
    <w:rsid w:val="6752C496"/>
    <w:rsid w:val="676779F8"/>
    <w:rsid w:val="67797C64"/>
    <w:rsid w:val="67BAD528"/>
    <w:rsid w:val="67CF8221"/>
    <w:rsid w:val="67D182B8"/>
    <w:rsid w:val="67DE4371"/>
    <w:rsid w:val="68212F67"/>
    <w:rsid w:val="682E0673"/>
    <w:rsid w:val="682E2EAB"/>
    <w:rsid w:val="68651C1C"/>
    <w:rsid w:val="68666C36"/>
    <w:rsid w:val="6884E47B"/>
    <w:rsid w:val="68A78B1F"/>
    <w:rsid w:val="68AD3AE7"/>
    <w:rsid w:val="68B82791"/>
    <w:rsid w:val="68BB88A1"/>
    <w:rsid w:val="68CA63F8"/>
    <w:rsid w:val="691BB533"/>
    <w:rsid w:val="6925EE63"/>
    <w:rsid w:val="69430AE3"/>
    <w:rsid w:val="696201BD"/>
    <w:rsid w:val="696649FE"/>
    <w:rsid w:val="69A6ED27"/>
    <w:rsid w:val="6A2AEC63"/>
    <w:rsid w:val="6A4D29C4"/>
    <w:rsid w:val="6AAE5F6C"/>
    <w:rsid w:val="6AC39A9F"/>
    <w:rsid w:val="6AD04944"/>
    <w:rsid w:val="6ADCA3AA"/>
    <w:rsid w:val="6AEB24C1"/>
    <w:rsid w:val="6B31C3C3"/>
    <w:rsid w:val="6B36C01C"/>
    <w:rsid w:val="6B476904"/>
    <w:rsid w:val="6B49D9CB"/>
    <w:rsid w:val="6B65FBB6"/>
    <w:rsid w:val="6B811FF9"/>
    <w:rsid w:val="6B87B681"/>
    <w:rsid w:val="6BC8436E"/>
    <w:rsid w:val="6BE99363"/>
    <w:rsid w:val="6C0B145F"/>
    <w:rsid w:val="6C576A35"/>
    <w:rsid w:val="6C5C221D"/>
    <w:rsid w:val="6C803173"/>
    <w:rsid w:val="6C8ABD64"/>
    <w:rsid w:val="6CB37B84"/>
    <w:rsid w:val="6CC277B9"/>
    <w:rsid w:val="6CC9D824"/>
    <w:rsid w:val="6CD07A41"/>
    <w:rsid w:val="6D37753D"/>
    <w:rsid w:val="6D78EB17"/>
    <w:rsid w:val="6DAC0C93"/>
    <w:rsid w:val="6DF44995"/>
    <w:rsid w:val="6E5054B7"/>
    <w:rsid w:val="6E6F9705"/>
    <w:rsid w:val="6E7E6D85"/>
    <w:rsid w:val="6ECA7F66"/>
    <w:rsid w:val="6EF04384"/>
    <w:rsid w:val="6F0F6060"/>
    <w:rsid w:val="6F1E95D7"/>
    <w:rsid w:val="6FA0DDCA"/>
    <w:rsid w:val="6FABAA6B"/>
    <w:rsid w:val="6FC2C90B"/>
    <w:rsid w:val="6FD2CBF4"/>
    <w:rsid w:val="702BDD64"/>
    <w:rsid w:val="7068C7C7"/>
    <w:rsid w:val="706B17CD"/>
    <w:rsid w:val="706CC550"/>
    <w:rsid w:val="70A2FFE6"/>
    <w:rsid w:val="70B09920"/>
    <w:rsid w:val="712F9916"/>
    <w:rsid w:val="71B83953"/>
    <w:rsid w:val="71D372EC"/>
    <w:rsid w:val="71E9941D"/>
    <w:rsid w:val="71F91185"/>
    <w:rsid w:val="71FCE707"/>
    <w:rsid w:val="72091653"/>
    <w:rsid w:val="72A83A20"/>
    <w:rsid w:val="72B537CA"/>
    <w:rsid w:val="72CDBB58"/>
    <w:rsid w:val="730E9102"/>
    <w:rsid w:val="7321DEF1"/>
    <w:rsid w:val="7324FEA2"/>
    <w:rsid w:val="7364C4EE"/>
    <w:rsid w:val="7393BDDA"/>
    <w:rsid w:val="73EC11A5"/>
    <w:rsid w:val="74187FA2"/>
    <w:rsid w:val="747B1A92"/>
    <w:rsid w:val="749A3CCD"/>
    <w:rsid w:val="74D11997"/>
    <w:rsid w:val="74E78D1C"/>
    <w:rsid w:val="74F5F1F0"/>
    <w:rsid w:val="751FCDC2"/>
    <w:rsid w:val="7533F7C6"/>
    <w:rsid w:val="753FF563"/>
    <w:rsid w:val="75427F9F"/>
    <w:rsid w:val="7550ED3C"/>
    <w:rsid w:val="758315CB"/>
    <w:rsid w:val="7584C78D"/>
    <w:rsid w:val="758E9284"/>
    <w:rsid w:val="75A23108"/>
    <w:rsid w:val="75AB10B9"/>
    <w:rsid w:val="75B44548"/>
    <w:rsid w:val="75D22F71"/>
    <w:rsid w:val="75E50398"/>
    <w:rsid w:val="75E64789"/>
    <w:rsid w:val="75EA5852"/>
    <w:rsid w:val="75F43255"/>
    <w:rsid w:val="75F67F41"/>
    <w:rsid w:val="7671E262"/>
    <w:rsid w:val="767F39BC"/>
    <w:rsid w:val="7688FCFC"/>
    <w:rsid w:val="76A85C6B"/>
    <w:rsid w:val="76C7B281"/>
    <w:rsid w:val="76F059EB"/>
    <w:rsid w:val="76F4E7EB"/>
    <w:rsid w:val="7713B263"/>
    <w:rsid w:val="77970312"/>
    <w:rsid w:val="77A3A536"/>
    <w:rsid w:val="77A69A2D"/>
    <w:rsid w:val="77BEDB32"/>
    <w:rsid w:val="77CE9CAA"/>
    <w:rsid w:val="77DDEFA6"/>
    <w:rsid w:val="77F0304A"/>
    <w:rsid w:val="7818D616"/>
    <w:rsid w:val="78264C8E"/>
    <w:rsid w:val="783AC155"/>
    <w:rsid w:val="78443FE9"/>
    <w:rsid w:val="78609879"/>
    <w:rsid w:val="7875A1C5"/>
    <w:rsid w:val="78830F29"/>
    <w:rsid w:val="78AEDDE3"/>
    <w:rsid w:val="78C33405"/>
    <w:rsid w:val="78D66C61"/>
    <w:rsid w:val="79042FB9"/>
    <w:rsid w:val="795076A3"/>
    <w:rsid w:val="795F36FE"/>
    <w:rsid w:val="799A2C8C"/>
    <w:rsid w:val="79B75BC3"/>
    <w:rsid w:val="7A0B7D65"/>
    <w:rsid w:val="7A19E80A"/>
    <w:rsid w:val="7A1A2FB1"/>
    <w:rsid w:val="7A3D90FC"/>
    <w:rsid w:val="7A4A5E07"/>
    <w:rsid w:val="7A4DEA8D"/>
    <w:rsid w:val="7A78EA4D"/>
    <w:rsid w:val="7AADAB19"/>
    <w:rsid w:val="7ACAF25A"/>
    <w:rsid w:val="7AEDA926"/>
    <w:rsid w:val="7AF474B0"/>
    <w:rsid w:val="7B06C590"/>
    <w:rsid w:val="7B4B89C8"/>
    <w:rsid w:val="7B5BC7C4"/>
    <w:rsid w:val="7B709D33"/>
    <w:rsid w:val="7BD06FD4"/>
    <w:rsid w:val="7BEE9342"/>
    <w:rsid w:val="7C41B4C1"/>
    <w:rsid w:val="7C63AC32"/>
    <w:rsid w:val="7C7BAF37"/>
    <w:rsid w:val="7C99DF19"/>
    <w:rsid w:val="7CB33D1A"/>
    <w:rsid w:val="7D2DC0D3"/>
    <w:rsid w:val="7D709A87"/>
    <w:rsid w:val="7D7239A6"/>
    <w:rsid w:val="7DAAB9E6"/>
    <w:rsid w:val="7DFDF4FA"/>
    <w:rsid w:val="7E15928D"/>
    <w:rsid w:val="7E1C7332"/>
    <w:rsid w:val="7E3E4BDB"/>
    <w:rsid w:val="7E637BAD"/>
    <w:rsid w:val="7E63B619"/>
    <w:rsid w:val="7E83D0F1"/>
    <w:rsid w:val="7EA5676D"/>
    <w:rsid w:val="7EBE9821"/>
    <w:rsid w:val="7EBF9C7D"/>
    <w:rsid w:val="7EC18560"/>
    <w:rsid w:val="7ED31C31"/>
    <w:rsid w:val="7EEA0D59"/>
    <w:rsid w:val="7EF2DBD9"/>
    <w:rsid w:val="7F047CB4"/>
    <w:rsid w:val="7F0DBCA7"/>
    <w:rsid w:val="7F0F0C39"/>
    <w:rsid w:val="7F30CDD9"/>
    <w:rsid w:val="7F336873"/>
    <w:rsid w:val="7F531DA9"/>
  </w:rsids>
  <w:docVars>
    <w:docVar w:name="LW_DocType" w:val="NORMAL"/>
  </w:docVar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5B398758"/>
  <w15:chartTrackingRefBased/>
  <w15:docId w15:val="{5B803F04-36BB-4683-AC30-311BA2B0A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62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F62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F62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62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62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F62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62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62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62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62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62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62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62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62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62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62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62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62E1"/>
    <w:rPr>
      <w:rFonts w:eastAsiaTheme="majorEastAsia" w:cstheme="majorBidi"/>
      <w:color w:val="272727" w:themeColor="text1" w:themeTint="D8"/>
    </w:rPr>
  </w:style>
  <w:style w:type="paragraph" w:styleId="Title">
    <w:name w:val="Title"/>
    <w:basedOn w:val="Normal"/>
    <w:next w:val="Normal"/>
    <w:link w:val="TitleChar"/>
    <w:uiPriority w:val="10"/>
    <w:qFormat/>
    <w:rsid w:val="005F62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62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62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62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62E1"/>
    <w:pPr>
      <w:spacing w:before="160"/>
      <w:jc w:val="center"/>
    </w:pPr>
    <w:rPr>
      <w:i/>
      <w:iCs/>
      <w:color w:val="404040" w:themeColor="text1" w:themeTint="BF"/>
    </w:rPr>
  </w:style>
  <w:style w:type="character" w:customStyle="1" w:styleId="QuoteChar">
    <w:name w:val="Quote Char"/>
    <w:basedOn w:val="DefaultParagraphFont"/>
    <w:link w:val="Quote"/>
    <w:uiPriority w:val="29"/>
    <w:rsid w:val="005F62E1"/>
    <w:rPr>
      <w:i/>
      <w:iCs/>
      <w:color w:val="404040" w:themeColor="text1" w:themeTint="BF"/>
    </w:rPr>
  </w:style>
  <w:style w:type="paragraph" w:styleId="ListParagraph">
    <w:name w:val="List Paragraph"/>
    <w:aliases w:val="Dot pt,F5 List Paragraph,List Paragraph1,No Spacing1,List Paragraph Char Char Char,Indicator Text,Numbered Para 1,Bullet 1,Bullet Points,MAIN CONTENT,List Paragraph11,List Paragraph12,List Paragraph2,OBC Bullet,2"/>
    <w:basedOn w:val="Normal"/>
    <w:link w:val="ListParagraphChar"/>
    <w:uiPriority w:val="34"/>
    <w:qFormat/>
    <w:rsid w:val="005F62E1"/>
    <w:pPr>
      <w:ind w:left="720"/>
      <w:contextualSpacing/>
    </w:pPr>
  </w:style>
  <w:style w:type="character" w:styleId="IntenseEmphasis">
    <w:name w:val="Intense Emphasis"/>
    <w:basedOn w:val="DefaultParagraphFont"/>
    <w:uiPriority w:val="21"/>
    <w:qFormat/>
    <w:rsid w:val="005F62E1"/>
    <w:rPr>
      <w:i/>
      <w:iCs/>
      <w:color w:val="0F4761" w:themeColor="accent1" w:themeShade="BF"/>
    </w:rPr>
  </w:style>
  <w:style w:type="paragraph" w:styleId="IntenseQuote">
    <w:name w:val="Intense Quote"/>
    <w:basedOn w:val="Normal"/>
    <w:next w:val="Normal"/>
    <w:link w:val="IntenseQuoteChar"/>
    <w:uiPriority w:val="30"/>
    <w:qFormat/>
    <w:rsid w:val="005F62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62E1"/>
    <w:rPr>
      <w:i/>
      <w:iCs/>
      <w:color w:val="0F4761" w:themeColor="accent1" w:themeShade="BF"/>
    </w:rPr>
  </w:style>
  <w:style w:type="character" w:styleId="IntenseReference">
    <w:name w:val="Intense Reference"/>
    <w:basedOn w:val="DefaultParagraphFont"/>
    <w:uiPriority w:val="32"/>
    <w:qFormat/>
    <w:rsid w:val="005F62E1"/>
    <w:rPr>
      <w:b/>
      <w:bCs/>
      <w:smallCaps/>
      <w:color w:val="0F4761" w:themeColor="accent1" w:themeShade="BF"/>
      <w:spacing w:val="5"/>
    </w:rPr>
  </w:style>
  <w:style w:type="character" w:customStyle="1" w:styleId="ListParagraphChar">
    <w:name w:val="List Paragraph Char"/>
    <w:aliases w:val="Dot pt Char,F5 List Paragraph Char,List Paragraph1 Char,No Spacing1 Char,List Paragraph Char Char Char Char,Indicator Text Char,Numbered Para 1 Char,Bullet 1 Char,Bullet Points Char,MAIN CONTENT Char,List Paragraph11 Char,2 Char"/>
    <w:link w:val="ListParagraph"/>
    <w:uiPriority w:val="34"/>
    <w:qFormat/>
    <w:locked/>
    <w:rsid w:val="005F62E1"/>
  </w:style>
  <w:style w:type="paragraph" w:styleId="Revision">
    <w:name w:val="Revision"/>
    <w:hidden/>
    <w:uiPriority w:val="99"/>
    <w:semiHidden/>
    <w:rsid w:val="00675DFB"/>
    <w:pPr>
      <w:spacing w:after="0" w:line="240" w:lineRule="auto"/>
    </w:pPr>
  </w:style>
  <w:style w:type="character" w:styleId="CommentReference">
    <w:name w:val="annotation reference"/>
    <w:basedOn w:val="DefaultParagraphFont"/>
    <w:uiPriority w:val="99"/>
    <w:semiHidden/>
    <w:unhideWhenUsed/>
    <w:rsid w:val="00786FD6"/>
    <w:rPr>
      <w:sz w:val="16"/>
      <w:szCs w:val="16"/>
    </w:rPr>
  </w:style>
  <w:style w:type="paragraph" w:styleId="CommentText">
    <w:name w:val="annotation text"/>
    <w:basedOn w:val="Normal"/>
    <w:link w:val="CommentTextChar"/>
    <w:uiPriority w:val="99"/>
    <w:unhideWhenUsed/>
    <w:rsid w:val="00786FD6"/>
    <w:pPr>
      <w:spacing w:line="240" w:lineRule="auto"/>
    </w:pPr>
    <w:rPr>
      <w:sz w:val="20"/>
      <w:szCs w:val="20"/>
    </w:rPr>
  </w:style>
  <w:style w:type="character" w:customStyle="1" w:styleId="CommentTextChar">
    <w:name w:val="Comment Text Char"/>
    <w:basedOn w:val="DefaultParagraphFont"/>
    <w:link w:val="CommentText"/>
    <w:uiPriority w:val="99"/>
    <w:rsid w:val="00786FD6"/>
    <w:rPr>
      <w:sz w:val="20"/>
      <w:szCs w:val="20"/>
    </w:rPr>
  </w:style>
  <w:style w:type="paragraph" w:styleId="CommentSubject">
    <w:name w:val="annotation subject"/>
    <w:basedOn w:val="CommentText"/>
    <w:next w:val="CommentText"/>
    <w:link w:val="CommentSubjectChar"/>
    <w:uiPriority w:val="99"/>
    <w:semiHidden/>
    <w:unhideWhenUsed/>
    <w:rsid w:val="00786FD6"/>
    <w:rPr>
      <w:b/>
      <w:bCs/>
    </w:rPr>
  </w:style>
  <w:style w:type="character" w:customStyle="1" w:styleId="CommentSubjectChar">
    <w:name w:val="Comment Subject Char"/>
    <w:basedOn w:val="CommentTextChar"/>
    <w:link w:val="CommentSubject"/>
    <w:uiPriority w:val="99"/>
    <w:semiHidden/>
    <w:rsid w:val="00786FD6"/>
    <w:rPr>
      <w:b/>
      <w:bCs/>
      <w:sz w:val="20"/>
      <w:szCs w:val="20"/>
    </w:rPr>
  </w:style>
  <w:style w:type="paragraph" w:styleId="Header">
    <w:name w:val="header"/>
    <w:basedOn w:val="Normal"/>
    <w:link w:val="HeaderChar"/>
    <w:uiPriority w:val="99"/>
    <w:unhideWhenUsed/>
    <w:rsid w:val="006058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5819"/>
  </w:style>
  <w:style w:type="paragraph" w:styleId="Footer">
    <w:name w:val="footer"/>
    <w:basedOn w:val="Normal"/>
    <w:link w:val="FooterChar"/>
    <w:uiPriority w:val="99"/>
    <w:unhideWhenUsed/>
    <w:rsid w:val="006058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5819"/>
  </w:style>
  <w:style w:type="character" w:styleId="Mention">
    <w:name w:val="Mention"/>
    <w:basedOn w:val="DefaultParagraphFont"/>
    <w:uiPriority w:val="99"/>
    <w:unhideWhenUsed/>
    <w:rsid w:val="00B1448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b1e5321-5d6d-40f3-a89c-b5482dd566c1">
      <Terms xmlns="http://schemas.microsoft.com/office/infopath/2007/PartnerControls"/>
    </lcf76f155ced4ddcb4097134ff3c332f>
    <TaxCatchAll xmlns="af9dd6c6-cf8f-4aa4-be49-f1cc0da589a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71BB73A879EDE41AFDC9232B9EB1EA9" ma:contentTypeVersion="12" ma:contentTypeDescription="Create a new document." ma:contentTypeScope="" ma:versionID="decb81f6a7bcf89fbc355109b6ca2d68">
  <xsd:schema xmlns:xsd="http://www.w3.org/2001/XMLSchema" xmlns:xs="http://www.w3.org/2001/XMLSchema" xmlns:p="http://schemas.microsoft.com/office/2006/metadata/properties" xmlns:ns2="1b1e5321-5d6d-40f3-a89c-b5482dd566c1" xmlns:ns3="af9dd6c6-cf8f-4aa4-be49-f1cc0da589a4" targetNamespace="http://schemas.microsoft.com/office/2006/metadata/properties" ma:root="true" ma:fieldsID="f4dad474ac7a4f1b3e6f34f6dcb9356d" ns2:_="" ns3:_="">
    <xsd:import namespace="1b1e5321-5d6d-40f3-a89c-b5482dd566c1"/>
    <xsd:import namespace="af9dd6c6-cf8f-4aa4-be49-f1cc0da589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1e5321-5d6d-40f3-a89c-b5482dd566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f9dd6c6-cf8f-4aa4-be49-f1cc0da589a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8b41ac9-4820-4518-ac5d-dd4cad854ba6}" ma:internalName="TaxCatchAll" ma:showField="CatchAllData" ma:web="af9dd6c6-cf8f-4aa4-be49-f1cc0da589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71FC77-8D7E-4EC2-9963-B9B12BAE6A75}">
  <ds:schemaRefs>
    <ds:schemaRef ds:uri="http://schemas.microsoft.com/office/2006/metadata/properties"/>
    <ds:schemaRef ds:uri="http://schemas.microsoft.com/office/infopath/2007/PartnerControls"/>
    <ds:schemaRef ds:uri="1b1e5321-5d6d-40f3-a89c-b5482dd566c1"/>
    <ds:schemaRef ds:uri="af9dd6c6-cf8f-4aa4-be49-f1cc0da589a4"/>
  </ds:schemaRefs>
</ds:datastoreItem>
</file>

<file path=customXml/itemProps2.xml><?xml version="1.0" encoding="utf-8"?>
<ds:datastoreItem xmlns:ds="http://schemas.openxmlformats.org/officeDocument/2006/customXml" ds:itemID="{7018D838-632C-460A-87B9-CCEAE495E6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1e5321-5d6d-40f3-a89c-b5482dd566c1"/>
    <ds:schemaRef ds:uri="af9dd6c6-cf8f-4aa4-be49-f1cc0da589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0A0FDF0-BBE7-4D08-826D-806E1E23EE2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5145</Words>
  <Characters>29122</Characters>
  <Application>Microsoft Office Word</Application>
  <DocSecurity>0</DocSecurity>
  <Lines>422</Lines>
  <Paragraphs>71</Paragraphs>
  <ScaleCrop>false</ScaleCrop>
  <Company/>
  <LinksUpToDate>false</LinksUpToDate>
  <CharactersWithSpaces>34196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European Parliament</dc:creator>
  <cp:lastModifiedBy>European Parliament</cp:lastModifiedBy>
  <cp:revision>2</cp:revision>
  <cp:lastPrinted>2026-05-27T16:45:00Z</cp:lastPrinted>
  <dcterms:created xsi:type="dcterms:W3CDTF">2026-08-20T09:48:00Z</dcterms:created>
  <dcterms:modified xsi:type="dcterms:W3CDTF">2026-08-20T09:48:00Z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0x010100271BB73A879EDE41AFDC9232B9EB1EA9</vt:lpwstr>
  </property>
  <property fmtid="{D5CDD505-2E9C-101B-9397-08002B2CF9AE}" pid="3" name="EC_TX_All_World_Countries">
    <vt:lpwstr/>
  </property>
  <property fmtid="{D5CDD505-2E9C-101B-9397-08002B2CF9AE}" pid="4" name="EC_TX_Corporate Body">
    <vt:lpwstr/>
  </property>
  <property fmtid="{D5CDD505-2E9C-101B-9397-08002B2CF9AE}" pid="5" name="EC_TX_Corporate_x0020_Body">
    <vt:lpwstr/>
  </property>
  <property fmtid="{D5CDD505-2E9C-101B-9397-08002B2CF9AE}" pid="6" name="EC_TX_EU_Member_State">
    <vt:lpwstr/>
  </property>
  <property fmtid="{D5CDD505-2E9C-101B-9397-08002B2CF9AE}" pid="7" name="EC_TX_EU_Political_Leader">
    <vt:lpwstr/>
  </property>
  <property fmtid="{D5CDD505-2E9C-101B-9397-08002B2CF9AE}" pid="8" name="EC_TX_Resource_Type">
    <vt:lpwstr/>
  </property>
  <property fmtid="{D5CDD505-2E9C-101B-9397-08002B2CF9AE}" pid="9" name="EC_TX_Strategic_Priority">
    <vt:lpwstr/>
  </property>
  <property fmtid="{D5CDD505-2E9C-101B-9397-08002B2CF9AE}" pid="10" name="eff2cf69f10b4279bbb27215ca009b37">
    <vt:lpwstr/>
  </property>
  <property fmtid="{D5CDD505-2E9C-101B-9397-08002B2CF9AE}" pid="11" name="g81cb4d17be94922847ce418ea81f55a">
    <vt:lpwstr/>
  </property>
  <property fmtid="{D5CDD505-2E9C-101B-9397-08002B2CF9AE}" pid="12" name="i8c8ab8b63424c5d9f8c4a8434abf670">
    <vt:lpwstr/>
  </property>
  <property fmtid="{D5CDD505-2E9C-101B-9397-08002B2CF9AE}" pid="13" name="j8309f8bc3e645d1a2f07391f8e5795a">
    <vt:lpwstr/>
  </property>
  <property fmtid="{D5CDD505-2E9C-101B-9397-08002B2CF9AE}" pid="14" name="k2c54712f93b47eb83e1835ba301b6c6">
    <vt:lpwstr/>
  </property>
  <property fmtid="{D5CDD505-2E9C-101B-9397-08002B2CF9AE}" pid="15" name="MediaServiceImageTags">
    <vt:lpwstr/>
  </property>
  <property fmtid="{D5CDD505-2E9C-101B-9397-08002B2CF9AE}" pid="16" name="MSIP_Label_6bd9ddd1-4d20-43f6-abfa-fc3c07406f94_ActionId">
    <vt:lpwstr>57fcf407-2e04-4a51-82c8-3ae6910b2589</vt:lpwstr>
  </property>
  <property fmtid="{D5CDD505-2E9C-101B-9397-08002B2CF9AE}" pid="17" name="MSIP_Label_6bd9ddd1-4d20-43f6-abfa-fc3c07406f94_ContentBits">
    <vt:lpwstr>0</vt:lpwstr>
  </property>
  <property fmtid="{D5CDD505-2E9C-101B-9397-08002B2CF9AE}" pid="18" name="MSIP_Label_6bd9ddd1-4d20-43f6-abfa-fc3c07406f94_Enabled">
    <vt:lpwstr>true</vt:lpwstr>
  </property>
  <property fmtid="{D5CDD505-2E9C-101B-9397-08002B2CF9AE}" pid="19" name="MSIP_Label_6bd9ddd1-4d20-43f6-abfa-fc3c07406f94_Method">
    <vt:lpwstr>Standard</vt:lpwstr>
  </property>
  <property fmtid="{D5CDD505-2E9C-101B-9397-08002B2CF9AE}" pid="20" name="MSIP_Label_6bd9ddd1-4d20-43f6-abfa-fc3c07406f94_Name">
    <vt:lpwstr>Commission Use</vt:lpwstr>
  </property>
  <property fmtid="{D5CDD505-2E9C-101B-9397-08002B2CF9AE}" pid="21" name="MSIP_Label_6bd9ddd1-4d20-43f6-abfa-fc3c07406f94_SetDate">
    <vt:lpwstr>2026-01-06T12:36:13Z</vt:lpwstr>
  </property>
  <property fmtid="{D5CDD505-2E9C-101B-9397-08002B2CF9AE}" pid="22" name="MSIP_Label_6bd9ddd1-4d20-43f6-abfa-fc3c07406f94_SiteId">
    <vt:lpwstr>b24c8b06-522c-46fe-9080-70926f8dddb1</vt:lpwstr>
  </property>
  <property fmtid="{D5CDD505-2E9C-101B-9397-08002B2CF9AE}" pid="23" name="MSIP_Label_6bd9ddd1-4d20-43f6-abfa-fc3c07406f94_Tag">
    <vt:lpwstr>10, 3, 0, 1</vt:lpwstr>
  </property>
  <property fmtid="{D5CDD505-2E9C-101B-9397-08002B2CF9AE}" pid="24" name="p26229aee9004b9f888149fd0449ec68">
    <vt:lpwstr/>
  </property>
  <property fmtid="{D5CDD505-2E9C-101B-9397-08002B2CF9AE}" pid="25" name="TaxCatchAll">
    <vt:lpwstr/>
  </property>
</Properties>
</file>