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63420" w:rsidRPr="00BE1077" w:rsidP="00CB748A" w14:paraId="58E9F37A" w14:textId="09C1150B">
      <w:pPr>
        <w:spacing w:after="720"/>
        <w:jc w:val="center"/>
        <w:rPr>
          <w:rFonts w:ascii="Times New Roman" w:hAnsi="Times New Roman"/>
          <w:b/>
          <w:szCs w:val="24"/>
        </w:rPr>
      </w:pPr>
      <w:r w:rsidRPr="00EA0B47">
        <w:rPr>
          <w:rFonts w:ascii="Times New Roman" w:hAnsi="Times New Roman"/>
          <w:b/>
          <w:szCs w:val="24"/>
        </w:rPr>
        <w:t xml:space="preserve">Follow-up to the European Parliament non-legislative resolution </w:t>
      </w:r>
      <w:r w:rsidRPr="00EA0B47">
        <w:rPr>
          <w:rFonts w:ascii="Times New Roman" w:hAnsi="Times New Roman"/>
          <w:b/>
          <w:bCs/>
          <w:szCs w:val="24"/>
        </w:rPr>
        <w:t>on</w:t>
      </w:r>
      <w:r w:rsidRPr="00EA0B47" w:rsidR="001B540E">
        <w:rPr>
          <w:rFonts w:ascii="Times New Roman" w:hAnsi="Times New Roman"/>
          <w:b/>
          <w:bCs/>
          <w:szCs w:val="24"/>
        </w:rPr>
        <w:t xml:space="preserve"> </w:t>
      </w:r>
      <w:r w:rsidRPr="00EA0B47" w:rsidR="005603A0">
        <w:rPr>
          <w:rFonts w:ascii="Times New Roman" w:hAnsi="Times New Roman"/>
          <w:b/>
          <w:bCs/>
          <w:szCs w:val="24"/>
        </w:rPr>
        <w:t>Control of the financial activities of the European Investment Bank Group — annual report 2024</w:t>
      </w:r>
    </w:p>
    <w:p w:rsidR="00963420" w:rsidRPr="00BE1077" w:rsidP="0084310E" w14:paraId="222E65B7" w14:textId="3437567F">
      <w:pPr>
        <w:numPr>
          <w:ilvl w:val="0"/>
          <w:numId w:val="34"/>
        </w:numPr>
        <w:ind w:left="567" w:hanging="567"/>
        <w:rPr>
          <w:rFonts w:ascii="Times New Roman" w:hAnsi="Times New Roman"/>
          <w:i/>
          <w:szCs w:val="24"/>
          <w:lang w:val="fr-BE"/>
        </w:rPr>
      </w:pPr>
      <w:r w:rsidRPr="00BE1077">
        <w:rPr>
          <w:rFonts w:ascii="Times New Roman" w:hAnsi="Times New Roman"/>
          <w:b/>
          <w:szCs w:val="24"/>
          <w:lang w:val="fr-BE"/>
        </w:rPr>
        <w:t>Rapporteur:</w:t>
      </w:r>
      <w:r w:rsidRPr="00BE1077">
        <w:rPr>
          <w:rFonts w:ascii="Times New Roman" w:hAnsi="Times New Roman"/>
          <w:szCs w:val="24"/>
          <w:lang w:val="fr-BE"/>
        </w:rPr>
        <w:t xml:space="preserve"> </w:t>
      </w:r>
      <w:r w:rsidRPr="00BE1077" w:rsidR="00497F09">
        <w:rPr>
          <w:rFonts w:ascii="Times New Roman" w:hAnsi="Times New Roman"/>
          <w:bCs/>
          <w:lang w:val="fr-BE"/>
        </w:rPr>
        <w:t xml:space="preserve">ERIXON Dick </w:t>
      </w:r>
      <w:r w:rsidRPr="00BE1077" w:rsidR="0077521A">
        <w:rPr>
          <w:rFonts w:ascii="Times New Roman" w:hAnsi="Times New Roman"/>
          <w:bCs/>
          <w:lang w:val="fr-BE"/>
        </w:rPr>
        <w:t>(</w:t>
      </w:r>
      <w:r w:rsidRPr="00BE1077" w:rsidR="00497F09">
        <w:rPr>
          <w:rFonts w:ascii="Times New Roman" w:hAnsi="Times New Roman"/>
          <w:bCs/>
          <w:lang w:val="fr-BE"/>
        </w:rPr>
        <w:t>ECR</w:t>
      </w:r>
      <w:r w:rsidRPr="00BE1077" w:rsidR="00C42AB2">
        <w:rPr>
          <w:rFonts w:ascii="Times New Roman" w:hAnsi="Times New Roman"/>
          <w:bCs/>
          <w:lang w:val="fr-BE"/>
        </w:rPr>
        <w:t xml:space="preserve"> </w:t>
      </w:r>
      <w:r w:rsidRPr="00BE1077" w:rsidR="00CB748A">
        <w:rPr>
          <w:rFonts w:ascii="Times New Roman" w:hAnsi="Times New Roman"/>
          <w:bCs/>
          <w:lang w:val="fr-BE"/>
        </w:rPr>
        <w:t>/</w:t>
      </w:r>
      <w:r w:rsidRPr="00BE1077" w:rsidR="00C42AB2">
        <w:rPr>
          <w:rFonts w:ascii="Times New Roman" w:hAnsi="Times New Roman"/>
          <w:bCs/>
          <w:lang w:val="fr-BE"/>
        </w:rPr>
        <w:t xml:space="preserve"> </w:t>
      </w:r>
      <w:r w:rsidRPr="00BE1077" w:rsidR="00497F09">
        <w:rPr>
          <w:rFonts w:ascii="Times New Roman" w:hAnsi="Times New Roman"/>
          <w:bCs/>
          <w:lang w:val="fr-BE"/>
        </w:rPr>
        <w:t>SE</w:t>
      </w:r>
      <w:r w:rsidRPr="00BE1077" w:rsidR="00CB748A">
        <w:rPr>
          <w:rFonts w:ascii="Times New Roman" w:hAnsi="Times New Roman"/>
          <w:bCs/>
          <w:lang w:val="fr-BE"/>
        </w:rPr>
        <w:t>)</w:t>
      </w:r>
    </w:p>
    <w:p w:rsidR="00563F16" w:rsidRPr="00EA0B47" w:rsidP="00630F9E" w14:paraId="3021C497" w14:textId="49FE11D0">
      <w:pPr>
        <w:pStyle w:val="Default"/>
        <w:numPr>
          <w:ilvl w:val="0"/>
          <w:numId w:val="34"/>
        </w:numPr>
        <w:spacing w:after="240"/>
        <w:ind w:left="567" w:hanging="567"/>
        <w:rPr>
          <w:color w:val="auto"/>
          <w:lang w:val="en-GB"/>
        </w:rPr>
      </w:pPr>
      <w:r w:rsidRPr="00EA0B47">
        <w:rPr>
          <w:b/>
          <w:color w:val="auto"/>
          <w:lang w:val="en-GB"/>
        </w:rPr>
        <w:t>R</w:t>
      </w:r>
      <w:r w:rsidRPr="00EA0B47" w:rsidR="00963420">
        <w:rPr>
          <w:b/>
          <w:color w:val="auto"/>
          <w:lang w:val="en-GB"/>
        </w:rPr>
        <w:t>eference</w:t>
      </w:r>
      <w:r w:rsidRPr="00EA0B47" w:rsidR="00CA777E">
        <w:rPr>
          <w:b/>
          <w:color w:val="auto"/>
          <w:lang w:val="en-GB"/>
        </w:rPr>
        <w:t>s</w:t>
      </w:r>
      <w:r w:rsidRPr="00EA0B47" w:rsidR="00963420">
        <w:rPr>
          <w:b/>
          <w:color w:val="auto"/>
          <w:lang w:val="en-GB"/>
        </w:rPr>
        <w:t xml:space="preserve">: </w:t>
      </w:r>
      <w:r w:rsidRPr="00EA0B47" w:rsidR="00497F09">
        <w:rPr>
          <w:bCs/>
          <w:color w:val="auto"/>
          <w:lang w:val="en-GB"/>
        </w:rPr>
        <w:t>2025/2237(INI)</w:t>
      </w:r>
      <w:r w:rsidRPr="00EA0B47" w:rsidR="00712D76">
        <w:rPr>
          <w:bCs/>
          <w:color w:val="auto"/>
          <w:lang w:val="en-GB"/>
        </w:rPr>
        <w:t xml:space="preserve"> </w:t>
      </w:r>
      <w:r w:rsidRPr="00EA0B47" w:rsidR="00CB748A">
        <w:rPr>
          <w:bCs/>
          <w:color w:val="auto"/>
          <w:lang w:val="en-GB"/>
        </w:rPr>
        <w:t>/</w:t>
      </w:r>
      <w:r w:rsidRPr="00BE1077" w:rsidR="00497F09">
        <w:rPr>
          <w:lang w:val="en-GB"/>
        </w:rPr>
        <w:t xml:space="preserve"> </w:t>
      </w:r>
      <w:r w:rsidRPr="00EA0B47" w:rsidR="00497F09">
        <w:rPr>
          <w:bCs/>
          <w:color w:val="auto"/>
          <w:lang w:val="en-GB"/>
        </w:rPr>
        <w:t>A10-0086/2026</w:t>
      </w:r>
      <w:r w:rsidRPr="00EA0B47" w:rsidR="00712D76">
        <w:rPr>
          <w:bCs/>
          <w:color w:val="auto"/>
          <w:lang w:val="en-GB"/>
        </w:rPr>
        <w:t xml:space="preserve"> </w:t>
      </w:r>
      <w:r w:rsidRPr="00EA0B47" w:rsidR="001B540E">
        <w:rPr>
          <w:bCs/>
          <w:color w:val="auto"/>
          <w:lang w:val="en-GB"/>
        </w:rPr>
        <w:t>/</w:t>
      </w:r>
      <w:r w:rsidRPr="00EA0B47" w:rsidR="00CB748A">
        <w:rPr>
          <w:bCs/>
          <w:color w:val="auto"/>
          <w:lang w:val="en-GB"/>
        </w:rPr>
        <w:t xml:space="preserve"> </w:t>
      </w:r>
      <w:r w:rsidRPr="00EA0B47" w:rsidR="007C4F1A">
        <w:rPr>
          <w:bCs/>
          <w:color w:val="auto"/>
          <w:lang w:val="en-GB"/>
        </w:rPr>
        <w:t>P10_</w:t>
      </w:r>
      <w:r w:rsidRPr="00EA0B47" w:rsidR="007C4F1A">
        <w:rPr>
          <w:bCs/>
          <w:color w:val="auto"/>
          <w:lang w:val="en-GB"/>
        </w:rPr>
        <w:t>TA(</w:t>
      </w:r>
      <w:r w:rsidRPr="00EA0B47" w:rsidR="007C4F1A">
        <w:rPr>
          <w:bCs/>
          <w:color w:val="auto"/>
          <w:lang w:val="en-GB"/>
        </w:rPr>
        <w:t>2026)0119</w:t>
      </w:r>
    </w:p>
    <w:p w:rsidR="001F0B89" w:rsidRPr="00EA0B47" w:rsidP="0084310E" w14:paraId="61D85C18" w14:textId="74D5F528">
      <w:pPr>
        <w:numPr>
          <w:ilvl w:val="0"/>
          <w:numId w:val="34"/>
        </w:numPr>
        <w:ind w:left="567" w:hanging="567"/>
        <w:rPr>
          <w:rFonts w:ascii="Times New Roman" w:hAnsi="Times New Roman"/>
          <w:szCs w:val="24"/>
        </w:rPr>
      </w:pPr>
      <w:r w:rsidRPr="00EA0B47">
        <w:rPr>
          <w:rFonts w:ascii="Times New Roman" w:hAnsi="Times New Roman"/>
          <w:b/>
          <w:szCs w:val="24"/>
        </w:rPr>
        <w:t>Date of adoption of the resolution:</w:t>
      </w:r>
      <w:r w:rsidRPr="00EA0B47">
        <w:rPr>
          <w:rFonts w:ascii="Times New Roman" w:hAnsi="Times New Roman"/>
          <w:szCs w:val="24"/>
        </w:rPr>
        <w:t xml:space="preserve"> </w:t>
      </w:r>
      <w:r w:rsidRPr="00EA0B47" w:rsidR="00497F09">
        <w:rPr>
          <w:rFonts w:ascii="Times New Roman" w:hAnsi="Times New Roman"/>
          <w:szCs w:val="24"/>
        </w:rPr>
        <w:t>28</w:t>
      </w:r>
      <w:r w:rsidRPr="00EA0B47" w:rsidR="00CE419E">
        <w:rPr>
          <w:rFonts w:ascii="Times New Roman" w:hAnsi="Times New Roman"/>
          <w:szCs w:val="24"/>
        </w:rPr>
        <w:t xml:space="preserve"> April </w:t>
      </w:r>
      <w:r w:rsidRPr="00EA0B47" w:rsidR="0077521A">
        <w:rPr>
          <w:rFonts w:ascii="Times New Roman" w:hAnsi="Times New Roman"/>
          <w:szCs w:val="24"/>
        </w:rPr>
        <w:t>2026</w:t>
      </w:r>
    </w:p>
    <w:p w:rsidR="00CB748A" w:rsidRPr="00EA0B47" w:rsidP="00CB748A" w14:paraId="7F6CC3DA" w14:textId="69523D50">
      <w:pPr>
        <w:numPr>
          <w:ilvl w:val="0"/>
          <w:numId w:val="34"/>
        </w:numPr>
        <w:ind w:left="567" w:hanging="567"/>
        <w:rPr>
          <w:rFonts w:ascii="Times New Roman" w:hAnsi="Times New Roman"/>
          <w:szCs w:val="24"/>
        </w:rPr>
      </w:pPr>
      <w:r w:rsidRPr="00EA0B47">
        <w:rPr>
          <w:rFonts w:ascii="Times New Roman" w:hAnsi="Times New Roman"/>
          <w:b/>
          <w:szCs w:val="24"/>
        </w:rPr>
        <w:t>Competent Parliamentary Committee:</w:t>
      </w:r>
      <w:r w:rsidRPr="00EA0B47">
        <w:rPr>
          <w:rFonts w:ascii="Times New Roman" w:hAnsi="Times New Roman"/>
          <w:b/>
          <w:szCs w:val="24"/>
        </w:rPr>
        <w:t xml:space="preserve"> </w:t>
      </w:r>
      <w:r w:rsidRPr="00EA0B47">
        <w:rPr>
          <w:rFonts w:ascii="Times New Roman" w:hAnsi="Times New Roman"/>
          <w:szCs w:val="24"/>
        </w:rPr>
        <w:t xml:space="preserve">Committee on </w:t>
      </w:r>
      <w:r w:rsidRPr="00EA0B47" w:rsidR="00497F09">
        <w:rPr>
          <w:rFonts w:ascii="Times New Roman" w:hAnsi="Times New Roman"/>
          <w:szCs w:val="24"/>
        </w:rPr>
        <w:t>Budgetary Control (CONT)</w:t>
      </w:r>
    </w:p>
    <w:p w:rsidR="00CB748A" w:rsidRPr="00EA0B47" w:rsidP="00CB748A" w14:paraId="3282659C" w14:textId="2A99722D">
      <w:pPr>
        <w:numPr>
          <w:ilvl w:val="0"/>
          <w:numId w:val="34"/>
        </w:numPr>
        <w:ind w:left="567" w:hanging="567"/>
        <w:rPr>
          <w:rFonts w:ascii="Times New Roman" w:hAnsi="Times New Roman"/>
          <w:szCs w:val="24"/>
        </w:rPr>
      </w:pPr>
      <w:r w:rsidRPr="00EA0B47">
        <w:rPr>
          <w:rFonts w:ascii="Times New Roman" w:hAnsi="Times New Roman"/>
          <w:b/>
          <w:szCs w:val="24"/>
        </w:rPr>
        <w:t>Brief analysis/</w:t>
      </w:r>
      <w:r w:rsidRPr="00EA0B47" w:rsidR="00AB3960">
        <w:rPr>
          <w:rFonts w:ascii="Times New Roman" w:hAnsi="Times New Roman"/>
          <w:b/>
          <w:szCs w:val="24"/>
        </w:rPr>
        <w:t xml:space="preserve"> </w:t>
      </w:r>
      <w:r w:rsidRPr="00EA0B47">
        <w:rPr>
          <w:rFonts w:ascii="Times New Roman" w:hAnsi="Times New Roman"/>
          <w:b/>
          <w:szCs w:val="24"/>
        </w:rPr>
        <w:t>assessment of the resolution and requests made in it:</w:t>
      </w:r>
    </w:p>
    <w:p w:rsidR="00797530" w:rsidRPr="00BE1077" w:rsidP="00AB3A04" w14:paraId="0D5AE18B" w14:textId="77777777">
      <w:pPr>
        <w:ind w:left="567"/>
        <w:rPr>
          <w:rFonts w:ascii="Times New Roman" w:eastAsia="Arial" w:hAnsi="Times New Roman"/>
        </w:rPr>
      </w:pPr>
      <w:r w:rsidRPr="00BE1077">
        <w:rPr>
          <w:rFonts w:ascii="Times New Roman" w:eastAsia="Arial" w:hAnsi="Times New Roman"/>
        </w:rPr>
        <w:t>The report acknowledges the EIB Group's solid results in 2024 and its AAA credit rating</w:t>
      </w:r>
      <w:r w:rsidRPr="00BE1077">
        <w:rPr>
          <w:rFonts w:ascii="Times New Roman" w:eastAsia="Arial" w:hAnsi="Times New Roman"/>
        </w:rPr>
        <w:t>. T</w:t>
      </w:r>
      <w:r w:rsidRPr="00BE1077">
        <w:rPr>
          <w:rFonts w:ascii="Times New Roman" w:eastAsia="Arial" w:hAnsi="Times New Roman"/>
        </w:rPr>
        <w:t>he report</w:t>
      </w:r>
      <w:r w:rsidRPr="00BE1077">
        <w:rPr>
          <w:rFonts w:ascii="Times New Roman" w:eastAsia="Arial" w:hAnsi="Times New Roman"/>
        </w:rPr>
        <w:t xml:space="preserve"> notes that</w:t>
      </w:r>
      <w:r w:rsidRPr="00BE1077">
        <w:rPr>
          <w:rFonts w:ascii="Times New Roman" w:eastAsia="Arial" w:hAnsi="Times New Roman"/>
        </w:rPr>
        <w:t xml:space="preserve"> sound headline figures alone do not demonstrate that investments achieve their intended purpose, and the lack of adequate accountability structures may itself pose a risk to the Bank's credit standing. The report acknowledges the EIB's role in defence and security financing. It notes the strong increase in EIB security and defence financing from EUR 0.5 billion in 2023 to EUR 1.04 billion in 2024, and the further scale-up in 2025. </w:t>
      </w:r>
    </w:p>
    <w:p w:rsidR="00797530" w:rsidRPr="00BE1077" w:rsidP="00AB3A04" w14:paraId="63FE94D5" w14:textId="4F2AFF0F">
      <w:pPr>
        <w:ind w:left="567"/>
        <w:rPr>
          <w:rFonts w:ascii="Times New Roman" w:eastAsia="Arial" w:hAnsi="Times New Roman"/>
        </w:rPr>
      </w:pPr>
      <w:r w:rsidRPr="00BE1077">
        <w:rPr>
          <w:rFonts w:ascii="Times New Roman" w:eastAsia="Arial" w:hAnsi="Times New Roman"/>
        </w:rPr>
        <w:t xml:space="preserve">The report </w:t>
      </w:r>
      <w:r w:rsidRPr="00BE1077">
        <w:rPr>
          <w:rFonts w:ascii="Times New Roman" w:eastAsia="Arial" w:hAnsi="Times New Roman"/>
        </w:rPr>
        <w:t>recogni</w:t>
      </w:r>
      <w:r w:rsidRPr="00BE1077" w:rsidR="009B767D">
        <w:rPr>
          <w:rFonts w:ascii="Times New Roman" w:eastAsia="Arial" w:hAnsi="Times New Roman"/>
        </w:rPr>
        <w:t>s</w:t>
      </w:r>
      <w:r w:rsidRPr="00BE1077">
        <w:rPr>
          <w:rFonts w:ascii="Times New Roman" w:eastAsia="Arial" w:hAnsi="Times New Roman"/>
        </w:rPr>
        <w:t>es</w:t>
      </w:r>
      <w:r w:rsidRPr="00BE1077">
        <w:rPr>
          <w:rFonts w:ascii="Times New Roman" w:eastAsia="Arial" w:hAnsi="Times New Roman"/>
        </w:rPr>
        <w:t xml:space="preserve"> nuclear energy on equal terms </w:t>
      </w:r>
      <w:r w:rsidRPr="00BE1077" w:rsidR="003A1BAE">
        <w:rPr>
          <w:rFonts w:ascii="Times New Roman" w:eastAsia="Arial" w:hAnsi="Times New Roman"/>
        </w:rPr>
        <w:t xml:space="preserve">with other energy sources </w:t>
      </w:r>
      <w:r w:rsidRPr="00BE1077">
        <w:rPr>
          <w:rFonts w:ascii="Times New Roman" w:eastAsia="Arial" w:hAnsi="Times New Roman"/>
        </w:rPr>
        <w:t xml:space="preserve">under the principle of technological neutrality and calls for ensuring that the Bank's reporting and evaluation frameworks are applied consistently. It also expresses concerns regarding the disproportionate environmental, social, and governance reporting requirements imposed on EIB borrowers. </w:t>
      </w:r>
    </w:p>
    <w:p w:rsidR="00AB3A04" w:rsidRPr="00BE1077" w:rsidP="00AB3A04" w14:paraId="5545DF8D" w14:textId="3F87C248">
      <w:pPr>
        <w:ind w:left="567"/>
        <w:rPr>
          <w:rFonts w:ascii="Times New Roman" w:hAnsi="Times New Roman"/>
          <w:szCs w:val="24"/>
        </w:rPr>
      </w:pPr>
      <w:r w:rsidRPr="00BE1077">
        <w:rPr>
          <w:rFonts w:ascii="Times New Roman" w:eastAsia="Arial" w:hAnsi="Times New Roman"/>
        </w:rPr>
        <w:t xml:space="preserve">The report notes that EIB loans sometimes entail higher administrative burdens than commercial loans. It warns that excessive reporting requirements make EIB financing less attractive for the private sector and may deter economically viable projects. </w:t>
      </w:r>
      <w:r w:rsidRPr="00BE1077" w:rsidR="00797530">
        <w:rPr>
          <w:rFonts w:ascii="Times New Roman" w:eastAsia="Arial" w:hAnsi="Times New Roman"/>
        </w:rPr>
        <w:t>Finally, t</w:t>
      </w:r>
      <w:r w:rsidRPr="00BE1077">
        <w:rPr>
          <w:rFonts w:ascii="Times New Roman" w:eastAsia="Arial" w:hAnsi="Times New Roman"/>
        </w:rPr>
        <w:t xml:space="preserve">he report </w:t>
      </w:r>
      <w:r w:rsidRPr="00BE1077" w:rsidR="004C7595">
        <w:rPr>
          <w:rFonts w:ascii="Times New Roman" w:eastAsia="Arial" w:hAnsi="Times New Roman"/>
        </w:rPr>
        <w:t>recogni</w:t>
      </w:r>
      <w:r w:rsidR="004C7595">
        <w:rPr>
          <w:rFonts w:ascii="Times New Roman" w:eastAsia="Arial" w:hAnsi="Times New Roman"/>
        </w:rPr>
        <w:t>s</w:t>
      </w:r>
      <w:r w:rsidRPr="00BE1077" w:rsidR="004C7595">
        <w:rPr>
          <w:rFonts w:ascii="Times New Roman" w:eastAsia="Arial" w:hAnsi="Times New Roman"/>
        </w:rPr>
        <w:t xml:space="preserve">es </w:t>
      </w:r>
      <w:r w:rsidRPr="00BE1077">
        <w:rPr>
          <w:rFonts w:ascii="Times New Roman" w:eastAsia="Arial" w:hAnsi="Times New Roman"/>
        </w:rPr>
        <w:t>that the EIB has become a major implementing partner of EU financial support to Ukraine.</w:t>
      </w:r>
    </w:p>
    <w:p w:rsidR="00963420" w:rsidRPr="00EA0B47" w:rsidP="00CB748A" w14:paraId="780B6643" w14:textId="7E0EF8DA">
      <w:pPr>
        <w:numPr>
          <w:ilvl w:val="0"/>
          <w:numId w:val="34"/>
        </w:numPr>
        <w:ind w:left="567" w:hanging="567"/>
        <w:rPr>
          <w:rFonts w:ascii="Times New Roman" w:hAnsi="Times New Roman"/>
          <w:szCs w:val="24"/>
        </w:rPr>
      </w:pPr>
      <w:r w:rsidRPr="00EA0B47">
        <w:rPr>
          <w:rFonts w:ascii="Times New Roman" w:hAnsi="Times New Roman"/>
          <w:b/>
          <w:szCs w:val="24"/>
        </w:rPr>
        <w:t>Response to requests and overview of action</w:t>
      </w:r>
      <w:r w:rsidRPr="00EA0B47" w:rsidR="001946EE">
        <w:rPr>
          <w:rFonts w:ascii="Times New Roman" w:hAnsi="Times New Roman"/>
          <w:b/>
          <w:szCs w:val="24"/>
        </w:rPr>
        <w:t>s</w:t>
      </w:r>
      <w:r w:rsidRPr="00EA0B47">
        <w:rPr>
          <w:rFonts w:ascii="Times New Roman" w:hAnsi="Times New Roman"/>
          <w:b/>
          <w:szCs w:val="24"/>
        </w:rPr>
        <w:t xml:space="preserve"> taken, or intended to be taken, by the Commission:</w:t>
      </w:r>
      <w:r w:rsidRPr="00EA0B47" w:rsidR="00146971">
        <w:rPr>
          <w:rFonts w:ascii="Times New Roman" w:hAnsi="Times New Roman"/>
          <w:b/>
          <w:szCs w:val="24"/>
        </w:rPr>
        <w:t xml:space="preserve"> </w:t>
      </w:r>
    </w:p>
    <w:p w:rsidR="00CB566B" w:rsidRPr="00BE1077" w:rsidP="00CB566B" w14:paraId="7E30C847" w14:textId="56352A35">
      <w:pPr>
        <w:ind w:left="567"/>
        <w:rPr>
          <w:rFonts w:ascii="Times New Roman" w:hAnsi="Times New Roman"/>
          <w:bCs/>
          <w:i/>
          <w:iCs/>
          <w:szCs w:val="24"/>
        </w:rPr>
      </w:pPr>
      <w:r w:rsidRPr="00EA0B47">
        <w:rPr>
          <w:rFonts w:ascii="Times New Roman" w:hAnsi="Times New Roman"/>
          <w:bCs/>
          <w:i/>
          <w:iCs/>
          <w:szCs w:val="24"/>
        </w:rPr>
        <w:t>Par</w:t>
      </w:r>
      <w:r w:rsidRPr="00EA0B47" w:rsidR="00F14E18">
        <w:rPr>
          <w:rFonts w:ascii="Times New Roman" w:hAnsi="Times New Roman"/>
          <w:bCs/>
          <w:i/>
          <w:iCs/>
          <w:szCs w:val="24"/>
        </w:rPr>
        <w:t>agraph</w:t>
      </w:r>
      <w:r w:rsidRPr="00EA0B47">
        <w:rPr>
          <w:rFonts w:ascii="Times New Roman" w:hAnsi="Times New Roman"/>
          <w:bCs/>
          <w:i/>
          <w:iCs/>
          <w:szCs w:val="24"/>
        </w:rPr>
        <w:t xml:space="preserve"> 6</w:t>
      </w:r>
      <w:r w:rsidRPr="00EA0B47" w:rsidR="00AD4DB0">
        <w:rPr>
          <w:rFonts w:ascii="Times New Roman" w:hAnsi="Times New Roman"/>
        </w:rPr>
        <w:t>.</w:t>
      </w:r>
    </w:p>
    <w:p w:rsidR="000B7F86" w:rsidRPr="00BE1077" w:rsidP="000B7F86" w14:paraId="7F5E3BF7" w14:textId="0F2260DF">
      <w:pPr>
        <w:ind w:left="567"/>
        <w:rPr>
          <w:rFonts w:ascii="Times New Roman" w:hAnsi="Times New Roman"/>
          <w:bCs/>
          <w:szCs w:val="24"/>
        </w:rPr>
      </w:pPr>
      <w:bookmarkStart w:id="0" w:name="_Hlk229995996"/>
      <w:r w:rsidRPr="00BE1077">
        <w:rPr>
          <w:rFonts w:ascii="Times New Roman" w:hAnsi="Times New Roman"/>
          <w:bCs/>
          <w:szCs w:val="24"/>
        </w:rPr>
        <w:t xml:space="preserve">All direct EIB investment projects are subject to a common appraisal methodology, as laid out in the EIB’s Additionality and Impact Measurement </w:t>
      </w:r>
      <w:r w:rsidRPr="00BE1077" w:rsidR="000A2683">
        <w:rPr>
          <w:rFonts w:ascii="Times New Roman" w:hAnsi="Times New Roman"/>
          <w:bCs/>
          <w:szCs w:val="24"/>
        </w:rPr>
        <w:t xml:space="preserve">(AIM) </w:t>
      </w:r>
      <w:r w:rsidRPr="00BE1077">
        <w:rPr>
          <w:rFonts w:ascii="Times New Roman" w:hAnsi="Times New Roman"/>
          <w:bCs/>
          <w:szCs w:val="24"/>
        </w:rPr>
        <w:t>framework. This framework evaluates the market gaps filled by EIB financing and the real-world results of the projects it supports. It is used for ex-ante</w:t>
      </w:r>
      <w:r w:rsidRPr="00BE1077">
        <w:rPr>
          <w:rFonts w:ascii="Times New Roman" w:hAnsi="Times New Roman"/>
          <w:b/>
          <w:bCs/>
          <w:szCs w:val="24"/>
        </w:rPr>
        <w:t xml:space="preserve"> </w:t>
      </w:r>
      <w:r w:rsidRPr="00BE1077">
        <w:rPr>
          <w:rFonts w:ascii="Times New Roman" w:hAnsi="Times New Roman"/>
          <w:bCs/>
          <w:szCs w:val="24"/>
        </w:rPr>
        <w:t xml:space="preserve">(appraisal and pre-appraisal) but also for </w:t>
      </w:r>
      <w:r w:rsidRPr="00BE1077">
        <w:rPr>
          <w:rFonts w:ascii="Times New Roman" w:hAnsi="Times New Roman"/>
          <w:szCs w:val="24"/>
        </w:rPr>
        <w:t>ex-post</w:t>
      </w:r>
      <w:r w:rsidRPr="00BE1077">
        <w:rPr>
          <w:rFonts w:ascii="Times New Roman" w:hAnsi="Times New Roman"/>
          <w:b/>
          <w:bCs/>
          <w:szCs w:val="24"/>
        </w:rPr>
        <w:t xml:space="preserve"> </w:t>
      </w:r>
      <w:r w:rsidRPr="00BE1077">
        <w:rPr>
          <w:rFonts w:ascii="Times New Roman" w:hAnsi="Times New Roman"/>
          <w:bCs/>
          <w:szCs w:val="24"/>
        </w:rPr>
        <w:t>(monitoring) assessment of operations. The EIB monitors projects throughout their lifecycle, comparing actual results at project completion against the baseline metrics established during the appraisal phase.</w:t>
      </w:r>
      <w:r w:rsidRPr="00BE1077" w:rsidR="000A2683">
        <w:rPr>
          <w:rFonts w:ascii="Times New Roman" w:hAnsi="Times New Roman"/>
          <w:bCs/>
          <w:szCs w:val="24"/>
        </w:rPr>
        <w:t xml:space="preserve"> The AIM framework is currently under evaluation by the EIB, with results expected in 2026.</w:t>
      </w:r>
    </w:p>
    <w:p w:rsidR="000B7F86" w:rsidRPr="00BE1077" w:rsidP="000B7F86" w14:paraId="5D2F7D45" w14:textId="3206DEDF">
      <w:pPr>
        <w:ind w:left="567"/>
        <w:rPr>
          <w:rFonts w:ascii="Times New Roman" w:hAnsi="Times New Roman"/>
          <w:bCs/>
          <w:szCs w:val="24"/>
        </w:rPr>
      </w:pPr>
      <w:r w:rsidRPr="00BE1077">
        <w:rPr>
          <w:rFonts w:ascii="Times New Roman" w:hAnsi="Times New Roman"/>
          <w:bCs/>
          <w:szCs w:val="24"/>
        </w:rPr>
        <w:t xml:space="preserve">At the portfolio level, the EIB's efforts are measured through several key performance indicators which set minimum annual targets with respect to the degree of alignment of EIB financing with policy priorities, project quality, and the level of EIB's contribution to the project. </w:t>
      </w:r>
    </w:p>
    <w:p w:rsidR="000B7F86" w:rsidRPr="00BE1077" w:rsidP="197F19EA" w14:paraId="472C1CDF" w14:textId="50A11C3A">
      <w:pPr>
        <w:ind w:left="567"/>
        <w:rPr>
          <w:rFonts w:ascii="Times New Roman" w:hAnsi="Times New Roman"/>
        </w:rPr>
      </w:pPr>
      <w:r w:rsidRPr="00BE1077">
        <w:rPr>
          <w:rFonts w:ascii="Times New Roman" w:hAnsi="Times New Roman"/>
        </w:rPr>
        <w:t>As mentioned in the Court of Auditors audit on EFSI (Special Report 7/2025), for future EU programmes using EU budgetary guarantees, t</w:t>
      </w:r>
      <w:r w:rsidRPr="00BE1077" w:rsidR="0F7A2433">
        <w:rPr>
          <w:rFonts w:ascii="Times New Roman" w:hAnsi="Times New Roman"/>
        </w:rPr>
        <w:t>he Commission may develop a methodology to assess as part of the ex</w:t>
      </w:r>
      <w:r w:rsidRPr="00BE1077" w:rsidR="222BFC32">
        <w:rPr>
          <w:rFonts w:ascii="Times New Roman" w:hAnsi="Times New Roman"/>
        </w:rPr>
        <w:t>-</w:t>
      </w:r>
      <w:r w:rsidRPr="00BE1077" w:rsidR="0F7A2433">
        <w:rPr>
          <w:rFonts w:ascii="Times New Roman" w:hAnsi="Times New Roman"/>
        </w:rPr>
        <w:t>post evaluations the additionality of the EU support, for example through the analysis of targeted</w:t>
      </w:r>
      <w:r w:rsidRPr="00BE1077" w:rsidR="00AD4DB0">
        <w:rPr>
          <w:rFonts w:ascii="Times New Roman" w:hAnsi="Times New Roman"/>
        </w:rPr>
        <w:t xml:space="preserve"> </w:t>
      </w:r>
      <w:r w:rsidRPr="00BE1077" w:rsidR="0F7A2433">
        <w:rPr>
          <w:rFonts w:ascii="Times New Roman" w:hAnsi="Times New Roman"/>
        </w:rPr>
        <w:t>surveys and structured interviews. This type of additionality analysis could for example be carried out as part of an independent external evaluation.</w:t>
      </w:r>
    </w:p>
    <w:bookmarkEnd w:id="0"/>
    <w:p w:rsidR="00CB566B" w:rsidRPr="00BE1077" w:rsidP="00BE1077" w14:paraId="4855200C" w14:textId="5F59742D">
      <w:pPr>
        <w:tabs>
          <w:tab w:val="left" w:pos="3084"/>
        </w:tabs>
        <w:ind w:left="567"/>
        <w:rPr>
          <w:rFonts w:ascii="Times New Roman" w:hAnsi="Times New Roman"/>
          <w:bCs/>
          <w:i/>
          <w:iCs/>
          <w:szCs w:val="24"/>
        </w:rPr>
      </w:pPr>
      <w:r w:rsidRPr="00BE1077">
        <w:rPr>
          <w:rFonts w:ascii="Times New Roman" w:hAnsi="Times New Roman"/>
          <w:bCs/>
          <w:i/>
          <w:iCs/>
          <w:szCs w:val="24"/>
        </w:rPr>
        <w:t>Par</w:t>
      </w:r>
      <w:r w:rsidRPr="00BE1077" w:rsidR="00BC3DD6">
        <w:rPr>
          <w:rFonts w:ascii="Times New Roman" w:hAnsi="Times New Roman"/>
          <w:bCs/>
          <w:i/>
          <w:iCs/>
          <w:szCs w:val="24"/>
        </w:rPr>
        <w:t>agraph</w:t>
      </w:r>
      <w:r w:rsidRPr="00BE1077">
        <w:rPr>
          <w:rFonts w:ascii="Times New Roman" w:hAnsi="Times New Roman"/>
          <w:bCs/>
          <w:i/>
          <w:iCs/>
          <w:szCs w:val="24"/>
        </w:rPr>
        <w:t>. 24</w:t>
      </w:r>
      <w:r w:rsidRPr="00EA0B47" w:rsidR="003F6801">
        <w:rPr>
          <w:rFonts w:ascii="Times New Roman" w:hAnsi="Times New Roman"/>
        </w:rPr>
        <w:t>.</w:t>
      </w:r>
    </w:p>
    <w:p w:rsidR="00C552DB" w:rsidRPr="00BE1077" w:rsidP="197F19EA" w14:paraId="610B3DA4" w14:textId="177D45C7">
      <w:pPr>
        <w:ind w:left="567"/>
        <w:rPr>
          <w:rFonts w:ascii="Times New Roman" w:hAnsi="Times New Roman"/>
        </w:rPr>
      </w:pPr>
      <w:r w:rsidRPr="00BE1077">
        <w:rPr>
          <w:rFonts w:ascii="Times New Roman" w:hAnsi="Times New Roman"/>
        </w:rPr>
        <w:t xml:space="preserve">The Commission welcomes </w:t>
      </w:r>
      <w:r w:rsidRPr="00BE1077" w:rsidR="5650B5BB">
        <w:rPr>
          <w:rFonts w:ascii="Times New Roman" w:hAnsi="Times New Roman"/>
        </w:rPr>
        <w:t xml:space="preserve">the recommendation </w:t>
      </w:r>
      <w:r w:rsidRPr="00BE1077" w:rsidR="00810DC2">
        <w:rPr>
          <w:rFonts w:ascii="Times New Roman" w:hAnsi="Times New Roman"/>
        </w:rPr>
        <w:t>and, in this regard,</w:t>
      </w:r>
      <w:r w:rsidRPr="00BE1077" w:rsidR="5650B5BB">
        <w:rPr>
          <w:rFonts w:ascii="Times New Roman" w:hAnsi="Times New Roman"/>
        </w:rPr>
        <w:t xml:space="preserve"> positively notes </w:t>
      </w:r>
      <w:r w:rsidRPr="00BE1077">
        <w:rPr>
          <w:rFonts w:ascii="Times New Roman" w:hAnsi="Times New Roman"/>
        </w:rPr>
        <w:t xml:space="preserve">the EIB Group’s </w:t>
      </w:r>
      <w:r w:rsidRPr="00BE1077" w:rsidR="7A1653CA">
        <w:rPr>
          <w:rFonts w:ascii="Times New Roman" w:hAnsi="Times New Roman"/>
        </w:rPr>
        <w:t xml:space="preserve">already undertaken </w:t>
      </w:r>
      <w:r w:rsidRPr="00BE1077">
        <w:rPr>
          <w:rFonts w:ascii="Times New Roman" w:hAnsi="Times New Roman"/>
        </w:rPr>
        <w:t xml:space="preserve">efforts to </w:t>
      </w:r>
      <w:r w:rsidRPr="00BE1077" w:rsidR="274032D6">
        <w:rPr>
          <w:rFonts w:ascii="Times New Roman" w:hAnsi="Times New Roman"/>
        </w:rPr>
        <w:t xml:space="preserve">advance cost-efficiency, simplification and modernisation measures launched in 2024, with the objective of reducing administrative burden and improving time to market. Since 2024, over half of operations follow simplified due diligence processes, particularly for lower-risk </w:t>
      </w:r>
      <w:r w:rsidRPr="00BE1077" w:rsidR="79670AA8">
        <w:rPr>
          <w:rFonts w:ascii="Times New Roman" w:hAnsi="Times New Roman"/>
        </w:rPr>
        <w:t>projects</w:t>
      </w:r>
      <w:r w:rsidRPr="00BE1077" w:rsidR="274032D6">
        <w:rPr>
          <w:rFonts w:ascii="Times New Roman" w:hAnsi="Times New Roman"/>
        </w:rPr>
        <w:t>, contributing to more efficient processing and streamlined client interaction.</w:t>
      </w:r>
      <w:r w:rsidRPr="00BE1077" w:rsidR="2C04A48B">
        <w:rPr>
          <w:rFonts w:ascii="Times New Roman" w:hAnsi="Times New Roman"/>
        </w:rPr>
        <w:t xml:space="preserve"> </w:t>
      </w:r>
      <w:r w:rsidRPr="00BE1077" w:rsidR="1A6635B6">
        <w:rPr>
          <w:rFonts w:ascii="Times New Roman" w:hAnsi="Times New Roman"/>
        </w:rPr>
        <w:t xml:space="preserve">However, the simplification should not be </w:t>
      </w:r>
      <w:r w:rsidRPr="00EA0B47" w:rsidR="1A6635B6">
        <w:rPr>
          <w:rFonts w:ascii="Times New Roman" w:hAnsi="Times New Roman"/>
        </w:rPr>
        <w:t>in detriment of maintaining the highest due diligence standards.</w:t>
      </w:r>
    </w:p>
    <w:p w:rsidR="003C1794" w:rsidRPr="00BE1077" w:rsidP="00A84516" w14:paraId="2618B6C4" w14:textId="417AD7A9">
      <w:pPr>
        <w:ind w:left="567"/>
        <w:rPr>
          <w:rFonts w:ascii="Times New Roman" w:hAnsi="Times New Roman"/>
        </w:rPr>
      </w:pPr>
      <w:r w:rsidRPr="00BE1077">
        <w:rPr>
          <w:rFonts w:ascii="Times New Roman" w:hAnsi="Times New Roman"/>
          <w:i/>
          <w:iCs/>
        </w:rPr>
        <w:t>T</w:t>
      </w:r>
      <w:r w:rsidRPr="00BE1077" w:rsidR="0050739C">
        <w:rPr>
          <w:rFonts w:ascii="Times New Roman" w:hAnsi="Times New Roman"/>
          <w:i/>
          <w:iCs/>
        </w:rPr>
        <w:t>he EIB Group Strategic Roadmap 2024-2027</w:t>
      </w:r>
      <w:r w:rsidRPr="00BE1077" w:rsidR="0050739C">
        <w:rPr>
          <w:rFonts w:ascii="Times New Roman" w:hAnsi="Times New Roman"/>
        </w:rPr>
        <w:t xml:space="preserve"> identifies </w:t>
      </w:r>
      <w:r w:rsidRPr="00BE1077" w:rsidR="00A84516">
        <w:rPr>
          <w:rFonts w:ascii="Times New Roman" w:hAnsi="Times New Roman"/>
        </w:rPr>
        <w:t>pursuing further reforms of Group’s business model</w:t>
      </w:r>
      <w:r w:rsidRPr="00BE1077" w:rsidR="004D6161">
        <w:rPr>
          <w:rFonts w:ascii="Times New Roman" w:hAnsi="Times New Roman"/>
        </w:rPr>
        <w:t xml:space="preserve"> as one of </w:t>
      </w:r>
      <w:r w:rsidRPr="00BE1077" w:rsidR="00A84516">
        <w:rPr>
          <w:rFonts w:ascii="Times New Roman" w:hAnsi="Times New Roman"/>
        </w:rPr>
        <w:t>its</w:t>
      </w:r>
      <w:r w:rsidRPr="00BE1077" w:rsidR="004D6161">
        <w:rPr>
          <w:rFonts w:ascii="Times New Roman" w:hAnsi="Times New Roman"/>
        </w:rPr>
        <w:t xml:space="preserve"> priorities. In this context, t</w:t>
      </w:r>
      <w:r w:rsidRPr="00BE1077" w:rsidR="579D8C85">
        <w:rPr>
          <w:rFonts w:ascii="Times New Roman" w:hAnsi="Times New Roman"/>
        </w:rPr>
        <w:t xml:space="preserve">he Commission is working with the EIB Group to simplify </w:t>
      </w:r>
      <w:r w:rsidRPr="00BE1077" w:rsidR="79670AA8">
        <w:rPr>
          <w:rFonts w:ascii="Times New Roman" w:hAnsi="Times New Roman"/>
        </w:rPr>
        <w:t xml:space="preserve">legacy and current </w:t>
      </w:r>
      <w:r w:rsidRPr="00BE1077" w:rsidR="579D8C85">
        <w:rPr>
          <w:rFonts w:ascii="Times New Roman" w:hAnsi="Times New Roman"/>
        </w:rPr>
        <w:t>EU mandates, including those for advisory services, where no legislative proposals are needed with the aim of streamlining procedures and simplifying reporting</w:t>
      </w:r>
      <w:r w:rsidRPr="00BE1077" w:rsidR="5725D638">
        <w:rPr>
          <w:rFonts w:ascii="Times New Roman" w:hAnsi="Times New Roman"/>
        </w:rPr>
        <w:t xml:space="preserve"> for the beneficiaries</w:t>
      </w:r>
      <w:r w:rsidRPr="00BE1077" w:rsidR="579D8C85">
        <w:rPr>
          <w:rFonts w:ascii="Times New Roman" w:hAnsi="Times New Roman"/>
        </w:rPr>
        <w:t xml:space="preserve">. </w:t>
      </w:r>
      <w:r w:rsidRPr="00BE1077" w:rsidR="0050739C">
        <w:rPr>
          <w:rFonts w:ascii="Times New Roman" w:hAnsi="Times New Roman"/>
        </w:rPr>
        <w:t>T</w:t>
      </w:r>
      <w:r w:rsidRPr="00BE1077" w:rsidR="579D8C85">
        <w:rPr>
          <w:rFonts w:ascii="Times New Roman" w:hAnsi="Times New Roman"/>
        </w:rPr>
        <w:t xml:space="preserve">he Commission </w:t>
      </w:r>
      <w:r w:rsidRPr="00BE1077" w:rsidR="1DD7080B">
        <w:rPr>
          <w:rFonts w:ascii="Times New Roman" w:hAnsi="Times New Roman"/>
        </w:rPr>
        <w:t>is also</w:t>
      </w:r>
      <w:r w:rsidRPr="00BE1077" w:rsidR="579D8C85">
        <w:rPr>
          <w:rFonts w:ascii="Times New Roman" w:hAnsi="Times New Roman"/>
        </w:rPr>
        <w:t xml:space="preserve"> closely monitor</w:t>
      </w:r>
      <w:r w:rsidRPr="00BE1077" w:rsidR="222BFC32">
        <w:rPr>
          <w:rFonts w:ascii="Times New Roman" w:hAnsi="Times New Roman"/>
        </w:rPr>
        <w:t>ing</w:t>
      </w:r>
      <w:r w:rsidRPr="00BE1077" w:rsidR="579D8C85">
        <w:rPr>
          <w:rFonts w:ascii="Times New Roman" w:hAnsi="Times New Roman"/>
        </w:rPr>
        <w:t xml:space="preserve"> and support</w:t>
      </w:r>
      <w:r w:rsidRPr="00BE1077" w:rsidR="222BFC32">
        <w:rPr>
          <w:rFonts w:ascii="Times New Roman" w:hAnsi="Times New Roman"/>
        </w:rPr>
        <w:t>ing</w:t>
      </w:r>
      <w:r w:rsidRPr="00BE1077" w:rsidR="579D8C85">
        <w:rPr>
          <w:rFonts w:ascii="Times New Roman" w:hAnsi="Times New Roman"/>
        </w:rPr>
        <w:t xml:space="preserve"> the EIB Group </w:t>
      </w:r>
      <w:r w:rsidRPr="00BE1077" w:rsidR="222BFC32">
        <w:rPr>
          <w:rFonts w:ascii="Times New Roman" w:hAnsi="Times New Roman"/>
        </w:rPr>
        <w:t xml:space="preserve">in its efforts </w:t>
      </w:r>
      <w:r w:rsidRPr="00BE1077" w:rsidR="579D8C85">
        <w:rPr>
          <w:rFonts w:ascii="Times New Roman" w:hAnsi="Times New Roman"/>
        </w:rPr>
        <w:t>to accelerate and ensure full disbursements to final recipients</w:t>
      </w:r>
      <w:r w:rsidRPr="00BE1077" w:rsidR="222BFC32">
        <w:rPr>
          <w:rFonts w:ascii="Times New Roman" w:hAnsi="Times New Roman"/>
        </w:rPr>
        <w:t>.</w:t>
      </w:r>
      <w:r w:rsidRPr="00BE1077" w:rsidR="579D8C85">
        <w:rPr>
          <w:rFonts w:ascii="Times New Roman" w:hAnsi="Times New Roman"/>
        </w:rPr>
        <w:t xml:space="preserve"> </w:t>
      </w:r>
    </w:p>
    <w:p w:rsidR="00CB566B" w:rsidRPr="00BE1077" w:rsidP="197F19EA" w14:paraId="3E0124D5" w14:textId="4FC4C944">
      <w:pPr>
        <w:ind w:left="567"/>
        <w:rPr>
          <w:rFonts w:ascii="Times New Roman" w:hAnsi="Times New Roman"/>
          <w:i/>
          <w:iCs/>
        </w:rPr>
      </w:pPr>
      <w:r w:rsidRPr="00BE1077">
        <w:rPr>
          <w:rFonts w:ascii="Times New Roman" w:hAnsi="Times New Roman"/>
          <w:i/>
          <w:iCs/>
        </w:rPr>
        <w:t>Par</w:t>
      </w:r>
      <w:r w:rsidRPr="00BE1077" w:rsidR="003F6801">
        <w:rPr>
          <w:rFonts w:ascii="Times New Roman" w:hAnsi="Times New Roman"/>
          <w:i/>
          <w:iCs/>
        </w:rPr>
        <w:t>agraph</w:t>
      </w:r>
      <w:r w:rsidRPr="00BE1077">
        <w:rPr>
          <w:rFonts w:ascii="Times New Roman" w:hAnsi="Times New Roman"/>
          <w:i/>
          <w:iCs/>
        </w:rPr>
        <w:t xml:space="preserve"> 41</w:t>
      </w:r>
      <w:r w:rsidRPr="00EA0B47" w:rsidR="00050DB8">
        <w:rPr>
          <w:rFonts w:ascii="Times New Roman" w:hAnsi="Times New Roman"/>
        </w:rPr>
        <w:t>.</w:t>
      </w:r>
    </w:p>
    <w:p w:rsidR="00031F5C" w:rsidRPr="00EA0B47" w:rsidP="00031F5C" w14:paraId="265CBEDA" w14:textId="77777777">
      <w:pPr>
        <w:ind w:left="567"/>
        <w:rPr>
          <w:rFonts w:ascii="Times New Roman" w:hAnsi="Times New Roman"/>
        </w:rPr>
      </w:pPr>
      <w:bookmarkStart w:id="1" w:name="_Hlk233888249"/>
      <w:r w:rsidRPr="00EA0B47">
        <w:rPr>
          <w:rFonts w:ascii="Times New Roman" w:hAnsi="Times New Roman"/>
        </w:rPr>
        <w:t>Northvolt</w:t>
      </w:r>
      <w:bookmarkEnd w:id="1"/>
      <w:r w:rsidRPr="00EA0B47">
        <w:rPr>
          <w:rFonts w:ascii="Times New Roman" w:hAnsi="Times New Roman"/>
        </w:rPr>
        <w:t xml:space="preserve"> and </w:t>
      </w:r>
      <w:r w:rsidRPr="00EA0B47">
        <w:rPr>
          <w:rFonts w:ascii="Times New Roman" w:hAnsi="Times New Roman"/>
        </w:rPr>
        <w:t>Stegra</w:t>
      </w:r>
      <w:r w:rsidRPr="00EA0B47">
        <w:rPr>
          <w:rFonts w:ascii="Times New Roman" w:hAnsi="Times New Roman"/>
        </w:rPr>
        <w:t xml:space="preserve"> (H2 Green Steel) are two EIB projects which benefitted from an EU Guarantee under </w:t>
      </w:r>
      <w:r w:rsidRPr="00EA0B47">
        <w:rPr>
          <w:rFonts w:ascii="Times New Roman" w:hAnsi="Times New Roman"/>
        </w:rPr>
        <w:t>InvestEU</w:t>
      </w:r>
      <w:r w:rsidRPr="00EA0B47">
        <w:rPr>
          <w:rFonts w:ascii="Times New Roman" w:hAnsi="Times New Roman"/>
        </w:rPr>
        <w:t>.</w:t>
      </w:r>
    </w:p>
    <w:p w:rsidR="001F5917" w:rsidRPr="00EA0B47" w:rsidP="197F19EA" w14:paraId="491DFF87" w14:textId="548FEBC1">
      <w:pPr>
        <w:ind w:left="567"/>
        <w:rPr>
          <w:rFonts w:ascii="Times New Roman" w:hAnsi="Times New Roman"/>
        </w:rPr>
      </w:pPr>
      <w:r w:rsidRPr="00EA0B47">
        <w:rPr>
          <w:rFonts w:ascii="Times New Roman" w:hAnsi="Times New Roman"/>
        </w:rPr>
        <w:t xml:space="preserve">The </w:t>
      </w:r>
      <w:r w:rsidRPr="00EA0B47" w:rsidR="693581E3">
        <w:rPr>
          <w:rFonts w:ascii="Times New Roman" w:hAnsi="Times New Roman"/>
        </w:rPr>
        <w:t xml:space="preserve">Commission through the </w:t>
      </w:r>
      <w:r w:rsidRPr="00EA0B47">
        <w:rPr>
          <w:rFonts w:ascii="Times New Roman" w:hAnsi="Times New Roman"/>
        </w:rPr>
        <w:t>InvestEU</w:t>
      </w:r>
      <w:r w:rsidRPr="00EA0B47">
        <w:rPr>
          <w:rFonts w:ascii="Times New Roman" w:hAnsi="Times New Roman"/>
        </w:rPr>
        <w:t xml:space="preserve"> Fund provides an EU budgetary guarantee to selected Implementing Partners – such as the EIB Group, national promotional banks, and international financial institutions – that have successfully completed a rigorous pillar assessment to verify their institutional capacity for managing EU funds</w:t>
      </w:r>
      <w:r w:rsidRPr="00EA0B47" w:rsidR="1DD7080B">
        <w:rPr>
          <w:rFonts w:ascii="Times New Roman" w:hAnsi="Times New Roman"/>
        </w:rPr>
        <w:t xml:space="preserve"> and b</w:t>
      </w:r>
      <w:r w:rsidRPr="00EA0B47">
        <w:rPr>
          <w:rFonts w:ascii="Times New Roman" w:hAnsi="Times New Roman"/>
        </w:rPr>
        <w:t xml:space="preserve">udgetary </w:t>
      </w:r>
      <w:r w:rsidRPr="00EA0B47" w:rsidR="1DD7080B">
        <w:rPr>
          <w:rFonts w:ascii="Times New Roman" w:hAnsi="Times New Roman"/>
        </w:rPr>
        <w:t>g</w:t>
      </w:r>
      <w:r w:rsidRPr="00EA0B47">
        <w:rPr>
          <w:rFonts w:ascii="Times New Roman" w:hAnsi="Times New Roman"/>
        </w:rPr>
        <w:t xml:space="preserve">uarantees. </w:t>
      </w:r>
    </w:p>
    <w:p w:rsidR="001F5917" w:rsidRPr="00BE1077" w:rsidP="00003E35" w14:paraId="2E00EA84" w14:textId="4B6A1AA2">
      <w:pPr>
        <w:ind w:left="567"/>
        <w:rPr>
          <w:rFonts w:ascii="Times New Roman" w:hAnsi="Times New Roman"/>
          <w:bCs/>
          <w:szCs w:val="24"/>
        </w:rPr>
      </w:pPr>
      <w:r w:rsidRPr="00EA0B47">
        <w:rPr>
          <w:rFonts w:ascii="Times New Roman" w:hAnsi="Times New Roman"/>
          <w:bCs/>
          <w:szCs w:val="24"/>
        </w:rPr>
        <w:t xml:space="preserve">The objective of the </w:t>
      </w:r>
      <w:r w:rsidRPr="00EA0B47">
        <w:rPr>
          <w:rFonts w:ascii="Times New Roman" w:hAnsi="Times New Roman"/>
          <w:bCs/>
          <w:szCs w:val="24"/>
        </w:rPr>
        <w:t>InvestEU</w:t>
      </w:r>
      <w:r w:rsidRPr="00EA0B47">
        <w:rPr>
          <w:rFonts w:ascii="Times New Roman" w:hAnsi="Times New Roman"/>
          <w:bCs/>
          <w:szCs w:val="24"/>
        </w:rPr>
        <w:t xml:space="preserve"> programme is to </w:t>
      </w:r>
      <w:r w:rsidRPr="00EA0B47" w:rsidR="00050DB8">
        <w:rPr>
          <w:rFonts w:ascii="Times New Roman" w:hAnsi="Times New Roman"/>
          <w:bCs/>
          <w:szCs w:val="24"/>
        </w:rPr>
        <w:t>catalyse</w:t>
      </w:r>
      <w:r w:rsidRPr="00EA0B47">
        <w:rPr>
          <w:rFonts w:ascii="Times New Roman" w:hAnsi="Times New Roman"/>
          <w:bCs/>
          <w:szCs w:val="24"/>
        </w:rPr>
        <w:t xml:space="preserve"> projects and operations that support EU policy objectives but exceed the standard risk appetite of Implementing Partners</w:t>
      </w:r>
      <w:r w:rsidRPr="00EA0B47" w:rsidR="00A915AE">
        <w:rPr>
          <w:rFonts w:ascii="Times New Roman" w:hAnsi="Times New Roman"/>
          <w:bCs/>
          <w:szCs w:val="24"/>
        </w:rPr>
        <w:t>, requiring risk-mitigation measures</w:t>
      </w:r>
      <w:r w:rsidRPr="00EA0B47">
        <w:rPr>
          <w:rFonts w:ascii="Times New Roman" w:hAnsi="Times New Roman"/>
          <w:bCs/>
          <w:szCs w:val="24"/>
        </w:rPr>
        <w:t xml:space="preserve">. Under this framework, the Commission delegates the responsibility for deploying financial products and executing day-to-day banking and investment operations – including credit risk assessment, due diligence, and project financing – to these partners, who operate in accordance with their established internal policies and procedures. </w:t>
      </w:r>
    </w:p>
    <w:p w:rsidR="00A915AE" w:rsidRPr="00EA0B47" w:rsidP="00A915AE" w14:paraId="0ED33138" w14:textId="2F2CCE26">
      <w:pPr>
        <w:ind w:left="567"/>
        <w:rPr>
          <w:rFonts w:ascii="Times New Roman" w:hAnsi="Times New Roman"/>
          <w:bCs/>
          <w:szCs w:val="24"/>
        </w:rPr>
      </w:pPr>
      <w:r w:rsidRPr="00EA0B47">
        <w:rPr>
          <w:rFonts w:ascii="Times New Roman" w:hAnsi="Times New Roman"/>
          <w:bCs/>
          <w:szCs w:val="24"/>
        </w:rPr>
        <w:t xml:space="preserve">Before allocating the </w:t>
      </w:r>
      <w:r w:rsidRPr="00EA0B47">
        <w:rPr>
          <w:rFonts w:ascii="Times New Roman" w:hAnsi="Times New Roman"/>
          <w:bCs/>
          <w:szCs w:val="24"/>
        </w:rPr>
        <w:t>InvestEU</w:t>
      </w:r>
      <w:r w:rsidRPr="00EA0B47">
        <w:rPr>
          <w:rFonts w:ascii="Times New Roman" w:hAnsi="Times New Roman"/>
          <w:bCs/>
          <w:szCs w:val="24"/>
        </w:rPr>
        <w:t xml:space="preserve"> guarantee to an Implementing Partner, an ex-ante risk assessment of the proposed portfolio is carried out </w:t>
      </w:r>
      <w:r w:rsidRPr="00EA0B47" w:rsidR="00C4477F">
        <w:rPr>
          <w:rFonts w:ascii="Times New Roman" w:hAnsi="Times New Roman"/>
          <w:bCs/>
          <w:szCs w:val="24"/>
        </w:rPr>
        <w:t>to</w:t>
      </w:r>
      <w:r w:rsidRPr="00EA0B47">
        <w:rPr>
          <w:rFonts w:ascii="Times New Roman" w:hAnsi="Times New Roman"/>
          <w:bCs/>
          <w:szCs w:val="24"/>
        </w:rPr>
        <w:t xml:space="preserve"> ensure that the provisioning rate of the programme remains within the 40% limit set in the </w:t>
      </w:r>
      <w:r w:rsidRPr="00EA0B47">
        <w:rPr>
          <w:rFonts w:ascii="Times New Roman" w:hAnsi="Times New Roman"/>
          <w:bCs/>
          <w:szCs w:val="24"/>
        </w:rPr>
        <w:t>InvestEU</w:t>
      </w:r>
      <w:r w:rsidRPr="00EA0B47">
        <w:rPr>
          <w:rFonts w:ascii="Times New Roman" w:hAnsi="Times New Roman"/>
          <w:bCs/>
          <w:szCs w:val="24"/>
        </w:rPr>
        <w:t xml:space="preserve"> regulation. The risk covered under the EU guarantee and the adequacy of the provisioning are estimated regularly by the Commission based on a set of mandatory periodic reporting received from the Implementing Partners (operational, financial, risk reports).</w:t>
      </w:r>
    </w:p>
    <w:p w:rsidR="00003E35" w:rsidRPr="00BE1077" w:rsidP="00003E35" w14:paraId="0DE2BDFB" w14:textId="776C3EBA">
      <w:pPr>
        <w:ind w:left="567"/>
        <w:rPr>
          <w:rFonts w:ascii="Times New Roman" w:hAnsi="Times New Roman"/>
          <w:bCs/>
          <w:szCs w:val="24"/>
        </w:rPr>
      </w:pPr>
      <w:r w:rsidRPr="00EA0B47">
        <w:rPr>
          <w:rFonts w:ascii="Times New Roman" w:hAnsi="Times New Roman"/>
          <w:bCs/>
          <w:szCs w:val="24"/>
        </w:rPr>
        <w:t>Following each Guarantee Agreement signature, all</w:t>
      </w:r>
      <w:r w:rsidRPr="00EA0B47" w:rsidR="0026554A">
        <w:rPr>
          <w:rFonts w:ascii="Times New Roman" w:hAnsi="Times New Roman"/>
          <w:bCs/>
          <w:szCs w:val="24"/>
        </w:rPr>
        <w:t xml:space="preserve"> </w:t>
      </w:r>
      <w:r w:rsidRPr="00EA0B47" w:rsidR="0026554A">
        <w:rPr>
          <w:rFonts w:ascii="Times New Roman" w:hAnsi="Times New Roman"/>
          <w:bCs/>
          <w:szCs w:val="24"/>
        </w:rPr>
        <w:t>InvestEU</w:t>
      </w:r>
      <w:r w:rsidRPr="00EA0B47" w:rsidR="0026554A">
        <w:rPr>
          <w:rFonts w:ascii="Times New Roman" w:hAnsi="Times New Roman"/>
          <w:bCs/>
          <w:szCs w:val="24"/>
        </w:rPr>
        <w:t xml:space="preserve"> operations are subject to a robust approval process, which includes a policy check from the Commission and </w:t>
      </w:r>
      <w:r w:rsidRPr="00EA0B47" w:rsidR="0026554A">
        <w:rPr>
          <w:rFonts w:ascii="Times New Roman" w:hAnsi="Times New Roman"/>
          <w:bCs/>
          <w:szCs w:val="24"/>
        </w:rPr>
        <w:t xml:space="preserve">endorsement by an independent Investment Committee. Furthermore, the Commission conducts </w:t>
      </w:r>
      <w:r w:rsidRPr="00EA0B47">
        <w:rPr>
          <w:rFonts w:ascii="Times New Roman" w:hAnsi="Times New Roman"/>
          <w:bCs/>
          <w:szCs w:val="24"/>
        </w:rPr>
        <w:t xml:space="preserve">regular </w:t>
      </w:r>
      <w:r w:rsidRPr="00EA0B47" w:rsidR="0026554A">
        <w:rPr>
          <w:rFonts w:ascii="Times New Roman" w:hAnsi="Times New Roman"/>
          <w:bCs/>
          <w:szCs w:val="24"/>
        </w:rPr>
        <w:t xml:space="preserve">monitoring and verification visits to ensure the implementation of these operations remains in full compliance with the terms and conditions stipulated in the signed </w:t>
      </w:r>
      <w:r w:rsidRPr="00EA0B47" w:rsidR="001F5917">
        <w:rPr>
          <w:rFonts w:ascii="Times New Roman" w:hAnsi="Times New Roman"/>
          <w:bCs/>
          <w:szCs w:val="24"/>
        </w:rPr>
        <w:t>guarantee</w:t>
      </w:r>
      <w:r w:rsidRPr="00EA0B47" w:rsidR="001F5917">
        <w:rPr>
          <w:rFonts w:ascii="Times New Roman" w:hAnsi="Times New Roman"/>
          <w:bCs/>
          <w:szCs w:val="24"/>
        </w:rPr>
        <w:t xml:space="preserve"> agreements</w:t>
      </w:r>
      <w:r w:rsidRPr="00EA0B47" w:rsidR="0026554A">
        <w:rPr>
          <w:rFonts w:ascii="Times New Roman" w:hAnsi="Times New Roman"/>
          <w:bCs/>
          <w:szCs w:val="24"/>
        </w:rPr>
        <w:t>.</w:t>
      </w:r>
      <w:r w:rsidRPr="00EA0B47" w:rsidR="006E5A6E">
        <w:rPr>
          <w:rFonts w:ascii="Times New Roman" w:hAnsi="Times New Roman"/>
          <w:bCs/>
          <w:szCs w:val="24"/>
        </w:rPr>
        <w:t xml:space="preserve"> </w:t>
      </w:r>
      <w:r w:rsidRPr="00EA0B47" w:rsidR="00777C0B">
        <w:rPr>
          <w:rFonts w:ascii="Times New Roman" w:hAnsi="Times New Roman"/>
          <w:bCs/>
          <w:szCs w:val="24"/>
        </w:rPr>
        <w:t xml:space="preserve">The Commission carefully monitors the evolution/build-up of the portfolio and is gradually building the necessary provisions in the respective Common Provisioning Fund compartments. </w:t>
      </w:r>
      <w:r w:rsidRPr="00EA0B47" w:rsidR="005B5D9D">
        <w:rPr>
          <w:rFonts w:ascii="Times New Roman" w:hAnsi="Times New Roman"/>
          <w:bCs/>
          <w:szCs w:val="24"/>
        </w:rPr>
        <w:t xml:space="preserve">Moreover, the Commission continuously works to improve its </w:t>
      </w:r>
      <w:r w:rsidRPr="00EA0B47" w:rsidR="008F6FAD">
        <w:rPr>
          <w:rFonts w:ascii="Times New Roman" w:hAnsi="Times New Roman"/>
          <w:bCs/>
          <w:szCs w:val="24"/>
        </w:rPr>
        <w:t xml:space="preserve">risk framework, </w:t>
      </w:r>
      <w:r w:rsidRPr="00EA0B47" w:rsidR="008F6FAD">
        <w:rPr>
          <w:rFonts w:ascii="Times New Roman" w:hAnsi="Times New Roman"/>
          <w:bCs/>
          <w:szCs w:val="24"/>
        </w:rPr>
        <w:t>in particular through</w:t>
      </w:r>
      <w:r w:rsidRPr="00EA0B47" w:rsidR="00777C0B">
        <w:rPr>
          <w:rFonts w:ascii="Times New Roman" w:hAnsi="Times New Roman"/>
          <w:bCs/>
          <w:szCs w:val="24"/>
        </w:rPr>
        <w:t xml:space="preserve"> the setting up the role of the Chief Risk Officer of the Commission in 2025 and</w:t>
      </w:r>
      <w:r w:rsidRPr="00EA0B47" w:rsidR="008F6FAD">
        <w:rPr>
          <w:rFonts w:ascii="Times New Roman" w:hAnsi="Times New Roman"/>
          <w:bCs/>
          <w:szCs w:val="24"/>
        </w:rPr>
        <w:t xml:space="preserve"> better</w:t>
      </w:r>
      <w:r w:rsidRPr="00EA0B47" w:rsidR="005B5D9D">
        <w:rPr>
          <w:rFonts w:ascii="Times New Roman" w:hAnsi="Times New Roman"/>
          <w:bCs/>
          <w:szCs w:val="24"/>
        </w:rPr>
        <w:t xml:space="preserve"> understanding and management </w:t>
      </w:r>
      <w:r w:rsidRPr="00EA0B47" w:rsidR="008F6FAD">
        <w:rPr>
          <w:rFonts w:ascii="Times New Roman" w:hAnsi="Times New Roman"/>
          <w:bCs/>
          <w:szCs w:val="24"/>
        </w:rPr>
        <w:t xml:space="preserve">of </w:t>
      </w:r>
      <w:r w:rsidRPr="00EA0B47" w:rsidR="00485959">
        <w:rPr>
          <w:rFonts w:ascii="Times New Roman" w:hAnsi="Times New Roman"/>
          <w:bCs/>
          <w:szCs w:val="24"/>
        </w:rPr>
        <w:t>risk pertaining to the budgetary guarantees.</w:t>
      </w:r>
    </w:p>
    <w:p w:rsidR="00CB566B" w:rsidRPr="00BE1077" w:rsidP="00CB566B" w14:paraId="692C87D9" w14:textId="408C8607">
      <w:pPr>
        <w:ind w:left="567"/>
        <w:rPr>
          <w:rFonts w:ascii="Times New Roman" w:hAnsi="Times New Roman"/>
          <w:bCs/>
          <w:szCs w:val="24"/>
        </w:rPr>
      </w:pPr>
      <w:r w:rsidRPr="00BE1077">
        <w:rPr>
          <w:rFonts w:ascii="Times New Roman" w:hAnsi="Times New Roman"/>
          <w:bCs/>
          <w:i/>
          <w:iCs/>
          <w:szCs w:val="24"/>
        </w:rPr>
        <w:t>Par</w:t>
      </w:r>
      <w:r w:rsidR="00ED1425">
        <w:rPr>
          <w:rFonts w:ascii="Times New Roman" w:hAnsi="Times New Roman"/>
          <w:bCs/>
          <w:i/>
          <w:iCs/>
          <w:szCs w:val="24"/>
        </w:rPr>
        <w:t>agraph</w:t>
      </w:r>
      <w:r w:rsidRPr="00BE1077">
        <w:rPr>
          <w:rFonts w:ascii="Times New Roman" w:hAnsi="Times New Roman"/>
          <w:bCs/>
          <w:i/>
          <w:iCs/>
          <w:szCs w:val="24"/>
        </w:rPr>
        <w:t xml:space="preserve"> 49</w:t>
      </w:r>
      <w:r w:rsidR="00A23468">
        <w:rPr>
          <w:rFonts w:ascii="Times New Roman" w:hAnsi="Times New Roman"/>
          <w:bCs/>
          <w:i/>
          <w:iCs/>
          <w:szCs w:val="24"/>
        </w:rPr>
        <w:t>.</w:t>
      </w:r>
    </w:p>
    <w:p w:rsidR="00DC3BCC" w:rsidRPr="00BE1077" w:rsidP="00DC3BCC" w14:paraId="695F8B8E" w14:textId="1DB54516">
      <w:pPr>
        <w:ind w:left="567"/>
        <w:rPr>
          <w:rFonts w:ascii="Times New Roman" w:hAnsi="Times New Roman"/>
          <w:bCs/>
          <w:szCs w:val="24"/>
        </w:rPr>
      </w:pPr>
      <w:r w:rsidRPr="00BE1077">
        <w:rPr>
          <w:rFonts w:ascii="Times New Roman" w:hAnsi="Times New Roman"/>
          <w:bCs/>
          <w:szCs w:val="24"/>
        </w:rPr>
        <w:t>The Commission is currently decommissioning Arachne and onboarding users to Arachne+. In the meantime, further developments of Arachne+</w:t>
      </w:r>
      <w:r w:rsidRPr="00BE1077" w:rsidR="006E5A6E">
        <w:rPr>
          <w:rFonts w:ascii="Times New Roman" w:hAnsi="Times New Roman"/>
          <w:bCs/>
          <w:szCs w:val="24"/>
        </w:rPr>
        <w:t xml:space="preserve"> are ongoing, </w:t>
      </w:r>
      <w:r w:rsidRPr="00BE1077">
        <w:rPr>
          <w:rFonts w:ascii="Times New Roman" w:hAnsi="Times New Roman"/>
          <w:bCs/>
          <w:szCs w:val="24"/>
        </w:rPr>
        <w:t>linked to the legal basis of Arachne+ established in the Financial Regulation.</w:t>
      </w:r>
    </w:p>
    <w:p w:rsidR="00DC3BCC" w:rsidRPr="00BE1077" w:rsidP="00DC3BCC" w14:paraId="058FFECB" w14:textId="0E08AB2D">
      <w:pPr>
        <w:ind w:left="567"/>
        <w:rPr>
          <w:rFonts w:ascii="Times New Roman" w:hAnsi="Times New Roman"/>
          <w:bCs/>
          <w:szCs w:val="24"/>
        </w:rPr>
      </w:pPr>
      <w:r w:rsidRPr="00BE1077">
        <w:rPr>
          <w:rFonts w:ascii="Times New Roman" w:hAnsi="Times New Roman"/>
          <w:bCs/>
          <w:szCs w:val="24"/>
        </w:rPr>
        <w:t xml:space="preserve">Based on Article 36(6) of the Financial Regulation, European institutions and bodies implementing the EU budget shall make </w:t>
      </w:r>
      <w:r w:rsidRPr="00BE1077" w:rsidR="006E5A6E">
        <w:rPr>
          <w:rFonts w:ascii="Times New Roman" w:hAnsi="Times New Roman"/>
          <w:bCs/>
          <w:szCs w:val="24"/>
        </w:rPr>
        <w:t xml:space="preserve">available </w:t>
      </w:r>
      <w:r w:rsidRPr="00BE1077">
        <w:rPr>
          <w:rFonts w:ascii="Times New Roman" w:hAnsi="Times New Roman"/>
          <w:bCs/>
          <w:szCs w:val="24"/>
        </w:rPr>
        <w:t xml:space="preserve">data for Arachne+. Since this is one of the obligations which needs to be reflected in the assessment of readiness by the end of 2027, as part of interoperability, this element has been put into the planning of the IT development. Part of this exercise will be approaching EU institutions and bodies to fulfil the mentioned obligation. The format of cooperation will have to be decided. </w:t>
      </w:r>
    </w:p>
    <w:p w:rsidR="00DC3BCC" w:rsidRPr="00BE1077" w:rsidP="00DC3BCC" w14:paraId="11079533" w14:textId="1642533C">
      <w:pPr>
        <w:ind w:left="567"/>
        <w:rPr>
          <w:rFonts w:ascii="Times New Roman" w:hAnsi="Times New Roman"/>
          <w:bCs/>
          <w:szCs w:val="24"/>
        </w:rPr>
      </w:pPr>
      <w:r w:rsidRPr="00BE1077">
        <w:rPr>
          <w:rFonts w:ascii="Times New Roman" w:hAnsi="Times New Roman"/>
          <w:bCs/>
          <w:szCs w:val="24"/>
        </w:rPr>
        <w:t>The Commission services are in contact with</w:t>
      </w:r>
      <w:r w:rsidRPr="00BE1077">
        <w:rPr>
          <w:rFonts w:ascii="Times New Roman" w:hAnsi="Times New Roman"/>
          <w:bCs/>
          <w:szCs w:val="24"/>
        </w:rPr>
        <w:t xml:space="preserve"> </w:t>
      </w:r>
      <w:r w:rsidRPr="00BE1077">
        <w:rPr>
          <w:rFonts w:ascii="Times New Roman" w:hAnsi="Times New Roman"/>
          <w:bCs/>
          <w:szCs w:val="24"/>
        </w:rPr>
        <w:t>the</w:t>
      </w:r>
      <w:r w:rsidRPr="00BE1077">
        <w:rPr>
          <w:rFonts w:ascii="Times New Roman" w:hAnsi="Times New Roman"/>
          <w:bCs/>
          <w:szCs w:val="24"/>
        </w:rPr>
        <w:t xml:space="preserve"> EIB </w:t>
      </w:r>
      <w:r w:rsidRPr="00BE1077">
        <w:rPr>
          <w:rFonts w:ascii="Times New Roman" w:hAnsi="Times New Roman"/>
          <w:bCs/>
          <w:szCs w:val="24"/>
        </w:rPr>
        <w:t xml:space="preserve">on </w:t>
      </w:r>
      <w:r w:rsidRPr="00BE1077">
        <w:rPr>
          <w:rFonts w:ascii="Times New Roman" w:hAnsi="Times New Roman"/>
          <w:bCs/>
          <w:szCs w:val="24"/>
        </w:rPr>
        <w:t>practical</w:t>
      </w:r>
      <w:r w:rsidRPr="00BE1077">
        <w:rPr>
          <w:rFonts w:ascii="Times New Roman" w:hAnsi="Times New Roman"/>
          <w:bCs/>
          <w:szCs w:val="24"/>
        </w:rPr>
        <w:t xml:space="preserve"> arrangements related to</w:t>
      </w:r>
      <w:r w:rsidRPr="00BE1077">
        <w:rPr>
          <w:rFonts w:ascii="Times New Roman" w:hAnsi="Times New Roman"/>
          <w:bCs/>
          <w:szCs w:val="24"/>
        </w:rPr>
        <w:t xml:space="preserve"> </w:t>
      </w:r>
      <w:r w:rsidRPr="00BE1077">
        <w:rPr>
          <w:rFonts w:ascii="Times New Roman" w:hAnsi="Times New Roman"/>
          <w:bCs/>
          <w:szCs w:val="24"/>
        </w:rPr>
        <w:t>the</w:t>
      </w:r>
      <w:r w:rsidRPr="00BE1077">
        <w:rPr>
          <w:rFonts w:ascii="Times New Roman" w:hAnsi="Times New Roman"/>
          <w:bCs/>
          <w:szCs w:val="24"/>
        </w:rPr>
        <w:t xml:space="preserve"> Arachne+ development.</w:t>
      </w:r>
    </w:p>
    <w:p w:rsidR="003C1794" w:rsidRPr="00BE1077" w:rsidP="003C1794" w14:paraId="2583D066" w14:textId="67137F53">
      <w:pPr>
        <w:ind w:left="567"/>
        <w:rPr>
          <w:rFonts w:ascii="Times New Roman" w:hAnsi="Times New Roman"/>
          <w:bCs/>
          <w:i/>
          <w:iCs/>
          <w:szCs w:val="24"/>
        </w:rPr>
      </w:pPr>
      <w:r w:rsidRPr="00BE1077">
        <w:rPr>
          <w:rFonts w:ascii="Times New Roman" w:hAnsi="Times New Roman"/>
          <w:bCs/>
          <w:i/>
          <w:iCs/>
          <w:szCs w:val="24"/>
        </w:rPr>
        <w:t>Par</w:t>
      </w:r>
      <w:r w:rsidR="00331809">
        <w:rPr>
          <w:rFonts w:ascii="Times New Roman" w:hAnsi="Times New Roman"/>
          <w:bCs/>
          <w:i/>
          <w:iCs/>
          <w:szCs w:val="24"/>
        </w:rPr>
        <w:t xml:space="preserve">agraph </w:t>
      </w:r>
      <w:r w:rsidRPr="00BE1077">
        <w:rPr>
          <w:rFonts w:ascii="Times New Roman" w:hAnsi="Times New Roman"/>
          <w:bCs/>
          <w:i/>
          <w:iCs/>
          <w:szCs w:val="24"/>
        </w:rPr>
        <w:t>50</w:t>
      </w:r>
      <w:r w:rsidRPr="00BE1077" w:rsidR="005B1F50">
        <w:rPr>
          <w:rFonts w:ascii="Times New Roman" w:hAnsi="Times New Roman"/>
        </w:rPr>
        <w:t>.</w:t>
      </w:r>
    </w:p>
    <w:p w:rsidR="00B37E96" w:rsidRPr="00EA0B47" w:rsidP="00B37E96" w14:paraId="549B7AF5" w14:textId="72086EC9">
      <w:pPr>
        <w:ind w:left="567"/>
        <w:rPr>
          <w:rFonts w:ascii="Times New Roman" w:hAnsi="Times New Roman"/>
          <w:bCs/>
          <w:szCs w:val="24"/>
        </w:rPr>
      </w:pPr>
      <w:r w:rsidRPr="00EA0B47">
        <w:rPr>
          <w:rFonts w:ascii="Times New Roman" w:hAnsi="Times New Roman"/>
        </w:rPr>
        <w:t>The Commission is not obliged to enforce EIB exclusions as such</w:t>
      </w:r>
      <w:r w:rsidRPr="00EA0B47" w:rsidR="004452CC">
        <w:rPr>
          <w:rFonts w:ascii="Times New Roman" w:hAnsi="Times New Roman"/>
        </w:rPr>
        <w:t>, since they are based on the EIB internal rules</w:t>
      </w:r>
      <w:r w:rsidRPr="00EA0B47">
        <w:rPr>
          <w:rFonts w:ascii="Times New Roman" w:hAnsi="Times New Roman"/>
        </w:rPr>
        <w:t>.</w:t>
      </w:r>
      <w:r w:rsidRPr="00EA0B47" w:rsidR="004452CC">
        <w:rPr>
          <w:rFonts w:ascii="Times New Roman" w:hAnsi="Times New Roman"/>
        </w:rPr>
        <w:t xml:space="preserve"> However, t</w:t>
      </w:r>
      <w:r w:rsidRPr="00EA0B47" w:rsidR="009C5559">
        <w:rPr>
          <w:rFonts w:ascii="Times New Roman" w:hAnsi="Times New Roman"/>
          <w:bCs/>
          <w:szCs w:val="24"/>
        </w:rPr>
        <w:t xml:space="preserve">he EIB exclusion decisions might be used as relevant elements to establish facts and findings for autonomous </w:t>
      </w:r>
      <w:r w:rsidRPr="00EA0B47" w:rsidR="004452CC">
        <w:rPr>
          <w:rFonts w:ascii="Times New Roman" w:hAnsi="Times New Roman"/>
        </w:rPr>
        <w:t>Early Detection and Exclusion System (EDES)</w:t>
      </w:r>
      <w:r w:rsidRPr="00EA0B47" w:rsidR="009C5559">
        <w:rPr>
          <w:rFonts w:ascii="Times New Roman" w:hAnsi="Times New Roman"/>
          <w:bCs/>
          <w:szCs w:val="24"/>
        </w:rPr>
        <w:t xml:space="preserve"> assessment by the competent authorising officers,</w:t>
      </w:r>
      <w:r w:rsidR="00CC6FFC">
        <w:rPr>
          <w:rFonts w:ascii="Times New Roman" w:hAnsi="Times New Roman"/>
          <w:bCs/>
          <w:szCs w:val="24"/>
        </w:rPr>
        <w:t xml:space="preserve"> </w:t>
      </w:r>
      <w:r w:rsidRPr="00EA0B47" w:rsidR="009C5559">
        <w:rPr>
          <w:rFonts w:ascii="Times New Roman" w:hAnsi="Times New Roman"/>
          <w:bCs/>
          <w:szCs w:val="24"/>
        </w:rPr>
        <w:t>if a concerned entity establishes a link with the EU budget as participants on selection or beneficiary of EU funds under direct management. In such cases, under the Financial Regulation, the competent authorising officer could possibly request the EDES Panel to issue a recommendation on an exclusion by means of an expedited procedure.</w:t>
      </w:r>
      <w:r w:rsidRPr="00EA0B47" w:rsidR="009C5559">
        <w:rPr>
          <w:rFonts w:ascii="Times New Roman" w:hAnsi="Times New Roman"/>
          <w:b/>
          <w:bCs/>
          <w:szCs w:val="24"/>
        </w:rPr>
        <w:t xml:space="preserve"> </w:t>
      </w:r>
      <w:r w:rsidRPr="00EA0B47" w:rsidR="009C5559">
        <w:rPr>
          <w:rFonts w:ascii="Times New Roman" w:hAnsi="Times New Roman"/>
          <w:bCs/>
          <w:szCs w:val="24"/>
        </w:rPr>
        <w:t>The case being, in</w:t>
      </w:r>
      <w:r w:rsidRPr="00EA0B47" w:rsidR="008852BA">
        <w:rPr>
          <w:rFonts w:ascii="Times New Roman" w:hAnsi="Times New Roman"/>
          <w:bCs/>
          <w:szCs w:val="24"/>
        </w:rPr>
        <w:t xml:space="preserve"> </w:t>
      </w:r>
      <w:r w:rsidRPr="00EA0B47">
        <w:rPr>
          <w:rFonts w:ascii="Times New Roman" w:hAnsi="Times New Roman"/>
          <w:bCs/>
          <w:szCs w:val="24"/>
        </w:rPr>
        <w:t>accordance with Article 138(8) and Recital 122 of the Financial Regulation, an EIB exclusion decision can be</w:t>
      </w:r>
      <w:r w:rsidRPr="00EA0B47" w:rsidR="009C5559">
        <w:rPr>
          <w:rFonts w:ascii="Times New Roman" w:hAnsi="Times New Roman"/>
          <w:bCs/>
          <w:szCs w:val="24"/>
        </w:rPr>
        <w:t xml:space="preserve"> interpreted as</w:t>
      </w:r>
      <w:r w:rsidRPr="00EA0B47">
        <w:rPr>
          <w:rFonts w:ascii="Times New Roman" w:hAnsi="Times New Roman"/>
          <w:bCs/>
          <w:szCs w:val="24"/>
        </w:rPr>
        <w:t xml:space="preserve"> a situation where </w:t>
      </w:r>
      <w:r w:rsidRPr="00EA0B47" w:rsidR="00DC3BCC">
        <w:rPr>
          <w:rFonts w:ascii="Times New Roman" w:hAnsi="Times New Roman"/>
          <w:bCs/>
          <w:szCs w:val="24"/>
        </w:rPr>
        <w:t>“</w:t>
      </w:r>
      <w:r w:rsidRPr="00EA0B47">
        <w:rPr>
          <w:rFonts w:ascii="Times New Roman" w:hAnsi="Times New Roman"/>
          <w:bCs/>
          <w:szCs w:val="24"/>
        </w:rPr>
        <w:t>a sanction equivalent to an exclusion has been already imposed on the person or entity by virtue of a decision of international organisations</w:t>
      </w:r>
      <w:r w:rsidRPr="00EA0B47" w:rsidR="00DC3BCC">
        <w:rPr>
          <w:rFonts w:ascii="Times New Roman" w:hAnsi="Times New Roman"/>
          <w:bCs/>
          <w:szCs w:val="24"/>
        </w:rPr>
        <w:t>”</w:t>
      </w:r>
      <w:r w:rsidRPr="00EA0B47">
        <w:rPr>
          <w:rFonts w:ascii="Times New Roman" w:hAnsi="Times New Roman"/>
          <w:bCs/>
          <w:szCs w:val="24"/>
        </w:rPr>
        <w:t xml:space="preserve">. </w:t>
      </w:r>
    </w:p>
    <w:p w:rsidR="009C5559" w:rsidRPr="00EA0B47" w:rsidP="197F19EA" w14:paraId="5F5DCFB4" w14:textId="488F1AD7">
      <w:pPr>
        <w:ind w:left="567"/>
        <w:rPr>
          <w:rFonts w:ascii="Times New Roman" w:hAnsi="Times New Roman"/>
        </w:rPr>
      </w:pPr>
      <w:r w:rsidRPr="00EA0B47">
        <w:rPr>
          <w:rFonts w:ascii="Times New Roman" w:hAnsi="Times New Roman"/>
        </w:rPr>
        <w:t>The observation made regarding the lack of automatic reciprocity should be understood as referring to the fact that the EIB’s</w:t>
      </w:r>
      <w:r w:rsidR="005C0F37">
        <w:rPr>
          <w:rFonts w:ascii="Times New Roman" w:hAnsi="Times New Roman"/>
        </w:rPr>
        <w:t xml:space="preserve"> </w:t>
      </w:r>
      <w:r w:rsidRPr="00EA0B47">
        <w:rPr>
          <w:rFonts w:ascii="Times New Roman" w:hAnsi="Times New Roman"/>
        </w:rPr>
        <w:t xml:space="preserve">list </w:t>
      </w:r>
      <w:r w:rsidRPr="00EA0B47" w:rsidR="5A62EF46">
        <w:rPr>
          <w:rFonts w:ascii="Times New Roman" w:hAnsi="Times New Roman"/>
        </w:rPr>
        <w:t>of excluded</w:t>
      </w:r>
      <w:r w:rsidRPr="00EA0B47">
        <w:rPr>
          <w:rFonts w:ascii="Times New Roman" w:hAnsi="Times New Roman"/>
        </w:rPr>
        <w:t xml:space="preserve"> entities cannot be </w:t>
      </w:r>
      <w:r w:rsidRPr="00EA0B47">
        <w:rPr>
          <w:rFonts w:ascii="Times New Roman" w:hAnsi="Times New Roman"/>
          <w:i/>
          <w:iCs/>
        </w:rPr>
        <w:t>per se</w:t>
      </w:r>
      <w:r w:rsidRPr="00EA0B47">
        <w:rPr>
          <w:rFonts w:ascii="Times New Roman" w:hAnsi="Times New Roman"/>
        </w:rPr>
        <w:t xml:space="preserve"> </w:t>
      </w:r>
      <w:r w:rsidRPr="00EA0B47" w:rsidR="5A62EF46">
        <w:rPr>
          <w:rFonts w:ascii="Times New Roman" w:hAnsi="Times New Roman"/>
        </w:rPr>
        <w:t>included</w:t>
      </w:r>
      <w:r w:rsidRPr="00EA0B47">
        <w:rPr>
          <w:rFonts w:ascii="Times New Roman" w:hAnsi="Times New Roman"/>
        </w:rPr>
        <w:t xml:space="preserve"> in the EDES database. This is well justified since not all the entities excluded by the EIB can be legally linked as participants or beneficiaries to the EU budget.</w:t>
      </w:r>
    </w:p>
    <w:sectPr w:rsidSect="00812321">
      <w:footerReference w:type="even" r:id="rId8"/>
      <w:footerReference w:type="default" r:id="rId9"/>
      <w:footerReference w:type="first" r:id="rId10"/>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213C2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7A2B9E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rsidR="00471068" w:rsidRPr="008A6623"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P="006B0483" w14:paraId="7949EE6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rsidR="00471068" w:rsidP="00442B2E" w14:paraId="244C2131" w14:textId="77777777">
    <w:pPr>
      <w:pStyle w:val="Footer"/>
      <w:rPr>
        <w:lang w:val="fr-BE"/>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92973D2"/>
    <w:multiLevelType w:val="hybridMultilevel"/>
    <w:tmpl w:val="419A2060"/>
    <w:lvl w:ilvl="0">
      <w:start w:val="1"/>
      <w:numFmt w:val="decimal"/>
      <w:lvlText w:val="%1."/>
      <w:lvlJc w:val="left"/>
      <w:pPr>
        <w:ind w:left="720" w:hanging="720"/>
      </w:pPr>
      <w:rPr>
        <w:rFonts w:hint="default"/>
        <w:b/>
        <w:i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1">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2">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B596461"/>
    <w:multiLevelType w:val="hybridMultilevel"/>
    <w:tmpl w:val="9DF09A94"/>
    <w:lvl w:ilvl="0">
      <w:start w:val="1"/>
      <w:numFmt w:val="decimal"/>
      <w:lvlText w:val="%1."/>
      <w:lvlJc w:val="left"/>
      <w:pPr>
        <w:ind w:left="1429" w:hanging="360"/>
      </w:pPr>
      <w:rPr>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1">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4">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6">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3906352"/>
    <w:multiLevelType w:val="hybridMultilevel"/>
    <w:tmpl w:val="BFFEF860"/>
    <w:lvl w:ilvl="0">
      <w:start w:val="4"/>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2">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5">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6">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5"/>
  </w:num>
  <w:num w:numId="4" w16cid:durableId="580018736">
    <w:abstractNumId w:val="14"/>
  </w:num>
  <w:num w:numId="5" w16cid:durableId="221647625">
    <w:abstractNumId w:val="31"/>
  </w:num>
  <w:num w:numId="6" w16cid:durableId="298344620">
    <w:abstractNumId w:val="11"/>
  </w:num>
  <w:num w:numId="7" w16cid:durableId="58093387">
    <w:abstractNumId w:val="6"/>
  </w:num>
  <w:num w:numId="8" w16cid:durableId="1122530581">
    <w:abstractNumId w:val="16"/>
  </w:num>
  <w:num w:numId="9" w16cid:durableId="1479684095">
    <w:abstractNumId w:val="34"/>
  </w:num>
  <w:num w:numId="10" w16cid:durableId="340007303">
    <w:abstractNumId w:val="25"/>
  </w:num>
  <w:num w:numId="11" w16cid:durableId="346519941">
    <w:abstractNumId w:val="28"/>
  </w:num>
  <w:num w:numId="12" w16cid:durableId="691036718">
    <w:abstractNumId w:val="13"/>
  </w:num>
  <w:num w:numId="13" w16cid:durableId="1452093781">
    <w:abstractNumId w:val="17"/>
  </w:num>
  <w:num w:numId="14" w16cid:durableId="906961314">
    <w:abstractNumId w:val="32"/>
  </w:num>
  <w:num w:numId="15" w16cid:durableId="1388455259">
    <w:abstractNumId w:val="15"/>
  </w:num>
  <w:num w:numId="16" w16cid:durableId="1677533267">
    <w:abstractNumId w:val="38"/>
  </w:num>
  <w:num w:numId="17" w16cid:durableId="961619330">
    <w:abstractNumId w:val="33"/>
  </w:num>
  <w:num w:numId="18" w16cid:durableId="1095638383">
    <w:abstractNumId w:val="23"/>
  </w:num>
  <w:num w:numId="19" w16cid:durableId="357776219">
    <w:abstractNumId w:val="24"/>
  </w:num>
  <w:num w:numId="20" w16cid:durableId="1481578588">
    <w:abstractNumId w:val="30"/>
  </w:num>
  <w:num w:numId="21" w16cid:durableId="1812137613">
    <w:abstractNumId w:val="3"/>
  </w:num>
  <w:num w:numId="22" w16cid:durableId="370300677">
    <w:abstractNumId w:val="4"/>
  </w:num>
  <w:num w:numId="23" w16cid:durableId="1948660650">
    <w:abstractNumId w:val="5"/>
  </w:num>
  <w:num w:numId="24" w16cid:durableId="122113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6"/>
  </w:num>
  <w:num w:numId="26" w16cid:durableId="1203983393">
    <w:abstractNumId w:val="26"/>
  </w:num>
  <w:num w:numId="27" w16cid:durableId="1149204463">
    <w:abstractNumId w:val="18"/>
  </w:num>
  <w:num w:numId="28" w16cid:durableId="614867515">
    <w:abstractNumId w:val="37"/>
  </w:num>
  <w:num w:numId="29" w16cid:durableId="1513490821">
    <w:abstractNumId w:val="2"/>
  </w:num>
  <w:num w:numId="30" w16cid:durableId="1269506392">
    <w:abstractNumId w:val="22"/>
  </w:num>
  <w:num w:numId="31" w16cid:durableId="160509948">
    <w:abstractNumId w:val="21"/>
  </w:num>
  <w:num w:numId="32" w16cid:durableId="146094414">
    <w:abstractNumId w:val="9"/>
  </w:num>
  <w:num w:numId="33" w16cid:durableId="2145806991">
    <w:abstractNumId w:val="12"/>
  </w:num>
  <w:num w:numId="34" w16cid:durableId="1322079617">
    <w:abstractNumId w:val="20"/>
  </w:num>
  <w:num w:numId="35" w16cid:durableId="1661734410">
    <w:abstractNumId w:val="19"/>
  </w:num>
  <w:num w:numId="36" w16cid:durableId="306253165">
    <w:abstractNumId w:val="10"/>
  </w:num>
  <w:num w:numId="37" w16cid:durableId="428160121">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425"/>
  <w:displayHorizontalDrawingGridEvery w:val="0"/>
  <w:displayVerticalDrawingGridEvery w:val="0"/>
  <w:doNotUseMarginsForDrawingGridOrigin/>
  <w:noPunctuationKerning/>
  <w:characterSpacingControl w:val="doNotCompress"/>
  <w:footnotePr>
    <w:pos w:val="beneathText"/>
    <w:numRestart w:val="eachSect"/>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3E3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1F5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0DB8"/>
    <w:rsid w:val="00051333"/>
    <w:rsid w:val="00051BA8"/>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DC8"/>
    <w:rsid w:val="000A1E0A"/>
    <w:rsid w:val="000A1E8A"/>
    <w:rsid w:val="000A227F"/>
    <w:rsid w:val="000A22C0"/>
    <w:rsid w:val="000A2388"/>
    <w:rsid w:val="000A2683"/>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B7F86"/>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B4"/>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84D"/>
    <w:rsid w:val="00194A0F"/>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0BD"/>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0E"/>
    <w:rsid w:val="001B54BE"/>
    <w:rsid w:val="001B572C"/>
    <w:rsid w:val="001B57D4"/>
    <w:rsid w:val="001B627A"/>
    <w:rsid w:val="001B6448"/>
    <w:rsid w:val="001B6B7E"/>
    <w:rsid w:val="001B6BAD"/>
    <w:rsid w:val="001B6F81"/>
    <w:rsid w:val="001B70A1"/>
    <w:rsid w:val="001B76B5"/>
    <w:rsid w:val="001B7802"/>
    <w:rsid w:val="001B780C"/>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5CB"/>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797"/>
    <w:rsid w:val="001F1A7E"/>
    <w:rsid w:val="001F1ACF"/>
    <w:rsid w:val="001F1F32"/>
    <w:rsid w:val="001F201C"/>
    <w:rsid w:val="001F219E"/>
    <w:rsid w:val="001F2403"/>
    <w:rsid w:val="001F25EF"/>
    <w:rsid w:val="001F28BF"/>
    <w:rsid w:val="001F28DC"/>
    <w:rsid w:val="001F34E1"/>
    <w:rsid w:val="001F37CE"/>
    <w:rsid w:val="001F3B91"/>
    <w:rsid w:val="001F3D7C"/>
    <w:rsid w:val="001F3D95"/>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17"/>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47"/>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CDF"/>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9F2"/>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54A"/>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74F"/>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2DDE"/>
    <w:rsid w:val="002B3151"/>
    <w:rsid w:val="002B366D"/>
    <w:rsid w:val="002B3954"/>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1B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799"/>
    <w:rsid w:val="002E6C40"/>
    <w:rsid w:val="002E6CCF"/>
    <w:rsid w:val="002E6E72"/>
    <w:rsid w:val="002E706B"/>
    <w:rsid w:val="002E71E4"/>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0"/>
    <w:rsid w:val="002F6D5F"/>
    <w:rsid w:val="002F76CC"/>
    <w:rsid w:val="002F77DD"/>
    <w:rsid w:val="002F78D9"/>
    <w:rsid w:val="002F793B"/>
    <w:rsid w:val="002F7AC3"/>
    <w:rsid w:val="002F7EA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7B"/>
    <w:rsid w:val="00311F51"/>
    <w:rsid w:val="003122E8"/>
    <w:rsid w:val="00312635"/>
    <w:rsid w:val="00312B28"/>
    <w:rsid w:val="00312B96"/>
    <w:rsid w:val="00313B7C"/>
    <w:rsid w:val="00313C32"/>
    <w:rsid w:val="00313C3B"/>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450"/>
    <w:rsid w:val="00323BC5"/>
    <w:rsid w:val="00323BEB"/>
    <w:rsid w:val="00324673"/>
    <w:rsid w:val="00324B9B"/>
    <w:rsid w:val="00324D46"/>
    <w:rsid w:val="00324DE1"/>
    <w:rsid w:val="003250DD"/>
    <w:rsid w:val="0032552E"/>
    <w:rsid w:val="003257CD"/>
    <w:rsid w:val="00325B0D"/>
    <w:rsid w:val="00325B56"/>
    <w:rsid w:val="00325DF1"/>
    <w:rsid w:val="003264E9"/>
    <w:rsid w:val="0032655A"/>
    <w:rsid w:val="003268E8"/>
    <w:rsid w:val="00326C01"/>
    <w:rsid w:val="00326CA3"/>
    <w:rsid w:val="00326D93"/>
    <w:rsid w:val="003273F4"/>
    <w:rsid w:val="0032744B"/>
    <w:rsid w:val="00327607"/>
    <w:rsid w:val="00327618"/>
    <w:rsid w:val="00327764"/>
    <w:rsid w:val="003279D2"/>
    <w:rsid w:val="00327C5F"/>
    <w:rsid w:val="00327FFA"/>
    <w:rsid w:val="00330315"/>
    <w:rsid w:val="003308CB"/>
    <w:rsid w:val="00330F5F"/>
    <w:rsid w:val="003313FF"/>
    <w:rsid w:val="00331809"/>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1BAE"/>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794"/>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5CD9"/>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3CB"/>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801"/>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27D09"/>
    <w:rsid w:val="00430012"/>
    <w:rsid w:val="004302B7"/>
    <w:rsid w:val="0043054F"/>
    <w:rsid w:val="00430567"/>
    <w:rsid w:val="0043063B"/>
    <w:rsid w:val="004308E5"/>
    <w:rsid w:val="004309E8"/>
    <w:rsid w:val="00430DFD"/>
    <w:rsid w:val="00431096"/>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2CC"/>
    <w:rsid w:val="0044536C"/>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E18"/>
    <w:rsid w:val="00464FC4"/>
    <w:rsid w:val="004651D0"/>
    <w:rsid w:val="0046566C"/>
    <w:rsid w:val="0046581F"/>
    <w:rsid w:val="00465877"/>
    <w:rsid w:val="00465A90"/>
    <w:rsid w:val="00465AEB"/>
    <w:rsid w:val="00465C41"/>
    <w:rsid w:val="00465CC2"/>
    <w:rsid w:val="00466357"/>
    <w:rsid w:val="004665D2"/>
    <w:rsid w:val="0046689D"/>
    <w:rsid w:val="00466AB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959"/>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97F09"/>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595"/>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161"/>
    <w:rsid w:val="004D6CF4"/>
    <w:rsid w:val="004D6E44"/>
    <w:rsid w:val="004D6EDA"/>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39C"/>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EB0"/>
    <w:rsid w:val="00551FED"/>
    <w:rsid w:val="005525B9"/>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3A0"/>
    <w:rsid w:val="005606DA"/>
    <w:rsid w:val="005607CF"/>
    <w:rsid w:val="005609D2"/>
    <w:rsid w:val="00560A3D"/>
    <w:rsid w:val="005610A0"/>
    <w:rsid w:val="005612D0"/>
    <w:rsid w:val="00561631"/>
    <w:rsid w:val="0056185C"/>
    <w:rsid w:val="00561E6D"/>
    <w:rsid w:val="00561F9C"/>
    <w:rsid w:val="00561FED"/>
    <w:rsid w:val="005621A6"/>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6D2"/>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664"/>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1F50"/>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5D9D"/>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0F37"/>
    <w:rsid w:val="005C1201"/>
    <w:rsid w:val="005C131D"/>
    <w:rsid w:val="005C1634"/>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A96"/>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3B4"/>
    <w:rsid w:val="00666499"/>
    <w:rsid w:val="0066655F"/>
    <w:rsid w:val="006665CB"/>
    <w:rsid w:val="0066661F"/>
    <w:rsid w:val="00666B90"/>
    <w:rsid w:val="00666C1E"/>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831"/>
    <w:rsid w:val="006A1981"/>
    <w:rsid w:val="006A1C0C"/>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3A"/>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A6E"/>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55C"/>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88F"/>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D76"/>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3B8"/>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31B"/>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B9"/>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712"/>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1A"/>
    <w:rsid w:val="00775284"/>
    <w:rsid w:val="00775886"/>
    <w:rsid w:val="00775934"/>
    <w:rsid w:val="00775974"/>
    <w:rsid w:val="00775CBC"/>
    <w:rsid w:val="00775F0A"/>
    <w:rsid w:val="007762E2"/>
    <w:rsid w:val="00776B7F"/>
    <w:rsid w:val="00776DA5"/>
    <w:rsid w:val="0077711A"/>
    <w:rsid w:val="007773AE"/>
    <w:rsid w:val="00777789"/>
    <w:rsid w:val="0077778C"/>
    <w:rsid w:val="00777C0B"/>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86"/>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2B5"/>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30"/>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4F1A"/>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86"/>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C18"/>
    <w:rsid w:val="007F2DF4"/>
    <w:rsid w:val="007F2F43"/>
    <w:rsid w:val="007F2F4D"/>
    <w:rsid w:val="007F37AD"/>
    <w:rsid w:val="007F37AE"/>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48C"/>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0DC2"/>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5E5C"/>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24C"/>
    <w:rsid w:val="008458D1"/>
    <w:rsid w:val="00845939"/>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73A"/>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2BA"/>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11A"/>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9A5"/>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99E"/>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6FAD"/>
    <w:rsid w:val="008F7036"/>
    <w:rsid w:val="008F71E8"/>
    <w:rsid w:val="008F725B"/>
    <w:rsid w:val="008F726F"/>
    <w:rsid w:val="008F7300"/>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A48"/>
    <w:rsid w:val="00903B72"/>
    <w:rsid w:val="00903BF8"/>
    <w:rsid w:val="009040B5"/>
    <w:rsid w:val="0090460F"/>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57E08"/>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C5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1C3"/>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B0E"/>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56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DA1"/>
    <w:rsid w:val="009B6F81"/>
    <w:rsid w:val="009B7003"/>
    <w:rsid w:val="009B767D"/>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45"/>
    <w:rsid w:val="009C5039"/>
    <w:rsid w:val="009C5067"/>
    <w:rsid w:val="009C50A7"/>
    <w:rsid w:val="009C5559"/>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5FBC"/>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10E"/>
    <w:rsid w:val="00A21277"/>
    <w:rsid w:val="00A212EF"/>
    <w:rsid w:val="00A21569"/>
    <w:rsid w:val="00A217EC"/>
    <w:rsid w:val="00A21AE9"/>
    <w:rsid w:val="00A21B58"/>
    <w:rsid w:val="00A2222A"/>
    <w:rsid w:val="00A224EB"/>
    <w:rsid w:val="00A225CB"/>
    <w:rsid w:val="00A22951"/>
    <w:rsid w:val="00A22B7E"/>
    <w:rsid w:val="00A23113"/>
    <w:rsid w:val="00A231F2"/>
    <w:rsid w:val="00A23468"/>
    <w:rsid w:val="00A236CB"/>
    <w:rsid w:val="00A237E3"/>
    <w:rsid w:val="00A23968"/>
    <w:rsid w:val="00A23B78"/>
    <w:rsid w:val="00A23C2D"/>
    <w:rsid w:val="00A23D71"/>
    <w:rsid w:val="00A23D7F"/>
    <w:rsid w:val="00A243EF"/>
    <w:rsid w:val="00A24401"/>
    <w:rsid w:val="00A244A8"/>
    <w:rsid w:val="00A24CB3"/>
    <w:rsid w:val="00A253A6"/>
    <w:rsid w:val="00A25A78"/>
    <w:rsid w:val="00A25AC7"/>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705"/>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516"/>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5AE"/>
    <w:rsid w:val="00A91BCE"/>
    <w:rsid w:val="00A91E60"/>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97E06"/>
    <w:rsid w:val="00AA02CB"/>
    <w:rsid w:val="00AA05DF"/>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BA0"/>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04"/>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666"/>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0"/>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8A9"/>
    <w:rsid w:val="00AF692A"/>
    <w:rsid w:val="00AF6CF2"/>
    <w:rsid w:val="00AF744E"/>
    <w:rsid w:val="00AF74C2"/>
    <w:rsid w:val="00AF76E1"/>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0F"/>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96"/>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3FF9"/>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436"/>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699"/>
    <w:rsid w:val="00B85747"/>
    <w:rsid w:val="00B8645C"/>
    <w:rsid w:val="00B86741"/>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DD6"/>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077"/>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76D"/>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82F"/>
    <w:rsid w:val="00C12943"/>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6D8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53E"/>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AB2"/>
    <w:rsid w:val="00C42D3F"/>
    <w:rsid w:val="00C43908"/>
    <w:rsid w:val="00C43B4A"/>
    <w:rsid w:val="00C43C91"/>
    <w:rsid w:val="00C44069"/>
    <w:rsid w:val="00C443DF"/>
    <w:rsid w:val="00C44476"/>
    <w:rsid w:val="00C4477F"/>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4EA5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2DB"/>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85"/>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6B"/>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48A"/>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6FFC"/>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19E"/>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2BC"/>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BB5"/>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5CA"/>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A56"/>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174"/>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BCC"/>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4"/>
    <w:rsid w:val="00DE4ED8"/>
    <w:rsid w:val="00DE5337"/>
    <w:rsid w:val="00DE534B"/>
    <w:rsid w:val="00DE5DAE"/>
    <w:rsid w:val="00DE5F9A"/>
    <w:rsid w:val="00DE6233"/>
    <w:rsid w:val="00DE6364"/>
    <w:rsid w:val="00DE63B4"/>
    <w:rsid w:val="00DE6412"/>
    <w:rsid w:val="00DE6922"/>
    <w:rsid w:val="00DE6CE1"/>
    <w:rsid w:val="00DE6FE4"/>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EE2"/>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6E78"/>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E7E"/>
    <w:rsid w:val="00E12054"/>
    <w:rsid w:val="00E12088"/>
    <w:rsid w:val="00E120CF"/>
    <w:rsid w:val="00E121DE"/>
    <w:rsid w:val="00E12279"/>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619"/>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7A7"/>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3101"/>
    <w:rsid w:val="00E53182"/>
    <w:rsid w:val="00E533B0"/>
    <w:rsid w:val="00E53404"/>
    <w:rsid w:val="00E53541"/>
    <w:rsid w:val="00E53810"/>
    <w:rsid w:val="00E539B9"/>
    <w:rsid w:val="00E53C2E"/>
    <w:rsid w:val="00E53CD2"/>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921"/>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AAF"/>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47"/>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35"/>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425"/>
    <w:rsid w:val="00ED1686"/>
    <w:rsid w:val="00ED1CD0"/>
    <w:rsid w:val="00ED20C8"/>
    <w:rsid w:val="00ED21AB"/>
    <w:rsid w:val="00ED2824"/>
    <w:rsid w:val="00ED2C72"/>
    <w:rsid w:val="00ED337A"/>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10EE"/>
    <w:rsid w:val="00F11159"/>
    <w:rsid w:val="00F11195"/>
    <w:rsid w:val="00F11230"/>
    <w:rsid w:val="00F11A18"/>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465"/>
    <w:rsid w:val="00F145D6"/>
    <w:rsid w:val="00F14823"/>
    <w:rsid w:val="00F14A4D"/>
    <w:rsid w:val="00F14DAA"/>
    <w:rsid w:val="00F14E18"/>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A72"/>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BC5"/>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67C"/>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562"/>
    <w:rsid w:val="00F765D2"/>
    <w:rsid w:val="00F76BDA"/>
    <w:rsid w:val="00F76D01"/>
    <w:rsid w:val="00F770BE"/>
    <w:rsid w:val="00F773E1"/>
    <w:rsid w:val="00F776DF"/>
    <w:rsid w:val="00F77B2C"/>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D0C"/>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88B"/>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6CDE398"/>
    <w:rsid w:val="08496FE2"/>
    <w:rsid w:val="0F7A2433"/>
    <w:rsid w:val="1306CE02"/>
    <w:rsid w:val="197F19EA"/>
    <w:rsid w:val="1A6635B6"/>
    <w:rsid w:val="1DD7080B"/>
    <w:rsid w:val="222BFC32"/>
    <w:rsid w:val="274032D6"/>
    <w:rsid w:val="2C04A48B"/>
    <w:rsid w:val="34CC32FD"/>
    <w:rsid w:val="3B438598"/>
    <w:rsid w:val="3DDF230D"/>
    <w:rsid w:val="3E605FF2"/>
    <w:rsid w:val="4618CA9C"/>
    <w:rsid w:val="4B545DDC"/>
    <w:rsid w:val="5650B5BB"/>
    <w:rsid w:val="5725D638"/>
    <w:rsid w:val="579D8C85"/>
    <w:rsid w:val="5A62EF46"/>
    <w:rsid w:val="693581E3"/>
    <w:rsid w:val="69A08D67"/>
    <w:rsid w:val="6CE1DFA1"/>
    <w:rsid w:val="73FC5FA9"/>
    <w:rsid w:val="79670AA8"/>
    <w:rsid w:val="79C355BE"/>
    <w:rsid w:val="7A1653CA"/>
    <w:rsid w:val="7FDE3B80"/>
  </w:rsids>
  <w:docVars>
    <w:docVar w:name="EPKit_DocumentHasBeenSaved" w:val="true"/>
    <w:docVar w:name="LW_DocType" w:val="TEL"/>
  </w:docVars>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14:docId w14:val="53233143"/>
  <w15:docId w15:val="{18CE7B0D-E5C9-4DC6-BC8A-71DE2014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0">
    <w:name w:val="Char1_0"/>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uiPriority w:val="99"/>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Bullet List,FooterText,List Paragraph compact,Dot pt,F5 List Paragraph,List Paragraph1,List Paragraph Char Char Char,Indicator Text,Numbered Para 1,Bullet 1,Bullet Points,MAIN CONTENT,List Paragraph11"/>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character" w:styleId="UnresolvedMention">
    <w:name w:val="Unresolved Mention"/>
    <w:uiPriority w:val="99"/>
    <w:semiHidden/>
    <w:unhideWhenUsed/>
    <w:rsid w:val="00CB7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9dd6c6-cf8f-4aa4-be49-f1cc0da589a4" xsi:nil="true"/>
    <lcf76f155ced4ddcb4097134ff3c332f xmlns="1b1e5321-5d6d-40f3-a89c-b5482dd566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DCC8EC-2A1E-4109-A8A1-524451FA8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3.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4.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af9dd6c6-cf8f-4aa4-be49-f1cc0da589a4"/>
    <ds:schemaRef ds:uri="1b1e5321-5d6d-40f3-a89c-b5482dd566c1"/>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3</Pages>
  <Words>1335</Words>
  <Characters>7708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2</cp:revision>
  <cp:lastPrinted>2017-11-23T17:27:00Z</cp:lastPrinted>
  <dcterms:created xsi:type="dcterms:W3CDTF">2026-08-04T07:03:00Z</dcterms:created>
  <dcterms:modified xsi:type="dcterms:W3CDTF">2026-08-04T07:03:00Z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EC_TX_All_World_Countries">
    <vt:lpwstr/>
  </property>
  <property fmtid="{D5CDD505-2E9C-101B-9397-08002B2CF9AE}" pid="7" name="EC_TX_Corporate Body">
    <vt:lpwstr/>
  </property>
  <property fmtid="{D5CDD505-2E9C-101B-9397-08002B2CF9AE}" pid="8" name="EC_TX_Corporate_x0020_Body">
    <vt:lpwstr/>
  </property>
  <property fmtid="{D5CDD505-2E9C-101B-9397-08002B2CF9AE}" pid="9" name="EC_TX_EU_Member_State">
    <vt:lpwstr/>
  </property>
  <property fmtid="{D5CDD505-2E9C-101B-9397-08002B2CF9AE}" pid="10" name="EC_TX_EU_Political_Leader">
    <vt:lpwstr/>
  </property>
  <property fmtid="{D5CDD505-2E9C-101B-9397-08002B2CF9AE}" pid="11" name="EC_TX_Policy_Area">
    <vt:lpwstr/>
  </property>
  <property fmtid="{D5CDD505-2E9C-101B-9397-08002B2CF9AE}" pid="12" name="EC_TX_Resource_Type">
    <vt:lpwstr/>
  </property>
  <property fmtid="{D5CDD505-2E9C-101B-9397-08002B2CF9AE}" pid="13" name="EC_TX_Strategic_Priority">
    <vt:lpwstr/>
  </property>
  <property fmtid="{D5CDD505-2E9C-101B-9397-08002B2CF9AE}" pid="14" name="ELDocType">
    <vt:lpwstr>tel.dot</vt:lpwstr>
  </property>
  <property fmtid="{D5CDD505-2E9C-101B-9397-08002B2CF9AE}" pid="15" name="EL_Author">
    <vt:lpwstr>M. WERKER</vt:lpwstr>
  </property>
  <property fmtid="{D5CDD505-2E9C-101B-9397-08002B2CF9AE}" pid="16" name="EL_Language">
    <vt:lpwstr>FR</vt:lpwstr>
  </property>
  <property fmtid="{D5CDD505-2E9C-101B-9397-08002B2CF9AE}" pid="17" name="EurolookVersion">
    <vt:lpwstr>4.1</vt:lpwstr>
  </property>
  <property fmtid="{D5CDD505-2E9C-101B-9397-08002B2CF9AE}" pid="18" name="Formatting">
    <vt:lpwstr>4.1</vt:lpwstr>
  </property>
  <property fmtid="{D5CDD505-2E9C-101B-9397-08002B2CF9AE}" pid="19" name="Language">
    <vt:lpwstr>FR</vt:lpwstr>
  </property>
  <property fmtid="{D5CDD505-2E9C-101B-9397-08002B2CF9AE}" pid="20" name="Last edited using">
    <vt:lpwstr>EL 4.6 Build 50000</vt:lpwstr>
  </property>
  <property fmtid="{D5CDD505-2E9C-101B-9397-08002B2CF9AE}" pid="21" name="lcf76f155ced4ddcb4097134ff3c332f">
    <vt:lpwstr/>
  </property>
  <property fmtid="{D5CDD505-2E9C-101B-9397-08002B2CF9AE}" pid="22" name="MediaServiceImageTags">
    <vt:lpwstr/>
  </property>
  <property fmtid="{D5CDD505-2E9C-101B-9397-08002B2CF9AE}" pid="23" name="MSIP_Label_6bd9ddd1-4d20-43f6-abfa-fc3c07406f94_ActionId">
    <vt:lpwstr>fed4ca29-9366-4f08-a0f8-47b4b7a2a3a2</vt:lpwstr>
  </property>
  <property fmtid="{D5CDD505-2E9C-101B-9397-08002B2CF9AE}" pid="24" name="MSIP_Label_6bd9ddd1-4d20-43f6-abfa-fc3c07406f94_ContentBits">
    <vt:lpwstr>0</vt:lpwstr>
  </property>
  <property fmtid="{D5CDD505-2E9C-101B-9397-08002B2CF9AE}" pid="25" name="MSIP_Label_6bd9ddd1-4d20-43f6-abfa-fc3c07406f94_Enabled">
    <vt:lpwstr>true</vt:lpwstr>
  </property>
  <property fmtid="{D5CDD505-2E9C-101B-9397-08002B2CF9AE}" pid="26" name="MSIP_Label_6bd9ddd1-4d20-43f6-abfa-fc3c07406f94_Method">
    <vt:lpwstr>Standard</vt:lpwstr>
  </property>
  <property fmtid="{D5CDD505-2E9C-101B-9397-08002B2CF9AE}" pid="27" name="MSIP_Label_6bd9ddd1-4d20-43f6-abfa-fc3c07406f94_Name">
    <vt:lpwstr>Commission Use</vt:lpwstr>
  </property>
  <property fmtid="{D5CDD505-2E9C-101B-9397-08002B2CF9AE}" pid="28" name="MSIP_Label_6bd9ddd1-4d20-43f6-abfa-fc3c07406f94_SetDate">
    <vt:lpwstr>2023-03-06T16:57:17Z</vt:lpwstr>
  </property>
  <property fmtid="{D5CDD505-2E9C-101B-9397-08002B2CF9AE}" pid="29" name="MSIP_Label_6bd9ddd1-4d20-43f6-abfa-fc3c07406f94_SiteId">
    <vt:lpwstr>b24c8b06-522c-46fe-9080-70926f8dddb1</vt:lpwstr>
  </property>
  <property fmtid="{D5CDD505-2E9C-101B-9397-08002B2CF9AE}" pid="30" name="TemplateVersion">
    <vt:lpwstr>4.1.3.4</vt:lpwstr>
  </property>
  <property fmtid="{D5CDD505-2E9C-101B-9397-08002B2CF9AE}" pid="31" name="Type">
    <vt:lpwstr>Eurolook Telex</vt:lpwstr>
  </property>
</Properties>
</file>