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95E9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95E95" w:rsidRDefault="001A63C3" w:rsidP="009C6D6A">
            <w:pPr>
              <w:pStyle w:val="EPName"/>
            </w:pPr>
            <w:r w:rsidRPr="00595E95">
              <w:t>European Parliament</w:t>
            </w:r>
          </w:p>
          <w:p w:rsidR="00751A4A" w:rsidRPr="00595E95" w:rsidRDefault="00A1418B" w:rsidP="00A1418B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95E95">
              <w:t>20</w:t>
            </w:r>
            <w:r>
              <w:t>24</w:t>
            </w:r>
            <w:r w:rsidR="00817416" w:rsidRPr="00595E95">
              <w:t>-</w:t>
            </w:r>
            <w:r w:rsidRPr="00595E95">
              <w:t>202</w:t>
            </w:r>
            <w:r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95E95" w:rsidRDefault="00187494" w:rsidP="009C6D6A">
            <w:pPr>
              <w:pStyle w:val="EPLogo"/>
            </w:pPr>
            <w:r w:rsidRPr="00595E95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95E95" w:rsidRDefault="00D058B8" w:rsidP="009C6D6A">
      <w:pPr>
        <w:pStyle w:val="LineTop"/>
      </w:pPr>
    </w:p>
    <w:p w:rsidR="00680577" w:rsidRPr="00595E95" w:rsidRDefault="001A63C3" w:rsidP="009C6D6A">
      <w:pPr>
        <w:pStyle w:val="EPBodyTA1"/>
      </w:pPr>
      <w:r w:rsidRPr="00595E95">
        <w:t>TEXTS ADOPTED</w:t>
      </w:r>
    </w:p>
    <w:p w:rsidR="00D058B8" w:rsidRPr="00595E95" w:rsidRDefault="00D058B8" w:rsidP="009C6D6A">
      <w:pPr>
        <w:pStyle w:val="LineBottom"/>
      </w:pPr>
    </w:p>
    <w:p w:rsidR="001A63C3" w:rsidRPr="00595E95" w:rsidRDefault="001A63C3" w:rsidP="009C6D6A">
      <w:pPr>
        <w:pStyle w:val="ATHeading1"/>
        <w:keepNext w:val="0"/>
        <w:keepLines w:val="0"/>
        <w:widowControl w:val="0"/>
      </w:pPr>
      <w:bookmarkStart w:id="0" w:name="TANumber"/>
      <w:r w:rsidRPr="00595E95">
        <w:t>P10_</w:t>
      </w:r>
      <w:proofErr w:type="gramStart"/>
      <w:r w:rsidRPr="00595E95">
        <w:t>TA(</w:t>
      </w:r>
      <w:proofErr w:type="gramEnd"/>
      <w:r w:rsidRPr="00595E95">
        <w:t>2024)000</w:t>
      </w:r>
      <w:bookmarkEnd w:id="0"/>
      <w:r w:rsidR="00E26152">
        <w:t>1</w:t>
      </w:r>
      <w:bookmarkStart w:id="1" w:name="_GoBack"/>
      <w:bookmarkEnd w:id="1"/>
    </w:p>
    <w:p w:rsidR="001A63C3" w:rsidRPr="00595E95" w:rsidRDefault="009C6D6A" w:rsidP="009C6D6A">
      <w:pPr>
        <w:pStyle w:val="ATHeading2"/>
        <w:widowControl w:val="0"/>
      </w:pPr>
      <w:bookmarkStart w:id="2" w:name="title"/>
      <w:r>
        <w:t xml:space="preserve">Numerical strength of </w:t>
      </w:r>
      <w:r w:rsidRPr="009C6D6A">
        <w:t>standing committees</w:t>
      </w:r>
      <w:bookmarkEnd w:id="2"/>
    </w:p>
    <w:p w:rsidR="001A63C3" w:rsidRPr="00595E95" w:rsidRDefault="001A63C3" w:rsidP="009C6D6A">
      <w:pPr>
        <w:rPr>
          <w:i/>
          <w:vanish/>
        </w:rPr>
      </w:pPr>
      <w:r w:rsidRPr="00595E95">
        <w:rPr>
          <w:i/>
        </w:rPr>
        <w:fldChar w:fldCharType="begin"/>
      </w:r>
      <w:r w:rsidRPr="00595E95">
        <w:rPr>
          <w:i/>
        </w:rPr>
        <w:instrText xml:space="preserve"> TC"(</w:instrText>
      </w:r>
      <w:bookmarkStart w:id="3" w:name="DocNumber"/>
      <w:r w:rsidRPr="00595E95">
        <w:rPr>
          <w:i/>
        </w:rPr>
        <w:instrText>B10-0004/2024</w:instrText>
      </w:r>
      <w:bookmarkEnd w:id="3"/>
      <w:r w:rsidRPr="00595E95">
        <w:rPr>
          <w:i/>
        </w:rPr>
        <w:instrText xml:space="preserve">)"\l3 \n&gt; \* MERGEFORMAT </w:instrText>
      </w:r>
      <w:r w:rsidRPr="00595E95">
        <w:rPr>
          <w:i/>
        </w:rPr>
        <w:fldChar w:fldCharType="end"/>
      </w:r>
    </w:p>
    <w:p w:rsidR="001A63C3" w:rsidRPr="00595E95" w:rsidRDefault="001A63C3" w:rsidP="009C6D6A">
      <w:pPr>
        <w:rPr>
          <w:vanish/>
        </w:rPr>
      </w:pPr>
      <w:bookmarkStart w:id="4" w:name="PE"/>
      <w:r w:rsidRPr="00595E95">
        <w:rPr>
          <w:vanish/>
        </w:rPr>
        <w:t>PE762.590</w:t>
      </w:r>
      <w:bookmarkEnd w:id="4"/>
    </w:p>
    <w:p w:rsidR="001A63C3" w:rsidRPr="00595E95" w:rsidRDefault="001A63C3" w:rsidP="009C6D6A">
      <w:pPr>
        <w:pStyle w:val="ATHeading3"/>
        <w:keepNext w:val="0"/>
        <w:keepLines w:val="0"/>
        <w:widowControl w:val="0"/>
      </w:pPr>
      <w:bookmarkStart w:id="5" w:name="Sujet"/>
      <w:r w:rsidRPr="00595E95">
        <w:t xml:space="preserve">European Parliament decision of </w:t>
      </w:r>
      <w:r w:rsidR="00A1418B">
        <w:t>17</w:t>
      </w:r>
      <w:r w:rsidR="00A1418B" w:rsidRPr="00595E95">
        <w:t xml:space="preserve"> </w:t>
      </w:r>
      <w:r w:rsidR="009C6D6A">
        <w:t>July</w:t>
      </w:r>
      <w:r w:rsidRPr="00595E95">
        <w:t xml:space="preserve"> 2024 on the numerical strength of the standing committees</w:t>
      </w:r>
      <w:bookmarkEnd w:id="5"/>
      <w:r w:rsidRPr="00595E95">
        <w:t xml:space="preserve"> </w:t>
      </w:r>
      <w:bookmarkStart w:id="6" w:name="References"/>
      <w:r w:rsidRPr="00595E95">
        <w:t>(2024/2716(RSO))</w:t>
      </w:r>
      <w:bookmarkEnd w:id="6"/>
    </w:p>
    <w:p w:rsidR="001A63C3" w:rsidRPr="00595E95" w:rsidRDefault="001A63C3" w:rsidP="009C6D6A"/>
    <w:p w:rsidR="00102556" w:rsidRPr="00595E95" w:rsidRDefault="00102556" w:rsidP="009C6D6A">
      <w:pPr>
        <w:pStyle w:val="NormalHanging12a"/>
        <w:rPr>
          <w:i/>
          <w:spacing w:val="-2"/>
        </w:rPr>
      </w:pPr>
      <w:bookmarkStart w:id="7" w:name="TextBodyBegin"/>
      <w:bookmarkEnd w:id="7"/>
      <w:r w:rsidRPr="00595E95">
        <w:rPr>
          <w:i/>
        </w:rPr>
        <w:t>The European Parliament,</w:t>
      </w:r>
    </w:p>
    <w:p w:rsidR="00102556" w:rsidRPr="00595E95" w:rsidRDefault="00102556" w:rsidP="009C6D6A">
      <w:pPr>
        <w:pStyle w:val="NormalHanging12a"/>
      </w:pPr>
      <w:r w:rsidRPr="00595E95">
        <w:t>–</w:t>
      </w:r>
      <w:r w:rsidRPr="00595E95">
        <w:tab/>
        <w:t>having regard to the proposal from the Conference of Presidents,</w:t>
      </w:r>
    </w:p>
    <w:p w:rsidR="00102556" w:rsidRPr="00595E95" w:rsidRDefault="00102556" w:rsidP="009C6D6A">
      <w:pPr>
        <w:pStyle w:val="NormalHanging12a"/>
      </w:pPr>
      <w:r w:rsidRPr="00595E95">
        <w:t>–</w:t>
      </w:r>
      <w:r w:rsidRPr="00595E95">
        <w:tab/>
        <w:t>having regard to its decision of 15 January 2014 on the powers and responsibilities of the standing committees</w:t>
      </w:r>
      <w:r w:rsidRPr="00595E95">
        <w:rPr>
          <w:vertAlign w:val="superscript"/>
        </w:rPr>
        <w:footnoteReference w:id="1"/>
      </w:r>
      <w:r w:rsidRPr="00595E95">
        <w:t>,</w:t>
      </w:r>
    </w:p>
    <w:p w:rsidR="00102556" w:rsidRPr="00595E95" w:rsidRDefault="00102556" w:rsidP="009C6D6A">
      <w:pPr>
        <w:pStyle w:val="NormalHanging12a"/>
      </w:pPr>
      <w:r w:rsidRPr="00595E95">
        <w:t>–</w:t>
      </w:r>
      <w:r w:rsidRPr="00595E95">
        <w:tab/>
        <w:t>having regard to its decision of 18 June 2020 on setting up a subcommittee on tax matters</w:t>
      </w:r>
      <w:r w:rsidRPr="00595E95">
        <w:rPr>
          <w:vertAlign w:val="superscript"/>
        </w:rPr>
        <w:footnoteReference w:id="2"/>
      </w:r>
      <w:r w:rsidRPr="00595E95">
        <w:t>,</w:t>
      </w:r>
    </w:p>
    <w:p w:rsidR="00102556" w:rsidRPr="00595E95" w:rsidRDefault="00102556" w:rsidP="009C6D6A">
      <w:pPr>
        <w:pStyle w:val="NormalHanging12a"/>
      </w:pPr>
      <w:r w:rsidRPr="00595E95">
        <w:t>–</w:t>
      </w:r>
      <w:r w:rsidRPr="00595E95">
        <w:tab/>
        <w:t>having regard to its decision of 14 February 2023 on setting up a subcommittee on public health</w:t>
      </w:r>
      <w:r w:rsidRPr="00595E95">
        <w:rPr>
          <w:vertAlign w:val="superscript"/>
        </w:rPr>
        <w:footnoteReference w:id="3"/>
      </w:r>
      <w:r w:rsidRPr="00595E95">
        <w:t>,</w:t>
      </w:r>
    </w:p>
    <w:p w:rsidR="00102556" w:rsidRPr="00595E95" w:rsidRDefault="00102556" w:rsidP="009C6D6A">
      <w:pPr>
        <w:pStyle w:val="NormalHanging12a"/>
      </w:pPr>
      <w:r w:rsidRPr="00595E95">
        <w:t>–</w:t>
      </w:r>
      <w:r w:rsidRPr="00595E95">
        <w:tab/>
        <w:t>having regard to Rules 212, 218 and 219 of its Rules of Procedure,</w:t>
      </w:r>
    </w:p>
    <w:p w:rsidR="00102556" w:rsidRPr="00595E95" w:rsidRDefault="00102556" w:rsidP="009C6D6A">
      <w:pPr>
        <w:pStyle w:val="NormalHanging12a"/>
      </w:pPr>
      <w:r w:rsidRPr="00595E95">
        <w:t>1.</w:t>
      </w:r>
      <w:r w:rsidRPr="00595E95">
        <w:tab/>
        <w:t>Decides that the numerical strength of the standing committees and subcommittees</w:t>
      </w:r>
      <w:r w:rsidRPr="00595E95">
        <w:rPr>
          <w:bCs/>
        </w:rPr>
        <w:t xml:space="preserve"> shall be as follows</w:t>
      </w:r>
      <w:r w:rsidRPr="00595E95">
        <w:t>:</w:t>
      </w:r>
    </w:p>
    <w:p w:rsidR="00102556" w:rsidRPr="00595E95" w:rsidRDefault="00102556" w:rsidP="009C6D6A">
      <w:pPr>
        <w:pStyle w:val="NormalHanging12a"/>
        <w:ind w:left="1134"/>
      </w:pPr>
      <w:r w:rsidRPr="00595E95">
        <w:t>I.</w:t>
      </w:r>
      <w:r w:rsidRPr="00595E95">
        <w:tab/>
        <w:t>Committee on Foreign Affairs: 79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II.</w:t>
      </w:r>
      <w:r w:rsidRPr="00595E95">
        <w:tab/>
        <w:t>Committee on Development: 25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III.</w:t>
      </w:r>
      <w:r w:rsidRPr="00595E95">
        <w:tab/>
        <w:t>Committee on International Trade: 43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IV.</w:t>
      </w:r>
      <w:r w:rsidRPr="00595E95">
        <w:tab/>
        <w:t>Committee on Budgets: 40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V.</w:t>
      </w:r>
      <w:r w:rsidRPr="00595E95">
        <w:tab/>
        <w:t>Committee on Budgetary Control: 30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VI.</w:t>
      </w:r>
      <w:r w:rsidRPr="00595E95">
        <w:tab/>
        <w:t>Committee on Economic and Monetary Affairs: 60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VII.</w:t>
      </w:r>
      <w:r w:rsidRPr="00595E95">
        <w:tab/>
        <w:t>Committee on Employment and Social Affairs: 60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lastRenderedPageBreak/>
        <w:t>VIII.</w:t>
      </w:r>
      <w:r w:rsidRPr="00595E95">
        <w:tab/>
        <w:t>Committee on the Environment, Public Health and Food Safety: 90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IX.</w:t>
      </w:r>
      <w:r w:rsidRPr="00595E95">
        <w:tab/>
        <w:t>Committee on Industry, Research and Energy: 90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X.</w:t>
      </w:r>
      <w:r w:rsidRPr="00595E95">
        <w:tab/>
        <w:t>Committee on the Internal Market and Consumer Protection: 52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XI.</w:t>
      </w:r>
      <w:r w:rsidRPr="00595E95">
        <w:tab/>
        <w:t>Committee on Transport and Tourism: 46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XII.</w:t>
      </w:r>
      <w:r w:rsidRPr="00595E95">
        <w:tab/>
        <w:t>Committee on Regional Development: 41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XIII.</w:t>
      </w:r>
      <w:r w:rsidRPr="00595E95">
        <w:tab/>
        <w:t>Committee on Agriculture and Rural Development: 49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XIV.</w:t>
      </w:r>
      <w:r w:rsidRPr="00595E95">
        <w:tab/>
        <w:t>Committee on Fisheries: 27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XV.</w:t>
      </w:r>
      <w:r w:rsidRPr="00595E95">
        <w:tab/>
        <w:t>Committee on Culture and Education: 30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XVI.</w:t>
      </w:r>
      <w:r w:rsidRPr="00595E95">
        <w:tab/>
        <w:t>Committee on Legal Affairs: 25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XVII.</w:t>
      </w:r>
      <w:r w:rsidRPr="00595E95">
        <w:tab/>
        <w:t>Committee on Civil Liberties, Justice and Home Affairs: 75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XVIII.</w:t>
      </w:r>
      <w:r w:rsidRPr="00595E95">
        <w:tab/>
        <w:t>Committee on Constitutional Affairs: 30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XIX.</w:t>
      </w:r>
      <w:r w:rsidRPr="00595E95">
        <w:tab/>
        <w:t>Committee on Women’s Rights and Gender Equality: 40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XX.</w:t>
      </w:r>
      <w:r w:rsidRPr="00595E95">
        <w:tab/>
        <w:t>Committee on Petitions: 35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Subcommittee on Security and Defence: 30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Subcommittee on Human Rights: 30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Subcommittee on Tax matters: 30 members,</w:t>
      </w:r>
    </w:p>
    <w:p w:rsidR="00102556" w:rsidRPr="00595E95" w:rsidRDefault="00102556" w:rsidP="009C6D6A">
      <w:pPr>
        <w:pStyle w:val="NormalHanging12a"/>
        <w:ind w:left="1134"/>
      </w:pPr>
      <w:r w:rsidRPr="00595E95">
        <w:t>Subcommittee on Public Health: 30 members;</w:t>
      </w:r>
    </w:p>
    <w:p w:rsidR="00102556" w:rsidRPr="00595E95" w:rsidRDefault="00102556" w:rsidP="009C6D6A">
      <w:pPr>
        <w:pStyle w:val="NormalHanging12a"/>
      </w:pPr>
      <w:r w:rsidRPr="00595E95">
        <w:t>2.</w:t>
      </w:r>
      <w:r w:rsidRPr="00595E95">
        <w:tab/>
        <w:t>Decides, with reference to the decisions of the Conference of Presidents of 30 June 2019 and 9 January 2020 relating to the composition of committee and subcommittee bureaux, that the committee and subcommittee bureaux may consist of up to four vice-chairs;</w:t>
      </w:r>
    </w:p>
    <w:p w:rsidR="00102556" w:rsidRPr="00595E95" w:rsidRDefault="00102556" w:rsidP="009C6D6A">
      <w:pPr>
        <w:pStyle w:val="NormalHanging12a"/>
      </w:pPr>
      <w:r w:rsidRPr="00595E95">
        <w:t>3.</w:t>
      </w:r>
      <w:r w:rsidRPr="00595E95">
        <w:tab/>
        <w:t>Decides that this decision will enter into force on the day of its adoption</w:t>
      </w:r>
      <w:proofErr w:type="gramStart"/>
      <w:r w:rsidRPr="00595E95">
        <w:t>;</w:t>
      </w:r>
      <w:proofErr w:type="gramEnd"/>
    </w:p>
    <w:p w:rsidR="00E365E1" w:rsidRPr="00595E95" w:rsidRDefault="00102556" w:rsidP="009C6D6A">
      <w:pPr>
        <w:pStyle w:val="NormalHanging12a"/>
      </w:pPr>
      <w:r w:rsidRPr="00595E95">
        <w:t>4.</w:t>
      </w:r>
      <w:r w:rsidRPr="00595E95">
        <w:tab/>
        <w:t>Instructs its President to forward this decision to the Council and the Commission, for information.</w:t>
      </w:r>
      <w:bookmarkStart w:id="8" w:name="TextBodyEnd"/>
      <w:bookmarkEnd w:id="8"/>
    </w:p>
    <w:sectPr w:rsidR="00E365E1" w:rsidRPr="00595E95" w:rsidSect="00595E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3C3" w:rsidRPr="00595E95" w:rsidRDefault="001A63C3">
      <w:r w:rsidRPr="00595E95">
        <w:separator/>
      </w:r>
    </w:p>
  </w:endnote>
  <w:endnote w:type="continuationSeparator" w:id="0">
    <w:p w:rsidR="001A63C3" w:rsidRPr="00595E95" w:rsidRDefault="001A63C3">
      <w:r w:rsidRPr="00595E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95E9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95E9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95E9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3C3" w:rsidRPr="00595E95" w:rsidRDefault="001A63C3">
      <w:r w:rsidRPr="00595E95">
        <w:separator/>
      </w:r>
    </w:p>
  </w:footnote>
  <w:footnote w:type="continuationSeparator" w:id="0">
    <w:p w:rsidR="001A63C3" w:rsidRPr="00595E95" w:rsidRDefault="001A63C3">
      <w:r w:rsidRPr="00595E95">
        <w:continuationSeparator/>
      </w:r>
    </w:p>
  </w:footnote>
  <w:footnote w:id="1">
    <w:p w:rsidR="00102556" w:rsidRPr="00E65E37" w:rsidRDefault="00102556" w:rsidP="009C6D6A">
      <w:pPr>
        <w:pStyle w:val="FootnoteText"/>
        <w:keepLines w:val="0"/>
        <w:widowControl w:val="0"/>
        <w:ind w:left="567" w:hanging="567"/>
        <w:rPr>
          <w:sz w:val="24"/>
          <w:lang w:val="pl-PL"/>
        </w:rPr>
      </w:pPr>
      <w:r w:rsidRPr="00595E95">
        <w:rPr>
          <w:rStyle w:val="FootnoteReference"/>
          <w:sz w:val="24"/>
          <w:lang w:val="en-GB"/>
        </w:rPr>
        <w:footnoteRef/>
      </w:r>
      <w:r w:rsidR="00595E95" w:rsidRPr="00E65E37">
        <w:rPr>
          <w:sz w:val="24"/>
          <w:lang w:val="pl-PL"/>
        </w:rPr>
        <w:t xml:space="preserve"> </w:t>
      </w:r>
      <w:r w:rsidR="00595E95" w:rsidRPr="00E65E37">
        <w:rPr>
          <w:sz w:val="24"/>
          <w:lang w:val="pl-PL"/>
        </w:rPr>
        <w:tab/>
      </w:r>
      <w:r w:rsidRPr="00E65E37">
        <w:rPr>
          <w:sz w:val="24"/>
          <w:lang w:val="pl-PL"/>
        </w:rPr>
        <w:t>OJ C 482, 23.12.2016, p. 160.</w:t>
      </w:r>
    </w:p>
  </w:footnote>
  <w:footnote w:id="2">
    <w:p w:rsidR="00102556" w:rsidRPr="00E65E37" w:rsidRDefault="00102556" w:rsidP="009C6D6A">
      <w:pPr>
        <w:pStyle w:val="FootnoteText"/>
        <w:keepLines w:val="0"/>
        <w:widowControl w:val="0"/>
        <w:ind w:left="567" w:hanging="567"/>
        <w:rPr>
          <w:sz w:val="24"/>
          <w:lang w:val="pl-PL"/>
        </w:rPr>
      </w:pPr>
      <w:r w:rsidRPr="00595E95">
        <w:rPr>
          <w:rStyle w:val="FootnoteReference"/>
          <w:sz w:val="24"/>
          <w:lang w:val="en-GB"/>
        </w:rPr>
        <w:footnoteRef/>
      </w:r>
      <w:r w:rsidR="00595E95" w:rsidRPr="00E65E37">
        <w:rPr>
          <w:sz w:val="24"/>
          <w:lang w:val="pl-PL"/>
        </w:rPr>
        <w:t xml:space="preserve"> </w:t>
      </w:r>
      <w:r w:rsidR="00595E95" w:rsidRPr="00E65E37">
        <w:rPr>
          <w:sz w:val="24"/>
          <w:lang w:val="pl-PL"/>
        </w:rPr>
        <w:tab/>
      </w:r>
      <w:r w:rsidRPr="00E65E37">
        <w:rPr>
          <w:sz w:val="24"/>
          <w:lang w:val="pl-PL"/>
        </w:rPr>
        <w:t>OJ C 362, 8.9.2021, p. 181.</w:t>
      </w:r>
    </w:p>
  </w:footnote>
  <w:footnote w:id="3">
    <w:p w:rsidR="00102556" w:rsidRPr="00E65E37" w:rsidRDefault="00102556" w:rsidP="009C6D6A">
      <w:pPr>
        <w:pStyle w:val="FootnoteText"/>
        <w:keepLines w:val="0"/>
        <w:widowControl w:val="0"/>
        <w:ind w:left="567" w:hanging="567"/>
        <w:rPr>
          <w:sz w:val="24"/>
          <w:lang w:val="pl-PL"/>
        </w:rPr>
      </w:pPr>
      <w:r w:rsidRPr="00595E95">
        <w:rPr>
          <w:rStyle w:val="FootnoteReference"/>
          <w:sz w:val="24"/>
          <w:lang w:val="en-GB"/>
        </w:rPr>
        <w:footnoteRef/>
      </w:r>
      <w:r w:rsidR="00595E95" w:rsidRPr="00E65E37">
        <w:rPr>
          <w:sz w:val="24"/>
          <w:lang w:val="pl-PL"/>
        </w:rPr>
        <w:t xml:space="preserve"> </w:t>
      </w:r>
      <w:r w:rsidR="00595E95" w:rsidRPr="00E65E37">
        <w:rPr>
          <w:sz w:val="24"/>
          <w:lang w:val="pl-PL"/>
        </w:rPr>
        <w:tab/>
      </w:r>
      <w:r w:rsidRPr="00E65E37">
        <w:rPr>
          <w:sz w:val="24"/>
          <w:lang w:val="pl-PL"/>
        </w:rPr>
        <w:t>OJ C 283, 11.8.2023, p. 64.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95E9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95E9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95E9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B10-0004/2024"/>
    <w:docVar w:name="dvlangue" w:val="EN"/>
    <w:docVar w:name="dvnumam" w:val="0"/>
    <w:docVar w:name="dvpe" w:val="762.590"/>
    <w:docVar w:name="dvtitre" w:val="European Parliament decision of xx Xxxx 2024 on the numerical strength of the standing committees(2024/2716(RSO))"/>
  </w:docVars>
  <w:rsids>
    <w:rsidRoot w:val="001A63C3"/>
    <w:rsid w:val="00002272"/>
    <w:rsid w:val="00064002"/>
    <w:rsid w:val="000677B9"/>
    <w:rsid w:val="000831BA"/>
    <w:rsid w:val="000A42CC"/>
    <w:rsid w:val="000E7DD9"/>
    <w:rsid w:val="0010095E"/>
    <w:rsid w:val="00102556"/>
    <w:rsid w:val="00125B37"/>
    <w:rsid w:val="00187494"/>
    <w:rsid w:val="001A63C3"/>
    <w:rsid w:val="001E51BE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5E95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6D6A"/>
    <w:rsid w:val="00A1418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6152"/>
    <w:rsid w:val="00E365E1"/>
    <w:rsid w:val="00E65E3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53A83"/>
  <w15:chartTrackingRefBased/>
  <w15:docId w15:val="{4202B991-4880-4BC2-9B29-A821EA9F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rsid w:val="00102556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A14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14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A9FEE-8979-4B22-942C-8F56B80A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2024-07-17T11:07:00Z</dcterms:created>
  <dcterms:modified xsi:type="dcterms:W3CDTF">2024-07-17T11:07:00Z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B10-0004/2024</vt:lpwstr>
  </property>
  <property fmtid="{D5CDD505-2E9C-101B-9397-08002B2CF9AE}" pid="4" name="&lt;Type&gt;">
    <vt:lpwstr>RR</vt:lpwstr>
  </property>
</Properties>
</file>