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DB6" w:rsidTr="0010095E">
        <w:trPr>
          <w:trHeight w:hRule="exact" w:val="1418"/>
        </w:trPr>
        <w:tc>
          <w:tcPr>
            <w:tcW w:w="6804" w:type="dxa"/>
            <w:shd w:val="clear" w:color="auto" w:fill="auto"/>
            <w:vAlign w:val="center"/>
          </w:tcPr>
          <w:p w:rsidR="00751A4A" w:rsidRPr="00635DB6" w:rsidRDefault="00B1424C" w:rsidP="0010095E">
            <w:pPr>
              <w:pStyle w:val="EPName"/>
            </w:pPr>
            <w:r w:rsidRPr="00635DB6">
              <w:t>Euroopan parlamentti</w:t>
            </w:r>
          </w:p>
          <w:p w:rsidR="00751A4A" w:rsidRPr="00635DB6" w:rsidRDefault="00817416" w:rsidP="008E4E03">
            <w:pPr>
              <w:pStyle w:val="EPTerm"/>
              <w:rPr>
                <w:rStyle w:val="HideTWBExt"/>
                <w:noProof w:val="0"/>
                <w:vanish w:val="0"/>
                <w:color w:val="auto"/>
              </w:rPr>
            </w:pPr>
            <w:r w:rsidRPr="00635DB6">
              <w:t>20</w:t>
            </w:r>
            <w:r w:rsidR="008E4E03">
              <w:t>24</w:t>
            </w:r>
            <w:r w:rsidRPr="00635DB6">
              <w:t>-202</w:t>
            </w:r>
            <w:r w:rsidR="008E4E03">
              <w:t>9</w:t>
            </w:r>
          </w:p>
        </w:tc>
        <w:tc>
          <w:tcPr>
            <w:tcW w:w="2268" w:type="dxa"/>
            <w:shd w:val="clear" w:color="auto" w:fill="auto"/>
          </w:tcPr>
          <w:p w:rsidR="00751A4A" w:rsidRPr="00635DB6" w:rsidRDefault="00187494" w:rsidP="0010095E">
            <w:pPr>
              <w:pStyle w:val="EPLogo"/>
            </w:pPr>
            <w:r w:rsidRPr="00635DB6">
              <w:rPr>
                <w:noProof/>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35DB6" w:rsidRDefault="00D058B8" w:rsidP="004C5D52">
      <w:pPr>
        <w:pStyle w:val="LineTop"/>
      </w:pPr>
    </w:p>
    <w:p w:rsidR="00680577" w:rsidRPr="00635DB6" w:rsidRDefault="00B1424C" w:rsidP="00680577">
      <w:pPr>
        <w:pStyle w:val="EPBodyTA1"/>
      </w:pPr>
      <w:r w:rsidRPr="00635DB6">
        <w:t>HYVÄKSYTYT TEKSTIT</w:t>
      </w:r>
    </w:p>
    <w:p w:rsidR="00D058B8" w:rsidRPr="00635DB6" w:rsidRDefault="00D058B8" w:rsidP="00D058B8">
      <w:pPr>
        <w:pStyle w:val="LineBottom"/>
      </w:pPr>
    </w:p>
    <w:p w:rsidR="00B1424C" w:rsidRPr="00635DB6" w:rsidRDefault="00B1424C" w:rsidP="00B1424C">
      <w:pPr>
        <w:pStyle w:val="ATHeading1"/>
      </w:pPr>
      <w:bookmarkStart w:id="0" w:name="TANumber"/>
      <w:r w:rsidRPr="00635DB6">
        <w:t>P10_TA(2024)000</w:t>
      </w:r>
      <w:r w:rsidR="000E4F3A">
        <w:t>3</w:t>
      </w:r>
      <w:bookmarkEnd w:id="0"/>
    </w:p>
    <w:p w:rsidR="00B1424C" w:rsidRPr="00635DB6" w:rsidRDefault="008E4E03" w:rsidP="00B1424C">
      <w:pPr>
        <w:pStyle w:val="ATHeading2"/>
      </w:pPr>
      <w:bookmarkStart w:id="1" w:name="title"/>
      <w:r>
        <w:t>T</w:t>
      </w:r>
      <w:r w:rsidR="00B1424C" w:rsidRPr="00635DB6">
        <w:t>ar</w:t>
      </w:r>
      <w:r>
        <w:t>ve</w:t>
      </w:r>
      <w:r w:rsidR="00B1424C" w:rsidRPr="00635DB6">
        <w:t xml:space="preserve"> jatkaa EU:n tukea Ukrainalle</w:t>
      </w:r>
      <w:bookmarkEnd w:id="1"/>
    </w:p>
    <w:p w:rsidR="00B1424C" w:rsidRPr="00635DB6" w:rsidRDefault="00B1424C" w:rsidP="00B1424C">
      <w:pPr>
        <w:rPr>
          <w:i/>
          <w:vanish/>
        </w:rPr>
      </w:pPr>
      <w:r w:rsidRPr="00635DB6">
        <w:rPr>
          <w:i/>
        </w:rPr>
        <w:fldChar w:fldCharType="begin"/>
      </w:r>
      <w:r w:rsidRPr="00635DB6">
        <w:rPr>
          <w:i/>
        </w:rPr>
        <w:instrText xml:space="preserve"> TC"(</w:instrText>
      </w:r>
      <w:bookmarkStart w:id="2" w:name="DocNumber"/>
      <w:r w:rsidRPr="00635DB6">
        <w:rPr>
          <w:i/>
        </w:rPr>
        <w:instrText>B10-0007/2024</w:instrText>
      </w:r>
      <w:bookmarkEnd w:id="2"/>
      <w:r w:rsidRPr="00635DB6">
        <w:rPr>
          <w:i/>
        </w:rPr>
        <w:instrText xml:space="preserve">)"\l3 \n&gt; \* MERGEFORMAT </w:instrText>
      </w:r>
      <w:r w:rsidRPr="00635DB6">
        <w:rPr>
          <w:i/>
        </w:rPr>
        <w:fldChar w:fldCharType="end"/>
      </w:r>
    </w:p>
    <w:p w:rsidR="00B1424C" w:rsidRPr="00635DB6" w:rsidRDefault="00B1424C" w:rsidP="00B1424C">
      <w:pPr>
        <w:rPr>
          <w:vanish/>
        </w:rPr>
      </w:pPr>
      <w:bookmarkStart w:id="3" w:name="PE"/>
      <w:r w:rsidRPr="00635DB6">
        <w:rPr>
          <w:vanish/>
        </w:rPr>
        <w:t>PE762.593</w:t>
      </w:r>
      <w:bookmarkEnd w:id="3"/>
    </w:p>
    <w:p w:rsidR="00B1424C" w:rsidRPr="00635DB6" w:rsidRDefault="00B1424C" w:rsidP="00B1424C">
      <w:pPr>
        <w:pStyle w:val="ATHeading3"/>
      </w:pPr>
      <w:bookmarkStart w:id="4" w:name="Sujet"/>
      <w:r w:rsidRPr="00635DB6">
        <w:t>Euroopan parlamentin päätöslauselma 17. heinäkuuta 2024 tarpeesta jatkaa EU:n tukea Ukrainalle</w:t>
      </w:r>
      <w:bookmarkEnd w:id="4"/>
      <w:r w:rsidRPr="00635DB6">
        <w:t xml:space="preserve"> </w:t>
      </w:r>
      <w:bookmarkStart w:id="5" w:name="References"/>
      <w:r w:rsidRPr="00635DB6">
        <w:t>(2024/2721(RSP))</w:t>
      </w:r>
      <w:bookmarkEnd w:id="5"/>
    </w:p>
    <w:p w:rsidR="00941D8A" w:rsidRPr="00635DB6" w:rsidRDefault="00941D8A" w:rsidP="00941D8A">
      <w:pPr>
        <w:pStyle w:val="EPComma"/>
      </w:pPr>
      <w:bookmarkStart w:id="6" w:name="TextBodyBegin"/>
      <w:bookmarkEnd w:id="6"/>
      <w:r w:rsidRPr="00635DB6">
        <w:rPr>
          <w:i/>
        </w:rPr>
        <w:t>Euroopan parlamentti</w:t>
      </w:r>
      <w:r w:rsidRPr="00635DB6">
        <w:t>, joka</w:t>
      </w:r>
    </w:p>
    <w:p w:rsidR="00941D8A" w:rsidRPr="00635DB6" w:rsidRDefault="00941D8A" w:rsidP="00840D85">
      <w:pPr>
        <w:pStyle w:val="NormalHanging12a"/>
        <w:widowControl/>
      </w:pPr>
      <w:r w:rsidRPr="00635DB6">
        <w:t>–</w:t>
      </w:r>
      <w:r w:rsidRPr="00635DB6">
        <w:tab/>
        <w:t xml:space="preserve">ottaa huomioon aiemmat päätöslauselmansa Ukrainasta ja Venäjästä ja erityisesti päätöslauselmansa, jotka on annettu </w:t>
      </w:r>
      <w:r w:rsidR="002921DE">
        <w:t>27</w:t>
      </w:r>
      <w:r w:rsidR="002921DE" w:rsidRPr="00635DB6">
        <w:t xml:space="preserve">. helmikuuta 2014 </w:t>
      </w:r>
      <w:r w:rsidR="002921DE">
        <w:t xml:space="preserve">alkaneen </w:t>
      </w:r>
      <w:r w:rsidRPr="00635DB6">
        <w:t xml:space="preserve">Krimin niemimaan </w:t>
      </w:r>
      <w:r w:rsidR="00C87D38">
        <w:t>miehityksen</w:t>
      </w:r>
      <w:r w:rsidR="00C87D38" w:rsidRPr="00635DB6">
        <w:t xml:space="preserve"> </w:t>
      </w:r>
      <w:r w:rsidRPr="00635DB6">
        <w:t xml:space="preserve">jälkeen ja Venäjän Ukrainaa vastaan käymän sodan </w:t>
      </w:r>
      <w:r w:rsidR="002921DE">
        <w:t xml:space="preserve">24. </w:t>
      </w:r>
      <w:r w:rsidR="002921DE" w:rsidRPr="00635DB6">
        <w:t>helmikuu</w:t>
      </w:r>
      <w:r w:rsidR="002921DE">
        <w:t>ta</w:t>
      </w:r>
      <w:r w:rsidR="002921DE" w:rsidRPr="00635DB6">
        <w:t xml:space="preserve"> 2022</w:t>
      </w:r>
      <w:r w:rsidR="0013528E">
        <w:t xml:space="preserve"> </w:t>
      </w:r>
      <w:r w:rsidRPr="00635DB6">
        <w:t>tapahtuneen kiihtymisen jälkeen,</w:t>
      </w:r>
    </w:p>
    <w:p w:rsidR="00941D8A" w:rsidRPr="00635DB6" w:rsidRDefault="00941D8A" w:rsidP="00840D85">
      <w:pPr>
        <w:pStyle w:val="NormalHanging12a"/>
        <w:widowControl/>
      </w:pPr>
      <w:r w:rsidRPr="00635DB6">
        <w:t>–</w:t>
      </w:r>
      <w:r w:rsidRPr="00635DB6">
        <w:tab/>
        <w:t>ottaa huomioon työjärjestyksen 167 artiklan 2 kohdan,</w:t>
      </w:r>
    </w:p>
    <w:p w:rsidR="00941D8A" w:rsidRPr="00635DB6" w:rsidRDefault="00941D8A" w:rsidP="00840D85">
      <w:pPr>
        <w:pStyle w:val="NormalHanging12a"/>
        <w:widowControl/>
      </w:pPr>
      <w:r w:rsidRPr="00635DB6">
        <w:t>A.</w:t>
      </w:r>
      <w:r w:rsidRPr="00635DB6">
        <w:tab/>
        <w:t>ottaa huomioon, että Venäjä on 24. helmikuuta 2022 lähtien käynyt laitonta, provosoimatonta ja perusteetonta täysimittaista hyökkäyssotaa Ukrainaa vastaan ja jatkanut siten toimintaa, jonka se aloitti vuonna 2014 liittäessään Krimin ja miehittäessään sen jälkeen osia Donetskin ja Luhanskin alueista;</w:t>
      </w:r>
    </w:p>
    <w:p w:rsidR="00941D8A" w:rsidRPr="00635DB6" w:rsidRDefault="00941D8A" w:rsidP="00840D85">
      <w:pPr>
        <w:pStyle w:val="NormalHanging12a"/>
        <w:widowControl/>
        <w:rPr>
          <w:szCs w:val="24"/>
        </w:rPr>
      </w:pPr>
      <w:r w:rsidRPr="00635DB6">
        <w:t>B.</w:t>
      </w:r>
      <w:r w:rsidRPr="00635DB6">
        <w:tab/>
        <w:t>ottaa huomioon, että Ukraina ja sen kansalaiset ovat osoittaneet horjumatonta päättäväisyyttä puolustaessaan menestyksekkäästi maataan mutta maksaneet siitä kovan hinnan siviili- ja sotilasuhrien muodossa; ottaa huomioon, että Venäjä on tahallisesti syyllistynyt laajamittaisiin ja järjestelmällisiin julmuuksiin miehitetyillä alueilla ja kohdistanut hyökkäyksiä summittaisesti asuinalueille ja siviili-infrastruktuuriin, mistä viimeisin esimerkki on Ohmatdytin lastensairaalan pommittaminen; ottaa huomioon, että miljoonat ukrainalaiset ovat edelleen paossa muualla Ukrainassa ja sen ulkopuolella Venäjän hyökkäyksen seurauksena; ottaa huomioon, että tässä Venäjän joukkojen ja sen käyttämien sijaisjoukkojen epäinhimillisessä toiminnassa on kyse sotarikoksista ja rikoksista ihmisyyttä vastaan;</w:t>
      </w:r>
    </w:p>
    <w:p w:rsidR="00941D8A" w:rsidRPr="00635DB6" w:rsidRDefault="00941D8A" w:rsidP="00840D85">
      <w:pPr>
        <w:pStyle w:val="NormalHanging12a"/>
        <w:widowControl/>
        <w:rPr>
          <w:noProof/>
          <w:szCs w:val="24"/>
          <w:shd w:val="clear" w:color="auto" w:fill="FFFFFF"/>
        </w:rPr>
      </w:pPr>
      <w:r w:rsidRPr="00635DB6">
        <w:rPr>
          <w:shd w:val="clear" w:color="auto" w:fill="FFFFFF"/>
        </w:rPr>
        <w:t>C.</w:t>
      </w:r>
      <w:r w:rsidRPr="00635DB6">
        <w:tab/>
        <w:t xml:space="preserve">ottaa huomioon, että EU ja sen jäsenvaltiot ovat tähän mennessä antaneet Ukrainalle noin </w:t>
      </w:r>
      <w:r w:rsidR="00C87D38">
        <w:t>108</w:t>
      </w:r>
      <w:r w:rsidRPr="00635DB6">
        <w:t xml:space="preserve"> miljardin euron verran taloudellista, humanitaarista, sotilaallista ja pakolaisapua, mukaan lukien noin 3</w:t>
      </w:r>
      <w:r w:rsidR="00C87D38">
        <w:t>9</w:t>
      </w:r>
      <w:r w:rsidRPr="00635DB6">
        <w:t xml:space="preserve"> miljardia euroa sotilaallista apua sekä saatujen tietojen mukaan vielä 21 miljardia euroa vuoteen 2025 mennessä;</w:t>
      </w:r>
      <w:r w:rsidRPr="00635DB6">
        <w:rPr>
          <w:shd w:val="clear" w:color="auto" w:fill="FFFFFF"/>
        </w:rPr>
        <w:t xml:space="preserve"> ottaa huomioon, että Ukrainaa tukevassa Euroopan unionin sotilaallisessa avustusoperaatiossa (EUMAM Ukraina) on koulutettu yli 5</w:t>
      </w:r>
      <w:r w:rsidR="00C87D38">
        <w:rPr>
          <w:shd w:val="clear" w:color="auto" w:fill="FFFFFF"/>
        </w:rPr>
        <w:t>5</w:t>
      </w:r>
      <w:r w:rsidRPr="00635DB6">
        <w:rPr>
          <w:shd w:val="clear" w:color="auto" w:fill="FFFFFF"/>
        </w:rPr>
        <w:t xml:space="preserve"> 000 Ukrainan asevoimiin kuuluvaa henkilöä sekä ase- että erikoiskoulutuksen osalta; ottaa huomioon Naton varmistavan, että Ukraina saa vuosittain 40 miljardia </w:t>
      </w:r>
      <w:r w:rsidR="00C87D38">
        <w:rPr>
          <w:shd w:val="clear" w:color="auto" w:fill="FFFFFF"/>
        </w:rPr>
        <w:t>euroa</w:t>
      </w:r>
      <w:r w:rsidRPr="00635DB6">
        <w:rPr>
          <w:shd w:val="clear" w:color="auto" w:fill="FFFFFF"/>
        </w:rPr>
        <w:t xml:space="preserve"> taloudellisena tukena;</w:t>
      </w:r>
    </w:p>
    <w:p w:rsidR="00941D8A" w:rsidRPr="00635DB6" w:rsidRDefault="00941D8A" w:rsidP="00840D85">
      <w:pPr>
        <w:pStyle w:val="NormalHanging12a"/>
        <w:widowControl/>
      </w:pPr>
      <w:r w:rsidRPr="00635DB6">
        <w:lastRenderedPageBreak/>
        <w:t>D.</w:t>
      </w:r>
      <w:r w:rsidRPr="00635DB6">
        <w:tab/>
        <w:t>ottaa huomioon, että EU käynnisti virallisesti liittymisneuvottelut ja järjesti ensimmäiset hallitustenväliset konferenssinsa Ukrainan ja Moldovan kanssa 25. kesäkuuta 2024;</w:t>
      </w:r>
    </w:p>
    <w:p w:rsidR="00941D8A" w:rsidRPr="00635DB6" w:rsidRDefault="00941D8A" w:rsidP="00840D85">
      <w:pPr>
        <w:pStyle w:val="NormalHanging12a"/>
        <w:widowControl/>
      </w:pPr>
      <w:r w:rsidRPr="00635DB6">
        <w:rPr>
          <w:shd w:val="clear" w:color="auto" w:fill="FFFFFF"/>
        </w:rPr>
        <w:t>E</w:t>
      </w:r>
      <w:r w:rsidRPr="00635DB6">
        <w:t>.</w:t>
      </w:r>
      <w:r w:rsidRPr="00635DB6">
        <w:tab/>
        <w:t>ottaa huomioon, että Viktor Orbán teki neuvoston kiertävää puheenjohtajuutta hoitavan Unkarin pääministerinä 5. heinäkuuta 2024 suunnittelemattoman ja yllättävän vierailun Venäjän federaatioon ja 8. heinäkuuta 2024 Kiinan kansantasavaltaan; ottaa huomioon, että yksikään EU:n toimielin tai jäsenvaltiot eivät hyväksyneet näitä kokouksia;</w:t>
      </w:r>
    </w:p>
    <w:p w:rsidR="00941D8A" w:rsidRPr="00635DB6" w:rsidRDefault="00941D8A" w:rsidP="00840D85">
      <w:pPr>
        <w:pStyle w:val="NormalHanging12a"/>
        <w:widowControl/>
      </w:pPr>
      <w:r w:rsidRPr="00635DB6">
        <w:t>1.</w:t>
      </w:r>
      <w:r w:rsidRPr="00635DB6">
        <w:tab/>
        <w:t>vahvistaa kantansa Ukrainan itsenäisyyden, suvereniteetin ja alueellisen koskemattomuuden jatkuvaan tukemiseen sen kansainvälisesti tunnustettujen rajojen sisällä sekä EU:n horjumattomaa</w:t>
      </w:r>
      <w:bookmarkStart w:id="7" w:name="_GoBack"/>
      <w:bookmarkEnd w:id="7"/>
      <w:r w:rsidRPr="00635DB6">
        <w:t>n sitoutumiseen poliittisen, rahoituksellisen, taloudellisen, humanitaarisen, sotilaallisen ja diplomaattisen tuen antamiseen niin kauan kuin se on tarpeen Ukrainan voiton varmistamiseksi; kehottaa EU:ta ja sen jäsenvaltioita työskentelemään aktiivisesti, jotta pidetään jatkossakin kiinni mahdollisimman laajasta kansainvälisestä tuesta Ukrainalle;</w:t>
      </w:r>
    </w:p>
    <w:p w:rsidR="00941D8A" w:rsidRPr="00635DB6" w:rsidRDefault="00941D8A" w:rsidP="00840D85">
      <w:pPr>
        <w:pStyle w:val="NormalHanging12a"/>
        <w:widowControl/>
        <w:rPr>
          <w:szCs w:val="24"/>
        </w:rPr>
      </w:pPr>
      <w:r w:rsidRPr="00635DB6">
        <w:t>2.</w:t>
      </w:r>
      <w:r w:rsidRPr="00635DB6">
        <w:tab/>
        <w:t>muistuttaa, että Ukraina on hyökkäyksen uhri ja sillä on YK:n peruskirjan 51 artiklan mukainen legitiimi oikeus puolustautua; muistuttaa, että EU:n, Yhdysvaltojen ja samanmielisten kumppaneiden antama merkittävä, vaikkakin riittämätön, sotilaallinen apu on suunniteltu siten, että Ukraina voi tehokkaasti puolustautua hyökkäävää valtiota vastaan ja palauttaa täyden määräysvallan koko kansainvälisesti tunnustetulla alueellaan;</w:t>
      </w:r>
    </w:p>
    <w:p w:rsidR="00941D8A" w:rsidRPr="00635DB6" w:rsidRDefault="00941D8A" w:rsidP="00840D85">
      <w:pPr>
        <w:pStyle w:val="NormalHanging12a"/>
        <w:widowControl/>
      </w:pPr>
      <w:r w:rsidRPr="00635DB6">
        <w:t>3.</w:t>
      </w:r>
      <w:r w:rsidRPr="00635DB6">
        <w:tab/>
        <w:t>suhtautuu myönteisesti äskettäin käynnistettyihin EU:n liittymisneuvotteluihin Ukrainan ja Moldovan tasavallan kanssa; katsoo, että niiden vakaa yhdentyminen EU:hun on geostrateginen ja demokraattinen mahdollisuus ja investointi yhtenäiseen ja vahvaan Eurooppaan; muistuttaa, että EU:hun liittyminen on täysin ansioihin perustuva prosessi, joka edellyttää EU:n jäsenyyskriteerien täyttämistä, mukaan lukien demokratiaa, oikeusvaltiota, perusarvoja ja korruption torjuntaa koskevat kriteerit; muistuttaa, että liittymisprosessi edellyttää asianmukaista EU:n taloudellista ja teknistä apua;</w:t>
      </w:r>
    </w:p>
    <w:p w:rsidR="00941D8A" w:rsidRPr="00635DB6" w:rsidRDefault="00941D8A" w:rsidP="00840D85">
      <w:pPr>
        <w:pStyle w:val="NormalHanging12a"/>
        <w:widowControl/>
      </w:pPr>
      <w:r w:rsidRPr="00635DB6">
        <w:t>4.</w:t>
      </w:r>
      <w:r w:rsidRPr="00635DB6">
        <w:tab/>
        <w:t>tuomitsee Unkarin pääministerin Viktor Orbánin äskettäisen vierailun Venäjän federaatioon; korostaa, että vierailun aikana hän ei edustanut EU:ta, ja katsoo, että vierailu rikkoo räikeästi EU:n perussopimuksia ja yhteistä ulkopolitiikkaa, vilpittömän yhteistyön periaate mukaan lukien; korostaa, että Unkarin pääministeri ei voi väittää edustavansa EU:ta, kun hän rikkoo EU:n yhteisiä kantoja; katsoo, että tästä rikkomisesta pitäisi koitua seuraamuksia Unkarille; muistuttaa, että välittömästi Unkarin pääministerin niin sanotun rauhanoperaation jälkeen Venäjä hyökkäsi Ohmatdytin lastensairaalaan Kiovassa ja osoitti, että hänen väitetyt ponnistelunsa, joihin Ukrainan johto on suhtautunut epäilevästi, ovat merkityksettömiä; toistaa tukensa Ukrainan presidentin Volodymyr Zelenskyin esittelemälle rauhansuunnitelmalle; pitää valitettavana, että Unkari on käyttänyt väärin veto-oikeuttaan neuvostossa ja estänyt välttämättömän avun myöntämisen Ukrainalle; kehottaa Unkaria lopettamaan Euroopan rauhanrahastosta Ukrainalle myönnettävän rahoituksen estämisen, mukaan lukien sovitut korvaukset jäsenvaltioille jo annetusta sotilaallisesta avusta;</w:t>
      </w:r>
    </w:p>
    <w:p w:rsidR="00941D8A" w:rsidRPr="00635DB6" w:rsidRDefault="00941D8A" w:rsidP="00840D85">
      <w:pPr>
        <w:pStyle w:val="NormalHanging12a"/>
        <w:widowControl/>
      </w:pPr>
      <w:r w:rsidRPr="00635DB6">
        <w:t>5.</w:t>
      </w:r>
      <w:r w:rsidRPr="00635DB6">
        <w:tab/>
        <w:t xml:space="preserve">muistuttaa, että Venäjän hyökkäyssota Ukrainaa vastaan on osa laajempia tavoitteita, jotka on suunnattu länttä, demokratiaamme ja arvojamme vastaan; suhtautuu myönteisesti Naton huippukokouksen tuloksiin ja toistaa uskovansa, että Ukraina on peruuttamattomalla tiellä kohti Nato-jäsenyyttä; kehottaa EU:ta ja sen jäsenvaltioita lisäämään sotilaallista tukeaan Ukrainalle niin kauan kuin se on tarpeen ja missä tahansa muodossa; toistaa aiemman kantansa, jonka mukaan kaikkien EU:n jäsenvaltioiden ja </w:t>
      </w:r>
      <w:r w:rsidRPr="00635DB6">
        <w:lastRenderedPageBreak/>
        <w:t xml:space="preserve">Naton liittolaisten olisi yhdessä ja erikseen sitouduttava tukemaan Ukrainaa sotilaallisesti vähintään 0,25 prosentilla niiden BKT:stä vuosittain; kehottaa jäsenvaltioita laajentamaan edelleen Ukrainan asevoimien, kuten EUMAM Ukrainan, koulutusoperaatioita niiden operatiivisten valmiuksien lisäämiseksi entisestään; korostaa, että aseiden ja ampumatarvikkeiden riittämättömät tai viivästyneet toimitukset vaarantavat tähän mennessä toteutetut toimet, ja kehottaa siksi jäsenvaltioita lisäämään ja nopeuttamaan merkittävästi sotilaallista tukeaan ja parantamaan sotateollisuudensa valmiuksia; kehottaa painokkaasti poistamaan rajoitukset, jotka koskevat Ukrainaan toimitettujen länsimaisten asejärjestelmien käyttöä Venäjän alueella sijaitsevia sotilaskohteita vastaan; pitää myönteisenä Naton päätöstä vähintään 40 miljardin </w:t>
      </w:r>
      <w:r w:rsidR="00C87D38">
        <w:t>euron</w:t>
      </w:r>
      <w:r w:rsidRPr="00635DB6">
        <w:t xml:space="preserve"> sotilastarvikkeiden takaamisesta lähitulevaisuudessa;</w:t>
      </w:r>
    </w:p>
    <w:p w:rsidR="00941D8A" w:rsidRPr="00635DB6" w:rsidRDefault="00941D8A" w:rsidP="00840D85">
      <w:pPr>
        <w:pStyle w:val="NormalHanging12a"/>
        <w:widowControl/>
      </w:pPr>
      <w:r w:rsidRPr="00635DB6">
        <w:t>6.</w:t>
      </w:r>
      <w:r w:rsidRPr="00635DB6">
        <w:tab/>
        <w:t>tuomitsee äskettäisen barbaarisen hyökkäyksen Ohmatdytin lastensairaalaan Kiovassa; ilmaisee syvän myötätuntonsa uhrien perheille; palauttaa mieliin lasten kidutuksen, raiskaukset ja sieppaukset, jotka on dokumentoitu; kehottaa EU:ta ja sen jäsenvaltioita tukemaan aktiivisesti ponnisteluja, jotta varmistetaan sotarikoksiin syyllistyneiden saattaminen vastuuseen olemassa olevissa kansainvälisissä tuomioistuimissa ja instituutioissa sekä vastuuvelvollisuus hyökkäysrikoksista, muun muassa perustamalla erityinen kansainvälinen tuomioistuin; toteaa jälleen olevansa vakaasti sitä mieltä, että Venäjän on maksettava taloudellisia korvauksia Ukrainassa aiheuttamistaan valtavista vahingoista; suhtautuu näin ollen myönteisesti neuvoston hiljattain tekemään päätökseen Venäjän pysäytetyistä varoista muodostuvien ylimääräisten tuottojen käyttämistä Ukrainan sotatoimien tukemiseen sekä G7-maiden päätökseen tarjota Ukrainalle 50 miljardin Yhdysvaltain dollarin laina, jonka vakuutena ovat Venäjän valtion pysäytetyt varat; kehottaa EU:ta luomaan vankan oikeudellisen järjestelmän EU:n jäädyttämien Venäjän valtion omistamien varojen takavarikoimiseksi;</w:t>
      </w:r>
    </w:p>
    <w:p w:rsidR="00941D8A" w:rsidRPr="00635DB6" w:rsidRDefault="00941D8A" w:rsidP="00840D85">
      <w:pPr>
        <w:pStyle w:val="NormalHanging12a"/>
        <w:widowControl/>
        <w:rPr>
          <w:bCs/>
        </w:rPr>
      </w:pPr>
      <w:r w:rsidRPr="00635DB6">
        <w:t>7.</w:t>
      </w:r>
      <w:r w:rsidRPr="00635DB6">
        <w:tab/>
        <w:t xml:space="preserve">tuomitsee Venäjän EU:hun ja sen jäsenvaltioihin kohdistamat yhä lisääntyvät hybridihyökkäykset, joiden tarkoituksena on heikentää EU:n tukea Ukrainalle, käyttämällä tietojen manipulointia, peiteltyjä horjuttamispyrkimyksiä ja poliittisten vaikuttajien lahjontaa; on tyrmistynyt tiedoista, joiden mukaan Venäjä on suunnitellut murhayritystä eurooppalaisen puolustusalan yhtiön toimitusjohtajaa vastaan; </w:t>
      </w:r>
    </w:p>
    <w:p w:rsidR="00941D8A" w:rsidRPr="00635DB6" w:rsidRDefault="00941D8A" w:rsidP="00840D85">
      <w:pPr>
        <w:pStyle w:val="NormalHanging12a"/>
        <w:widowControl/>
        <w:rPr>
          <w:rStyle w:val="s1"/>
          <w:color w:val="000000"/>
        </w:rPr>
      </w:pPr>
      <w:r w:rsidRPr="00635DB6">
        <w:rPr>
          <w:rStyle w:val="s1"/>
          <w:color w:val="000000"/>
        </w:rPr>
        <w:t>8.</w:t>
      </w:r>
      <w:r w:rsidRPr="00635DB6">
        <w:tab/>
      </w:r>
      <w:r w:rsidRPr="00635DB6">
        <w:rPr>
          <w:rStyle w:val="s1"/>
          <w:color w:val="000000"/>
        </w:rPr>
        <w:t>kehottaa komissiota ehdottamaan pitkän aikavälin rahoitustukea Ukrainan jälleenrakentamiseen äskettäin perustetusta Ukrainan tukivälineestä saatujen kokemusten pohjalta;</w:t>
      </w:r>
    </w:p>
    <w:p w:rsidR="00941D8A" w:rsidRPr="00635DB6" w:rsidRDefault="00941D8A" w:rsidP="00840D85">
      <w:pPr>
        <w:pStyle w:val="NormalHanging12a"/>
        <w:widowControl/>
      </w:pPr>
      <w:r w:rsidRPr="00635DB6">
        <w:t>9.</w:t>
      </w:r>
      <w:r w:rsidRPr="00635DB6">
        <w:rPr>
          <w:rStyle w:val="s1"/>
          <w:color w:val="000000"/>
        </w:rPr>
        <w:tab/>
      </w:r>
      <w:r w:rsidRPr="00635DB6">
        <w:t>kehottaa neuvostoa jatkamaan ja laajentamaan Venäjään ja Valko-Venäjään kohdistuvaa pakotepolitiikkaansa ja seuraamaan, tarkastelemaan ja tehostamaan sen tuloksellisuutta ja vaikutusta; kehottaa neuvostoa torjumaan järjestelmällisesti EU:hun sijoittautuneiden yritysten, kolmansien osapuolten ja kolmansien valtioiden toteuttamaa pakotteiden kiertämistä sekä hyväksymään ja panemaan tiukasti täytäntöön kaikkiin sellaisiin yhteisöihin kohdistuvia rajoittavia toimenpiteitä, jotka helpottavat pakotteiden kiertämistä tai toimittavat Venäjän sotilaskompleksille sotilas- ja kaksikäyttöteknologioita ja -kalustoa;</w:t>
      </w:r>
    </w:p>
    <w:p w:rsidR="00E365E1" w:rsidRPr="00635DB6" w:rsidRDefault="00941D8A" w:rsidP="00840D85">
      <w:pPr>
        <w:widowControl/>
        <w:spacing w:after="240"/>
        <w:ind w:left="567" w:hanging="567"/>
      </w:pPr>
      <w:r w:rsidRPr="00635DB6">
        <w:t>10.</w:t>
      </w:r>
      <w:r w:rsidRPr="00635DB6">
        <w:tab/>
        <w:t xml:space="preserve">kehottaa puhemiestä välittämään tämän päätöslauselman neuvostolle, komissiolle, komission varapuheenjohtajalle / unionin ulkoasioiden ja turvallisuuspolitiikan korkealle edustajalle, jäsenvaltioiden hallituksille ja parlamenteille, Ukrainan presidentille, hallitukselle ja parlamentille, Moldovan hallitukselle ja parlamentille sekä Yhdistyneiden </w:t>
      </w:r>
      <w:r w:rsidR="008E4E03">
        <w:t>k</w:t>
      </w:r>
      <w:r w:rsidRPr="00635DB6">
        <w:t>ansakuntien pääsihteerille ja Venäjän viranomaisille.</w:t>
      </w:r>
      <w:bookmarkStart w:id="8" w:name="TextBodyEnd"/>
      <w:bookmarkEnd w:id="8"/>
    </w:p>
    <w:sectPr w:rsidR="00E365E1" w:rsidRPr="00635DB6" w:rsidSect="00635D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24C" w:rsidRPr="00635DB6" w:rsidRDefault="00B1424C">
      <w:r w:rsidRPr="00635DB6">
        <w:separator/>
      </w:r>
    </w:p>
  </w:endnote>
  <w:endnote w:type="continuationSeparator" w:id="0">
    <w:p w:rsidR="00B1424C" w:rsidRPr="00635DB6" w:rsidRDefault="00B1424C">
      <w:r w:rsidRPr="00635D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24C" w:rsidRPr="00635DB6" w:rsidRDefault="00B1424C">
      <w:r w:rsidRPr="00635DB6">
        <w:separator/>
      </w:r>
    </w:p>
  </w:footnote>
  <w:footnote w:type="continuationSeparator" w:id="0">
    <w:p w:rsidR="00B1424C" w:rsidRPr="00635DB6" w:rsidRDefault="00B1424C">
      <w:r w:rsidRPr="00635DB6">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07/2024"/>
    <w:docVar w:name="dvlangue" w:val="FI"/>
    <w:docVar w:name="dvnumam" w:val="0"/>
    <w:docVar w:name="dvpe" w:val="762.593"/>
    <w:docVar w:name="dvtitre" w:val="Euroopan parlamentin päätöslauselma 17. heinäkuuta 2024 tarpeesta jatkaa EU:n tukea Ukrainalle(2024/2721(RSP))"/>
  </w:docVars>
  <w:rsids>
    <w:rsidRoot w:val="00B1424C"/>
    <w:rsid w:val="00002272"/>
    <w:rsid w:val="00064002"/>
    <w:rsid w:val="000677B9"/>
    <w:rsid w:val="000831BA"/>
    <w:rsid w:val="000A42CC"/>
    <w:rsid w:val="000E4F3A"/>
    <w:rsid w:val="000E7DD9"/>
    <w:rsid w:val="0010095E"/>
    <w:rsid w:val="00125B37"/>
    <w:rsid w:val="0013528E"/>
    <w:rsid w:val="00187494"/>
    <w:rsid w:val="001F32AE"/>
    <w:rsid w:val="002767FF"/>
    <w:rsid w:val="002921DE"/>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5DB6"/>
    <w:rsid w:val="006631B6"/>
    <w:rsid w:val="00680577"/>
    <w:rsid w:val="006F74FA"/>
    <w:rsid w:val="0070003B"/>
    <w:rsid w:val="00731ADD"/>
    <w:rsid w:val="00734777"/>
    <w:rsid w:val="00747932"/>
    <w:rsid w:val="00751A4A"/>
    <w:rsid w:val="00756632"/>
    <w:rsid w:val="00762C74"/>
    <w:rsid w:val="00786EC0"/>
    <w:rsid w:val="007D1690"/>
    <w:rsid w:val="007E22AD"/>
    <w:rsid w:val="00817416"/>
    <w:rsid w:val="00840D85"/>
    <w:rsid w:val="00841A24"/>
    <w:rsid w:val="00842779"/>
    <w:rsid w:val="00865F67"/>
    <w:rsid w:val="00881A7B"/>
    <w:rsid w:val="008840E5"/>
    <w:rsid w:val="00887B3E"/>
    <w:rsid w:val="008C2AC6"/>
    <w:rsid w:val="008E4E03"/>
    <w:rsid w:val="00930C23"/>
    <w:rsid w:val="0093193B"/>
    <w:rsid w:val="00941D8A"/>
    <w:rsid w:val="009509D8"/>
    <w:rsid w:val="00950B64"/>
    <w:rsid w:val="00981893"/>
    <w:rsid w:val="00A1687D"/>
    <w:rsid w:val="00A43E52"/>
    <w:rsid w:val="00A4678D"/>
    <w:rsid w:val="00A778C7"/>
    <w:rsid w:val="00AB441E"/>
    <w:rsid w:val="00AB6293"/>
    <w:rsid w:val="00AE0928"/>
    <w:rsid w:val="00AF3B82"/>
    <w:rsid w:val="00B12E95"/>
    <w:rsid w:val="00B1424C"/>
    <w:rsid w:val="00B22876"/>
    <w:rsid w:val="00B558F0"/>
    <w:rsid w:val="00BD48FE"/>
    <w:rsid w:val="00BD7BD8"/>
    <w:rsid w:val="00BE6ADC"/>
    <w:rsid w:val="00C05BFE"/>
    <w:rsid w:val="00C1288E"/>
    <w:rsid w:val="00C23CD4"/>
    <w:rsid w:val="00C61C0C"/>
    <w:rsid w:val="00C87D38"/>
    <w:rsid w:val="00C941CB"/>
    <w:rsid w:val="00CC2357"/>
    <w:rsid w:val="00CF071A"/>
    <w:rsid w:val="00D058B8"/>
    <w:rsid w:val="00D56C11"/>
    <w:rsid w:val="00D834A0"/>
    <w:rsid w:val="00D872DF"/>
    <w:rsid w:val="00D91E21"/>
    <w:rsid w:val="00DA7FCD"/>
    <w:rsid w:val="00E365E1"/>
    <w:rsid w:val="00E820A4"/>
    <w:rsid w:val="00E9675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E0843F1-E7CB-41E2-ACF0-69084068A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41D8A"/>
    <w:pPr>
      <w:spacing w:before="480" w:after="240"/>
    </w:pPr>
  </w:style>
  <w:style w:type="paragraph" w:customStyle="1" w:styleId="NormalHanging12a">
    <w:name w:val="NormalHanging12a"/>
    <w:basedOn w:val="Normal"/>
    <w:link w:val="NormalHanging12aChar"/>
    <w:rsid w:val="00941D8A"/>
    <w:pPr>
      <w:spacing w:after="240"/>
      <w:ind w:left="567" w:hanging="567"/>
    </w:pPr>
  </w:style>
  <w:style w:type="character" w:customStyle="1" w:styleId="s1">
    <w:name w:val="s1"/>
    <w:basedOn w:val="DefaultParagraphFont"/>
    <w:rsid w:val="00941D8A"/>
  </w:style>
  <w:style w:type="character" w:customStyle="1" w:styleId="NormalHanging12aChar">
    <w:name w:val="NormalHanging12a Char"/>
    <w:basedOn w:val="DefaultParagraphFont"/>
    <w:link w:val="NormalHanging12a"/>
    <w:locked/>
    <w:rsid w:val="00941D8A"/>
    <w:rPr>
      <w:sz w:val="24"/>
      <w:lang w:val="fi-FI"/>
    </w:rPr>
  </w:style>
  <w:style w:type="paragraph" w:styleId="Footer">
    <w:name w:val="footer"/>
    <w:basedOn w:val="Normal"/>
    <w:link w:val="FooterChar"/>
    <w:rsid w:val="00840D85"/>
    <w:pPr>
      <w:tabs>
        <w:tab w:val="center" w:pos="4513"/>
        <w:tab w:val="right" w:pos="9026"/>
      </w:tabs>
    </w:pPr>
  </w:style>
  <w:style w:type="character" w:customStyle="1" w:styleId="FooterChar">
    <w:name w:val="Footer Char"/>
    <w:basedOn w:val="DefaultParagraphFont"/>
    <w:link w:val="Footer"/>
    <w:rsid w:val="00840D8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0215C-021A-4B20-9174-CEE54824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1042</Words>
  <Characters>8703</Characters>
  <Application>Microsoft Office Word</Application>
  <DocSecurity>0</DocSecurity>
  <Lines>72</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2024-07-17T11:52:00Z</dcterms:created>
  <dcterms:modified xsi:type="dcterms:W3CDTF">2024-07-17T11:52:00Z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B10-0007/2024</vt:lpwstr>
  </property>
  <property fmtid="{D5CDD505-2E9C-101B-9397-08002B2CF9AE}" pid="4" name="&lt;Type&gt;">
    <vt:lpwstr>RR</vt:lpwstr>
  </property>
</Properties>
</file>