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C29C5" w:rsidTr="0010095E">
        <w:trPr>
          <w:trHeight w:hRule="exact" w:val="1418"/>
        </w:trPr>
        <w:tc>
          <w:tcPr>
            <w:tcW w:w="6804" w:type="dxa"/>
            <w:shd w:val="clear" w:color="auto" w:fill="auto"/>
            <w:vAlign w:val="center"/>
          </w:tcPr>
          <w:p w:rsidR="00751A4A" w:rsidRPr="006C29C5" w:rsidRDefault="00F62666" w:rsidP="0010095E">
            <w:pPr>
              <w:pStyle w:val="EPName"/>
            </w:pPr>
            <w:r w:rsidRPr="006C29C5">
              <w:t>Europos Parlamentas</w:t>
            </w:r>
          </w:p>
          <w:p w:rsidR="00751A4A" w:rsidRPr="006C29C5" w:rsidRDefault="00817416" w:rsidP="00F77760">
            <w:pPr>
              <w:pStyle w:val="EPTerm"/>
              <w:rPr>
                <w:rStyle w:val="HideTWBExt"/>
                <w:noProof w:val="0"/>
                <w:vanish w:val="0"/>
                <w:color w:val="auto"/>
              </w:rPr>
            </w:pPr>
            <w:r w:rsidRPr="006C29C5">
              <w:t>20</w:t>
            </w:r>
            <w:r w:rsidR="00F77760">
              <w:t>24</w:t>
            </w:r>
            <w:r w:rsidRPr="006C29C5">
              <w:t>-202</w:t>
            </w:r>
            <w:r w:rsidR="00F77760">
              <w:t>9</w:t>
            </w:r>
          </w:p>
        </w:tc>
        <w:tc>
          <w:tcPr>
            <w:tcW w:w="2268" w:type="dxa"/>
            <w:shd w:val="clear" w:color="auto" w:fill="auto"/>
          </w:tcPr>
          <w:p w:rsidR="00751A4A" w:rsidRPr="006C29C5" w:rsidRDefault="00187494" w:rsidP="0010095E">
            <w:pPr>
              <w:pStyle w:val="EPLogo"/>
            </w:pPr>
            <w:r w:rsidRPr="006C29C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C29C5" w:rsidRDefault="00D058B8" w:rsidP="004C5D52">
      <w:pPr>
        <w:pStyle w:val="LineTop"/>
      </w:pPr>
    </w:p>
    <w:p w:rsidR="00680577" w:rsidRPr="006C29C5" w:rsidRDefault="00F62666" w:rsidP="00680577">
      <w:pPr>
        <w:pStyle w:val="EPBodyTA1"/>
      </w:pPr>
      <w:r w:rsidRPr="006C29C5">
        <w:t>PRIIMTI TEKSTAI</w:t>
      </w:r>
    </w:p>
    <w:p w:rsidR="00D058B8" w:rsidRPr="006C29C5" w:rsidRDefault="00D058B8" w:rsidP="00D058B8">
      <w:pPr>
        <w:pStyle w:val="LineBottom"/>
      </w:pPr>
    </w:p>
    <w:p w:rsidR="00F62666" w:rsidRPr="006C29C5" w:rsidRDefault="00F62666" w:rsidP="00F62666">
      <w:pPr>
        <w:pStyle w:val="ATHeading1"/>
      </w:pPr>
      <w:bookmarkStart w:id="0" w:name="TANumber"/>
      <w:r w:rsidRPr="006C29C5">
        <w:t>P10_TA(2024)000</w:t>
      </w:r>
      <w:r w:rsidR="00123F09">
        <w:t>3</w:t>
      </w:r>
      <w:bookmarkEnd w:id="0"/>
    </w:p>
    <w:p w:rsidR="00F62666" w:rsidRPr="006C29C5" w:rsidRDefault="00F62666" w:rsidP="00F62666">
      <w:pPr>
        <w:pStyle w:val="ATHeading2"/>
      </w:pPr>
      <w:bookmarkStart w:id="1" w:name="title"/>
      <w:r w:rsidRPr="006C29C5">
        <w:t>Nuolatinės ES paramos Ukrainai poreikis</w:t>
      </w:r>
      <w:bookmarkEnd w:id="1"/>
    </w:p>
    <w:p w:rsidR="00F62666" w:rsidRPr="006C29C5" w:rsidRDefault="00F62666" w:rsidP="00F62666">
      <w:pPr>
        <w:rPr>
          <w:i/>
          <w:vanish/>
        </w:rPr>
      </w:pPr>
      <w:r w:rsidRPr="006C29C5">
        <w:rPr>
          <w:i/>
        </w:rPr>
        <w:fldChar w:fldCharType="begin"/>
      </w:r>
      <w:r w:rsidRPr="006C29C5">
        <w:rPr>
          <w:i/>
        </w:rPr>
        <w:instrText xml:space="preserve"> TC"(</w:instrText>
      </w:r>
      <w:bookmarkStart w:id="2" w:name="DocNumber"/>
      <w:r w:rsidRPr="006C29C5">
        <w:rPr>
          <w:i/>
        </w:rPr>
        <w:instrText>B10-0007/2024</w:instrText>
      </w:r>
      <w:bookmarkEnd w:id="2"/>
      <w:r w:rsidRPr="006C29C5">
        <w:rPr>
          <w:i/>
        </w:rPr>
        <w:instrText xml:space="preserve">)"\l3 \n&gt; \* MERGEFORMAT </w:instrText>
      </w:r>
      <w:r w:rsidRPr="006C29C5">
        <w:rPr>
          <w:i/>
        </w:rPr>
        <w:fldChar w:fldCharType="end"/>
      </w:r>
    </w:p>
    <w:p w:rsidR="00F62666" w:rsidRPr="006C29C5" w:rsidRDefault="00F62666" w:rsidP="00F62666">
      <w:pPr>
        <w:rPr>
          <w:vanish/>
        </w:rPr>
      </w:pPr>
      <w:bookmarkStart w:id="3" w:name="PE"/>
      <w:r w:rsidRPr="006C29C5">
        <w:rPr>
          <w:vanish/>
        </w:rPr>
        <w:t>PE762.593</w:t>
      </w:r>
      <w:bookmarkEnd w:id="3"/>
    </w:p>
    <w:p w:rsidR="00F62666" w:rsidRPr="006C29C5" w:rsidRDefault="00280EF9" w:rsidP="00F62666">
      <w:pPr>
        <w:pStyle w:val="ATHeading3"/>
      </w:pPr>
      <w:bookmarkStart w:id="4" w:name="Sujet"/>
      <w:r>
        <w:t xml:space="preserve">2024 m. liepos 17 d. </w:t>
      </w:r>
      <w:r w:rsidR="00F62666" w:rsidRPr="006C29C5">
        <w:t>Europos Parlamento rezoliucija dėl nuolatinės ES paramos Ukrainai poreikio</w:t>
      </w:r>
      <w:bookmarkEnd w:id="4"/>
      <w:r w:rsidR="00F62666" w:rsidRPr="006C29C5">
        <w:t xml:space="preserve"> </w:t>
      </w:r>
      <w:bookmarkStart w:id="5" w:name="References"/>
      <w:r w:rsidR="00F62666" w:rsidRPr="006C29C5">
        <w:t>(2024/2721(RSP))</w:t>
      </w:r>
      <w:bookmarkEnd w:id="5"/>
    </w:p>
    <w:p w:rsidR="00280EF9" w:rsidRPr="0022572D" w:rsidRDefault="00280EF9" w:rsidP="00280EF9">
      <w:pPr>
        <w:pStyle w:val="EPComma"/>
      </w:pPr>
      <w:bookmarkStart w:id="6" w:name="TextBodyBegin"/>
      <w:bookmarkStart w:id="7" w:name="_GoBack"/>
      <w:bookmarkEnd w:id="6"/>
      <w:bookmarkEnd w:id="7"/>
      <w:r w:rsidRPr="0022572D">
        <w:rPr>
          <w:i/>
        </w:rPr>
        <w:t>Europos Parlamentas</w:t>
      </w:r>
      <w:r w:rsidRPr="0022572D">
        <w:t>,</w:t>
      </w:r>
    </w:p>
    <w:p w:rsidR="00280EF9" w:rsidRPr="0022572D" w:rsidRDefault="00280EF9" w:rsidP="00280EF9">
      <w:pPr>
        <w:pStyle w:val="NormalHanging12a"/>
      </w:pPr>
      <w:r w:rsidRPr="0022572D">
        <w:t>–</w:t>
      </w:r>
      <w:r w:rsidRPr="0022572D">
        <w:tab/>
        <w:t xml:space="preserve">atsižvelgdamas į savo ankstesnes rezoliucijas dėl Ukrainos ir Rusijos, visų pirma priimtas po to, kai Rusija 2014 m. vasario </w:t>
      </w:r>
      <w:r>
        <w:t>27</w:t>
      </w:r>
      <w:r w:rsidRPr="0022572D">
        <w:t xml:space="preserve"> d. </w:t>
      </w:r>
      <w:r w:rsidR="00EE7104">
        <w:t>pradėjo</w:t>
      </w:r>
      <w:r w:rsidR="00EE7104" w:rsidRPr="0022572D">
        <w:t xml:space="preserve"> </w:t>
      </w:r>
      <w:r w:rsidRPr="0022572D">
        <w:t>Krymo pusiasal</w:t>
      </w:r>
      <w:r w:rsidR="00EE7104">
        <w:t>io okupavimą</w:t>
      </w:r>
      <w:r w:rsidRPr="0022572D">
        <w:t xml:space="preserve">, o 2022 m. vasario </w:t>
      </w:r>
      <w:r>
        <w:t>24 d</w:t>
      </w:r>
      <w:r w:rsidRPr="0022572D">
        <w:t>. eskalavo karą prieš Ukrainą,</w:t>
      </w:r>
    </w:p>
    <w:p w:rsidR="00280EF9" w:rsidRPr="0022572D" w:rsidRDefault="00280EF9" w:rsidP="00280EF9">
      <w:pPr>
        <w:pStyle w:val="NormalHanging12a"/>
      </w:pPr>
      <w:r w:rsidRPr="0022572D">
        <w:t>–</w:t>
      </w:r>
      <w:r w:rsidRPr="0022572D">
        <w:tab/>
        <w:t>atsižvelgdamas į Darbo tvarkos taisyklių 167 straipsnio 2 dalį,</w:t>
      </w:r>
    </w:p>
    <w:p w:rsidR="00280EF9" w:rsidRPr="0022572D" w:rsidRDefault="00280EF9" w:rsidP="00280EF9">
      <w:pPr>
        <w:pStyle w:val="NormalHanging12a"/>
      </w:pPr>
      <w:r w:rsidRPr="0022572D">
        <w:t>A.</w:t>
      </w:r>
      <w:r w:rsidRPr="0022572D">
        <w:tab/>
        <w:t xml:space="preserve">kadangi Rusija nuo 2022 m. vasario 24 d. vykdo neteisėtą, neišprovokuotą ir nepateisinamą plataus masto agresijos karą prieš Ukrainą, tęsdama tai, ką ji pradėjo 2014 m. aneksavusi Krymą ir vėliau okupavusi dalis </w:t>
      </w:r>
      <w:proofErr w:type="spellStart"/>
      <w:r w:rsidRPr="0022572D">
        <w:t>Donecko</w:t>
      </w:r>
      <w:proofErr w:type="spellEnd"/>
      <w:r w:rsidRPr="0022572D">
        <w:t xml:space="preserve"> ir </w:t>
      </w:r>
      <w:proofErr w:type="spellStart"/>
      <w:r w:rsidRPr="0022572D">
        <w:t>Luhansko</w:t>
      </w:r>
      <w:proofErr w:type="spellEnd"/>
      <w:r w:rsidRPr="0022572D">
        <w:t xml:space="preserve"> regionų;</w:t>
      </w:r>
    </w:p>
    <w:p w:rsidR="00280EF9" w:rsidRPr="0022572D" w:rsidRDefault="00280EF9" w:rsidP="00280EF9">
      <w:pPr>
        <w:pStyle w:val="NormalHanging12a"/>
        <w:rPr>
          <w:szCs w:val="24"/>
        </w:rPr>
      </w:pPr>
      <w:r w:rsidRPr="0022572D">
        <w:t>B.</w:t>
      </w:r>
      <w:r w:rsidRPr="0022572D">
        <w:tab/>
        <w:t xml:space="preserve">kadangi Ukraina ir jos piliečiai rodo tvirtą ryžtą sėkmingai gindami savo šalį, nepaisant to, kad tai pareikalavo didelių civilių ir karių aukų; kadangi Rusija tyčia vykdo didelio masto sistemingus </w:t>
      </w:r>
      <w:proofErr w:type="spellStart"/>
      <w:r w:rsidRPr="0022572D">
        <w:t>žiaurumus</w:t>
      </w:r>
      <w:proofErr w:type="spellEnd"/>
      <w:r w:rsidRPr="0022572D">
        <w:t xml:space="preserve"> okupuotose teritorijose, taip pat beatodairiškai puola gyvenamuosius rajonus ir civilinę infrastruktūrą, o naujausias pavyzdys – vaikų ligoninės </w:t>
      </w:r>
      <w:proofErr w:type="spellStart"/>
      <w:r w:rsidRPr="00280EF9">
        <w:t>Ohmatdyt</w:t>
      </w:r>
      <w:proofErr w:type="spellEnd"/>
      <w:r w:rsidRPr="00280EF9">
        <w:t xml:space="preserve"> </w:t>
      </w:r>
      <w:r w:rsidRPr="0022572D">
        <w:t>bombardavimas; kadangi milijonai ukrainiečių, pabėgę nuo Rusijos agresijos, tebėra pabėgėliai Ukrainos viduje arba užsienyje; kadangi šis nežmoniškas Rusijos pajėgų ir jų patikėtinių elgesys yra karo nusikaltimai ir nusikaltimai žmoniškumui;</w:t>
      </w:r>
    </w:p>
    <w:p w:rsidR="00280EF9" w:rsidRPr="0022572D" w:rsidRDefault="00280EF9" w:rsidP="00280EF9">
      <w:pPr>
        <w:pStyle w:val="NormalHanging12a"/>
        <w:rPr>
          <w:noProof/>
          <w:szCs w:val="24"/>
          <w:shd w:val="clear" w:color="auto" w:fill="FFFFFF"/>
        </w:rPr>
      </w:pPr>
      <w:r w:rsidRPr="0022572D">
        <w:rPr>
          <w:shd w:val="clear" w:color="auto" w:fill="FFFFFF"/>
        </w:rPr>
        <w:t>C.</w:t>
      </w:r>
      <w:r w:rsidRPr="0022572D">
        <w:tab/>
        <w:t xml:space="preserve">kadangi ES ir jos valstybės narės iki šiol paskyrė maždaug </w:t>
      </w:r>
      <w:r>
        <w:t>108</w:t>
      </w:r>
      <w:r w:rsidRPr="0022572D">
        <w:t> mlrd. EUR finansinės ir humanitarinės pagalbos, paramos pabėgėliams ir karinės pagalbos Ukrainai, įskaitant maždaug 3</w:t>
      </w:r>
      <w:r>
        <w:t>9</w:t>
      </w:r>
      <w:r w:rsidRPr="0022572D">
        <w:t> mlrd. EUR karinę pagalbą ir papildomus 21 mlrd. EUR, kurie turėtų būti paskirti iki 2025 m.;</w:t>
      </w:r>
      <w:r w:rsidRPr="0022572D">
        <w:rPr>
          <w:shd w:val="clear" w:color="auto" w:fill="FFFFFF"/>
        </w:rPr>
        <w:t xml:space="preserve"> kadangi ES karinė pagalbos misija Ukrainai remti (EUMAM </w:t>
      </w:r>
      <w:proofErr w:type="spellStart"/>
      <w:r w:rsidRPr="0022572D">
        <w:rPr>
          <w:shd w:val="clear" w:color="auto" w:fill="FFFFFF"/>
        </w:rPr>
        <w:t>Ukraine</w:t>
      </w:r>
      <w:proofErr w:type="spellEnd"/>
      <w:r w:rsidRPr="0022572D">
        <w:rPr>
          <w:shd w:val="clear" w:color="auto" w:fill="FFFFFF"/>
        </w:rPr>
        <w:t>) surengė mokymus daugiau kaip 5</w:t>
      </w:r>
      <w:r>
        <w:rPr>
          <w:shd w:val="clear" w:color="auto" w:fill="FFFFFF"/>
        </w:rPr>
        <w:t>5</w:t>
      </w:r>
      <w:r w:rsidRPr="0022572D">
        <w:rPr>
          <w:shd w:val="clear" w:color="auto" w:fill="FFFFFF"/>
        </w:rPr>
        <w:t> 000 Ukrainos ginkluotųjų pajėgų narių (ir bendrųjų pajėgų, ir specializuotuose mokymuose); kadangi NATO pažadėjo Ukrainai užtikrinti kasmetin</w:t>
      </w:r>
      <w:r w:rsidR="00EE7104">
        <w:rPr>
          <w:shd w:val="clear" w:color="auto" w:fill="FFFFFF"/>
        </w:rPr>
        <w:t>į</w:t>
      </w:r>
      <w:r w:rsidRPr="0022572D">
        <w:rPr>
          <w:shd w:val="clear" w:color="auto" w:fill="FFFFFF"/>
        </w:rPr>
        <w:t xml:space="preserve"> 40 mlrd. </w:t>
      </w:r>
      <w:r>
        <w:rPr>
          <w:shd w:val="clear" w:color="auto" w:fill="FFFFFF"/>
        </w:rPr>
        <w:t>EUR</w:t>
      </w:r>
      <w:r w:rsidRPr="0022572D">
        <w:rPr>
          <w:shd w:val="clear" w:color="auto" w:fill="FFFFFF"/>
        </w:rPr>
        <w:t xml:space="preserve"> finansin</w:t>
      </w:r>
      <w:r w:rsidR="00EE7104">
        <w:rPr>
          <w:shd w:val="clear" w:color="auto" w:fill="FFFFFF"/>
        </w:rPr>
        <w:t>į</w:t>
      </w:r>
      <w:r w:rsidRPr="0022572D">
        <w:rPr>
          <w:shd w:val="clear" w:color="auto" w:fill="FFFFFF"/>
        </w:rPr>
        <w:t xml:space="preserve"> </w:t>
      </w:r>
      <w:r w:rsidR="00EE7104">
        <w:rPr>
          <w:shd w:val="clear" w:color="auto" w:fill="FFFFFF"/>
        </w:rPr>
        <w:t>įnašą</w:t>
      </w:r>
      <w:r w:rsidRPr="0022572D">
        <w:rPr>
          <w:shd w:val="clear" w:color="auto" w:fill="FFFFFF"/>
        </w:rPr>
        <w:t>;</w:t>
      </w:r>
    </w:p>
    <w:p w:rsidR="00280EF9" w:rsidRPr="0022572D" w:rsidRDefault="00280EF9" w:rsidP="00280EF9">
      <w:pPr>
        <w:pStyle w:val="NormalHanging12a"/>
      </w:pPr>
      <w:r w:rsidRPr="0022572D">
        <w:t>D.</w:t>
      </w:r>
      <w:r w:rsidRPr="0022572D">
        <w:tab/>
        <w:t>kadangi ES oficialiai pradėjo stojimo derybas ir 2024 m. birželio 25 d. su Ukraina ir Moldova surengė pirmąsias tarpvyriausybines konferencijas;</w:t>
      </w:r>
    </w:p>
    <w:p w:rsidR="00280EF9" w:rsidRPr="0022572D" w:rsidRDefault="00280EF9" w:rsidP="00280EF9">
      <w:pPr>
        <w:pStyle w:val="NormalHanging12a"/>
      </w:pPr>
      <w:r w:rsidRPr="0022572D">
        <w:rPr>
          <w:shd w:val="clear" w:color="auto" w:fill="FFFFFF"/>
        </w:rPr>
        <w:lastRenderedPageBreak/>
        <w:t>E</w:t>
      </w:r>
      <w:r w:rsidRPr="0022572D">
        <w:t>.</w:t>
      </w:r>
      <w:r w:rsidRPr="0022572D">
        <w:tab/>
        <w:t xml:space="preserve">kadangi </w:t>
      </w:r>
      <w:proofErr w:type="spellStart"/>
      <w:r w:rsidRPr="0022572D">
        <w:t>Viktor</w:t>
      </w:r>
      <w:proofErr w:type="spellEnd"/>
      <w:r w:rsidRPr="0022572D">
        <w:t xml:space="preserve"> </w:t>
      </w:r>
      <w:proofErr w:type="spellStart"/>
      <w:r w:rsidRPr="0022572D">
        <w:t>Orbán</w:t>
      </w:r>
      <w:proofErr w:type="spellEnd"/>
      <w:r w:rsidRPr="0022572D">
        <w:t>, rotacijos tvarka Tarybai pirmininkaujančios valstybės, Vengrijos, ministras pirmininkas, surengė nesuderintus ir netikėtus vizitus į Rusijos Federaciją ir Kinijos Liaudies Respubliką atitinkamai 2024 m. liepos 5 d. ir 8 d.; kadangi nė viena ES institucija ar valstybės narės šiems susitikimams nepritarė;</w:t>
      </w:r>
    </w:p>
    <w:p w:rsidR="00280EF9" w:rsidRPr="0022572D" w:rsidRDefault="00280EF9" w:rsidP="00280EF9">
      <w:pPr>
        <w:pStyle w:val="NormalHanging12a"/>
      </w:pPr>
      <w:r w:rsidRPr="0022572D">
        <w:t>1.</w:t>
      </w:r>
      <w:r w:rsidRPr="0022572D">
        <w:tab/>
        <w:t>dar kartą patvirtina savo poziciją dėl tolesnės paramos Ukrainos nepriklausomybei, suverenitetui ir teritoriniam vientisumui, atsižvelgiant į tarptautiniu mastu pripažintas jos sienas, ir tvirtą ES įsipareigojimą teikti politinę, finansinę, ekonominę, humanitarinę, karinę ir diplomatinę paramą tiek, kiek reikės Ukrainos pergalei užtikrinti; ragina ES ir jos valstybes nares aktyviai dirbti siekiant išlaikyti ir užtikrinti kuo platesnę tarptautinę paramą Ukrainai;</w:t>
      </w:r>
    </w:p>
    <w:p w:rsidR="00280EF9" w:rsidRPr="0022572D" w:rsidRDefault="00280EF9" w:rsidP="00280EF9">
      <w:pPr>
        <w:pStyle w:val="NormalHanging12a"/>
        <w:rPr>
          <w:szCs w:val="24"/>
        </w:rPr>
      </w:pPr>
      <w:r w:rsidRPr="0022572D">
        <w:t>2.</w:t>
      </w:r>
      <w:r w:rsidRPr="0022572D">
        <w:tab/>
        <w:t>pakartoja, kad Ukraina, kaip agresijos auka, pagal JT Chartijos 51 straipsnį turi teisėtą teisę gintis; primena, kad didelė, nors vis dar nepakankama, ES, JAV ir bendraminčių partnerių teikiama karinė pagalba yra formuojama taip, kad Ukraina galėtų veiksmingai apsiginti nuo agresorės valstybės ir atkurti visišką visos savo tarptautiniu mastu pripažintos teritorijos kontrolę;</w:t>
      </w:r>
    </w:p>
    <w:p w:rsidR="00280EF9" w:rsidRPr="0022572D" w:rsidRDefault="00280EF9" w:rsidP="00280EF9">
      <w:pPr>
        <w:pStyle w:val="NormalHanging12a"/>
      </w:pPr>
      <w:r w:rsidRPr="0022572D">
        <w:t>3.</w:t>
      </w:r>
      <w:r w:rsidRPr="0022572D">
        <w:tab/>
        <w:t xml:space="preserve">palankiai vertina neseniai pradėtas stojimo į ES derybas su Ukraina ir Moldovos Respublika; mano, kad jų tvirta integracija į ES yra </w:t>
      </w:r>
      <w:proofErr w:type="spellStart"/>
      <w:r w:rsidRPr="0022572D">
        <w:t>geostrateginė</w:t>
      </w:r>
      <w:proofErr w:type="spellEnd"/>
      <w:r w:rsidRPr="0022572D">
        <w:t xml:space="preserve"> ir demokratinė galimybė ir investicija į vieningą ir stiprią Europą; primena, kad stojimas į ES yra griežtai nuopelnais grindžiamas procesas ir kad reikia atitikti narystės ES kriterijus, įskaitant kriterijus tokiose srityse kaip demokratija, teisinė valstybė, pagrindinės vertybės ir kova su korupcija; primena, kad per stojimo procesą prireiks tinkamos ES finansinės ir techninės pagalbos;</w:t>
      </w:r>
    </w:p>
    <w:p w:rsidR="00280EF9" w:rsidRPr="0022572D" w:rsidRDefault="00280EF9" w:rsidP="00280EF9">
      <w:pPr>
        <w:pStyle w:val="NormalHanging12a"/>
      </w:pPr>
      <w:r w:rsidRPr="0022572D">
        <w:t>4.</w:t>
      </w:r>
      <w:r w:rsidRPr="0022572D">
        <w:tab/>
        <w:t xml:space="preserve">smerkia neseniai įvykusį Vengrijos ministro pirmininko Viktoro </w:t>
      </w:r>
      <w:proofErr w:type="spellStart"/>
      <w:r w:rsidRPr="0022572D">
        <w:t>Orbáno</w:t>
      </w:r>
      <w:proofErr w:type="spellEnd"/>
      <w:r w:rsidRPr="0022572D">
        <w:t xml:space="preserve"> vizitą į Rusijos Federaciją; pabrėžia, kad per šį vizitą jis neatstovavo ES, ir mano, kad vizitas akivaizdžiai pažeidžia ES sutartis ir bendrą užsienio politiką, įskaitant lojalaus bendradarbiavimo principą; pabrėžia, kad Vengrijos ministras pirmininkas negali teigti atstovaujantis ES, sykiu prieštaraudamas bendrai ES pozicijai; laikosi nuomonės, kad šis pažeidimas Vengrijai turėtų sukelti pasekmių; primena, kad iškart po vadinamosios Vengrijos ministro pirmininko taikos misijos Rusija </w:t>
      </w:r>
      <w:proofErr w:type="spellStart"/>
      <w:r w:rsidRPr="0022572D">
        <w:t>Kyjive</w:t>
      </w:r>
      <w:proofErr w:type="spellEnd"/>
      <w:r w:rsidRPr="0022572D">
        <w:t xml:space="preserve"> subombardavo vaikų ligoninę </w:t>
      </w:r>
      <w:proofErr w:type="spellStart"/>
      <w:r>
        <w:t>Ohmatdyt</w:t>
      </w:r>
      <w:proofErr w:type="spellEnd"/>
      <w:r w:rsidRPr="0022572D">
        <w:t xml:space="preserve">, o tai rodo, kad jo tariamos pastangos yra nereikšmingos – į jas skeptiškai reagavo ir Ukrainos vadovybė; pakartoja, kad pritaria Ukrainos prezidento </w:t>
      </w:r>
      <w:proofErr w:type="spellStart"/>
      <w:r>
        <w:t>Volodymyro</w:t>
      </w:r>
      <w:proofErr w:type="spellEnd"/>
      <w:r>
        <w:t xml:space="preserve"> </w:t>
      </w:r>
      <w:proofErr w:type="spellStart"/>
      <w:r>
        <w:t>Zelenskio</w:t>
      </w:r>
      <w:proofErr w:type="spellEnd"/>
      <w:r>
        <w:t xml:space="preserve"> pateiktam T</w:t>
      </w:r>
      <w:r w:rsidRPr="0022572D">
        <w:t>aikos planui; apgailestauja dėl to, kad Vengrija piktnaudžiavo veto teise Taryboje, neleisdama suteikti labai svarbios pagalbos Ukrainai; primygtinai ragina Vengriją panaikinti finansavimo Ukrainai pagal Europos taikos priemonę blokadą, įskaitant sutartą jau suteiktos karinės pagalbos kompensavimą valstybėms narėms;</w:t>
      </w:r>
    </w:p>
    <w:p w:rsidR="00280EF9" w:rsidRPr="0022572D" w:rsidRDefault="00280EF9" w:rsidP="00280EF9">
      <w:pPr>
        <w:pStyle w:val="NormalHanging12a"/>
      </w:pPr>
      <w:r w:rsidRPr="0022572D">
        <w:t>5.</w:t>
      </w:r>
      <w:r w:rsidRPr="0022572D">
        <w:tab/>
        <w:t xml:space="preserve">primena, kad Rusijos agresijos karas prieš Ukrainą yra platesnio masto veiksmų prieš Vakarus, mūsų demokratiją ir mūsų vertybes dalis; palankiai vertina NATO aukščiausiojo lygio susitikimo rezultatus ir pakartoja savo įsitikinimą, kad Ukraina eina negrįžtamu keliu narystės NATO link; ragina ES ir jos valstybes nares didinti savo karinę paramą Ukrainai tol, kol reikės, ir tokia forma, kokia reikės; pakartoja savo ankstesnę poziciją, kad visos ES valstybės narės ir NATO sąjungininkės turėtų įsipareigoti kolektyviai ir individualiai kasmet teikti Ukrainai karinę paramą, kuri būtų ne mažesnė kaip 0,25 proc. jų BVP; ragina valstybes nares toliau plėsti Ukrainos ginkluotųjų pajėgų mokymo operacijas, pvz., EUMAM </w:t>
      </w:r>
      <w:proofErr w:type="spellStart"/>
      <w:r w:rsidRPr="0022572D">
        <w:t>Ukraine</w:t>
      </w:r>
      <w:proofErr w:type="spellEnd"/>
      <w:r w:rsidRPr="0022572D">
        <w:t xml:space="preserve">, siekiant toliau didinti jų operatyvinius gebėjimus; pabrėžia, kad dėl nepakankamo ar uždelsto ginklų ir </w:t>
      </w:r>
      <w:r w:rsidRPr="0022572D">
        <w:lastRenderedPageBreak/>
        <w:t xml:space="preserve">šaudmenų tiekimo kyla pavojus, kad sumažės iki šiol įdėtų pastangų poveikis, todėl primygtinai ragina valstybes nares gerokai padidinti ir paspartinti savo karinę paramą ir stiprinti savo karinės pramonės </w:t>
      </w:r>
      <w:proofErr w:type="spellStart"/>
      <w:r w:rsidRPr="0022572D">
        <w:t>pajėgumus</w:t>
      </w:r>
      <w:proofErr w:type="spellEnd"/>
      <w:r w:rsidRPr="0022572D">
        <w:t xml:space="preserve">; tvirtai pritaria tam, kad būtų panaikinti Vakarų ginklų sistemoms, tiekiamoms Ukrainai prieš karinius taikinius Rusijos teritorijoje, taikomi naudojimo apribojimai; palankiai vertina NATO sprendimą artimiausioje ateityje užtikrinti ne mažiau kaip 40 mlrd. </w:t>
      </w:r>
      <w:r>
        <w:t>EUR</w:t>
      </w:r>
      <w:r w:rsidRPr="0022572D">
        <w:t xml:space="preserve"> vertės karinių išteklių tiekimą;</w:t>
      </w:r>
    </w:p>
    <w:p w:rsidR="00280EF9" w:rsidRPr="0022572D" w:rsidRDefault="00280EF9" w:rsidP="00280EF9">
      <w:pPr>
        <w:pStyle w:val="NormalHanging12a"/>
      </w:pPr>
      <w:r w:rsidRPr="0022572D">
        <w:t>6.</w:t>
      </w:r>
      <w:r w:rsidRPr="0022572D">
        <w:tab/>
        <w:t xml:space="preserve">smerkia neseniai </w:t>
      </w:r>
      <w:proofErr w:type="spellStart"/>
      <w:r w:rsidRPr="0022572D">
        <w:t>Kyjive</w:t>
      </w:r>
      <w:proofErr w:type="spellEnd"/>
      <w:r w:rsidRPr="0022572D">
        <w:t xml:space="preserve"> įvykdytą vaikų ligoninės </w:t>
      </w:r>
      <w:proofErr w:type="spellStart"/>
      <w:r w:rsidRPr="00280EF9">
        <w:t>Ohmatdyt</w:t>
      </w:r>
      <w:proofErr w:type="spellEnd"/>
      <w:r w:rsidRPr="00280EF9">
        <w:t xml:space="preserve"> </w:t>
      </w:r>
      <w:r w:rsidRPr="0022572D">
        <w:t xml:space="preserve">subombardavimą; reiškia visišką solidarumą su aukų šeimomis ir gilią užuojautą joms; primena dokumentais pagrįstus kankinimo, išžaginimo ir vaikų grobimo atvejus; ragina ES ir jos valstybes nares aktyviai remti pastangas, siekiant užtikrinti atskaitomybę už karo nusikaltimus esamuose tarptautiniuose teismuose ir institucijose, taip pat už agresijos nusikaltimą, be kita ko, įsteigiant specialų tarptautinį tribunolą; pakartoja savo tvirtą įsitikinimą, kad Rusija turi suteikti finansinę kompensaciją už didžiulę žalą, kurią ji padarė Ukrainai; atsižvelgdamas į tai, palankiai vertina neseniai priimtą Tarybos sprendimą panaudoti ypatingąsias pajamas, gaunamas </w:t>
      </w:r>
      <w:proofErr w:type="spellStart"/>
      <w:r w:rsidRPr="0022572D">
        <w:t>imobilizavus</w:t>
      </w:r>
      <w:proofErr w:type="spellEnd"/>
      <w:r w:rsidRPr="0022572D">
        <w:t xml:space="preserve"> Rusijos valstybės turtą, Ukrainos karo pastangoms remti, taip pat G7 sprendimą pasiūlyti Ukrainai 50 mlrd. JAV dolerių paskolą, užtikrintą </w:t>
      </w:r>
      <w:proofErr w:type="spellStart"/>
      <w:r w:rsidRPr="0022572D">
        <w:t>imobilizuotu</w:t>
      </w:r>
      <w:proofErr w:type="spellEnd"/>
      <w:r w:rsidRPr="0022572D">
        <w:t xml:space="preserve"> Rusijos valstybės turtu; ragina ES nustatyti patikimą teisinį režimą, pagal kurį būtų galima konfiskuoti ES įšaldytą Rusijos valstybinį turtą;</w:t>
      </w:r>
    </w:p>
    <w:p w:rsidR="00280EF9" w:rsidRPr="0022572D" w:rsidRDefault="00280EF9" w:rsidP="00280EF9">
      <w:pPr>
        <w:pStyle w:val="NormalHanging12a"/>
        <w:rPr>
          <w:bCs/>
        </w:rPr>
      </w:pPr>
      <w:r w:rsidRPr="0022572D">
        <w:t>7.</w:t>
      </w:r>
      <w:r w:rsidRPr="0022572D">
        <w:tab/>
        <w:t xml:space="preserve">smerkia tai, kad Rusija, naudodamasi manipuliavimo informacija, slaptais bandymais destabilizuoti padėtį ir politinių veikėjų korupcija, vis dažniau vykdo hibridinius išpuolius prieš ES ir jos valstybes nares, siekdama </w:t>
      </w:r>
      <w:proofErr w:type="spellStart"/>
      <w:r w:rsidRPr="0022572D">
        <w:t>susilpninti</w:t>
      </w:r>
      <w:proofErr w:type="spellEnd"/>
      <w:r w:rsidRPr="0022572D">
        <w:t xml:space="preserve"> Europos paramą Ukrainai; yra pasibaisėjęs pranešimais, kad Rusija planavo pasikėsinimą nužudyti Europos gynybos bendrovės generalinį direktorių; </w:t>
      </w:r>
    </w:p>
    <w:p w:rsidR="00280EF9" w:rsidRPr="0022572D" w:rsidRDefault="00280EF9" w:rsidP="00280EF9">
      <w:pPr>
        <w:pStyle w:val="NormalHanging12a"/>
        <w:rPr>
          <w:rStyle w:val="s1"/>
          <w:color w:val="000000"/>
        </w:rPr>
      </w:pPr>
      <w:r w:rsidRPr="0022572D">
        <w:rPr>
          <w:rStyle w:val="s1"/>
          <w:color w:val="000000"/>
        </w:rPr>
        <w:t>8.</w:t>
      </w:r>
      <w:r w:rsidRPr="0022572D">
        <w:tab/>
      </w:r>
      <w:r w:rsidRPr="0022572D">
        <w:rPr>
          <w:rStyle w:val="s1"/>
          <w:color w:val="000000"/>
        </w:rPr>
        <w:t>ragina Komisiją pasiūlyti ilgalaikę finansinę paramą Ukrainai atstatyti, remiantis patirtimi, įgyta įgyvendinant naujai sukurtą Ukrainos priemonę;</w:t>
      </w:r>
    </w:p>
    <w:p w:rsidR="00280EF9" w:rsidRPr="0022572D" w:rsidRDefault="00280EF9" w:rsidP="00280EF9">
      <w:pPr>
        <w:pStyle w:val="NormalHanging12a"/>
      </w:pPr>
      <w:r w:rsidRPr="0022572D">
        <w:t>9.</w:t>
      </w:r>
      <w:r w:rsidRPr="0022572D">
        <w:rPr>
          <w:rStyle w:val="s1"/>
          <w:color w:val="000000"/>
        </w:rPr>
        <w:tab/>
      </w:r>
      <w:r w:rsidRPr="0022572D">
        <w:t>ragina Tarybą toliau vykdyti savo sankcijų Rusijai ir Baltarusijai politiką ir ją išplėsti, kartu stebint, peržiūrint ir didinant jos veiksmingumą ir poveikį; ragina Tarybą sistemingai spręsti sankcijų vengimo iš ES įsisteigusių įmonių, trečiųjų šalių ir trečiųjų valstybių pusės klausimą ir priimti bei griežtai įgyvendinti ribojamąsias priemones prieš visus subjektus, kurie sudaro palankesnes sąlygas vengti sankcijų ir aprūpina Rusijos karinį kompleksą karinėmis ir dvejopo naudojimo technologijomis ir įranga;</w:t>
      </w:r>
    </w:p>
    <w:p w:rsidR="00E365E1" w:rsidRPr="006C29C5" w:rsidRDefault="00280EF9" w:rsidP="00280EF9">
      <w:pPr>
        <w:pStyle w:val="NormalHanging12a"/>
      </w:pPr>
      <w:r w:rsidRPr="0022572D">
        <w:t>10.</w:t>
      </w:r>
      <w:r w:rsidRPr="0022572D">
        <w:tab/>
        <w:t>paveda Pirmininkei perduoti šią rezoliuciją Tarybai, Komisijai, Komisijos pirmininko pavaduotojai ir Sąjungos vyriausiajai įgaliotinei užsienio reikalams ir saugumo politikai, valstybių narių vyriausybėms ir parlamentams, Ukrainos prezidentui, vyriausybei ir Aukščiausiajai Radai, Moldovos prezidentui, vyriausybei ir parlamentui, Jungtinių Tautų generaliniam sekretoriui ir Rusijos valdžios institucijoms.</w:t>
      </w:r>
      <w:bookmarkStart w:id="8" w:name="TextBodyEnd"/>
      <w:bookmarkEnd w:id="8"/>
    </w:p>
    <w:sectPr w:rsidR="00E365E1" w:rsidRPr="006C29C5" w:rsidSect="006C29C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62666" w:rsidRPr="006C29C5" w:rsidRDefault="00F62666">
      <w:r w:rsidRPr="006C29C5">
        <w:separator/>
      </w:r>
    </w:p>
  </w:endnote>
  <w:endnote w:type="continuationSeparator" w:id="0">
    <w:p w:rsidR="00F62666" w:rsidRPr="006C29C5" w:rsidRDefault="00F62666">
      <w:r w:rsidRPr="006C29C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C29C5"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C29C5"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C29C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62666" w:rsidRPr="006C29C5" w:rsidRDefault="00F62666">
      <w:r w:rsidRPr="006C29C5">
        <w:separator/>
      </w:r>
    </w:p>
  </w:footnote>
  <w:footnote w:type="continuationSeparator" w:id="0">
    <w:p w:rsidR="00F62666" w:rsidRPr="006C29C5" w:rsidRDefault="00F62666">
      <w:r w:rsidRPr="006C29C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C29C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C29C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C29C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007/2024"/>
    <w:docVar w:name="dvlangue" w:val="LT"/>
    <w:docVar w:name="dvnumam" w:val="0"/>
    <w:docVar w:name="dvpe" w:val="762.593"/>
    <w:docVar w:name="dvtitre" w:val="Europos Parlamento rezoliucija dėl nuolatinės ES paramos Ukrainai poreikio(2024/2721(RSP))"/>
  </w:docVars>
  <w:rsids>
    <w:rsidRoot w:val="00F62666"/>
    <w:rsid w:val="00002272"/>
    <w:rsid w:val="00041B38"/>
    <w:rsid w:val="00064002"/>
    <w:rsid w:val="000677B9"/>
    <w:rsid w:val="000831BA"/>
    <w:rsid w:val="000A42CC"/>
    <w:rsid w:val="000E7DD9"/>
    <w:rsid w:val="000F0501"/>
    <w:rsid w:val="0010095E"/>
    <w:rsid w:val="00123F09"/>
    <w:rsid w:val="00125B37"/>
    <w:rsid w:val="00187494"/>
    <w:rsid w:val="001F32AE"/>
    <w:rsid w:val="002767FF"/>
    <w:rsid w:val="00280EF9"/>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C29C5"/>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EE7104"/>
    <w:rsid w:val="00F04346"/>
    <w:rsid w:val="00F075DC"/>
    <w:rsid w:val="00F149E9"/>
    <w:rsid w:val="00F5134D"/>
    <w:rsid w:val="00F62666"/>
    <w:rsid w:val="00F74202"/>
    <w:rsid w:val="00F77760"/>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E29FCF5C-877E-4C57-9C31-F5F63F4DB8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0F0501"/>
    <w:pPr>
      <w:spacing w:before="480" w:after="240"/>
    </w:pPr>
  </w:style>
  <w:style w:type="paragraph" w:customStyle="1" w:styleId="NormalHanging12a">
    <w:name w:val="NormalHanging12a"/>
    <w:basedOn w:val="Normal"/>
    <w:link w:val="NormalHanging12aChar"/>
    <w:rsid w:val="000F0501"/>
    <w:pPr>
      <w:spacing w:after="240"/>
      <w:ind w:left="567" w:hanging="567"/>
    </w:pPr>
  </w:style>
  <w:style w:type="character" w:customStyle="1" w:styleId="s1">
    <w:name w:val="s1"/>
    <w:basedOn w:val="DefaultParagraphFont"/>
    <w:rsid w:val="000F0501"/>
  </w:style>
  <w:style w:type="character" w:customStyle="1" w:styleId="NormalHanging12aChar">
    <w:name w:val="NormalHanging12a Char"/>
    <w:basedOn w:val="DefaultParagraphFont"/>
    <w:link w:val="NormalHanging12a"/>
    <w:locked/>
    <w:rsid w:val="000F0501"/>
    <w:rPr>
      <w:sz w:val="24"/>
      <w:lang w:val="lt-LT"/>
    </w:rPr>
  </w:style>
  <w:style w:type="paragraph" w:styleId="BalloonText">
    <w:name w:val="Balloon Text"/>
    <w:basedOn w:val="Normal"/>
    <w:link w:val="BalloonTextChar"/>
    <w:rsid w:val="00280EF9"/>
    <w:rPr>
      <w:rFonts w:ascii="Segoe UI" w:hAnsi="Segoe UI" w:cs="Segoe UI"/>
      <w:sz w:val="18"/>
      <w:szCs w:val="18"/>
    </w:rPr>
  </w:style>
  <w:style w:type="character" w:customStyle="1" w:styleId="BalloonTextChar">
    <w:name w:val="Balloon Text Char"/>
    <w:basedOn w:val="DefaultParagraphFont"/>
    <w:link w:val="BalloonText"/>
    <w:rsid w:val="00280EF9"/>
    <w:rPr>
      <w:rFonts w:ascii="Segoe UI" w:hAnsi="Segoe UI" w:cs="Segoe UI"/>
      <w:sz w:val="18"/>
      <w:szCs w:val="18"/>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88109C-9E02-43A8-BDCD-B48FF6259E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1145</Words>
  <Characters>7649</Characters>
  <Application>Microsoft Office Word</Application>
  <DocSecurity>4</DocSecurity>
  <Lines>63</Lines>
  <Paragraphs>17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GIRGINOV Kiril</cp:lastModifiedBy>
  <cp:revision>2</cp:revision>
  <cp:lastPrinted>2004-11-19T15:42:00Z</cp:lastPrinted>
  <dcterms:created xsi:type="dcterms:W3CDTF">2024-09-30T13:27:00Z</dcterms:created>
  <dcterms:modified xsi:type="dcterms:W3CDTF">2024-09-30T13:27:00Z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B10-0007/2024</vt:lpwstr>
  </property>
  <property fmtid="{D5CDD505-2E9C-101B-9397-08002B2CF9AE}" pid="4" name="&lt;Type&gt;">
    <vt:lpwstr>RR</vt:lpwstr>
  </property>
</Properties>
</file>