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8057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80571" w:rsidRDefault="00E616FB" w:rsidP="0010095E">
            <w:pPr>
              <w:pStyle w:val="EPName"/>
            </w:pPr>
            <w:r w:rsidRPr="00A80571">
              <w:t>Parlamento Europeu</w:t>
            </w:r>
          </w:p>
          <w:p w:rsidR="00751A4A" w:rsidRPr="00A8057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80571">
              <w:t>20</w:t>
            </w:r>
            <w:r w:rsidR="00E01BDD">
              <w:t>24</w:t>
            </w:r>
            <w:r w:rsidRPr="00A80571">
              <w:t>-202</w:t>
            </w:r>
            <w:r w:rsidR="00E01BD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80571" w:rsidRDefault="00187494" w:rsidP="0010095E">
            <w:pPr>
              <w:pStyle w:val="EPLogo"/>
            </w:pPr>
            <w:r w:rsidRPr="00A8057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80571" w:rsidRDefault="00D058B8" w:rsidP="004C5D52">
      <w:pPr>
        <w:pStyle w:val="LineTop"/>
      </w:pPr>
    </w:p>
    <w:p w:rsidR="00680577" w:rsidRPr="00A80571" w:rsidRDefault="00E616FB" w:rsidP="00680577">
      <w:pPr>
        <w:pStyle w:val="EPBodyTA1"/>
      </w:pPr>
      <w:r w:rsidRPr="00A80571">
        <w:t>TEXTOS APROVADOS</w:t>
      </w:r>
    </w:p>
    <w:p w:rsidR="00D058B8" w:rsidRPr="00A80571" w:rsidRDefault="00D058B8" w:rsidP="00D058B8">
      <w:pPr>
        <w:pStyle w:val="LineBottom"/>
      </w:pPr>
    </w:p>
    <w:p w:rsidR="00E616FB" w:rsidRPr="00A80571" w:rsidRDefault="00E616FB" w:rsidP="00E616FB">
      <w:pPr>
        <w:pStyle w:val="ATHeading1"/>
      </w:pPr>
      <w:bookmarkStart w:id="0" w:name="TANumber"/>
      <w:r w:rsidRPr="00A80571">
        <w:t>P10_TA(2024)000</w:t>
      </w:r>
      <w:bookmarkEnd w:id="0"/>
      <w:r w:rsidR="00F2267A">
        <w:t>3</w:t>
      </w:r>
      <w:bookmarkStart w:id="1" w:name="_GoBack"/>
      <w:bookmarkEnd w:id="1"/>
    </w:p>
    <w:p w:rsidR="00E616FB" w:rsidRPr="00A80571" w:rsidRDefault="00E616FB" w:rsidP="00E616FB">
      <w:pPr>
        <w:pStyle w:val="ATHeading2"/>
      </w:pPr>
      <w:bookmarkStart w:id="2" w:name="title"/>
      <w:r w:rsidRPr="00A80571">
        <w:t>A necessidade de a UE apoiar continuamente a Ucrânia</w:t>
      </w:r>
      <w:bookmarkEnd w:id="2"/>
    </w:p>
    <w:p w:rsidR="00E616FB" w:rsidRPr="00A80571" w:rsidRDefault="00E616FB" w:rsidP="00E616FB">
      <w:pPr>
        <w:rPr>
          <w:i/>
          <w:vanish/>
        </w:rPr>
      </w:pPr>
      <w:r w:rsidRPr="00A80571">
        <w:rPr>
          <w:i/>
        </w:rPr>
        <w:fldChar w:fldCharType="begin"/>
      </w:r>
      <w:r w:rsidRPr="00A80571">
        <w:rPr>
          <w:i/>
        </w:rPr>
        <w:instrText xml:space="preserve"> TC"(</w:instrText>
      </w:r>
      <w:bookmarkStart w:id="3" w:name="DocNumber"/>
      <w:r w:rsidRPr="00A80571">
        <w:rPr>
          <w:i/>
        </w:rPr>
        <w:instrText>B10-0007/2024</w:instrText>
      </w:r>
      <w:bookmarkEnd w:id="3"/>
      <w:r w:rsidRPr="00A80571">
        <w:rPr>
          <w:i/>
        </w:rPr>
        <w:instrText xml:space="preserve">)"\l3 \n&gt; \* MERGEFORMAT </w:instrText>
      </w:r>
      <w:r w:rsidRPr="00A80571">
        <w:rPr>
          <w:i/>
        </w:rPr>
        <w:fldChar w:fldCharType="end"/>
      </w:r>
    </w:p>
    <w:p w:rsidR="00E616FB" w:rsidRPr="00A80571" w:rsidRDefault="00E616FB" w:rsidP="00E616FB">
      <w:pPr>
        <w:rPr>
          <w:vanish/>
        </w:rPr>
      </w:pPr>
      <w:bookmarkStart w:id="4" w:name="PE"/>
      <w:r w:rsidRPr="00A80571">
        <w:rPr>
          <w:vanish/>
        </w:rPr>
        <w:t>PE762.593</w:t>
      </w:r>
      <w:bookmarkEnd w:id="4"/>
    </w:p>
    <w:p w:rsidR="00E616FB" w:rsidRPr="00A80571" w:rsidRDefault="00E616FB" w:rsidP="00E616FB">
      <w:pPr>
        <w:pStyle w:val="ATHeading3"/>
      </w:pPr>
      <w:bookmarkStart w:id="5" w:name="Sujet"/>
      <w:r w:rsidRPr="00A80571">
        <w:t xml:space="preserve">Resolução do Parlamento Europeu, de </w:t>
      </w:r>
      <w:r w:rsidR="00A80571">
        <w:t>17</w:t>
      </w:r>
      <w:r w:rsidRPr="00A80571">
        <w:t xml:space="preserve"> de </w:t>
      </w:r>
      <w:r w:rsidR="00A80571">
        <w:t>julho</w:t>
      </w:r>
      <w:r w:rsidRPr="00A80571">
        <w:t xml:space="preserve"> de 2024, sobre a necessidade de a UE apoiar continuamente a Ucrânia</w:t>
      </w:r>
      <w:bookmarkEnd w:id="5"/>
      <w:r w:rsidRPr="00A80571">
        <w:t xml:space="preserve"> </w:t>
      </w:r>
      <w:bookmarkStart w:id="6" w:name="References"/>
      <w:r w:rsidRPr="00A80571">
        <w:t>(2024/2721(RSP))</w:t>
      </w:r>
      <w:bookmarkEnd w:id="6"/>
    </w:p>
    <w:p w:rsidR="000B119F" w:rsidRPr="00A80571" w:rsidRDefault="000B119F" w:rsidP="000B119F">
      <w:pPr>
        <w:pStyle w:val="EPComma"/>
      </w:pPr>
      <w:bookmarkStart w:id="7" w:name="TextBodyBegin"/>
      <w:bookmarkEnd w:id="7"/>
      <w:r w:rsidRPr="00A80571">
        <w:rPr>
          <w:i/>
          <w:iCs/>
        </w:rPr>
        <w:t>O Parlamento Europeu</w:t>
      </w:r>
      <w:r w:rsidRPr="00A80571">
        <w:t>,</w:t>
      </w:r>
    </w:p>
    <w:p w:rsidR="000B119F" w:rsidRPr="00A80571" w:rsidRDefault="000B119F" w:rsidP="000B119F">
      <w:pPr>
        <w:pStyle w:val="NormalHanging12a"/>
      </w:pPr>
      <w:r w:rsidRPr="00A80571">
        <w:t>–</w:t>
      </w:r>
      <w:r w:rsidRPr="00A80571">
        <w:tab/>
        <w:t xml:space="preserve">Tendo em conta as suas anteriores resoluções sobre a Ucrânia e a Rússia, em especial desde </w:t>
      </w:r>
      <w:r w:rsidR="00635101">
        <w:t>o início d</w:t>
      </w:r>
      <w:r w:rsidRPr="00A80571">
        <w:t xml:space="preserve">a </w:t>
      </w:r>
      <w:r w:rsidR="00635101">
        <w:t xml:space="preserve">ocupação </w:t>
      </w:r>
      <w:r w:rsidRPr="00A80571">
        <w:t xml:space="preserve">da península da Crimeia, em </w:t>
      </w:r>
      <w:r w:rsidR="00635101">
        <w:t>27</w:t>
      </w:r>
      <w:r w:rsidRPr="00A80571">
        <w:t xml:space="preserve"> de fevereiro de 2014, e a escalada da guerra levada a cabo pela Rússia contra a Ucrânia </w:t>
      </w:r>
      <w:r w:rsidR="00635101">
        <w:t>desde 24 de</w:t>
      </w:r>
      <w:r w:rsidRPr="00A80571">
        <w:t xml:space="preserve"> fevereiro de 2022,</w:t>
      </w:r>
    </w:p>
    <w:p w:rsidR="000B119F" w:rsidRPr="00A80571" w:rsidRDefault="000B119F" w:rsidP="000B119F">
      <w:pPr>
        <w:pStyle w:val="NormalHanging12a"/>
      </w:pPr>
      <w:r w:rsidRPr="00A80571">
        <w:t>–</w:t>
      </w:r>
      <w:r w:rsidRPr="00A80571">
        <w:tab/>
        <w:t>Tendo em conta o artigo 167.º, n.º 2, do seu Regimento,</w:t>
      </w:r>
    </w:p>
    <w:p w:rsidR="000B119F" w:rsidRPr="00A80571" w:rsidRDefault="000B119F" w:rsidP="000B119F">
      <w:pPr>
        <w:pStyle w:val="NormalHanging12a"/>
      </w:pPr>
      <w:r w:rsidRPr="00A80571">
        <w:t>A.</w:t>
      </w:r>
      <w:r w:rsidRPr="00A80571">
        <w:tab/>
        <w:t xml:space="preserve">Considerando que a Rússia tem vindo a levar a cabo uma guerra de agressão ilegal, não provocada e injustificada em grande escala contra a Ucrânia desde 24 de fevereiro de 2022, prosseguindo o que começou em 2014 com a anexação da Crimeia e a subsequente ocupação de partes das regiões de Donetsk e </w:t>
      </w:r>
      <w:proofErr w:type="spellStart"/>
      <w:r w:rsidRPr="00A80571">
        <w:t>Lugansk</w:t>
      </w:r>
      <w:proofErr w:type="spellEnd"/>
      <w:r w:rsidRPr="00A80571">
        <w:t>;</w:t>
      </w:r>
    </w:p>
    <w:p w:rsidR="000B119F" w:rsidRPr="00A80571" w:rsidRDefault="000B119F" w:rsidP="000B119F">
      <w:pPr>
        <w:pStyle w:val="NormalHanging12a"/>
        <w:rPr>
          <w:szCs w:val="24"/>
        </w:rPr>
      </w:pPr>
      <w:r w:rsidRPr="00A80571">
        <w:t>B.</w:t>
      </w:r>
      <w:r w:rsidRPr="00A80571">
        <w:tab/>
        <w:t>Considerando que a Ucrânia e os seus cidadãos têm demonstrado uma inabalável determinação em defender com êxito o seu país, apesar do elevado custo em vítimas civis e militares</w:t>
      </w:r>
      <w:r w:rsidR="0098390B">
        <w:t>; considerando que</w:t>
      </w:r>
      <w:r w:rsidRPr="00A80571">
        <w:t xml:space="preserve"> a Rússia tem cometido intencionalmente atrocidades sistemáticas e em grande escala nos territórios ocupados e atacado indiscriminadamente zonas residenciais e infraestruturas civis, sendo o exemplo mais recente o bombardeamento do hospital pediátrico </w:t>
      </w:r>
      <w:proofErr w:type="spellStart"/>
      <w:r w:rsidR="00635101" w:rsidRPr="00635101">
        <w:t>Ohmatdyt</w:t>
      </w:r>
      <w:proofErr w:type="spellEnd"/>
      <w:r w:rsidR="0098390B">
        <w:t>; considerando que</w:t>
      </w:r>
      <w:r w:rsidRPr="00A80571">
        <w:t xml:space="preserve"> continuam deslocados milhões de ucranianos dentro e fora da Ucrânia, em fuga da agressão da Rússia</w:t>
      </w:r>
      <w:r w:rsidR="0098390B">
        <w:t>; considerando que</w:t>
      </w:r>
      <w:r w:rsidRPr="00A80571">
        <w:t xml:space="preserve"> esta conduta desumana das forças russas e das suas forças interpostas constitui crimes de guerra e crimes contra a humanidade;</w:t>
      </w:r>
    </w:p>
    <w:p w:rsidR="000B119F" w:rsidRPr="00A80571" w:rsidRDefault="000B119F" w:rsidP="000B119F">
      <w:pPr>
        <w:pStyle w:val="NormalHanging12a"/>
        <w:rPr>
          <w:noProof/>
          <w:szCs w:val="24"/>
          <w:shd w:val="clear" w:color="auto" w:fill="FFFFFF"/>
        </w:rPr>
      </w:pPr>
      <w:r w:rsidRPr="00A80571">
        <w:rPr>
          <w:shd w:val="clear" w:color="auto" w:fill="FFFFFF"/>
        </w:rPr>
        <w:t>C.</w:t>
      </w:r>
      <w:r w:rsidRPr="00A80571">
        <w:tab/>
      </w:r>
      <w:r w:rsidRPr="00A80571">
        <w:rPr>
          <w:shd w:val="clear" w:color="auto" w:fill="FFFFFF"/>
        </w:rPr>
        <w:t>Considerando que, até à data, a UE e os seus Estados</w:t>
      </w:r>
      <w:r w:rsidRPr="00A80571">
        <w:rPr>
          <w:shd w:val="clear" w:color="auto" w:fill="FFFFFF"/>
        </w:rPr>
        <w:noBreakHyphen/>
        <w:t>Membros contribuíram com cerca de</w:t>
      </w:r>
      <w:r w:rsidRPr="00A80571">
        <w:t xml:space="preserve"> </w:t>
      </w:r>
      <w:r w:rsidR="00635101">
        <w:t>108</w:t>
      </w:r>
      <w:r w:rsidRPr="00A80571">
        <w:t xml:space="preserve"> mil milhões de EUR </w:t>
      </w:r>
      <w:r w:rsidRPr="00A80571">
        <w:rPr>
          <w:shd w:val="clear" w:color="auto" w:fill="FFFFFF"/>
        </w:rPr>
        <w:t>em assistência financeira, humanitária, de refugiados e militar à Ucrânia, incluindo cerca de</w:t>
      </w:r>
      <w:r w:rsidRPr="00A80571">
        <w:t xml:space="preserve"> 3</w:t>
      </w:r>
      <w:r w:rsidR="00635101">
        <w:t>9</w:t>
      </w:r>
      <w:r w:rsidRPr="00A80571">
        <w:t xml:space="preserve"> mil milhões de EUR </w:t>
      </w:r>
      <w:r w:rsidRPr="00A80571">
        <w:rPr>
          <w:shd w:val="clear" w:color="auto" w:fill="FFFFFF"/>
        </w:rPr>
        <w:t>de ajuda militar, com uma atribuição adicional anunciada de</w:t>
      </w:r>
      <w:r w:rsidRPr="00A80571">
        <w:t xml:space="preserve"> 21 mil milhões de EUR </w:t>
      </w:r>
      <w:r w:rsidRPr="00A80571">
        <w:rPr>
          <w:shd w:val="clear" w:color="auto" w:fill="FFFFFF"/>
        </w:rPr>
        <w:t>até 2025</w:t>
      </w:r>
      <w:r w:rsidR="0098390B">
        <w:t>; considerando que</w:t>
      </w:r>
      <w:r w:rsidRPr="00A80571">
        <w:rPr>
          <w:shd w:val="clear" w:color="auto" w:fill="FFFFFF"/>
        </w:rPr>
        <w:t xml:space="preserve"> a Missão de Assistência Militar da UE de apoio à Ucrânia (EUMAM Ucrânia) deu a mais de 5</w:t>
      </w:r>
      <w:r w:rsidR="00635101">
        <w:rPr>
          <w:shd w:val="clear" w:color="auto" w:fill="FFFFFF"/>
        </w:rPr>
        <w:t>5</w:t>
      </w:r>
      <w:r w:rsidRPr="00A80571">
        <w:rPr>
          <w:shd w:val="clear" w:color="auto" w:fill="FFFFFF"/>
        </w:rPr>
        <w:t> 000 elementos das Forças Armadas ucranianas formação especializada e em armas combinadas</w:t>
      </w:r>
      <w:r w:rsidR="0098390B">
        <w:rPr>
          <w:shd w:val="clear" w:color="auto" w:fill="FFFFFF"/>
        </w:rPr>
        <w:t>; considerando que</w:t>
      </w:r>
      <w:r w:rsidRPr="00A80571">
        <w:rPr>
          <w:shd w:val="clear" w:color="auto" w:fill="FFFFFF"/>
        </w:rPr>
        <w:t xml:space="preserve"> a NATO assegurará uma contribuição financeira anual à Ucrânia de 40 mil milhões de </w:t>
      </w:r>
      <w:r w:rsidR="00635101">
        <w:rPr>
          <w:shd w:val="clear" w:color="auto" w:fill="FFFFFF"/>
        </w:rPr>
        <w:t>EUR</w:t>
      </w:r>
      <w:r w:rsidRPr="00A80571">
        <w:rPr>
          <w:shd w:val="clear" w:color="auto" w:fill="FFFFFF"/>
        </w:rPr>
        <w:t>;</w:t>
      </w:r>
    </w:p>
    <w:p w:rsidR="000B119F" w:rsidRPr="00A80571" w:rsidRDefault="000B119F" w:rsidP="000B119F">
      <w:pPr>
        <w:pStyle w:val="NormalHanging12a"/>
      </w:pPr>
      <w:r w:rsidRPr="00A80571">
        <w:lastRenderedPageBreak/>
        <w:t>D.</w:t>
      </w:r>
      <w:r w:rsidRPr="00A80571">
        <w:tab/>
        <w:t>Considerando que a UE lançou oficialmente negociações de adesão e realizou as suas primeiras conferências intergovernamentais com a Ucrânia e a Moldávia em 25 de junho de 2024;</w:t>
      </w:r>
    </w:p>
    <w:p w:rsidR="000B119F" w:rsidRPr="00A80571" w:rsidRDefault="000B119F" w:rsidP="000B119F">
      <w:pPr>
        <w:pStyle w:val="NormalHanging12a"/>
      </w:pPr>
      <w:r w:rsidRPr="00A80571">
        <w:rPr>
          <w:shd w:val="clear" w:color="auto" w:fill="FFFFFF"/>
        </w:rPr>
        <w:t>E</w:t>
      </w:r>
      <w:r w:rsidRPr="00A80571">
        <w:t>.</w:t>
      </w:r>
      <w:r w:rsidRPr="00A80571">
        <w:tab/>
        <w:t xml:space="preserve">Considerando que </w:t>
      </w:r>
      <w:proofErr w:type="spellStart"/>
      <w:r w:rsidRPr="00A80571">
        <w:t>Viktor</w:t>
      </w:r>
      <w:proofErr w:type="spellEnd"/>
      <w:r w:rsidRPr="00A80571">
        <w:t xml:space="preserve"> </w:t>
      </w:r>
      <w:proofErr w:type="spellStart"/>
      <w:r w:rsidRPr="00A80571">
        <w:t>Orbán</w:t>
      </w:r>
      <w:proofErr w:type="spellEnd"/>
      <w:r w:rsidRPr="00A80571">
        <w:t>, primeiro</w:t>
      </w:r>
      <w:r w:rsidRPr="00A80571">
        <w:noBreakHyphen/>
        <w:t>ministro da Hungria, país que exerce a presidência rotativa do Conselho, efetuou uma visita inesperada e não coordenada à Federação da Rússia e à República Popular da China, em 5 e 8 de julho de 2024, respetivamente</w:t>
      </w:r>
      <w:r w:rsidR="0098390B">
        <w:t>; considerando que</w:t>
      </w:r>
      <w:r w:rsidRPr="00A80571">
        <w:t xml:space="preserve"> estas reuniões não tiver o apoio de nenhuma instituição da UE nem dos Estados</w:t>
      </w:r>
      <w:r w:rsidRPr="00A80571">
        <w:noBreakHyphen/>
        <w:t>Membros;</w:t>
      </w:r>
    </w:p>
    <w:p w:rsidR="000B119F" w:rsidRPr="00A80571" w:rsidRDefault="000B119F" w:rsidP="000B119F">
      <w:pPr>
        <w:pStyle w:val="NormalHanging12a"/>
      </w:pPr>
      <w:r w:rsidRPr="00A80571">
        <w:t>1.</w:t>
      </w:r>
      <w:r w:rsidRPr="00A80571">
        <w:tab/>
        <w:t>Reafirma as suas posições sobre o apoio contínuo à independência, soberania e integridade territorial da Ucrânia dentro das suas fronteiras internacionalmente reconhecidas e o compromisso inabalável da UE de prestar apoio político, financeiro, económico, humanitário, militar e diplomático durante o tempo que for necessário para garantir a vitória da Ucrânia; insta a UE e os seus Estados</w:t>
      </w:r>
      <w:r w:rsidRPr="00A80571">
        <w:noBreakHyphen/>
        <w:t>Membros a trabalharem ativamente no sentido de manter e alcançar o mais amplo apoio internacional possível à Ucrânia;</w:t>
      </w:r>
    </w:p>
    <w:p w:rsidR="000B119F" w:rsidRPr="00A80571" w:rsidRDefault="000B119F" w:rsidP="000B119F">
      <w:pPr>
        <w:pStyle w:val="NormalHanging12a"/>
        <w:rPr>
          <w:szCs w:val="24"/>
        </w:rPr>
      </w:pPr>
      <w:proofErr w:type="gramStart"/>
      <w:r w:rsidRPr="00A80571">
        <w:t>2.</w:t>
      </w:r>
      <w:r w:rsidRPr="00A80571">
        <w:tab/>
        <w:t>Reitera</w:t>
      </w:r>
      <w:proofErr w:type="gramEnd"/>
      <w:r w:rsidRPr="00A80571">
        <w:t xml:space="preserve"> que a Ucrânia, enquanto vítima de agressão, tem o direito legítimo à autodefesa, em conformidade com o artigo 51.º da Carta das Nações Unidas; recorda que a assistência militar significativa, embora ainda insuficiente, prestada pela UE, pelos EUA e pelos parceiros que partilham das mesmas ideias se destina a permitir à Ucrânia defender</w:t>
      </w:r>
      <w:r w:rsidRPr="00A80571">
        <w:noBreakHyphen/>
        <w:t>se eficazmente de um Estado agressor e restabelecer o pleno controlo sobre todo o seu território internacionalmente reconhecido;</w:t>
      </w:r>
    </w:p>
    <w:p w:rsidR="000B119F" w:rsidRPr="00A80571" w:rsidRDefault="000B119F" w:rsidP="000B119F">
      <w:pPr>
        <w:pStyle w:val="NormalHanging12a"/>
      </w:pPr>
      <w:r w:rsidRPr="00A80571">
        <w:t>3.</w:t>
      </w:r>
      <w:r w:rsidRPr="00A80571">
        <w:tab/>
        <w:t>Congratula</w:t>
      </w:r>
      <w:r w:rsidRPr="00A80571">
        <w:noBreakHyphen/>
        <w:t>se com as negociações de adesão à UE recentemente lançadas com a Ucrânia e a República da Moldávia; entende que a sua integração progressiva na UE representa uma oportunidade geoestratégica e democrática e um investimento numa Europa unida e forte; recorda que a adesão à UE é um processo estritamente baseado no mérito que exige o cumprimento dos critérios de adesão à UE, incluindo os relativos à democracia, ao Estado de direito, aos valores fundamentais e à luta contra a corrupção; lembra que o processo de adesão requer uma assistência financeira e técnica adequada da UE;</w:t>
      </w:r>
    </w:p>
    <w:p w:rsidR="000B119F" w:rsidRPr="00A80571" w:rsidRDefault="000B119F" w:rsidP="000B119F">
      <w:pPr>
        <w:pStyle w:val="NormalHanging12a"/>
      </w:pPr>
      <w:r w:rsidRPr="00A80571">
        <w:t>4.</w:t>
      </w:r>
      <w:r w:rsidRPr="00A80571">
        <w:tab/>
        <w:t>Condena a recente visita do primeiro</w:t>
      </w:r>
      <w:r w:rsidRPr="00A80571">
        <w:noBreakHyphen/>
        <w:t xml:space="preserve">ministro húngaro, </w:t>
      </w:r>
      <w:proofErr w:type="spellStart"/>
      <w:r w:rsidRPr="00A80571">
        <w:t>Viktor</w:t>
      </w:r>
      <w:proofErr w:type="spellEnd"/>
      <w:r w:rsidRPr="00A80571">
        <w:t xml:space="preserve"> </w:t>
      </w:r>
      <w:proofErr w:type="spellStart"/>
      <w:r w:rsidRPr="00A80571">
        <w:t>Orbán</w:t>
      </w:r>
      <w:proofErr w:type="spellEnd"/>
      <w:r w:rsidRPr="00A80571">
        <w:t>, à Federação da Rússia; salienta que, durante esta visita, não representou a UE e considera que a visita constitui uma violação flagrante dos Tratados da UE e da política externa comum, incluindo do princípio da cooperação leal; sublinha que o primeiro</w:t>
      </w:r>
      <w:r w:rsidRPr="00A80571">
        <w:noBreakHyphen/>
        <w:t>ministro húngaro não pode alegar representar a UE quando viola as posições comuns da UE; considera que esta violação deve ter repercussões para a Hungria; recorda que, imediatamente após a chamada missão de paz do primeiro</w:t>
      </w:r>
      <w:r w:rsidRPr="00A80571">
        <w:noBreakHyphen/>
        <w:t xml:space="preserve">ministro húngaro, a Rússia atacou o hospital pediátrico de </w:t>
      </w:r>
      <w:proofErr w:type="spellStart"/>
      <w:r w:rsidR="00635101" w:rsidRPr="00635101">
        <w:t>Ohmatdyt</w:t>
      </w:r>
      <w:proofErr w:type="spellEnd"/>
      <w:r w:rsidRPr="00A80571">
        <w:t xml:space="preserve"> em Kiev, demonstrando a irrelevância dos alegados esforços, que foram vistos com ceticismo por parte dos dirigentes ucranianos; reitera o seu apoio à fórmula para a paz apresentada pelo presidente da Ucrânia, </w:t>
      </w:r>
      <w:proofErr w:type="spellStart"/>
      <w:r w:rsidRPr="00A80571">
        <w:t>Volodymyr</w:t>
      </w:r>
      <w:proofErr w:type="spellEnd"/>
      <w:r w:rsidRPr="00A80571">
        <w:t xml:space="preserve"> </w:t>
      </w:r>
      <w:proofErr w:type="spellStart"/>
      <w:r w:rsidRPr="00A80571">
        <w:t>Zelensky</w:t>
      </w:r>
      <w:proofErr w:type="spellEnd"/>
      <w:r w:rsidRPr="00A80571">
        <w:t>; lamenta que a Hungria tenha feito uma utilização abusiva do seu direito de veto no seio do Conselho para impedir a concessão de ajuda essencial à Ucrânia; insta a Hungria a levantar o seu bloqueio ao financiamento do Mecanismo Europeu de Apoio à Paz para a Ucrânia, incluindo ao acordado reembolso dos Estados</w:t>
      </w:r>
      <w:r w:rsidRPr="00A80571">
        <w:noBreakHyphen/>
        <w:t>Membros pela assistência militar já prestada;</w:t>
      </w:r>
    </w:p>
    <w:p w:rsidR="000B119F" w:rsidRPr="00A80571" w:rsidRDefault="000B119F" w:rsidP="000B119F">
      <w:pPr>
        <w:pStyle w:val="NormalHanging12a"/>
      </w:pPr>
      <w:r w:rsidRPr="00A80571">
        <w:t>5.</w:t>
      </w:r>
      <w:r w:rsidRPr="00A80571">
        <w:tab/>
        <w:t xml:space="preserve">Recorda que a guerra de agressão da Rússia contra a Ucrânia faz parte de um conjunto </w:t>
      </w:r>
      <w:r w:rsidRPr="00A80571">
        <w:lastRenderedPageBreak/>
        <w:t>mais vasto de objetivos contra o Ocidente, contra a nossa democracia e os nossos valores; congratula</w:t>
      </w:r>
      <w:r w:rsidRPr="00A80571">
        <w:noBreakHyphen/>
        <w:t>se com os resultados da Cimeira da NATO e reitera a sua convicção de que a Ucrânia está na via irreversível de adesão à NATO; insta a UE e os seus Estados</w:t>
      </w:r>
      <w:r w:rsidRPr="00A80571">
        <w:noBreakHyphen/>
        <w:t>Membros a aumentarem o seu apoio militar à Ucrânia durante o tempo necessário e sob a forma que for necessária; reitera a sua posição anterior de que todos os Estados</w:t>
      </w:r>
      <w:r w:rsidRPr="00A80571">
        <w:noBreakHyphen/>
        <w:t>Membros da UE e os aliados da NATO devem comprometer</w:t>
      </w:r>
      <w:r w:rsidRPr="00A80571">
        <w:noBreakHyphen/>
        <w:t>se coletiva e individualmente a apoiar a Ucrânia militarmente com, pelo menos, 0,25 % do seu PIB anual; insta os Estados</w:t>
      </w:r>
      <w:r w:rsidRPr="00A80571">
        <w:noBreakHyphen/>
        <w:t>Membros a continuarem a alargar as operações de formação das Forças Armadas ucranianas, como a EUMAM Ucrânia, com vista a aumentar ainda mais as suas capacidades operacionais; sublinha que as entregas insuficientes ou atrasadas de armas e munições poderão comprometer os esforços envidados até à data e, por conseguinte, insta os Estados</w:t>
      </w:r>
      <w:r w:rsidRPr="00A80571">
        <w:noBreakHyphen/>
        <w:t>Membros a aumentarem substancialmente e acelerarem significativamente o seu apoio militar e a reforçarem a capacidade das suas indústrias militares; defende firmemente a supressão das restrições à utilização de sistemas de armas ocidentais entregues à Ucrânia contra alvos militares em território russo; congratula</w:t>
      </w:r>
      <w:r w:rsidRPr="00A80571">
        <w:noBreakHyphen/>
        <w:t xml:space="preserve">se com a decisão da NATO de garantir fornecimentos militares no valor de, pelo menos, 40 mil milhões de </w:t>
      </w:r>
      <w:r w:rsidR="00635101">
        <w:t xml:space="preserve">EUR </w:t>
      </w:r>
      <w:r w:rsidRPr="00A80571">
        <w:t>num futuro próximo;</w:t>
      </w:r>
    </w:p>
    <w:p w:rsidR="000B119F" w:rsidRPr="00A80571" w:rsidRDefault="000B119F" w:rsidP="000B119F">
      <w:pPr>
        <w:pStyle w:val="NormalHanging12a"/>
      </w:pPr>
      <w:r w:rsidRPr="00A80571">
        <w:t>6.</w:t>
      </w:r>
      <w:r w:rsidRPr="00A80571">
        <w:tab/>
        <w:t xml:space="preserve">Condena o recente ataque bárbaro ao hospital pediátrico de </w:t>
      </w:r>
      <w:proofErr w:type="spellStart"/>
      <w:r w:rsidR="00635101" w:rsidRPr="00635101">
        <w:t>Ohmatdyt</w:t>
      </w:r>
      <w:proofErr w:type="spellEnd"/>
      <w:r w:rsidRPr="00A80571">
        <w:t>, em Kiev; manifesta a sua total solidariedade e apresenta as suas condolências às famílias das vítimas; recorda as ocorrências documentadas de tortura, violação e rapto de crianças; insta a UE e os seus Estados</w:t>
      </w:r>
      <w:r w:rsidRPr="00A80571">
        <w:noBreakHyphen/>
        <w:t>Membros a apoiarem ativamente os esforços no sentido de assegurar a responsabilização pelos crimes de guerra nos tribunais e instituições internacionais existentes, bem como pelo crime de agressão através da criação de um tribunal especial internacional, entre outros métodos; reitera a sua firme convicção de que a Rússia tem de conceder uma compensação financeira pelos enormes danos que causou na Ucrânia; congratula</w:t>
      </w:r>
      <w:r w:rsidRPr="00A80571">
        <w:noBreakHyphen/>
        <w:t>se, por conseguinte, com a recente decisão do Conselho de direcionar receitas extraordinárias provenientes de ativos russos imobilizados para apoiar o esforço de guerra ucraniano, bem como com a decisão do G7 de conceder à Ucrânia um empréstimo de 50 mil milhões de USD garantido através de ativos estatais russos imobilizados; insta a UE a estabelecer um regime jurídico sólido para o confisco de bens estatais russos congelados pela UE;</w:t>
      </w:r>
    </w:p>
    <w:p w:rsidR="000B119F" w:rsidRPr="00A80571" w:rsidRDefault="000B119F" w:rsidP="000B119F">
      <w:pPr>
        <w:pStyle w:val="NormalHanging12a"/>
        <w:rPr>
          <w:bCs/>
        </w:rPr>
      </w:pPr>
      <w:proofErr w:type="gramStart"/>
      <w:r w:rsidRPr="00A80571">
        <w:t>7.</w:t>
      </w:r>
      <w:r w:rsidRPr="00A80571">
        <w:tab/>
        <w:t>Condena</w:t>
      </w:r>
      <w:proofErr w:type="gramEnd"/>
      <w:r w:rsidRPr="00A80571">
        <w:t xml:space="preserve"> o crescente número de ataques híbridos perpetrados pela Rússia contra a UE e os seus Estados</w:t>
      </w:r>
      <w:r w:rsidRPr="00A80571">
        <w:noBreakHyphen/>
        <w:t xml:space="preserve">Membros, com o objetivo de enfraquecer o apoio europeu à Ucrânia, através da manipulação da informação, de tentativas dissimuladas de desestabilização e da corrupção de figuras políticas; manifesta a sua consternação com os relatos de que a Rússia tentou assassinar o diretor executivo de uma empresa europeia de defesa; </w:t>
      </w:r>
    </w:p>
    <w:p w:rsidR="000B119F" w:rsidRPr="00A80571" w:rsidRDefault="000B119F" w:rsidP="000B119F">
      <w:pPr>
        <w:pStyle w:val="NormalHanging12a"/>
        <w:rPr>
          <w:rStyle w:val="s1"/>
          <w:color w:val="000000"/>
        </w:rPr>
      </w:pPr>
      <w:r w:rsidRPr="00A80571">
        <w:rPr>
          <w:rStyle w:val="s1"/>
          <w:color w:val="000000"/>
        </w:rPr>
        <w:t>8.</w:t>
      </w:r>
      <w:r w:rsidRPr="00A80571">
        <w:tab/>
      </w:r>
      <w:r w:rsidRPr="00A80571">
        <w:rPr>
          <w:rStyle w:val="s1"/>
          <w:color w:val="000000"/>
        </w:rPr>
        <w:t>Insta a Comissão a propor assistência financeira a longo prazo para a reconstrução da Ucrânia, com base na experiência do recém</w:t>
      </w:r>
      <w:r w:rsidRPr="00A80571">
        <w:rPr>
          <w:rStyle w:val="s1"/>
          <w:color w:val="000000"/>
        </w:rPr>
        <w:noBreakHyphen/>
        <w:t>criado Mecanismo para a Ucrânia;</w:t>
      </w:r>
    </w:p>
    <w:p w:rsidR="000B119F" w:rsidRPr="00A80571" w:rsidRDefault="000B119F" w:rsidP="000B119F">
      <w:pPr>
        <w:pStyle w:val="NormalHanging12a"/>
      </w:pPr>
      <w:r w:rsidRPr="00A80571">
        <w:t>9.</w:t>
      </w:r>
      <w:r w:rsidRPr="00A80571">
        <w:rPr>
          <w:rStyle w:val="s1"/>
          <w:color w:val="000000"/>
        </w:rPr>
        <w:tab/>
      </w:r>
      <w:r w:rsidRPr="00A80571">
        <w:t>Insta o Conselho a manter e alargar a sua política de sanções contra a Rússia e a Bielorrússia, a par do acompanhamento, análise e reforço da sua eficácia e impacto; exorta o Conselho a sanar de forma sistemática o problema da evasão às sanções por empresas com sede na UE, terceiros e países terceiros e a adotar e aplicar rigorosamente medidas restritivas contra todas as entidades que facilitem a evasão às sanções ou disponibilizem tecnologias e equipamentos militares e de dupla utilização ao complexo militar russo;</w:t>
      </w:r>
    </w:p>
    <w:p w:rsidR="000B119F" w:rsidRPr="00A80571" w:rsidRDefault="000B119F" w:rsidP="00F2267A">
      <w:pPr>
        <w:pStyle w:val="NormalHanging12a"/>
      </w:pPr>
      <w:proofErr w:type="gramStart"/>
      <w:r w:rsidRPr="00A80571">
        <w:t>10.</w:t>
      </w:r>
      <w:r w:rsidRPr="00A80571">
        <w:tab/>
        <w:t>Encarrega</w:t>
      </w:r>
      <w:proofErr w:type="gramEnd"/>
      <w:r w:rsidRPr="00A80571">
        <w:t xml:space="preserve"> a sua Presidente de transmitir a presente resolução ao Conselho, à Comissão, </w:t>
      </w:r>
      <w:r w:rsidRPr="00A80571">
        <w:lastRenderedPageBreak/>
        <w:t>ao Vice</w:t>
      </w:r>
      <w:r w:rsidRPr="00A80571">
        <w:noBreakHyphen/>
        <w:t>Presidente da Comissão/Alto Representante da União para os Negócios Estrangeiros e a Política de Segurança, aos governos e parlamentos dos Estados</w:t>
      </w:r>
      <w:r w:rsidRPr="00A80571">
        <w:noBreakHyphen/>
        <w:t xml:space="preserve">Membros, ao Presidente, ao Governo e ao </w:t>
      </w:r>
      <w:proofErr w:type="spellStart"/>
      <w:r w:rsidRPr="00A80571">
        <w:t>Verkhovna</w:t>
      </w:r>
      <w:proofErr w:type="spellEnd"/>
      <w:r w:rsidRPr="00A80571">
        <w:t xml:space="preserve"> Rada da Ucrânia, ao Presidente, ao Governo e ao Parlamento da Moldávia, ao Secretário</w:t>
      </w:r>
      <w:r w:rsidRPr="00A80571">
        <w:noBreakHyphen/>
        <w:t>Geral das Nações Unidas e às autoridades russas.</w:t>
      </w:r>
    </w:p>
    <w:p w:rsidR="00E365E1" w:rsidRPr="00A80571" w:rsidRDefault="00E365E1" w:rsidP="00E616FB">
      <w:bookmarkStart w:id="8" w:name="TextBodyEnd"/>
      <w:bookmarkEnd w:id="8"/>
    </w:p>
    <w:sectPr w:rsidR="00E365E1" w:rsidRPr="00A80571" w:rsidSect="000E70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6FB" w:rsidRPr="000E7030" w:rsidRDefault="00E616FB">
      <w:r w:rsidRPr="000E7030">
        <w:separator/>
      </w:r>
    </w:p>
  </w:endnote>
  <w:endnote w:type="continuationSeparator" w:id="0">
    <w:p w:rsidR="00E616FB" w:rsidRPr="000E7030" w:rsidRDefault="00E616FB">
      <w:r w:rsidRPr="000E70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703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703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703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6FB" w:rsidRPr="000E7030" w:rsidRDefault="00E616FB">
      <w:r w:rsidRPr="000E7030">
        <w:separator/>
      </w:r>
    </w:p>
  </w:footnote>
  <w:footnote w:type="continuationSeparator" w:id="0">
    <w:p w:rsidR="00E616FB" w:rsidRPr="000E7030" w:rsidRDefault="00E616FB">
      <w:r w:rsidRPr="000E703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703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703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E703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07/2024"/>
    <w:docVar w:name="dvlangue" w:val="PT"/>
    <w:docVar w:name="dvnumam" w:val="0"/>
    <w:docVar w:name="dvpe" w:val="762.593"/>
    <w:docVar w:name="dvtitre" w:val="Resolução do Parlamento Europeu, de ... de ... de 2024, sobre a necessidade de a UE apoiar continuamente a Ucrânia(2024/2721(RSP))"/>
  </w:docVars>
  <w:rsids>
    <w:rsidRoot w:val="00E616FB"/>
    <w:rsid w:val="00002272"/>
    <w:rsid w:val="00064002"/>
    <w:rsid w:val="000677B9"/>
    <w:rsid w:val="000831BA"/>
    <w:rsid w:val="000A42CC"/>
    <w:rsid w:val="000B119F"/>
    <w:rsid w:val="000E7030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510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90B"/>
    <w:rsid w:val="00A1687D"/>
    <w:rsid w:val="00A43E52"/>
    <w:rsid w:val="00A4678D"/>
    <w:rsid w:val="00A778C7"/>
    <w:rsid w:val="00A80571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1BDD"/>
    <w:rsid w:val="00E365E1"/>
    <w:rsid w:val="00E616FB"/>
    <w:rsid w:val="00E820A4"/>
    <w:rsid w:val="00EB006A"/>
    <w:rsid w:val="00EB4772"/>
    <w:rsid w:val="00ED169E"/>
    <w:rsid w:val="00ED4235"/>
    <w:rsid w:val="00F04346"/>
    <w:rsid w:val="00F075DC"/>
    <w:rsid w:val="00F149E9"/>
    <w:rsid w:val="00F2267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3FCF4C"/>
  <w15:chartTrackingRefBased/>
  <w15:docId w15:val="{A140C611-187B-467E-BDF0-591F5DF94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B119F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0B119F"/>
    <w:pPr>
      <w:spacing w:after="240"/>
      <w:ind w:left="567" w:hanging="567"/>
    </w:pPr>
  </w:style>
  <w:style w:type="character" w:customStyle="1" w:styleId="s1">
    <w:name w:val="s1"/>
    <w:basedOn w:val="DefaultParagraphFont"/>
    <w:rsid w:val="000B119F"/>
  </w:style>
  <w:style w:type="character" w:customStyle="1" w:styleId="NormalHanging12aChar">
    <w:name w:val="NormalHanging12a Char"/>
    <w:basedOn w:val="DefaultParagraphFont"/>
    <w:link w:val="NormalHanging12a"/>
    <w:locked/>
    <w:rsid w:val="000B119F"/>
    <w:rPr>
      <w:sz w:val="24"/>
      <w:lang w:val="pt-PT"/>
    </w:rPr>
  </w:style>
  <w:style w:type="paragraph" w:styleId="BalloonText">
    <w:name w:val="Balloon Text"/>
    <w:basedOn w:val="Normal"/>
    <w:link w:val="BalloonTextChar"/>
    <w:rsid w:val="009839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8390B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923AB-0664-4C9D-A3B2-82D8830BD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1536</Words>
  <Characters>8251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2024-07-17T09:37:00Z</dcterms:created>
  <dcterms:modified xsi:type="dcterms:W3CDTF">2024-07-17T09:37:00Z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B10-0007/2024</vt:lpwstr>
  </property>
  <property fmtid="{D5CDD505-2E9C-101B-9397-08002B2CF9AE}" pid="4" name="&lt;Type&gt;">
    <vt:lpwstr>RR</vt:lpwstr>
  </property>
</Properties>
</file>