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P10_TA(2024)0003</w:t>
      </w:r>
      <w:bookmarkEnd w:id="1"/>
    </w:p>
    <w:p>
      <w:pPr>
        <w:pStyle w:val="ATHeading2"/>
      </w:pPr>
      <w:bookmarkStart w:id="2" w:name="title"/>
      <w:r>
        <w:t>Potreba nepretržitej podpory Ukrajiny zo strany EÚ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B10-0007/2024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PE762.593</w:t>
      </w:r>
      <w:bookmarkEnd w:id="4"/>
    </w:p>
    <w:p>
      <w:pPr>
        <w:pStyle w:val="ATHeading3"/>
      </w:pPr>
      <w:bookmarkStart w:id="5" w:name="Sujet"/>
      <w:r>
        <w:t>Uznesenie Európskeho parlamentu zo 17. júla 2024 o potrebe nepretržitej podpory Ukrajiny zo strany EÚ</w:t>
      </w:r>
      <w:bookmarkEnd w:id="5"/>
      <w:r>
        <w:t xml:space="preserve"> </w:t>
      </w:r>
      <w:bookmarkStart w:id="6" w:name="References"/>
      <w:r>
        <w:t>(2024/2721(RSP))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parlament,</w:t>
      </w:r>
    </w:p>
    <w:p>
      <w:pPr>
        <w:pStyle w:val="NormalHanging12a"/>
      </w:pPr>
      <w:r>
        <w:t>–</w:t>
      </w:r>
      <w:r>
        <w:tab/>
        <w:t>so zreteľom na svoje predchádzajúce uznesenia o Ukrajine a Rusku, najmä uznesenia prijaté od začiatku okupácie Krymského polostrova 27. februára 2014 a eskalácie vojny Ruska proti Ukrajine od 24. februára 2022,</w:t>
      </w:r>
    </w:p>
    <w:p>
      <w:pPr>
        <w:pStyle w:val="NormalHanging12a"/>
      </w:pPr>
      <w:r>
        <w:t>–</w:t>
      </w:r>
      <w:r>
        <w:tab/>
        <w:t>so zreteľom na článok 167 ods. 2 rokovacieho poriadku,</w:t>
      </w:r>
    </w:p>
    <w:p>
      <w:pPr>
        <w:pStyle w:val="NormalHanging12a"/>
      </w:pPr>
      <w:r>
        <w:t>A.</w:t>
      </w:r>
      <w:r>
        <w:tab/>
        <w:t xml:space="preserve">keďže Rusko od 24. februára 2022 vedie nezákonnú, nevyprovokovanú a neoprávnenú rozsiahlu útočnú vojnu proti Ukrajine a pokračuje tak v tom, čo začalo v roku 2014 anexiou Krymu a následnou okupáciou častí Doneckej a </w:t>
      </w:r>
      <w:proofErr w:type="spellStart"/>
      <w:r>
        <w:t>Luhanskej</w:t>
      </w:r>
      <w:proofErr w:type="spellEnd"/>
      <w:r>
        <w:t xml:space="preserve"> oblasti;</w:t>
      </w:r>
    </w:p>
    <w:p>
      <w:pPr>
        <w:pStyle w:val="NormalHanging12a"/>
        <w:rPr>
          <w:szCs w:val="24"/>
        </w:rPr>
      </w:pPr>
      <w:r>
        <w:t>B.</w:t>
      </w:r>
      <w:r>
        <w:tab/>
        <w:t xml:space="preserve">keďže Ukrajina a jej občania preukázali neochvejné odhodlanie úspešne brániť svoju krajinu aj za cenu veľkých civilných a vojenských obetí; keďže Rusko vedome pácha obrovské a systematické zverstvá na okupovaných územiach a bez rozdielu napáda obytné oblasti a civilnú infraštruktúru, čoho nedávnym príkladom bol bombový útok na detskú nemocnicu </w:t>
      </w:r>
      <w:proofErr w:type="spellStart"/>
      <w:r>
        <w:t>Ochmatdyt</w:t>
      </w:r>
      <w:proofErr w:type="spellEnd"/>
      <w:r>
        <w:t>; keďže milióny Ukrajincov, ktorí utekajú pred ruskou agresiou, sú naďalej vysídlené v rámci Ukrajiny i mimo nej; keďže toto neľudské konanie ruských síl a ich spojencov predstavuje vojnové zločiny a zločiny proti ľudskosti;</w:t>
      </w:r>
    </w:p>
    <w:p>
      <w:pPr>
        <w:pStyle w:val="NormalHanging12a"/>
        <w:rPr>
          <w:noProof/>
          <w:szCs w:val="24"/>
          <w:shd w:val="clear" w:color="auto" w:fill="FFFFFF"/>
        </w:rPr>
      </w:pPr>
      <w:r>
        <w:rPr>
          <w:shd w:val="clear" w:color="auto" w:fill="FFFFFF"/>
        </w:rPr>
        <w:t>C.</w:t>
      </w:r>
      <w:r>
        <w:tab/>
      </w:r>
      <w:r>
        <w:rPr>
          <w:shd w:val="clear" w:color="auto" w:fill="FFFFFF"/>
        </w:rPr>
        <w:t>keďže EÚ a jej členské štáty doteraz prispeli Ukrajine sumou približne</w:t>
      </w:r>
      <w:r>
        <w:t xml:space="preserve"> 108 miliárd EUR </w:t>
      </w:r>
      <w:r>
        <w:rPr>
          <w:shd w:val="clear" w:color="auto" w:fill="FFFFFF"/>
        </w:rPr>
        <w:t>na finančnú, humanitárnu a vojenskú pomoc a pomoc utečencom vrátane približne</w:t>
      </w:r>
      <w:r>
        <w:t xml:space="preserve"> 39 miliárd EUR </w:t>
      </w:r>
      <w:r>
        <w:rPr>
          <w:shd w:val="clear" w:color="auto" w:fill="FFFFFF"/>
        </w:rPr>
        <w:t>vojenskej pomoci, pričom ďalších</w:t>
      </w:r>
      <w:r>
        <w:t xml:space="preserve"> 21 miliárd EUR </w:t>
      </w:r>
      <w:r>
        <w:rPr>
          <w:shd w:val="clear" w:color="auto" w:fill="FFFFFF"/>
        </w:rPr>
        <w:t xml:space="preserve">má byť údajne pridelených do roku 2025; keďže vojenská pomocná misia Európskej únie na podporu Ukrajiny (EUMAM </w:t>
      </w:r>
      <w:proofErr w:type="spellStart"/>
      <w:r>
        <w:rPr>
          <w:shd w:val="clear" w:color="auto" w:fill="FFFFFF"/>
        </w:rPr>
        <w:t>Ukraine</w:t>
      </w:r>
      <w:proofErr w:type="spellEnd"/>
      <w:r>
        <w:rPr>
          <w:shd w:val="clear" w:color="auto" w:fill="FFFFFF"/>
        </w:rPr>
        <w:t>) poskytla výcvik viacerých zložiek síl a špecializovaný výcvik pre viac ako 55 000 členov ukrajinských ozbrojených síl; keďže NATO zabezpečí ročný finančný príspevok pre Ukrajinu vo výške 40 miliárd EUR;</w:t>
      </w:r>
    </w:p>
    <w:p>
      <w:pPr>
        <w:pStyle w:val="NormalHanging12a"/>
      </w:pPr>
      <w:r>
        <w:t>D.</w:t>
      </w:r>
      <w:r>
        <w:tab/>
        <w:t>keďže EÚ oficiálne začala prístupové rokovania a 25. júna 2024 uskutočnila prvé medzivládne konferencie s Ukrajinou a Moldavskom;</w:t>
      </w:r>
    </w:p>
    <w:p>
      <w:pPr>
        <w:pStyle w:val="NormalHanging12a"/>
      </w:pPr>
      <w:r>
        <w:rPr>
          <w:shd w:val="clear" w:color="auto" w:fill="FFFFFF"/>
        </w:rPr>
        <w:lastRenderedPageBreak/>
        <w:t>E</w:t>
      </w:r>
      <w:r>
        <w:t>.</w:t>
      </w:r>
      <w:r>
        <w:tab/>
        <w:t xml:space="preserve">keďže Viktor </w:t>
      </w:r>
      <w:proofErr w:type="spellStart"/>
      <w:r>
        <w:t>Orbán</w:t>
      </w:r>
      <w:proofErr w:type="spellEnd"/>
      <w:r>
        <w:t>, predseda vlády Maďarska, ktoré práve vykonáva rotujúce predsedníctvo Rady, prekvapivo a bez koordinácie s partnermi navštívil 5. júla 2024 Ruskú federáciu a 8. júla 2024 Čínsku ľudovú republiku; keďže tieto stretnutia neschválili žiadne inštitúcie EÚ ani členské štáty;</w:t>
      </w:r>
    </w:p>
    <w:p>
      <w:pPr>
        <w:pStyle w:val="NormalHanging12a"/>
      </w:pPr>
      <w:r>
        <w:t>1.</w:t>
      </w:r>
      <w:r>
        <w:tab/>
        <w:t>opätovne potvrdzuje svoj postoj, ktorým je pokračujúca podpora nezávislosti, zvrchovanosti a územnej celistvosti Ukrajiny v rámci jej medzinárodne uznaných hraníc a neochvejný záväzok EÚ poskytovať politickú, finančnú, hospodársku, humanitárnu, vojenskú a diplomatickú podporu, pokiaľ to bude potrebné na zabezpečenie víťazstva Ukrajiny; vyzýva EÚ a jej členské štáty, aby aktívne pracovali na zachovaní a dosiahnutí čo najširšej medzinárodnej podpory pre Ukrajinu;</w:t>
      </w:r>
    </w:p>
    <w:p>
      <w:pPr>
        <w:pStyle w:val="NormalHanging12a"/>
        <w:rPr>
          <w:szCs w:val="24"/>
        </w:rPr>
      </w:pPr>
      <w:r>
        <w:t>2.</w:t>
      </w:r>
      <w:r>
        <w:tab/>
        <w:t>opakuje, že Ukrajina ako obeť agresie má v súlade s článkom 51 Charty OSN legitímne právo na sebaobranu; pripomína, že významná, hoci stále nedostatočná vojenská pomoc poskytovaná EÚ, USA a podobne zmýšľajúcimi partnermi je určená na to, aby Ukrajine umožnila účinne sa brániť proti agresorskému štátu a obnoviť plnú kontrolu nad celým svojím medzinárodne uznaným územím;</w:t>
      </w:r>
    </w:p>
    <w:p>
      <w:pPr>
        <w:pStyle w:val="NormalHanging12a"/>
      </w:pPr>
      <w:r>
        <w:t>3.</w:t>
      </w:r>
      <w:r>
        <w:tab/>
        <w:t xml:space="preserve">víta nedávno začaté prístupové rokovania EÚ s Ukrajinou a Moldavskou republikou; domnieva sa, že ich stabilná integrácia do EÚ predstavuje </w:t>
      </w:r>
      <w:proofErr w:type="spellStart"/>
      <w:r>
        <w:t>geostrategickú</w:t>
      </w:r>
      <w:proofErr w:type="spellEnd"/>
      <w:r>
        <w:t xml:space="preserve"> a demokratickú príležitosť a investíciu do zjednotenej a silnej Európy; pripomína, že pristúpenie k EÚ je proces založený výlučne na zásluhách, ktorý si vyžaduje splnenie kritérií členstva v EÚ vrátane kritérií týkajúcich sa demokracie, právneho štátu, základných hodnôt a boja proti korupcii; pripomína, že prístupový proces si vyžaduje primeranú finančnú a technickú pomoc EÚ;</w:t>
      </w:r>
    </w:p>
    <w:p>
      <w:pPr>
        <w:pStyle w:val="NormalHanging12a"/>
      </w:pPr>
      <w:r>
        <w:t>4.</w:t>
      </w:r>
      <w:r>
        <w:tab/>
        <w:t xml:space="preserve">odsudzuje nedávnu návštevu maďarského premiéra Viktora </w:t>
      </w:r>
      <w:proofErr w:type="spellStart"/>
      <w:r>
        <w:t>Orbána</w:t>
      </w:r>
      <w:proofErr w:type="spellEnd"/>
      <w:r>
        <w:t xml:space="preserve"> v Ruskej federácii; zdôrazňuje, že počas tejto návštevy nezastupoval EÚ, a považuje túto návštevu za flagrantné porušenie zmlúv a spoločnej zahraničnej politiky EÚ vrátane zásady lojálnej spolupráce; zdôrazňuje, že maďarský premiér nemôže tvrdiť, že zastupuje EÚ, keď porušuje spoločné pozície EÚ; domnieva sa, že za toto porušenie by malo Maďarsko niesť dôsledky; pripomína, že bezprostredne po tzv. mierovej misii maďarského premiéra Rusko zaútočilo na detskú nemocnicu </w:t>
      </w:r>
      <w:proofErr w:type="spellStart"/>
      <w:r>
        <w:t>Ochmatdyt</w:t>
      </w:r>
      <w:proofErr w:type="spellEnd"/>
      <w:r>
        <w:t xml:space="preserve"> v Kyjeve, čím sa preukázalo, že jeho údajné snahy, ktoré sa na strane ukrajinského vedenia stretli so skepticizmom, boli irelevantné; opätovne vyjadruje podporu mierovému plánu, ktorý predstavil ukrajinský prezident </w:t>
      </w:r>
      <w:proofErr w:type="spellStart"/>
      <w:r>
        <w:t>Volodymyr</w:t>
      </w:r>
      <w:proofErr w:type="spellEnd"/>
      <w:r>
        <w:t xml:space="preserve"> </w:t>
      </w:r>
      <w:proofErr w:type="spellStart"/>
      <w:r>
        <w:t>Zelenskyj</w:t>
      </w:r>
      <w:proofErr w:type="spellEnd"/>
      <w:r>
        <w:t>; vyjadruje poľutovanie nad tým, že Maďarsko zneužilo svoje právo veta v Rade, aby zabránilo poskytnutiu nevyhnutnej pomoci Ukrajine; naliehavo vyzýva Maďarsko, aby prestalo blokovať financovanie Európskeho mierového nástroja pre Ukrajinu vrátane dohodnutej úhrady za vojenskú pomoc, ktorú členské štáty už poskytli;</w:t>
      </w:r>
    </w:p>
    <w:p>
      <w:pPr>
        <w:pStyle w:val="NormalHanging12a"/>
      </w:pPr>
      <w:r>
        <w:t>5.</w:t>
      </w:r>
      <w:r>
        <w:tab/>
        <w:t xml:space="preserve">pripomína, že útočná vojna Ruska proti Ukrajine je súčasťou širšieho súboru cieľov zameraných proti Západu, proti našej demokracii a našim hodnotám; víta výsledok samitu NATO a opakuje svoje presvedčenie, že Ukrajina je na nezvratnej ceste k členstvu v NATO; vyzýva EÚ a jej členské štáty, aby zvýšili svoju vojenskú podporu Ukrajine, a to tak dlho, ako to bude potrebné a v akejkoľvek nevyhnutnej forme; opakuje svoje predchádzajúce stanovisko, že všetky členské štáty EÚ a spojenci NATO by sa mali spoločne a jednotlivo zaviazať k vojenskej podpore Ukrajiny v hodnote najmenej 0,25 % ich HDP ročne; vyzýva členské štáty, aby ďalej rozširovali výcvikové operácie ukrajinských ozbrojených síl, ako je EUMAM </w:t>
      </w:r>
      <w:proofErr w:type="spellStart"/>
      <w:r>
        <w:t>Ukraine</w:t>
      </w:r>
      <w:proofErr w:type="spellEnd"/>
      <w:r>
        <w:t xml:space="preserve">, s cieľom ďalej zvyšovať ich operatívne spôsobilosti; zdôrazňuje, že nedostatočné alebo oneskorené </w:t>
      </w:r>
      <w:r>
        <w:lastRenderedPageBreak/>
        <w:t>dodávky zbraní a munície môžu negovať doterajšie úsilie, a preto naliehavo vyzýva členské štáty, aby podstatne zvýšili a výrazne urýchlili svoju vojenskú podporu a posilnili kapacitu svojho vojenského priemyslu; dôrazne sa zasadzuje za odstránenie obmedzení používania západných zbraňových systémov dodávaných na Ukrajinu proti vojenským cieľom na ruskom území; víta rozhodnutie NATO zaručiť v blízkej budúcnosti vojenské dodávky v hodnote najmenej 40 miliárd EUR;</w:t>
      </w:r>
    </w:p>
    <w:p>
      <w:pPr>
        <w:pStyle w:val="NormalHanging12a"/>
      </w:pPr>
      <w:r>
        <w:t>6.</w:t>
      </w:r>
      <w:r>
        <w:tab/>
        <w:t xml:space="preserve">odsudzuje nedávny barbarský útok na detskú nemocnicu </w:t>
      </w:r>
      <w:proofErr w:type="spellStart"/>
      <w:r>
        <w:t>Ochmatdyt</w:t>
      </w:r>
      <w:proofErr w:type="spellEnd"/>
      <w:r>
        <w:t xml:space="preserve"> v Kyjeve; vyjadruje plnú solidaritu s rodinami obetí a vyslovuje im úprimnú sústrasť; pripomína zdokumentované prípady mučenia, znásilnenia a únosov detí; vyzýva EÚ a jej členské štáty, aby aktívne podporovali úsilie o zabezpečenie zodpovednosti za vojnové zločiny v rámci existujúcich medzinárodných súdov a inštitúcií, ako aj za zločin agresie, okrem iného zriadením osobitného medzinárodného tribunálu; opakuje svoje pevné presvedčenie, že Rusko musí poskytnúť finančnú náhradu za obrovské škody, ktoré spôsobilo na Ukrajine; víta preto nedávne rozhodnutie Rady nasmerovať mimoriadne príjmy pochádzajúce z </w:t>
      </w:r>
      <w:proofErr w:type="spellStart"/>
      <w:r>
        <w:t>imobilizovaných</w:t>
      </w:r>
      <w:proofErr w:type="spellEnd"/>
      <w:r>
        <w:t xml:space="preserve"> ruských aktív na podporu ukrajinského vojnového úsilia, ako aj rozhodnutie skupiny G7 ponúknuť Ukrajine úver vo výške 50 miliárd USD zabezpečený </w:t>
      </w:r>
      <w:proofErr w:type="spellStart"/>
      <w:r>
        <w:t>imobilizovanými</w:t>
      </w:r>
      <w:proofErr w:type="spellEnd"/>
      <w:r>
        <w:t xml:space="preserve"> ruskými štátnymi aktívami; vyzýva EÚ, aby vytvorila spoľahlivý právny režim na konfiškáciu ruských štátnych aktív zmrazených EÚ;</w:t>
      </w:r>
    </w:p>
    <w:p>
      <w:pPr>
        <w:pStyle w:val="NormalHanging12a"/>
        <w:rPr>
          <w:bCs/>
        </w:rPr>
      </w:pPr>
      <w:r>
        <w:t>7.</w:t>
      </w:r>
      <w:r>
        <w:tab/>
        <w:t xml:space="preserve">odsudzuje rastúci počet hybridných útokov Ruska proti EÚ a jej členským štátom s cieľom oslabiť európsku podporu Ukrajine manipulovaním s informáciami, skrytými pokusmi o destabilizáciu a korupciou politických predstaviteľov; je zhrozený správami, že Rusko stálo za pokusom o atentát proti výkonnému riaditeľovi jednej z európskych spoločností pôsobiacej v oblasti obranného priemyslu; </w:t>
      </w:r>
    </w:p>
    <w:p>
      <w:pPr>
        <w:pStyle w:val="NormalHanging12a"/>
        <w:rPr>
          <w:rStyle w:val="s1"/>
          <w:color w:val="000000"/>
        </w:rPr>
      </w:pPr>
      <w:r>
        <w:rPr>
          <w:rStyle w:val="s1"/>
          <w:color w:val="000000"/>
        </w:rPr>
        <w:t>8.</w:t>
      </w:r>
      <w:r>
        <w:tab/>
      </w:r>
      <w:r>
        <w:rPr>
          <w:rStyle w:val="s1"/>
          <w:color w:val="000000"/>
        </w:rPr>
        <w:t>vyzýva Komisiu, aby navrhla dlhodobú finančnú pomoc na obnovu Ukrajiny na základe skúseností s novovytvoreným Nástrojom pre Ukrajinu;</w:t>
      </w:r>
    </w:p>
    <w:p>
      <w:pPr>
        <w:pStyle w:val="NormalHanging12a"/>
      </w:pPr>
      <w:r>
        <w:t>9.</w:t>
      </w:r>
      <w:r>
        <w:rPr>
          <w:rStyle w:val="s1"/>
          <w:color w:val="000000"/>
        </w:rPr>
        <w:tab/>
      </w:r>
      <w:r>
        <w:t>vyzýva Radu, aby zachovala a rozšírila svoju politiku sankcií voči Rusku a Bielorusku a aby zároveň monitorovala, skúmala a zvyšovala jej účinnosť a vplyv; vyzýva Radu, aby sa systematicky zaoberala otázkou obchádzania sankcií spoločnosťami so sídlom v EÚ, tretími stranami a tretími štátmi a aby prijala a prísne uplatňovala reštriktívne opatrenia voči všetkým subjektom, ktoré uľahčujú obchádzanie sankcií a poskytujú ruskému vojenskému komplexu vojenské technológie a vybavenie a technológie a vybavenie dvojakého použitia;</w:t>
      </w:r>
    </w:p>
    <w:p>
      <w:pPr>
        <w:pStyle w:val="NormalHanging12a"/>
      </w:pPr>
      <w:r>
        <w:t>10.</w:t>
      </w:r>
      <w:r>
        <w:tab/>
        <w:t xml:space="preserve">poveruje svoju predsedníčku, aby postúpila toto uznesenie Rade, Komisii, podpredsedovi Komisie/vysokému predstaviteľovi Únie pre zahraničné veci a bezpečnostnú politiku, vládam a parlamentom členských štátov, prezidentovi, vláde a </w:t>
      </w:r>
      <w:proofErr w:type="spellStart"/>
      <w:r>
        <w:t>Verchovnej</w:t>
      </w:r>
      <w:proofErr w:type="spellEnd"/>
      <w:r>
        <w:t xml:space="preserve"> rade Ukrajiny, prezidentovi, vláde a parlamentu Moldavska, generálnemu tajomníkovi Organizácie Spojených národov a ruským orgánom.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SK"/>
    <w:docVar w:name="dvnumam" w:val="0"/>
    <w:docVar w:name="dvpe" w:val="762.593"/>
    <w:docVar w:name="dvtitre" w:val="Uznesenie Európskeho parlamentu zo 17. júla 2024 o potrebe nepretržitej podpory Ukrajiny zo strany EÚ(2024/2721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B4D2C-052C-4AF0-BE48-CE3E12A3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s1">
    <w:name w:val="s1"/>
    <w:basedOn w:val="DefaultParagraphFont"/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6E373-1EB8-4D92-A2BD-27D15FEE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1191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2024-07-17T11:42:00Z</dcterms:created>
  <dcterms:modified xsi:type="dcterms:W3CDTF">2024-07-17T11:42:00Z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