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0575A" w14:paraId="62A2C44F" w14:textId="77777777" w:rsidTr="0010095E">
        <w:trPr>
          <w:trHeight w:hRule="exact" w:val="1418"/>
        </w:trPr>
        <w:tc>
          <w:tcPr>
            <w:tcW w:w="6804" w:type="dxa"/>
            <w:shd w:val="clear" w:color="auto" w:fill="auto"/>
            <w:vAlign w:val="center"/>
          </w:tcPr>
          <w:p w14:paraId="3A958AFE" w14:textId="77777777" w:rsidR="00751A4A" w:rsidRPr="0070575A" w:rsidRDefault="00046F45" w:rsidP="0010095E">
            <w:pPr>
              <w:pStyle w:val="EPName"/>
            </w:pPr>
            <w:r w:rsidRPr="0070575A">
              <w:t>European Parliament</w:t>
            </w:r>
          </w:p>
          <w:p w14:paraId="160202C0" w14:textId="77777777" w:rsidR="00751A4A" w:rsidRPr="0070575A" w:rsidRDefault="005F1B17" w:rsidP="005F1B17">
            <w:pPr>
              <w:pStyle w:val="EPTerm"/>
              <w:rPr>
                <w:rStyle w:val="HideTWBExt"/>
                <w:noProof w:val="0"/>
                <w:vanish w:val="0"/>
                <w:color w:val="auto"/>
              </w:rPr>
            </w:pPr>
            <w:r w:rsidRPr="0070575A">
              <w:t>2024</w:t>
            </w:r>
            <w:r w:rsidR="00817416" w:rsidRPr="0070575A">
              <w:t>-202</w:t>
            </w:r>
            <w:r w:rsidRPr="0070575A">
              <w:t>9</w:t>
            </w:r>
          </w:p>
        </w:tc>
        <w:tc>
          <w:tcPr>
            <w:tcW w:w="2268" w:type="dxa"/>
            <w:shd w:val="clear" w:color="auto" w:fill="auto"/>
          </w:tcPr>
          <w:p w14:paraId="6630365F" w14:textId="77777777" w:rsidR="00751A4A" w:rsidRPr="0070575A" w:rsidRDefault="00187494" w:rsidP="0010095E">
            <w:pPr>
              <w:pStyle w:val="EPLogo"/>
            </w:pPr>
            <w:r w:rsidRPr="0070575A">
              <w:rPr>
                <w:noProof/>
              </w:rPr>
              <w:drawing>
                <wp:inline distT="0" distB="0" distL="0" distR="0" wp14:anchorId="7588573D" wp14:editId="0A87B08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951F6D3" w14:textId="77777777" w:rsidR="00D058B8" w:rsidRPr="0070575A" w:rsidRDefault="00D058B8" w:rsidP="004C5D52">
      <w:pPr>
        <w:pStyle w:val="LineTop"/>
      </w:pPr>
    </w:p>
    <w:p w14:paraId="7876B43F" w14:textId="77777777" w:rsidR="00680577" w:rsidRPr="0070575A" w:rsidRDefault="00046F45" w:rsidP="00680577">
      <w:pPr>
        <w:pStyle w:val="EPBodyTA1"/>
      </w:pPr>
      <w:r w:rsidRPr="0070575A">
        <w:t>TEXTS ADOPTED</w:t>
      </w:r>
    </w:p>
    <w:p w14:paraId="7CEDCC8B" w14:textId="77777777" w:rsidR="00D058B8" w:rsidRPr="0070575A" w:rsidRDefault="00D058B8" w:rsidP="00D058B8">
      <w:pPr>
        <w:pStyle w:val="LineBottom"/>
      </w:pPr>
    </w:p>
    <w:p w14:paraId="49CCF3D8" w14:textId="34323B6F" w:rsidR="00046F45" w:rsidRPr="0070575A" w:rsidRDefault="00046F45" w:rsidP="00046F45">
      <w:pPr>
        <w:pStyle w:val="ATHeading1"/>
      </w:pPr>
      <w:bookmarkStart w:id="0" w:name="TANumber"/>
      <w:r w:rsidRPr="0070575A">
        <w:t>P10_</w:t>
      </w:r>
      <w:proofErr w:type="gramStart"/>
      <w:r w:rsidRPr="0070575A">
        <w:t>TA(</w:t>
      </w:r>
      <w:proofErr w:type="gramEnd"/>
      <w:r w:rsidRPr="0070575A">
        <w:t>2024)000</w:t>
      </w:r>
      <w:bookmarkEnd w:id="0"/>
      <w:r w:rsidR="001917DB">
        <w:t>5</w:t>
      </w:r>
      <w:bookmarkStart w:id="1" w:name="_GoBack"/>
      <w:bookmarkEnd w:id="1"/>
    </w:p>
    <w:p w14:paraId="56B38F57" w14:textId="77777777" w:rsidR="00046F45" w:rsidRPr="0070575A" w:rsidRDefault="002D1D12" w:rsidP="00046F45">
      <w:pPr>
        <w:pStyle w:val="ATHeading2"/>
      </w:pPr>
      <w:bookmarkStart w:id="2" w:name="title"/>
      <w:r w:rsidRPr="0070575A">
        <w:t xml:space="preserve">Numerical strength of </w:t>
      </w:r>
      <w:proofErr w:type="spellStart"/>
      <w:r w:rsidRPr="0070575A">
        <w:t>interparliamentary</w:t>
      </w:r>
      <w:proofErr w:type="spellEnd"/>
      <w:r w:rsidRPr="0070575A">
        <w:t xml:space="preserve"> delegations</w:t>
      </w:r>
      <w:bookmarkEnd w:id="2"/>
    </w:p>
    <w:p w14:paraId="418EEFB2" w14:textId="77777777" w:rsidR="00046F45" w:rsidRPr="0070575A" w:rsidRDefault="00046F45" w:rsidP="00046F45">
      <w:pPr>
        <w:rPr>
          <w:i/>
          <w:vanish/>
        </w:rPr>
      </w:pPr>
      <w:r w:rsidRPr="0070575A">
        <w:rPr>
          <w:i/>
        </w:rPr>
        <w:fldChar w:fldCharType="begin"/>
      </w:r>
      <w:r w:rsidRPr="0070575A">
        <w:rPr>
          <w:i/>
        </w:rPr>
        <w:instrText xml:space="preserve"> TC"(</w:instrText>
      </w:r>
      <w:bookmarkStart w:id="3" w:name="DocNumber"/>
      <w:r w:rsidRPr="0070575A">
        <w:rPr>
          <w:i/>
        </w:rPr>
        <w:instrText>B10-0019/2024</w:instrText>
      </w:r>
      <w:bookmarkEnd w:id="3"/>
      <w:r w:rsidRPr="0070575A">
        <w:rPr>
          <w:i/>
        </w:rPr>
        <w:instrText xml:space="preserve">)"\l3 \n&gt; \* MERGEFORMAT </w:instrText>
      </w:r>
      <w:r w:rsidRPr="0070575A">
        <w:rPr>
          <w:i/>
        </w:rPr>
        <w:fldChar w:fldCharType="end"/>
      </w:r>
    </w:p>
    <w:p w14:paraId="238E5981" w14:textId="77777777" w:rsidR="00046F45" w:rsidRPr="0070575A" w:rsidRDefault="00046F45" w:rsidP="00046F45">
      <w:pPr>
        <w:rPr>
          <w:vanish/>
        </w:rPr>
      </w:pPr>
      <w:bookmarkStart w:id="4" w:name="PE"/>
      <w:r w:rsidRPr="0070575A">
        <w:rPr>
          <w:vanish/>
        </w:rPr>
        <w:t>PE762.605</w:t>
      </w:r>
      <w:bookmarkEnd w:id="4"/>
    </w:p>
    <w:p w14:paraId="270C7B89" w14:textId="4BDEAF92" w:rsidR="00046F45" w:rsidRPr="0070575A" w:rsidRDefault="00046F45" w:rsidP="002D1D12">
      <w:pPr>
        <w:pStyle w:val="ATHeading3"/>
      </w:pPr>
      <w:bookmarkStart w:id="5" w:name="Sujet"/>
      <w:r w:rsidRPr="0070575A">
        <w:t xml:space="preserve">European Parliament decision of </w:t>
      </w:r>
      <w:r w:rsidR="002D1D12" w:rsidRPr="0070575A">
        <w:t>18 September</w:t>
      </w:r>
      <w:r w:rsidRPr="0070575A">
        <w:t xml:space="preserve"> 2024 on the number and numerical strength of </w:t>
      </w:r>
      <w:proofErr w:type="spellStart"/>
      <w:r w:rsidRPr="0070575A">
        <w:t>interparliamentary</w:t>
      </w:r>
      <w:proofErr w:type="spellEnd"/>
      <w:r w:rsidRPr="0070575A">
        <w:t xml:space="preserve"> delegations</w:t>
      </w:r>
      <w:bookmarkEnd w:id="5"/>
      <w:r w:rsidRPr="0070575A">
        <w:t xml:space="preserve"> </w:t>
      </w:r>
      <w:bookmarkStart w:id="6" w:name="References"/>
      <w:r w:rsidRPr="0070575A">
        <w:t>(2024/2814(RSO))</w:t>
      </w:r>
      <w:bookmarkEnd w:id="6"/>
    </w:p>
    <w:p w14:paraId="24EC1029" w14:textId="77777777" w:rsidR="00B804FA" w:rsidRPr="0070575A" w:rsidRDefault="00B804FA" w:rsidP="00B804FA">
      <w:pPr>
        <w:pStyle w:val="EPComma"/>
      </w:pPr>
      <w:bookmarkStart w:id="7" w:name="TextBodyBegin"/>
      <w:bookmarkEnd w:id="7"/>
      <w:r w:rsidRPr="0070575A">
        <w:rPr>
          <w:i/>
        </w:rPr>
        <w:t>The European Parliament</w:t>
      </w:r>
      <w:r w:rsidRPr="0070575A">
        <w:t>,</w:t>
      </w:r>
    </w:p>
    <w:p w14:paraId="0F34C31F" w14:textId="77777777" w:rsidR="00B804FA" w:rsidRPr="0070575A" w:rsidRDefault="00B804FA" w:rsidP="00B804FA">
      <w:pPr>
        <w:pStyle w:val="NormalHanging12a"/>
      </w:pPr>
      <w:r w:rsidRPr="0070575A">
        <w:t>–</w:t>
      </w:r>
      <w:r w:rsidRPr="0070575A">
        <w:tab/>
        <w:t>having regard to the proposal from the Conference of Presidents,</w:t>
      </w:r>
    </w:p>
    <w:p w14:paraId="762E4803" w14:textId="77777777" w:rsidR="00B804FA" w:rsidRPr="0070575A" w:rsidRDefault="00B804FA" w:rsidP="00B804FA">
      <w:pPr>
        <w:pStyle w:val="Visa"/>
        <w:tabs>
          <w:tab w:val="clear" w:pos="357"/>
        </w:tabs>
        <w:spacing w:after="180"/>
        <w:ind w:left="567" w:hanging="567"/>
      </w:pPr>
      <w:r w:rsidRPr="0070575A">
        <w:t>–</w:t>
      </w:r>
      <w:r w:rsidRPr="0070575A">
        <w:tab/>
        <w:t xml:space="preserve">having regard to its decision of 17 July 2024 on the number and numerical strength of </w:t>
      </w:r>
      <w:r w:rsidR="0065643E" w:rsidRPr="0070575A">
        <w:t xml:space="preserve">the </w:t>
      </w:r>
      <w:proofErr w:type="spellStart"/>
      <w:r w:rsidRPr="0070575A">
        <w:t>interparliamentary</w:t>
      </w:r>
      <w:proofErr w:type="spellEnd"/>
      <w:r w:rsidRPr="0070575A">
        <w:t xml:space="preserve"> delegations</w:t>
      </w:r>
      <w:r w:rsidRPr="0070575A">
        <w:rPr>
          <w:rStyle w:val="FootnoteReference"/>
        </w:rPr>
        <w:footnoteReference w:id="1"/>
      </w:r>
      <w:r w:rsidRPr="0070575A">
        <w:t>,</w:t>
      </w:r>
    </w:p>
    <w:p w14:paraId="688D8D6E" w14:textId="77777777" w:rsidR="00B804FA" w:rsidRPr="0070575A" w:rsidRDefault="00B804FA" w:rsidP="00B804FA">
      <w:pPr>
        <w:pStyle w:val="Visa"/>
        <w:tabs>
          <w:tab w:val="clear" w:pos="357"/>
        </w:tabs>
        <w:ind w:left="567" w:hanging="567"/>
      </w:pPr>
      <w:r w:rsidRPr="0070575A">
        <w:t>–</w:t>
      </w:r>
      <w:r w:rsidRPr="0070575A">
        <w:tab/>
        <w:t>having regard to Rules 229 and 230 of its Rules of Procedure,</w:t>
      </w:r>
    </w:p>
    <w:p w14:paraId="197795FF" w14:textId="77777777" w:rsidR="00B804FA" w:rsidRPr="0070575A" w:rsidRDefault="00B804FA" w:rsidP="00B804FA">
      <w:pPr>
        <w:spacing w:after="240"/>
        <w:ind w:left="567" w:hanging="567"/>
        <w:rPr>
          <w:szCs w:val="24"/>
        </w:rPr>
      </w:pPr>
      <w:r w:rsidRPr="0070575A">
        <w:rPr>
          <w:szCs w:val="24"/>
        </w:rPr>
        <w:t>1.</w:t>
      </w:r>
      <w:r w:rsidRPr="0070575A">
        <w:rPr>
          <w:szCs w:val="24"/>
        </w:rPr>
        <w:tab/>
        <w:t xml:space="preserve">Decides to set the number of </w:t>
      </w:r>
      <w:proofErr w:type="spellStart"/>
      <w:r w:rsidRPr="0070575A">
        <w:rPr>
          <w:szCs w:val="24"/>
        </w:rPr>
        <w:t>interparliamentary</w:t>
      </w:r>
      <w:proofErr w:type="spellEnd"/>
      <w:r w:rsidRPr="0070575A">
        <w:rPr>
          <w:szCs w:val="24"/>
        </w:rPr>
        <w:t xml:space="preserve"> delegations, their regional groupings </w:t>
      </w:r>
      <w:proofErr w:type="gramStart"/>
      <w:r w:rsidRPr="0070575A">
        <w:rPr>
          <w:szCs w:val="24"/>
        </w:rPr>
        <w:t>and</w:t>
      </w:r>
      <w:proofErr w:type="gramEnd"/>
      <w:r w:rsidRPr="0070575A">
        <w:rPr>
          <w:szCs w:val="24"/>
        </w:rPr>
        <w:t xml:space="preserve"> their numerical strength, as follows:</w:t>
      </w:r>
    </w:p>
    <w:p w14:paraId="1BC213BB" w14:textId="77777777" w:rsidR="00B804FA" w:rsidRPr="0070575A" w:rsidRDefault="00B804FA" w:rsidP="00B804FA">
      <w:pPr>
        <w:spacing w:after="240"/>
        <w:ind w:left="1134" w:hanging="567"/>
        <w:rPr>
          <w:szCs w:val="24"/>
          <w:u w:color="000000"/>
          <w:bdr w:val="nil"/>
        </w:rPr>
      </w:pPr>
      <w:r w:rsidRPr="0070575A">
        <w:rPr>
          <w:szCs w:val="24"/>
          <w:u w:color="000000"/>
          <w:bdr w:val="nil"/>
        </w:rPr>
        <w:t>(a)</w:t>
      </w:r>
      <w:r w:rsidRPr="0070575A">
        <w:rPr>
          <w:szCs w:val="24"/>
          <w:u w:color="000000"/>
          <w:bdr w:val="nil"/>
        </w:rPr>
        <w:tab/>
        <w:t xml:space="preserve">Europe, Western Balkans and </w:t>
      </w:r>
      <w:proofErr w:type="spellStart"/>
      <w:r w:rsidRPr="0070575A">
        <w:rPr>
          <w:szCs w:val="24"/>
          <w:u w:color="000000"/>
          <w:bdr w:val="nil"/>
        </w:rPr>
        <w:t>Türkiye</w:t>
      </w:r>
      <w:proofErr w:type="spellEnd"/>
    </w:p>
    <w:p w14:paraId="7F7BBA55"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rFonts w:eastAsia="Arial Unicode MS"/>
          <w:szCs w:val="24"/>
          <w:u w:color="000000"/>
          <w:bdr w:val="nil"/>
        </w:rPr>
        <w:tab/>
      </w:r>
      <w:r w:rsidRPr="0070575A">
        <w:rPr>
          <w:szCs w:val="24"/>
          <w:u w:color="000000"/>
          <w:bdr w:val="nil"/>
        </w:rPr>
        <w:t>Delegation to the EU-North Macedonia Joint Parliamentary Committee: 13 Members,</w:t>
      </w:r>
    </w:p>
    <w:p w14:paraId="48A84112"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rFonts w:eastAsia="Arial Unicode MS"/>
          <w:szCs w:val="24"/>
          <w:u w:color="000000"/>
          <w:bdr w:val="nil"/>
        </w:rPr>
        <w:tab/>
      </w:r>
      <w:r w:rsidRPr="0070575A">
        <w:rPr>
          <w:szCs w:val="24"/>
          <w:u w:color="000000"/>
          <w:bdr w:val="nil"/>
        </w:rPr>
        <w:t>Delegation to the EU-</w:t>
      </w:r>
      <w:proofErr w:type="spellStart"/>
      <w:r w:rsidRPr="0070575A">
        <w:rPr>
          <w:szCs w:val="24"/>
          <w:u w:color="000000"/>
          <w:bdr w:val="nil"/>
        </w:rPr>
        <w:t>Türkiye</w:t>
      </w:r>
      <w:proofErr w:type="spellEnd"/>
      <w:r w:rsidRPr="0070575A">
        <w:rPr>
          <w:szCs w:val="24"/>
          <w:u w:color="000000"/>
          <w:bdr w:val="nil"/>
        </w:rPr>
        <w:t xml:space="preserve"> Joint Parliamentary Committee: 25 Members,</w:t>
      </w:r>
    </w:p>
    <w:p w14:paraId="79D5227B"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for Northern cooperation and for relations with Switzerland and Norway and to the EU-Iceland Joint Parliamentary Committee and the European Economic Area (EEA) Joint Parliamentary Committee: 18 Members,</w:t>
      </w:r>
    </w:p>
    <w:p w14:paraId="0098CBD0"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EU-Serbia Stabilisation and Association Parliamentary Committee: 15 Members,</w:t>
      </w:r>
    </w:p>
    <w:p w14:paraId="00CF993F"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EU-Albania Stabilisation and Association Parliamentary Committee: 14 Members,</w:t>
      </w:r>
    </w:p>
    <w:p w14:paraId="3736BF95"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 xml:space="preserve">Delegation to the EU-Montenegro Stabilisation and Association </w:t>
      </w:r>
      <w:r w:rsidRPr="0070575A">
        <w:rPr>
          <w:szCs w:val="24"/>
          <w:u w:color="000000"/>
          <w:bdr w:val="nil"/>
        </w:rPr>
        <w:lastRenderedPageBreak/>
        <w:t>Parliamentary Committee: 14 Members,</w:t>
      </w:r>
    </w:p>
    <w:p w14:paraId="4A609739"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for relations with Bosnia and Herzegovina and Kosovo,</w:t>
      </w:r>
      <w:r w:rsidRPr="0070575A">
        <w:t xml:space="preserve"> </w:t>
      </w:r>
      <w:r w:rsidRPr="0070575A">
        <w:rPr>
          <w:szCs w:val="24"/>
          <w:u w:color="000000"/>
          <w:bdr w:val="nil"/>
        </w:rPr>
        <w:t>including the EU-Bosnia and Herzegovina Stabilisation and Association Parliamentary Committee and the EU-Kosovo Stabilisation and Association Parliamentary Committee: 13 Members,</w:t>
      </w:r>
    </w:p>
    <w:p w14:paraId="76963A00" w14:textId="77777777" w:rsidR="00B804FA" w:rsidRPr="0070575A" w:rsidRDefault="00B804FA" w:rsidP="00B804FA">
      <w:pPr>
        <w:pStyle w:val="Normal12Hanging"/>
        <w:ind w:left="1701"/>
        <w:rPr>
          <w:szCs w:val="24"/>
          <w:u w:color="000000"/>
          <w:bdr w:val="nil"/>
        </w:rPr>
      </w:pPr>
      <w:r w:rsidRPr="0070575A">
        <w:rPr>
          <w:szCs w:val="24"/>
          <w:u w:color="000000"/>
          <w:bdr w:val="nil"/>
        </w:rPr>
        <w:t>–</w:t>
      </w:r>
      <w:r w:rsidRPr="0070575A">
        <w:rPr>
          <w:szCs w:val="24"/>
          <w:u w:color="000000"/>
          <w:bdr w:val="nil"/>
        </w:rPr>
        <w:tab/>
        <w:t>Delegation to the EU-UK Parliamentary Partnership Assembly: 35 Members;</w:t>
      </w:r>
    </w:p>
    <w:p w14:paraId="7C3BF919" w14:textId="77777777" w:rsidR="00B804FA" w:rsidRPr="0070575A" w:rsidRDefault="00B804FA" w:rsidP="00B804FA">
      <w:pPr>
        <w:spacing w:after="240"/>
        <w:ind w:left="1134" w:hanging="567"/>
        <w:rPr>
          <w:szCs w:val="24"/>
          <w:u w:color="000000"/>
          <w:bdr w:val="nil"/>
        </w:rPr>
      </w:pPr>
      <w:r w:rsidRPr="0070575A">
        <w:rPr>
          <w:szCs w:val="24"/>
          <w:u w:color="000000"/>
          <w:bdr w:val="nil"/>
        </w:rPr>
        <w:t>(b)</w:t>
      </w:r>
      <w:r w:rsidRPr="0070575A">
        <w:rPr>
          <w:szCs w:val="24"/>
          <w:u w:color="000000"/>
          <w:bdr w:val="nil"/>
        </w:rPr>
        <w:tab/>
        <w:t>Russia and the Eastern Partnership states</w:t>
      </w:r>
    </w:p>
    <w:p w14:paraId="23D031E4"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EU-Russia Parliamentary Cooperation Committee: 31 Members,</w:t>
      </w:r>
    </w:p>
    <w:p w14:paraId="0516AA69"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EU-Ukraine Parliamentary Association Committee: 16 Members,</w:t>
      </w:r>
    </w:p>
    <w:p w14:paraId="5194228F"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EU-Moldova Parliamentary Association Committee: 14 Members,</w:t>
      </w:r>
    </w:p>
    <w:p w14:paraId="3AFEAC6E"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for relations with Belarus: 12 Members,</w:t>
      </w:r>
    </w:p>
    <w:p w14:paraId="5729C1B0"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EU-Armenia Parliamentary Partnership Committee, the EU-Azerbaijan Parliamentary Cooperation Committee and the EU-Georgia Parliamentary Association Committee: 18 Members;</w:t>
      </w:r>
    </w:p>
    <w:p w14:paraId="77F872F2" w14:textId="77777777" w:rsidR="00B804FA" w:rsidRPr="0070575A" w:rsidRDefault="00B804FA" w:rsidP="00B804FA">
      <w:pPr>
        <w:spacing w:after="240"/>
        <w:ind w:left="1134" w:hanging="567"/>
        <w:rPr>
          <w:szCs w:val="24"/>
          <w:u w:color="000000"/>
          <w:bdr w:val="nil"/>
        </w:rPr>
      </w:pPr>
      <w:r w:rsidRPr="0070575A">
        <w:rPr>
          <w:szCs w:val="24"/>
          <w:u w:color="000000"/>
          <w:bdr w:val="nil"/>
        </w:rPr>
        <w:t>(c)</w:t>
      </w:r>
      <w:r w:rsidRPr="0070575A">
        <w:rPr>
          <w:szCs w:val="24"/>
          <w:u w:color="000000"/>
          <w:bdr w:val="nil"/>
        </w:rPr>
        <w:tab/>
        <w:t>Maghreb, Mashreq, Israel and Palestine</w:t>
      </w:r>
    </w:p>
    <w:p w14:paraId="115EB157"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Delegations for relations with:</w:t>
      </w:r>
    </w:p>
    <w:p w14:paraId="78C62128"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Israel: 18 Members,</w:t>
      </w:r>
    </w:p>
    <w:p w14:paraId="63F2F177"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Palestine: 18 Members,</w:t>
      </w:r>
    </w:p>
    <w:p w14:paraId="7A265ED5"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Maghreb countries and the Arab Maghreb Union, including the EU-Morocco, EU-Tunisia and EU-Algeria Joint Parliamentary Committees: 18 Members,</w:t>
      </w:r>
    </w:p>
    <w:p w14:paraId="2D111435"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Mashreq countries: 19 Members;</w:t>
      </w:r>
    </w:p>
    <w:p w14:paraId="0340EE6E" w14:textId="77777777" w:rsidR="00B804FA" w:rsidRPr="0070575A" w:rsidRDefault="00B804FA" w:rsidP="00B804FA">
      <w:pPr>
        <w:spacing w:after="240"/>
        <w:ind w:left="1134" w:hanging="567"/>
        <w:rPr>
          <w:szCs w:val="24"/>
          <w:u w:color="000000"/>
          <w:bdr w:val="nil"/>
        </w:rPr>
      </w:pPr>
      <w:r w:rsidRPr="0070575A">
        <w:rPr>
          <w:szCs w:val="24"/>
          <w:u w:color="000000"/>
          <w:bdr w:val="nil"/>
        </w:rPr>
        <w:t>(d)</w:t>
      </w:r>
      <w:r w:rsidRPr="0070575A">
        <w:rPr>
          <w:szCs w:val="24"/>
          <w:u w:color="000000"/>
          <w:bdr w:val="nil"/>
        </w:rPr>
        <w:tab/>
        <w:t>The Arab Peninsula, Iraq and Iran</w:t>
      </w:r>
    </w:p>
    <w:p w14:paraId="6D0795C6"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Delegations for relations with:</w:t>
      </w:r>
    </w:p>
    <w:p w14:paraId="5709C664"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Arab Peninsula: 16 Members,</w:t>
      </w:r>
    </w:p>
    <w:p w14:paraId="2D0CC5AB"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 xml:space="preserve">Iraq, including the EU-Iraq Parliamentary Cooperation Committee: </w:t>
      </w:r>
      <w:proofErr w:type="gramStart"/>
      <w:r w:rsidRPr="0070575A">
        <w:rPr>
          <w:szCs w:val="24"/>
          <w:u w:color="000000"/>
          <w:bdr w:val="nil"/>
        </w:rPr>
        <w:t>8</w:t>
      </w:r>
      <w:proofErr w:type="gramEnd"/>
      <w:r w:rsidRPr="0070575A">
        <w:rPr>
          <w:szCs w:val="24"/>
          <w:u w:color="000000"/>
          <w:bdr w:val="nil"/>
        </w:rPr>
        <w:t> Members,</w:t>
      </w:r>
    </w:p>
    <w:p w14:paraId="5E07F4B4"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Iran: 11 Members;</w:t>
      </w:r>
    </w:p>
    <w:p w14:paraId="72439772" w14:textId="77777777" w:rsidR="00B804FA" w:rsidRPr="0070575A" w:rsidRDefault="00B804FA" w:rsidP="00B804FA">
      <w:pPr>
        <w:spacing w:after="240"/>
        <w:ind w:left="1134" w:hanging="567"/>
        <w:rPr>
          <w:szCs w:val="24"/>
          <w:u w:color="000000"/>
          <w:bdr w:val="nil"/>
        </w:rPr>
      </w:pPr>
      <w:r w:rsidRPr="0070575A">
        <w:rPr>
          <w:szCs w:val="24"/>
          <w:u w:color="000000"/>
          <w:bdr w:val="nil"/>
        </w:rPr>
        <w:t>(e)</w:t>
      </w:r>
      <w:r w:rsidRPr="0070575A">
        <w:rPr>
          <w:szCs w:val="24"/>
          <w:u w:color="000000"/>
          <w:bdr w:val="nil"/>
        </w:rPr>
        <w:tab/>
        <w:t>The Americas</w:t>
      </w:r>
    </w:p>
    <w:p w14:paraId="2615EC7F" w14:textId="77777777" w:rsidR="00B804FA" w:rsidRPr="0070575A" w:rsidRDefault="00B804FA" w:rsidP="00B804FA">
      <w:pPr>
        <w:spacing w:after="240"/>
        <w:ind w:left="1701" w:hanging="567"/>
        <w:rPr>
          <w:szCs w:val="24"/>
          <w:u w:color="000000"/>
          <w:bdr w:val="nil"/>
        </w:rPr>
      </w:pPr>
      <w:r w:rsidRPr="0070575A">
        <w:rPr>
          <w:szCs w:val="24"/>
          <w:u w:color="000000"/>
          <w:bdr w:val="nil"/>
        </w:rPr>
        <w:lastRenderedPageBreak/>
        <w:t>–</w:t>
      </w:r>
      <w:r w:rsidRPr="0070575A">
        <w:rPr>
          <w:szCs w:val="24"/>
          <w:u w:color="000000"/>
          <w:bdr w:val="nil"/>
        </w:rPr>
        <w:tab/>
        <w:t>Delegations for relations with:</w:t>
      </w:r>
    </w:p>
    <w:p w14:paraId="321E962F"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United States: 64 Members,</w:t>
      </w:r>
    </w:p>
    <w:p w14:paraId="5A745EF1"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Canada: 18 Members,</w:t>
      </w:r>
    </w:p>
    <w:p w14:paraId="3D6B2389"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Federative Republic of Brazil: 14 Members,</w:t>
      </w:r>
    </w:p>
    <w:p w14:paraId="523F0C65" w14:textId="135D332C" w:rsidR="0065643E" w:rsidRPr="0070575A" w:rsidRDefault="0065643E" w:rsidP="0065643E">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countries of Central America, including the EU-Central America Association Parliamentary Committee: 15 Members,</w:t>
      </w:r>
    </w:p>
    <w:p w14:paraId="57CB5F6C"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countries of the Andean Community: 13 Members,</w:t>
      </w:r>
    </w:p>
    <w:p w14:paraId="30189F2E"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Mercosur: 19 Members,</w:t>
      </w:r>
    </w:p>
    <w:p w14:paraId="3B9F8599"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EU-Mexico Joint Parliamentary Committee: 14 Members,</w:t>
      </w:r>
    </w:p>
    <w:p w14:paraId="71D508E8"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EU-Chile Joint Parliamentary Committee: 15 Members,</w:t>
      </w:r>
    </w:p>
    <w:p w14:paraId="14C3B3AE"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 xml:space="preserve">Delegation to the </w:t>
      </w:r>
      <w:proofErr w:type="spellStart"/>
      <w:r w:rsidRPr="0070575A">
        <w:rPr>
          <w:szCs w:val="24"/>
          <w:u w:color="000000"/>
          <w:bdr w:val="nil"/>
        </w:rPr>
        <w:t>Cariforum</w:t>
      </w:r>
      <w:proofErr w:type="spellEnd"/>
      <w:r w:rsidRPr="0070575A">
        <w:rPr>
          <w:szCs w:val="24"/>
          <w:u w:color="000000"/>
          <w:bdr w:val="nil"/>
        </w:rPr>
        <w:t>-EU Parliamentary Committee: 15 Members;</w:t>
      </w:r>
    </w:p>
    <w:p w14:paraId="32D0D661" w14:textId="77777777" w:rsidR="00B804FA" w:rsidRPr="0070575A" w:rsidRDefault="00B804FA" w:rsidP="00B804FA">
      <w:pPr>
        <w:spacing w:after="240"/>
        <w:ind w:left="1134" w:hanging="567"/>
        <w:rPr>
          <w:szCs w:val="24"/>
          <w:u w:color="000000"/>
          <w:bdr w:val="nil"/>
        </w:rPr>
      </w:pPr>
      <w:r w:rsidRPr="0070575A">
        <w:rPr>
          <w:szCs w:val="24"/>
          <w:u w:color="000000"/>
          <w:bdr w:val="nil"/>
        </w:rPr>
        <w:t>(f)</w:t>
      </w:r>
      <w:r w:rsidRPr="0070575A">
        <w:rPr>
          <w:szCs w:val="24"/>
          <w:u w:color="000000"/>
          <w:bdr w:val="nil"/>
        </w:rPr>
        <w:tab/>
        <w:t>Asia/Pacific</w:t>
      </w:r>
    </w:p>
    <w:p w14:paraId="10BD1B9C"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Delegations for relations with:</w:t>
      </w:r>
    </w:p>
    <w:p w14:paraId="41D8F761"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Japan: 24 Members,</w:t>
      </w:r>
    </w:p>
    <w:p w14:paraId="3B97178F"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People’s Republic of China: 38 Members,</w:t>
      </w:r>
    </w:p>
    <w:p w14:paraId="2E6FA231"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India: 24 Members,</w:t>
      </w:r>
    </w:p>
    <w:p w14:paraId="0BADF218"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 xml:space="preserve">Afghanistan: </w:t>
      </w:r>
      <w:proofErr w:type="gramStart"/>
      <w:r w:rsidRPr="0070575A">
        <w:rPr>
          <w:szCs w:val="24"/>
          <w:u w:color="000000"/>
          <w:bdr w:val="nil"/>
        </w:rPr>
        <w:t>8</w:t>
      </w:r>
      <w:proofErr w:type="gramEnd"/>
      <w:r w:rsidRPr="0070575A">
        <w:rPr>
          <w:szCs w:val="24"/>
          <w:u w:color="000000"/>
          <w:bdr w:val="nil"/>
        </w:rPr>
        <w:t> Members,</w:t>
      </w:r>
    </w:p>
    <w:p w14:paraId="2B2D305A"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countries of South Asia: 15 Members,</w:t>
      </w:r>
    </w:p>
    <w:p w14:paraId="7FA4B7EB"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countries of Southeast Asia and the Association of Southeast Asian Nations (ASEAN): 27 Members,</w:t>
      </w:r>
    </w:p>
    <w:p w14:paraId="6D30C0A8"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Korean Peninsula: 13 Members,</w:t>
      </w:r>
    </w:p>
    <w:p w14:paraId="025BEAD7"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Australia and New Zealand: 12 Members,</w:t>
      </w:r>
    </w:p>
    <w:p w14:paraId="1B4CECAF"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for relations with Central Asia: 19 Members;</w:t>
      </w:r>
    </w:p>
    <w:p w14:paraId="7120C05A" w14:textId="77777777" w:rsidR="00B804FA" w:rsidRPr="0070575A" w:rsidRDefault="00B804FA" w:rsidP="00B804FA">
      <w:pPr>
        <w:spacing w:after="240"/>
        <w:ind w:left="1134" w:hanging="567"/>
        <w:rPr>
          <w:szCs w:val="24"/>
          <w:u w:color="000000"/>
          <w:bdr w:val="nil"/>
        </w:rPr>
      </w:pPr>
      <w:r w:rsidRPr="0070575A">
        <w:rPr>
          <w:szCs w:val="24"/>
          <w:u w:color="000000"/>
          <w:bdr w:val="nil"/>
        </w:rPr>
        <w:t>(g)</w:t>
      </w:r>
      <w:r w:rsidRPr="0070575A">
        <w:rPr>
          <w:szCs w:val="24"/>
          <w:u w:color="000000"/>
          <w:bdr w:val="nil"/>
        </w:rPr>
        <w:tab/>
        <w:t>Africa</w:t>
      </w:r>
    </w:p>
    <w:p w14:paraId="1080382E"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Delegations for relations with:</w:t>
      </w:r>
    </w:p>
    <w:p w14:paraId="21F7FD60"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t>South Africa: 16 Members,</w:t>
      </w:r>
    </w:p>
    <w:p w14:paraId="41C01C59" w14:textId="77777777" w:rsidR="00B804FA" w:rsidRPr="0070575A" w:rsidRDefault="00B804FA" w:rsidP="00B804FA">
      <w:pPr>
        <w:spacing w:after="240"/>
        <w:ind w:left="2268" w:hanging="567"/>
        <w:rPr>
          <w:szCs w:val="24"/>
          <w:u w:color="000000"/>
          <w:bdr w:val="nil"/>
        </w:rPr>
      </w:pPr>
      <w:r w:rsidRPr="0070575A">
        <w:rPr>
          <w:szCs w:val="24"/>
          <w:u w:color="000000"/>
          <w:bdr w:val="nil"/>
        </w:rPr>
        <w:t>–</w:t>
      </w:r>
      <w:r w:rsidRPr="0070575A">
        <w:rPr>
          <w:szCs w:val="24"/>
          <w:u w:color="000000"/>
          <w:bdr w:val="nil"/>
        </w:rPr>
        <w:tab/>
      </w:r>
      <w:proofErr w:type="gramStart"/>
      <w:r w:rsidRPr="0070575A">
        <w:rPr>
          <w:szCs w:val="24"/>
          <w:u w:color="000000"/>
          <w:bdr w:val="nil"/>
        </w:rPr>
        <w:t>the</w:t>
      </w:r>
      <w:proofErr w:type="gramEnd"/>
      <w:r w:rsidRPr="0070575A">
        <w:rPr>
          <w:szCs w:val="24"/>
          <w:u w:color="000000"/>
          <w:bdr w:val="nil"/>
        </w:rPr>
        <w:t xml:space="preserve"> Pan-African Parliament: 12 Members;</w:t>
      </w:r>
    </w:p>
    <w:p w14:paraId="020C5F52" w14:textId="77777777" w:rsidR="00B804FA" w:rsidRPr="0070575A" w:rsidRDefault="00B804FA" w:rsidP="00B804FA">
      <w:pPr>
        <w:spacing w:after="240"/>
        <w:ind w:left="1134" w:hanging="567"/>
        <w:rPr>
          <w:szCs w:val="24"/>
          <w:u w:color="000000"/>
          <w:bdr w:val="nil"/>
        </w:rPr>
      </w:pPr>
      <w:r w:rsidRPr="0070575A">
        <w:rPr>
          <w:szCs w:val="24"/>
          <w:u w:color="000000"/>
          <w:bdr w:val="nil"/>
        </w:rPr>
        <w:t>(h)</w:t>
      </w:r>
      <w:r w:rsidRPr="0070575A">
        <w:rPr>
          <w:szCs w:val="24"/>
          <w:u w:color="000000"/>
          <w:bdr w:val="nil"/>
        </w:rPr>
        <w:tab/>
        <w:t>Multilateral assemblies</w:t>
      </w:r>
    </w:p>
    <w:p w14:paraId="2FB1903A" w14:textId="77777777" w:rsidR="00B804FA" w:rsidRPr="0070575A" w:rsidRDefault="00B804FA" w:rsidP="00B804FA">
      <w:pPr>
        <w:spacing w:after="240"/>
        <w:ind w:left="1701" w:hanging="567"/>
        <w:rPr>
          <w:szCs w:val="24"/>
          <w:u w:color="000000"/>
          <w:bdr w:val="nil"/>
        </w:rPr>
      </w:pPr>
      <w:r w:rsidRPr="0070575A">
        <w:rPr>
          <w:szCs w:val="24"/>
          <w:u w:color="000000"/>
          <w:bdr w:val="nil"/>
        </w:rPr>
        <w:lastRenderedPageBreak/>
        <w:t>–</w:t>
      </w:r>
      <w:r w:rsidRPr="0070575A">
        <w:rPr>
          <w:szCs w:val="24"/>
          <w:u w:color="000000"/>
          <w:bdr w:val="nil"/>
        </w:rPr>
        <w:tab/>
        <w:t>Delegation to the OACPS-EU Joint Parliamentary Assembly: 78 Members,</w:t>
      </w:r>
    </w:p>
    <w:p w14:paraId="49F6C6D5"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Africa-EU Parliamentary Assembly: 48 Members,</w:t>
      </w:r>
    </w:p>
    <w:p w14:paraId="1B36A7FB"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Caribbean-EU Parliamentary Assembly: 15 Members,</w:t>
      </w:r>
    </w:p>
    <w:p w14:paraId="1AD7106B"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Pacific-EU Parliamentary Assembly: 15 Members,</w:t>
      </w:r>
    </w:p>
    <w:p w14:paraId="479D903E"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Parliamentary Assembly of the Union for the Mediterranean: 51 Members,</w:t>
      </w:r>
    </w:p>
    <w:p w14:paraId="02B37D48"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to the Euro-Latin American Parliamentary Assembly: 75 Members,</w:t>
      </w:r>
    </w:p>
    <w:p w14:paraId="3AD9F611"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 xml:space="preserve">Delegation to the </w:t>
      </w:r>
      <w:proofErr w:type="spellStart"/>
      <w:r w:rsidRPr="0070575A">
        <w:rPr>
          <w:szCs w:val="24"/>
          <w:u w:color="000000"/>
          <w:bdr w:val="nil"/>
        </w:rPr>
        <w:t>Euronest</w:t>
      </w:r>
      <w:proofErr w:type="spellEnd"/>
      <w:r w:rsidRPr="0070575A">
        <w:rPr>
          <w:szCs w:val="24"/>
          <w:u w:color="000000"/>
          <w:bdr w:val="nil"/>
        </w:rPr>
        <w:t xml:space="preserve"> Parliamentary Assembly: 60 Members,</w:t>
      </w:r>
    </w:p>
    <w:p w14:paraId="56C1CBE2" w14:textId="77777777" w:rsidR="00B804FA" w:rsidRPr="0070575A" w:rsidRDefault="00B804FA" w:rsidP="00B804FA">
      <w:pPr>
        <w:spacing w:after="240"/>
        <w:ind w:left="1701" w:hanging="567"/>
        <w:rPr>
          <w:szCs w:val="24"/>
          <w:u w:color="000000"/>
          <w:bdr w:val="nil"/>
        </w:rPr>
      </w:pPr>
      <w:r w:rsidRPr="0070575A">
        <w:rPr>
          <w:szCs w:val="24"/>
          <w:u w:color="000000"/>
          <w:bdr w:val="nil"/>
        </w:rPr>
        <w:t>–</w:t>
      </w:r>
      <w:r w:rsidRPr="0070575A">
        <w:rPr>
          <w:szCs w:val="24"/>
          <w:u w:color="000000"/>
          <w:bdr w:val="nil"/>
        </w:rPr>
        <w:tab/>
        <w:t>Delegation for relations with the NATO Parliamentary Assembly: 10 Members;</w:t>
      </w:r>
    </w:p>
    <w:p w14:paraId="63B7888C" w14:textId="77777777" w:rsidR="00B804FA" w:rsidRPr="0070575A" w:rsidRDefault="00B804FA" w:rsidP="00B804FA">
      <w:pPr>
        <w:spacing w:after="240"/>
        <w:ind w:left="567" w:hanging="567"/>
        <w:rPr>
          <w:szCs w:val="24"/>
          <w:u w:color="000000"/>
          <w:bdr w:val="nil"/>
        </w:rPr>
      </w:pPr>
      <w:r w:rsidRPr="0070575A">
        <w:rPr>
          <w:szCs w:val="24"/>
          <w:u w:color="000000"/>
          <w:bdr w:val="nil"/>
        </w:rPr>
        <w:t>2.</w:t>
      </w:r>
      <w:r w:rsidRPr="0070575A">
        <w:rPr>
          <w:szCs w:val="24"/>
          <w:u w:color="000000"/>
          <w:bdr w:val="nil"/>
        </w:rPr>
        <w:tab/>
        <w:t>Decides that the delegation to the OACPS-EU Joint Parliamentary Assembly shall consist of the members from the delegations to the Africa-EU Parliamentary Assembly, the Caribbean-EU Parliamentary Assembly and the Pacific-EU Parliamentary Assembly</w:t>
      </w:r>
      <w:proofErr w:type="gramStart"/>
      <w:r w:rsidRPr="0070575A">
        <w:rPr>
          <w:szCs w:val="24"/>
          <w:u w:color="000000"/>
          <w:bdr w:val="nil"/>
        </w:rPr>
        <w:t>;</w:t>
      </w:r>
      <w:proofErr w:type="gramEnd"/>
    </w:p>
    <w:p w14:paraId="12FE4ED6" w14:textId="77777777" w:rsidR="00B804FA" w:rsidRPr="0070575A" w:rsidRDefault="00B804FA" w:rsidP="00B804FA">
      <w:pPr>
        <w:pStyle w:val="Visa"/>
        <w:tabs>
          <w:tab w:val="clear" w:pos="357"/>
          <w:tab w:val="left" w:pos="567"/>
        </w:tabs>
        <w:spacing w:after="180"/>
        <w:ind w:left="567" w:hanging="567"/>
      </w:pPr>
      <w:r w:rsidRPr="0070575A">
        <w:t>3.</w:t>
      </w:r>
      <w:r w:rsidRPr="0070575A">
        <w:tab/>
        <w:t xml:space="preserve">Decides that the membership of the delegations to the Parliamentary Assembly of the Union for the Mediterranean, to the Euro-Latin American Parliamentary Assembly and to the </w:t>
      </w:r>
      <w:proofErr w:type="spellStart"/>
      <w:r w:rsidRPr="0070575A">
        <w:t>Euronest</w:t>
      </w:r>
      <w:proofErr w:type="spellEnd"/>
      <w:r w:rsidRPr="0070575A">
        <w:t xml:space="preserve"> Parliamentary Assembly </w:t>
      </w:r>
      <w:proofErr w:type="gramStart"/>
      <w:r w:rsidRPr="0070575A">
        <w:t>shall be drawn</w:t>
      </w:r>
      <w:proofErr w:type="gramEnd"/>
      <w:r w:rsidRPr="0070575A">
        <w:t xml:space="preserve"> exclusively from the bilateral or sub-regional delegations covered by each Assembly;</w:t>
      </w:r>
    </w:p>
    <w:p w14:paraId="41231167" w14:textId="77777777" w:rsidR="00B804FA" w:rsidRPr="0070575A" w:rsidRDefault="00B804FA" w:rsidP="00B804FA">
      <w:pPr>
        <w:pStyle w:val="Visa"/>
        <w:tabs>
          <w:tab w:val="clear" w:pos="357"/>
          <w:tab w:val="left" w:pos="567"/>
        </w:tabs>
        <w:spacing w:after="180"/>
        <w:ind w:left="567" w:hanging="567"/>
      </w:pPr>
      <w:r w:rsidRPr="0070575A">
        <w:t>4.</w:t>
      </w:r>
      <w:r w:rsidRPr="0070575A">
        <w:tab/>
      </w:r>
      <w:proofErr w:type="gramStart"/>
      <w:r w:rsidRPr="0070575A">
        <w:t>Decides</w:t>
      </w:r>
      <w:proofErr w:type="gramEnd"/>
      <w:r w:rsidRPr="0070575A">
        <w:t xml:space="preserve"> that the membership of the delegation for relations with the NATO Parliamentary Assembly shall be drawn exclusively from the Subcommittee on Security and Defence;</w:t>
      </w:r>
    </w:p>
    <w:p w14:paraId="795F75F4" w14:textId="77777777" w:rsidR="00B804FA" w:rsidRPr="0070575A" w:rsidRDefault="00B804FA" w:rsidP="00B804FA">
      <w:pPr>
        <w:pStyle w:val="Visa"/>
        <w:tabs>
          <w:tab w:val="clear" w:pos="357"/>
        </w:tabs>
        <w:spacing w:after="180"/>
        <w:ind w:left="567" w:hanging="567"/>
      </w:pPr>
      <w:proofErr w:type="gramStart"/>
      <w:r w:rsidRPr="0070575A">
        <w:t>5.</w:t>
      </w:r>
      <w:r w:rsidRPr="0070575A">
        <w:tab/>
        <w:t>Decides, with reference to the decision of the Conference of Presidents of 11 September 2024 relating to the composition of delegation bureaux, that the delegation bureaux may consist of up to two vice-chairs, with the exception of the bureaux of delegations to multilateral assemblies, for which the delegation bureaux should correspond to the number of Parliament’s representatives in the respective bureau of those multilateral assemblies;</w:t>
      </w:r>
      <w:proofErr w:type="gramEnd"/>
    </w:p>
    <w:p w14:paraId="5E3D142A" w14:textId="77777777" w:rsidR="00B804FA" w:rsidRPr="0070575A" w:rsidRDefault="00B804FA" w:rsidP="00B804FA">
      <w:pPr>
        <w:pStyle w:val="Visa"/>
        <w:tabs>
          <w:tab w:val="clear" w:pos="357"/>
        </w:tabs>
        <w:spacing w:after="180"/>
        <w:ind w:left="567" w:hanging="567"/>
      </w:pPr>
      <w:r w:rsidRPr="0070575A">
        <w:t>6.</w:t>
      </w:r>
      <w:r w:rsidRPr="0070575A">
        <w:tab/>
        <w:t xml:space="preserve">Recalls </w:t>
      </w:r>
      <w:proofErr w:type="gramStart"/>
      <w:r w:rsidRPr="0070575A">
        <w:t>that only official delegations</w:t>
      </w:r>
      <w:proofErr w:type="gramEnd"/>
      <w:r w:rsidRPr="0070575A">
        <w:t>, duly authorised by the Conference of Presidents, are permitted to carry out activities on behalf of the European Parliament and to represent its position;</w:t>
      </w:r>
    </w:p>
    <w:p w14:paraId="683B7947" w14:textId="77777777" w:rsidR="00B804FA" w:rsidRPr="0070575A" w:rsidRDefault="00B804FA" w:rsidP="00B804FA">
      <w:pPr>
        <w:pStyle w:val="Visa"/>
        <w:tabs>
          <w:tab w:val="clear" w:pos="357"/>
        </w:tabs>
        <w:spacing w:after="180"/>
        <w:ind w:left="567" w:hanging="567"/>
      </w:pPr>
      <w:r w:rsidRPr="0070575A">
        <w:t>7.</w:t>
      </w:r>
      <w:r w:rsidRPr="0070575A">
        <w:tab/>
      </w:r>
      <w:proofErr w:type="gramStart"/>
      <w:r w:rsidRPr="0070575A">
        <w:t>Decides</w:t>
      </w:r>
      <w:proofErr w:type="gramEnd"/>
      <w:r w:rsidRPr="0070575A">
        <w:t xml:space="preserve"> that this decision shall replace its abovementioned decision of 17 July 2024;</w:t>
      </w:r>
    </w:p>
    <w:p w14:paraId="4CA899D2" w14:textId="77777777" w:rsidR="00B804FA" w:rsidRPr="0070575A" w:rsidRDefault="00B804FA" w:rsidP="00B804FA">
      <w:pPr>
        <w:pStyle w:val="Visa"/>
        <w:tabs>
          <w:tab w:val="clear" w:pos="357"/>
          <w:tab w:val="left" w:pos="567"/>
        </w:tabs>
        <w:spacing w:after="180"/>
        <w:ind w:left="567" w:hanging="567"/>
      </w:pPr>
      <w:r w:rsidRPr="0070575A">
        <w:t>8.</w:t>
      </w:r>
      <w:r w:rsidRPr="0070575A">
        <w:tab/>
        <w:t>Decides that this decision will enter into force on the day of its adoption</w:t>
      </w:r>
      <w:proofErr w:type="gramStart"/>
      <w:r w:rsidRPr="0070575A">
        <w:t>;</w:t>
      </w:r>
      <w:proofErr w:type="gramEnd"/>
    </w:p>
    <w:p w14:paraId="7B21DEE2" w14:textId="77777777" w:rsidR="00E365E1" w:rsidRPr="000E7A9F" w:rsidRDefault="00B804FA" w:rsidP="002D1D12">
      <w:pPr>
        <w:pStyle w:val="Visa"/>
        <w:tabs>
          <w:tab w:val="clear" w:pos="357"/>
          <w:tab w:val="left" w:pos="567"/>
        </w:tabs>
        <w:spacing w:after="180"/>
        <w:ind w:left="567" w:hanging="567"/>
      </w:pPr>
      <w:r w:rsidRPr="0070575A">
        <w:t>9.</w:t>
      </w:r>
      <w:r w:rsidRPr="0070575A">
        <w:tab/>
        <w:t>Instructs its President to forward this decision to the Council, the Commission and the European External Action Service, for information.</w:t>
      </w:r>
      <w:bookmarkStart w:id="8" w:name="TextBodyEnd"/>
      <w:bookmarkEnd w:id="8"/>
    </w:p>
    <w:sectPr w:rsidR="00E365E1" w:rsidRPr="000E7A9F" w:rsidSect="000E7A9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4350D" w14:textId="77777777" w:rsidR="00046F45" w:rsidRPr="000E7A9F" w:rsidRDefault="00046F45">
      <w:r w:rsidRPr="000E7A9F">
        <w:separator/>
      </w:r>
    </w:p>
  </w:endnote>
  <w:endnote w:type="continuationSeparator" w:id="0">
    <w:p w14:paraId="015AB53C" w14:textId="77777777" w:rsidR="00046F45" w:rsidRPr="000E7A9F" w:rsidRDefault="00046F45">
      <w:r w:rsidRPr="000E7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1D783" w14:textId="77777777" w:rsidR="00064002" w:rsidRPr="000E7A9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A9C1F" w14:textId="77777777" w:rsidR="00064002" w:rsidRPr="000E7A9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4CE47" w14:textId="77777777" w:rsidR="00064002" w:rsidRPr="000E7A9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F8200" w14:textId="77777777" w:rsidR="00046F45" w:rsidRPr="000E7A9F" w:rsidRDefault="00046F45">
      <w:r w:rsidRPr="000E7A9F">
        <w:separator/>
      </w:r>
    </w:p>
  </w:footnote>
  <w:footnote w:type="continuationSeparator" w:id="0">
    <w:p w14:paraId="1B95946B" w14:textId="77777777" w:rsidR="00046F45" w:rsidRPr="000E7A9F" w:rsidRDefault="00046F45">
      <w:r w:rsidRPr="000E7A9F">
        <w:continuationSeparator/>
      </w:r>
    </w:p>
  </w:footnote>
  <w:footnote w:id="1">
    <w:p w14:paraId="0F10A276" w14:textId="7980DC92" w:rsidR="00B804FA" w:rsidRPr="000E7A9F" w:rsidRDefault="00B804FA" w:rsidP="004514C7">
      <w:pPr>
        <w:pStyle w:val="FootnoteText"/>
        <w:ind w:left="709" w:hanging="709"/>
        <w:rPr>
          <w:sz w:val="24"/>
          <w:lang w:val="en-GB"/>
        </w:rPr>
      </w:pPr>
      <w:r w:rsidRPr="000E7A9F">
        <w:rPr>
          <w:rStyle w:val="FootnoteReference"/>
          <w:sz w:val="24"/>
          <w:lang w:val="en-GB"/>
        </w:rPr>
        <w:footnoteRef/>
      </w:r>
      <w:r w:rsidR="000E7A9F" w:rsidRPr="000E7A9F">
        <w:rPr>
          <w:sz w:val="24"/>
          <w:lang w:val="en-GB"/>
        </w:rPr>
        <w:tab/>
      </w:r>
      <w:r w:rsidRPr="000E7A9F">
        <w:rPr>
          <w:sz w:val="24"/>
          <w:lang w:val="en-GB"/>
        </w:rPr>
        <w:t>Texts adopted, P10_</w:t>
      </w:r>
      <w:proofErr w:type="gramStart"/>
      <w:r w:rsidRPr="000E7A9F">
        <w:rPr>
          <w:sz w:val="24"/>
          <w:lang w:val="en-GB"/>
        </w:rPr>
        <w:t>TA(</w:t>
      </w:r>
      <w:proofErr w:type="gramEnd"/>
      <w:r w:rsidRPr="000E7A9F">
        <w:rPr>
          <w:sz w:val="24"/>
          <w:lang w:val="en-GB"/>
        </w:rPr>
        <w:t>2024)0002.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41C8A" w14:textId="77777777" w:rsidR="00064002" w:rsidRPr="000E7A9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8B98" w14:textId="77777777" w:rsidR="00064002" w:rsidRPr="000E7A9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B022" w14:textId="77777777" w:rsidR="00064002" w:rsidRPr="000E7A9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19/2024"/>
    <w:docVar w:name="dvlangue" w:val="EN"/>
    <w:docVar w:name="dvnumam" w:val="0"/>
    <w:docVar w:name="dvpe" w:val="762.605"/>
    <w:docVar w:name="dvtitre" w:val="European Parliament decision of xx Xxxx 2024 on the number and numerical strength of interparliamentary delegations(2024/2814(RSO))"/>
  </w:docVars>
  <w:rsids>
    <w:rsidRoot w:val="00046F45"/>
    <w:rsid w:val="00002272"/>
    <w:rsid w:val="00046F45"/>
    <w:rsid w:val="00064002"/>
    <w:rsid w:val="000677B9"/>
    <w:rsid w:val="000831BA"/>
    <w:rsid w:val="000A42CC"/>
    <w:rsid w:val="000E7A9F"/>
    <w:rsid w:val="000E7DD9"/>
    <w:rsid w:val="0010095E"/>
    <w:rsid w:val="00125B37"/>
    <w:rsid w:val="00187494"/>
    <w:rsid w:val="001917DB"/>
    <w:rsid w:val="001F32AE"/>
    <w:rsid w:val="002767FF"/>
    <w:rsid w:val="002B18FE"/>
    <w:rsid w:val="002B5493"/>
    <w:rsid w:val="002D1D12"/>
    <w:rsid w:val="00343214"/>
    <w:rsid w:val="00361C00"/>
    <w:rsid w:val="00395FA1"/>
    <w:rsid w:val="003E15D4"/>
    <w:rsid w:val="00411CCE"/>
    <w:rsid w:val="0041666E"/>
    <w:rsid w:val="00421060"/>
    <w:rsid w:val="004514C7"/>
    <w:rsid w:val="00471C19"/>
    <w:rsid w:val="004867E3"/>
    <w:rsid w:val="00494A28"/>
    <w:rsid w:val="004C0004"/>
    <w:rsid w:val="004C5D52"/>
    <w:rsid w:val="0050519A"/>
    <w:rsid w:val="005072A1"/>
    <w:rsid w:val="00514517"/>
    <w:rsid w:val="00545827"/>
    <w:rsid w:val="00560270"/>
    <w:rsid w:val="005C2568"/>
    <w:rsid w:val="005F1B17"/>
    <w:rsid w:val="006037C0"/>
    <w:rsid w:val="0065643E"/>
    <w:rsid w:val="006631B6"/>
    <w:rsid w:val="00680577"/>
    <w:rsid w:val="006F74FA"/>
    <w:rsid w:val="0070575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4129"/>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04FA"/>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58F6A"/>
  <w15:chartTrackingRefBased/>
  <w15:docId w15:val="{2F95DD6A-402F-4A90-8C9A-E8DC8D6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804FA"/>
    <w:pPr>
      <w:spacing w:before="480" w:after="240"/>
    </w:pPr>
  </w:style>
  <w:style w:type="paragraph" w:customStyle="1" w:styleId="NormalHanging12a">
    <w:name w:val="NormalHanging12a"/>
    <w:basedOn w:val="Normal"/>
    <w:rsid w:val="00B804FA"/>
    <w:pPr>
      <w:spacing w:after="240"/>
      <w:ind w:left="567" w:hanging="567"/>
    </w:pPr>
  </w:style>
  <w:style w:type="paragraph" w:customStyle="1" w:styleId="Visa">
    <w:name w:val="Visa"/>
    <w:basedOn w:val="Normal"/>
    <w:rsid w:val="00B804FA"/>
    <w:pPr>
      <w:tabs>
        <w:tab w:val="left" w:pos="357"/>
      </w:tabs>
      <w:spacing w:after="240"/>
      <w:ind w:left="357" w:hanging="357"/>
    </w:pPr>
    <w:rPr>
      <w:snapToGrid w:val="0"/>
      <w:lang w:eastAsia="en-US"/>
    </w:rPr>
  </w:style>
  <w:style w:type="paragraph" w:customStyle="1" w:styleId="Normal12Hanging">
    <w:name w:val="Normal12Hanging"/>
    <w:basedOn w:val="Normal"/>
    <w:rsid w:val="00B804FA"/>
    <w:pPr>
      <w:spacing w:after="240"/>
      <w:ind w:left="567" w:hanging="567"/>
    </w:pPr>
  </w:style>
  <w:style w:type="character" w:styleId="CommentReference">
    <w:name w:val="annotation reference"/>
    <w:basedOn w:val="DefaultParagraphFont"/>
    <w:rsid w:val="0065643E"/>
    <w:rPr>
      <w:sz w:val="16"/>
      <w:szCs w:val="16"/>
    </w:rPr>
  </w:style>
  <w:style w:type="paragraph" w:styleId="CommentText">
    <w:name w:val="annotation text"/>
    <w:basedOn w:val="Normal"/>
    <w:link w:val="CommentTextChar"/>
    <w:rsid w:val="0065643E"/>
    <w:rPr>
      <w:sz w:val="20"/>
    </w:rPr>
  </w:style>
  <w:style w:type="character" w:customStyle="1" w:styleId="CommentTextChar">
    <w:name w:val="Comment Text Char"/>
    <w:basedOn w:val="DefaultParagraphFont"/>
    <w:link w:val="CommentText"/>
    <w:rsid w:val="0065643E"/>
  </w:style>
  <w:style w:type="character" w:styleId="Hyperlink">
    <w:name w:val="Hyperlink"/>
    <w:basedOn w:val="DefaultParagraphFont"/>
    <w:rsid w:val="0065643E"/>
    <w:rPr>
      <w:color w:val="0563C1" w:themeColor="hyperlink"/>
      <w:u w:val="single"/>
    </w:rPr>
  </w:style>
  <w:style w:type="paragraph" w:styleId="BalloonText">
    <w:name w:val="Balloon Text"/>
    <w:basedOn w:val="Normal"/>
    <w:link w:val="BalloonTextChar"/>
    <w:rsid w:val="0065643E"/>
    <w:rPr>
      <w:rFonts w:ascii="Segoe UI" w:hAnsi="Segoe UI" w:cs="Segoe UI"/>
      <w:sz w:val="18"/>
      <w:szCs w:val="18"/>
    </w:rPr>
  </w:style>
  <w:style w:type="character" w:customStyle="1" w:styleId="BalloonTextChar">
    <w:name w:val="Balloon Text Char"/>
    <w:basedOn w:val="DefaultParagraphFont"/>
    <w:link w:val="BalloonText"/>
    <w:rsid w:val="0065643E"/>
    <w:rPr>
      <w:rFonts w:ascii="Segoe UI" w:hAnsi="Segoe UI" w:cs="Segoe UI"/>
      <w:sz w:val="18"/>
      <w:szCs w:val="18"/>
    </w:rPr>
  </w:style>
  <w:style w:type="paragraph" w:styleId="CommentSubject">
    <w:name w:val="annotation subject"/>
    <w:basedOn w:val="CommentText"/>
    <w:next w:val="CommentText"/>
    <w:link w:val="CommentSubjectChar"/>
    <w:rsid w:val="0065643E"/>
    <w:rPr>
      <w:b/>
      <w:bCs/>
    </w:rPr>
  </w:style>
  <w:style w:type="character" w:customStyle="1" w:styleId="CommentSubjectChar">
    <w:name w:val="Comment Subject Char"/>
    <w:basedOn w:val="CommentTextChar"/>
    <w:link w:val="CommentSubject"/>
    <w:rsid w:val="0065643E"/>
    <w:rPr>
      <w:b/>
      <w:bCs/>
    </w:rPr>
  </w:style>
  <w:style w:type="character" w:styleId="FollowedHyperlink">
    <w:name w:val="FollowedHyperlink"/>
    <w:basedOn w:val="DefaultParagraphFont"/>
    <w:rsid w:val="006564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E2CD6-276D-45FD-87D9-FBC19BE33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821</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2024-09-18T10:28:00Z</dcterms:created>
  <dcterms:modified xsi:type="dcterms:W3CDTF">2024-09-18T10:28:00Z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B10-0019/2024</vt:lpwstr>
  </property>
  <property fmtid="{D5CDD505-2E9C-101B-9397-08002B2CF9AE}" pid="4" name="&lt;Type&gt;">
    <vt:lpwstr>RR</vt:lpwstr>
  </property>
</Properties>
</file>