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5209" w:rsidTr="0010095E">
        <w:trPr>
          <w:trHeight w:hRule="exact" w:val="1418"/>
        </w:trPr>
        <w:tc>
          <w:tcPr>
            <w:tcW w:w="6804" w:type="dxa"/>
            <w:shd w:val="clear" w:color="auto" w:fill="auto"/>
            <w:vAlign w:val="center"/>
          </w:tcPr>
          <w:p w:rsidR="00751A4A" w:rsidRPr="00D15209" w:rsidRDefault="00FA6FEA" w:rsidP="0010095E">
            <w:pPr>
              <w:pStyle w:val="EPName"/>
            </w:pPr>
            <w:r w:rsidRPr="00D15209">
              <w:t>Европейски</w:t>
            </w:r>
            <w:r w:rsidR="001931ED" w:rsidRPr="00D15209">
              <w:t xml:space="preserve"> парламент</w:t>
            </w:r>
          </w:p>
          <w:p w:rsidR="00751A4A" w:rsidRPr="00D15209" w:rsidRDefault="005F1B17" w:rsidP="005F1B17">
            <w:pPr>
              <w:pStyle w:val="EPTerm"/>
              <w:rPr>
                <w:rStyle w:val="HideTWBExt"/>
                <w:noProof w:val="0"/>
                <w:vanish w:val="0"/>
                <w:color w:val="auto"/>
              </w:rPr>
            </w:pPr>
            <w:r w:rsidRPr="00D15209">
              <w:t>2024</w:t>
            </w:r>
            <w:r w:rsidR="00FA6FEA">
              <w:t> – </w:t>
            </w:r>
            <w:r w:rsidR="00817416" w:rsidRPr="00D15209">
              <w:t>202</w:t>
            </w:r>
            <w:r w:rsidRPr="00D15209">
              <w:t>9</w:t>
            </w:r>
          </w:p>
        </w:tc>
        <w:tc>
          <w:tcPr>
            <w:tcW w:w="2268" w:type="dxa"/>
            <w:shd w:val="clear" w:color="auto" w:fill="auto"/>
          </w:tcPr>
          <w:p w:rsidR="00751A4A" w:rsidRPr="00D15209" w:rsidRDefault="00187494" w:rsidP="0010095E">
            <w:pPr>
              <w:pStyle w:val="EPLogo"/>
            </w:pPr>
            <w:r w:rsidRPr="00D1520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15209" w:rsidRDefault="00D058B8" w:rsidP="004C5D52">
      <w:pPr>
        <w:pStyle w:val="LineTop"/>
      </w:pPr>
    </w:p>
    <w:p w:rsidR="00680577" w:rsidRPr="00D15209" w:rsidRDefault="001931ED" w:rsidP="00680577">
      <w:pPr>
        <w:pStyle w:val="EPBodyTA1"/>
      </w:pPr>
      <w:r w:rsidRPr="00D15209">
        <w:t>ПРИЕТИ ТЕКСТОВЕ</w:t>
      </w:r>
    </w:p>
    <w:p w:rsidR="00D058B8" w:rsidRPr="00D15209" w:rsidRDefault="00D058B8" w:rsidP="00D058B8">
      <w:pPr>
        <w:pStyle w:val="LineBottom"/>
      </w:pPr>
    </w:p>
    <w:p w:rsidR="001931ED" w:rsidRPr="00D15209" w:rsidRDefault="001931ED" w:rsidP="001931ED">
      <w:pPr>
        <w:pStyle w:val="ATHeading1"/>
      </w:pPr>
      <w:bookmarkStart w:id="0" w:name="TANumber"/>
      <w:r w:rsidRPr="00D15209">
        <w:t>P10_TA(2024)000</w:t>
      </w:r>
      <w:bookmarkEnd w:id="0"/>
      <w:r w:rsidR="009537BE">
        <w:t>6</w:t>
      </w:r>
    </w:p>
    <w:p w:rsidR="001931ED" w:rsidRPr="00D15209" w:rsidRDefault="00C4247E" w:rsidP="001931ED">
      <w:pPr>
        <w:pStyle w:val="ATHeading2"/>
      </w:pPr>
      <w:bookmarkStart w:id="1" w:name="title"/>
      <w:r>
        <w:t>Противопоставяне на акт за изпълн</w:t>
      </w:r>
      <w:bookmarkStart w:id="2" w:name="_GoBack"/>
      <w:bookmarkEnd w:id="2"/>
      <w:r>
        <w:t>ение</w:t>
      </w:r>
      <w:r w:rsidR="00EE0FFF">
        <w:t>: максимално допустими</w:t>
      </w:r>
      <w:r w:rsidR="001931ED" w:rsidRPr="00D15209">
        <w:t xml:space="preserve"> граници на остатъчни вещества за </w:t>
      </w:r>
      <w:proofErr w:type="spellStart"/>
      <w:r w:rsidR="001931ED" w:rsidRPr="00D15209">
        <w:t>карбендазим</w:t>
      </w:r>
      <w:proofErr w:type="spellEnd"/>
      <w:r w:rsidR="001931ED" w:rsidRPr="00D15209">
        <w:t xml:space="preserve"> и </w:t>
      </w:r>
      <w:proofErr w:type="spellStart"/>
      <w:r w:rsidR="001931ED" w:rsidRPr="00D15209">
        <w:t>тиофанат</w:t>
      </w:r>
      <w:proofErr w:type="spellEnd"/>
      <w:r w:rsidR="001931ED" w:rsidRPr="00D15209">
        <w:t>-метил</w:t>
      </w:r>
      <w:bookmarkEnd w:id="1"/>
    </w:p>
    <w:p w:rsidR="001931ED" w:rsidRPr="00D15209" w:rsidRDefault="001931ED" w:rsidP="001931ED">
      <w:pPr>
        <w:rPr>
          <w:i/>
          <w:vanish/>
        </w:rPr>
      </w:pPr>
      <w:r w:rsidRPr="00D15209">
        <w:rPr>
          <w:i/>
        </w:rPr>
        <w:fldChar w:fldCharType="begin"/>
      </w:r>
      <w:r w:rsidRPr="00D15209">
        <w:rPr>
          <w:i/>
        </w:rPr>
        <w:instrText xml:space="preserve"> TC"(</w:instrText>
      </w:r>
      <w:bookmarkStart w:id="3" w:name="DocNumber"/>
      <w:r w:rsidRPr="00D15209">
        <w:rPr>
          <w:i/>
        </w:rPr>
        <w:instrText>B10-0020/2024</w:instrText>
      </w:r>
      <w:bookmarkEnd w:id="3"/>
      <w:r w:rsidRPr="00D15209">
        <w:rPr>
          <w:i/>
        </w:rPr>
        <w:instrText xml:space="preserve">)"\l3 \n&gt; \* MERGEFORMAT </w:instrText>
      </w:r>
      <w:r w:rsidRPr="00D15209">
        <w:rPr>
          <w:i/>
        </w:rPr>
        <w:fldChar w:fldCharType="end"/>
      </w:r>
    </w:p>
    <w:p w:rsidR="001931ED" w:rsidRPr="00D15209" w:rsidRDefault="001931ED" w:rsidP="001931ED">
      <w:pPr>
        <w:rPr>
          <w:vanish/>
        </w:rPr>
      </w:pPr>
      <w:bookmarkStart w:id="4" w:name="PE"/>
      <w:r w:rsidRPr="00D15209">
        <w:rPr>
          <w:vanish/>
        </w:rPr>
        <w:t>PE763.090</w:t>
      </w:r>
      <w:bookmarkEnd w:id="4"/>
    </w:p>
    <w:p w:rsidR="001931ED" w:rsidRPr="00D15209" w:rsidRDefault="001931ED" w:rsidP="00FA6FEA">
      <w:pPr>
        <w:pStyle w:val="ATHeading3"/>
      </w:pPr>
      <w:bookmarkStart w:id="5" w:name="Sujet"/>
      <w:r w:rsidRPr="00D15209">
        <w:t xml:space="preserve">Резолюция на Европейския парламент от </w:t>
      </w:r>
      <w:r w:rsidR="00C4247E">
        <w:t>18 септември</w:t>
      </w:r>
      <w:r w:rsidR="00C4247E" w:rsidRPr="00D15209">
        <w:t xml:space="preserve"> </w:t>
      </w:r>
      <w:r w:rsidRPr="00D15209">
        <w:t xml:space="preserve">2024 г. относно проекта на регламент на Комисията за изменение на приложения II, III и V към Регламент (ЕО) № 396/2005 на Европейския парламент и на Съвета по отношение на максимално допустимите граници на остатъчни вещества за </w:t>
      </w:r>
      <w:proofErr w:type="spellStart"/>
      <w:r w:rsidRPr="00D15209">
        <w:t>беномил</w:t>
      </w:r>
      <w:proofErr w:type="spellEnd"/>
      <w:r w:rsidRPr="00D15209">
        <w:t xml:space="preserve">, </w:t>
      </w:r>
      <w:proofErr w:type="spellStart"/>
      <w:r w:rsidRPr="00D15209">
        <w:t>карбендазим</w:t>
      </w:r>
      <w:proofErr w:type="spellEnd"/>
      <w:r w:rsidRPr="00D15209">
        <w:t xml:space="preserve"> и </w:t>
      </w:r>
      <w:proofErr w:type="spellStart"/>
      <w:r w:rsidRPr="00D15209">
        <w:t>тиофанат</w:t>
      </w:r>
      <w:proofErr w:type="spellEnd"/>
      <w:r w:rsidRPr="00D15209">
        <w:t xml:space="preserve">-метил във и върху определени продукти </w:t>
      </w:r>
      <w:bookmarkStart w:id="6" w:name="References"/>
      <w:bookmarkEnd w:id="5"/>
      <w:r w:rsidRPr="00D15209">
        <w:t>(D089819/05 – 2024/2758(RPS))</w:t>
      </w:r>
      <w:bookmarkEnd w:id="6"/>
    </w:p>
    <w:p w:rsidR="00554C73" w:rsidRPr="00D15209" w:rsidRDefault="00554C73" w:rsidP="00554C73">
      <w:pPr>
        <w:pStyle w:val="EPComma"/>
      </w:pPr>
      <w:bookmarkStart w:id="7" w:name="TextBodyBegin"/>
      <w:bookmarkEnd w:id="7"/>
      <w:r w:rsidRPr="00D15209">
        <w:rPr>
          <w:i/>
        </w:rPr>
        <w:t>Европейският парламент</w:t>
      </w:r>
      <w:r w:rsidRPr="00D15209">
        <w:t>,</w:t>
      </w:r>
    </w:p>
    <w:p w:rsidR="00554C73" w:rsidRPr="00D15209" w:rsidRDefault="00554C73" w:rsidP="00554C73">
      <w:pPr>
        <w:pStyle w:val="NormalHanging12a"/>
      </w:pPr>
      <w:r w:rsidRPr="00D15209">
        <w:t>–</w:t>
      </w:r>
      <w:r w:rsidRPr="00D15209">
        <w:tab/>
        <w:t xml:space="preserve">като взе предвид проекта на регламент на Комисията за изменение на приложения II, III и V към Регламент (ЕО) № 396/2005 на Европейския парламент и на Съвета по отношение на максимално допустимите граници на остатъчни вещества за </w:t>
      </w:r>
      <w:proofErr w:type="spellStart"/>
      <w:r w:rsidRPr="00D15209">
        <w:t>беномил</w:t>
      </w:r>
      <w:proofErr w:type="spellEnd"/>
      <w:r w:rsidRPr="00D15209">
        <w:t xml:space="preserve">, </w:t>
      </w:r>
      <w:proofErr w:type="spellStart"/>
      <w:r w:rsidRPr="00D15209">
        <w:t>карбендазим</w:t>
      </w:r>
      <w:proofErr w:type="spellEnd"/>
      <w:r w:rsidRPr="00D15209">
        <w:t xml:space="preserve"> и </w:t>
      </w:r>
      <w:proofErr w:type="spellStart"/>
      <w:r w:rsidRPr="00D15209">
        <w:t>тиофанат</w:t>
      </w:r>
      <w:proofErr w:type="spellEnd"/>
      <w:r w:rsidRPr="00D15209">
        <w:t>-метил във и върху определени продукти (D089819/05),</w:t>
      </w:r>
    </w:p>
    <w:p w:rsidR="00554C73" w:rsidRPr="00D15209" w:rsidRDefault="00554C73" w:rsidP="00554C73">
      <w:pPr>
        <w:pStyle w:val="NormalHanging12a"/>
      </w:pPr>
      <w:r w:rsidRPr="00D15209">
        <w:t>–</w:t>
      </w:r>
      <w:r w:rsidRPr="00D15209">
        <w:tab/>
        <w:t>като взе предвид Регламент (ЕО) № 396/2005 на Европейския парламент и на Съвета от 23 февруари 2005 г. относно максимално допустимите граници на остатъчни вещества от пестициди във и върху храни или фуражи от растителен или животински произход и за изменение на Директива 91/414/ЕИО</w:t>
      </w:r>
      <w:r w:rsidRPr="00D15209">
        <w:rPr>
          <w:vertAlign w:val="superscript"/>
        </w:rPr>
        <w:footnoteReference w:id="1"/>
      </w:r>
      <w:r w:rsidRPr="00D15209">
        <w:t xml:space="preserve"> на Съвета, и по-специално член 14, параграф 1, буква а) от него,</w:t>
      </w:r>
    </w:p>
    <w:p w:rsidR="00554C73" w:rsidRPr="00D15209" w:rsidRDefault="00554C73" w:rsidP="00554C73">
      <w:pPr>
        <w:pStyle w:val="NormalHanging12a"/>
      </w:pPr>
      <w:r w:rsidRPr="00D15209">
        <w:t>–</w:t>
      </w:r>
      <w:r w:rsidRPr="00D15209">
        <w:tab/>
        <w:t>като взе предвид Регламент (ЕО) № 1107/2009 на Европейския парламент и на Съвета от 21 октомври 2009 г. относно пускането на пазара на продукти за растителна защита и за отмяна на директиви 79/117/ЕИО и 91/414/ЕИО на Съвета</w:t>
      </w:r>
      <w:r w:rsidRPr="00D15209">
        <w:rPr>
          <w:vertAlign w:val="superscript"/>
        </w:rPr>
        <w:footnoteReference w:id="2"/>
      </w:r>
      <w:r w:rsidRPr="00D15209">
        <w:t>, и по-специално член 4, параграф 1 и член 4, параграф 2, първа алинея, буква а) от него и точки 3.6.2, 3.6.4 и 3.6.5 от приложение II,</w:t>
      </w:r>
    </w:p>
    <w:p w:rsidR="00554C73" w:rsidRPr="00D15209" w:rsidRDefault="00554C73" w:rsidP="00554C73">
      <w:pPr>
        <w:pStyle w:val="NormalHanging12a"/>
      </w:pPr>
      <w:r w:rsidRPr="00D15209">
        <w:t>–</w:t>
      </w:r>
      <w:r w:rsidRPr="00D15209">
        <w:tab/>
        <w:t xml:space="preserve">като взе предвид 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w:t>
      </w:r>
      <w:r w:rsidRPr="00D15209">
        <w:lastRenderedPageBreak/>
        <w:t>храните</w:t>
      </w:r>
      <w:r w:rsidRPr="00D15209">
        <w:rPr>
          <w:vertAlign w:val="superscript"/>
        </w:rPr>
        <w:footnoteReference w:id="3"/>
      </w:r>
      <w:r w:rsidRPr="00D15209">
        <w:t>, и по-специално член 5, параграф 1 от него,</w:t>
      </w:r>
    </w:p>
    <w:p w:rsidR="00554C73" w:rsidRPr="00D15209" w:rsidRDefault="00554C73" w:rsidP="00554C73">
      <w:pPr>
        <w:pStyle w:val="NormalHanging12a"/>
      </w:pPr>
      <w:r w:rsidRPr="00D15209">
        <w:t>–</w:t>
      </w:r>
      <w:r w:rsidRPr="00D15209">
        <w:tab/>
        <w:t>като взе предвид членове 11, 13, 168 и 191 от Договора за функционирането на Европейския съюз,</w:t>
      </w:r>
    </w:p>
    <w:p w:rsidR="00554C73" w:rsidRPr="00D15209" w:rsidRDefault="00554C73" w:rsidP="00554C73">
      <w:pPr>
        <w:pStyle w:val="NormalHanging12a"/>
      </w:pPr>
      <w:r w:rsidRPr="00D15209">
        <w:t>–</w:t>
      </w:r>
      <w:r w:rsidRPr="00D15209">
        <w:tab/>
        <w:t>като взе предвид мотивираното становище на Европейския орган за безопасност на храните (ЕОБХ), прието на 5 юли 2021 г. и публикувано на 23 август 2021 г.</w:t>
      </w:r>
      <w:r w:rsidRPr="00D15209">
        <w:rPr>
          <w:vertAlign w:val="superscript"/>
        </w:rPr>
        <w:footnoteReference w:id="4"/>
      </w:r>
      <w:r w:rsidRPr="00D15209">
        <w:t>,</w:t>
      </w:r>
    </w:p>
    <w:p w:rsidR="00554C73" w:rsidRPr="00D15209" w:rsidRDefault="00554C73" w:rsidP="00554C73">
      <w:pPr>
        <w:pStyle w:val="NormalHanging12a"/>
      </w:pPr>
      <w:r w:rsidRPr="00D15209">
        <w:t>–</w:t>
      </w:r>
      <w:r w:rsidRPr="00D15209">
        <w:tab/>
        <w:t>като взе предвид актуализираното мотивирано становище, прието от ЕОБХ на 10 януари 2024 г. и публикувано на 20 февруари 2024 г.</w:t>
      </w:r>
      <w:r w:rsidRPr="00D15209">
        <w:rPr>
          <w:rStyle w:val="FootnoteReference"/>
        </w:rPr>
        <w:footnoteReference w:id="5"/>
      </w:r>
      <w:r w:rsidRPr="00D15209">
        <w:t>,</w:t>
      </w:r>
    </w:p>
    <w:p w:rsidR="00554C73" w:rsidRPr="00D15209" w:rsidRDefault="00554C73" w:rsidP="00554C73">
      <w:pPr>
        <w:pStyle w:val="NormalHanging12a"/>
      </w:pPr>
      <w:r w:rsidRPr="00D15209">
        <w:t>–</w:t>
      </w:r>
      <w:r w:rsidRPr="00D15209">
        <w:tab/>
        <w:t>като взе предвид заключението относно партньорската проверка във връзка с пестицидите, прието от ЕОБХ на 30 април 2010 г. и публикувано на 12 май 2010 г.</w:t>
      </w:r>
      <w:r w:rsidRPr="00D15209">
        <w:rPr>
          <w:vertAlign w:val="superscript"/>
        </w:rPr>
        <w:footnoteReference w:id="6"/>
      </w:r>
      <w:r w:rsidRPr="00D15209">
        <w:t>,</w:t>
      </w:r>
    </w:p>
    <w:p w:rsidR="00554C73" w:rsidRPr="00D15209" w:rsidRDefault="00554C73" w:rsidP="00554C73">
      <w:pPr>
        <w:pStyle w:val="NormalHanging12a"/>
      </w:pPr>
      <w:r w:rsidRPr="00D15209">
        <w:t>–</w:t>
      </w:r>
      <w:r w:rsidRPr="00D15209">
        <w:tab/>
        <w:t>като взе предвид заключението относно партньорската проверка във връзка с пестицидите, прието от ЕОБХ на 8 декември 2017 г. и публикувано на 17 януари 2018 г.</w:t>
      </w:r>
      <w:r w:rsidRPr="00D15209">
        <w:rPr>
          <w:vertAlign w:val="superscript"/>
        </w:rPr>
        <w:footnoteReference w:id="7"/>
      </w:r>
      <w:r w:rsidRPr="00D15209">
        <w:t>,</w:t>
      </w:r>
    </w:p>
    <w:p w:rsidR="00554C73" w:rsidRPr="00D15209" w:rsidRDefault="00554C73" w:rsidP="00554C73">
      <w:pPr>
        <w:pStyle w:val="NormalHanging12a"/>
      </w:pPr>
      <w:r w:rsidRPr="00D15209">
        <w:t>–</w:t>
      </w:r>
      <w:r w:rsidRPr="00D15209">
        <w:tab/>
        <w:t>като взе предвид изявлението, прието от ЕОБХ на 27 март 2024 г. и публикувано на 13 май 2024 г.</w:t>
      </w:r>
      <w:r w:rsidRPr="00D15209">
        <w:rPr>
          <w:vertAlign w:val="superscript"/>
        </w:rPr>
        <w:footnoteReference w:id="8"/>
      </w:r>
      <w:r w:rsidRPr="00D15209">
        <w:t>,</w:t>
      </w:r>
    </w:p>
    <w:p w:rsidR="00554C73" w:rsidRPr="00D15209" w:rsidRDefault="00554C73" w:rsidP="00554C73">
      <w:pPr>
        <w:pStyle w:val="NormalHanging12a"/>
      </w:pPr>
      <w:r w:rsidRPr="00D15209">
        <w:t>–</w:t>
      </w:r>
      <w:r w:rsidRPr="00D15209">
        <w:tab/>
        <w:t>като взе предвид становището, прието от Комитета за оценка на риска (КОР) на Европейската агенция по химикалите на 5 декември 2019 г.</w:t>
      </w:r>
      <w:r w:rsidRPr="00D15209">
        <w:rPr>
          <w:rStyle w:val="FootnoteReference"/>
        </w:rPr>
        <w:footnoteReference w:id="9"/>
      </w:r>
      <w:r w:rsidRPr="00D15209">
        <w:t>,</w:t>
      </w:r>
    </w:p>
    <w:p w:rsidR="00554C73" w:rsidRPr="00D15209" w:rsidRDefault="00554C73" w:rsidP="00554C73">
      <w:pPr>
        <w:pStyle w:val="NormalHanging12a"/>
      </w:pPr>
      <w:r w:rsidRPr="00D15209">
        <w:t>–</w:t>
      </w:r>
      <w:r w:rsidRPr="00D15209">
        <w:tab/>
        <w:t xml:space="preserve">като взе предвид член 5а, параграф 3, буква б) и член 5а, параграф 5 от Решение 1999/468/ЕО на Съвета от 28 юни 1999 г. за установяване на условията и реда за </w:t>
      </w:r>
      <w:r w:rsidRPr="00D15209">
        <w:lastRenderedPageBreak/>
        <w:t>упражняване на изпълнителните правомощия, предоставени на Комисията</w:t>
      </w:r>
      <w:r w:rsidRPr="00D15209">
        <w:rPr>
          <w:rStyle w:val="FootnoteReference"/>
        </w:rPr>
        <w:footnoteReference w:id="10"/>
      </w:r>
      <w:r w:rsidRPr="00D15209">
        <w:t>,</w:t>
      </w:r>
    </w:p>
    <w:p w:rsidR="00554C73" w:rsidRPr="00D15209" w:rsidRDefault="00554C73" w:rsidP="00554C73">
      <w:pPr>
        <w:pStyle w:val="NormalHanging12a"/>
      </w:pPr>
      <w:r w:rsidRPr="00D15209">
        <w:t>–</w:t>
      </w:r>
      <w:r w:rsidRPr="00D15209">
        <w:tab/>
        <w:t>като взе предвид член 115, параграфи 2 и 3, и член 115, параграф 4, буква в) от своя Правилник за дейността,</w:t>
      </w:r>
    </w:p>
    <w:p w:rsidR="00554C73" w:rsidRPr="00D15209" w:rsidRDefault="00554C73" w:rsidP="00554C73">
      <w:pPr>
        <w:pStyle w:val="NormalHanging12a"/>
      </w:pPr>
      <w:r w:rsidRPr="00D15209">
        <w:t>–</w:t>
      </w:r>
      <w:r w:rsidRPr="00D15209">
        <w:tab/>
        <w:t>като взе предвид предложението за резолюция на комисията по околна среда, обществено здраве и безопасност на храните,</w:t>
      </w:r>
    </w:p>
    <w:p w:rsidR="00554C73" w:rsidRPr="00D15209" w:rsidRDefault="00554C73" w:rsidP="00554C73">
      <w:pPr>
        <w:pStyle w:val="NormalHanging12a"/>
      </w:pPr>
      <w:r w:rsidRPr="00D15209">
        <w:t>А.</w:t>
      </w:r>
      <w:r w:rsidRPr="00D15209">
        <w:tab/>
        <w:t>като има предвид, че едно от основните изисквания по време на протестите на земеделските стопани, проведени през първата половина на 2024 г., беше за справедливо и равно третиране на продуктите, внасяни от трети държави, които следва да следват същите стандарти като продуктите, произведени в Съюза;</w:t>
      </w:r>
    </w:p>
    <w:p w:rsidR="00554C73" w:rsidRPr="00D15209" w:rsidRDefault="00554C73" w:rsidP="00554C73">
      <w:pPr>
        <w:pStyle w:val="NormalHanging12a"/>
      </w:pPr>
      <w:r w:rsidRPr="00D15209">
        <w:t>Б.</w:t>
      </w:r>
      <w:r w:rsidRPr="00D15209">
        <w:tab/>
        <w:t>като има предвид, че ако проектът на регламент на Комисията бъде приет, това би дало възможност да продължи вносът в Съюза, който не отговаря на стандартите, към които се придържат земеделските стопани от Съюза;</w:t>
      </w:r>
    </w:p>
    <w:p w:rsidR="00554C73" w:rsidRPr="00D15209" w:rsidRDefault="00554C73" w:rsidP="00554C73">
      <w:pPr>
        <w:pStyle w:val="NormalHanging12a"/>
      </w:pPr>
      <w:r w:rsidRPr="00D15209">
        <w:t>В.</w:t>
      </w:r>
      <w:r w:rsidRPr="00D15209">
        <w:tab/>
        <w:t>като има предвид, че подобно положение би поставило земеделските стопани в Съюза в неблагоприятно конкурентно положение;</w:t>
      </w:r>
    </w:p>
    <w:p w:rsidR="00554C73" w:rsidRPr="00D15209" w:rsidRDefault="00554C73" w:rsidP="00554C73">
      <w:pPr>
        <w:pStyle w:val="NormalHanging12a"/>
      </w:pPr>
      <w:r w:rsidRPr="00D15209">
        <w:t>Г.</w:t>
      </w:r>
      <w:r w:rsidRPr="00D15209">
        <w:tab/>
        <w:t xml:space="preserve">като има предвид, че срокът на одобрението на активното вещество </w:t>
      </w:r>
      <w:proofErr w:type="spellStart"/>
      <w:r w:rsidRPr="00D15209">
        <w:t>карбендазим</w:t>
      </w:r>
      <w:proofErr w:type="spellEnd"/>
      <w:r w:rsidRPr="00D15209">
        <w:t xml:space="preserve"> изтече на 30 ноември 2014 г. и не беше подадено заявление за подновяването му;</w:t>
      </w:r>
    </w:p>
    <w:p w:rsidR="00554C73" w:rsidRPr="00D15209" w:rsidRDefault="00554C73" w:rsidP="00554C73">
      <w:pPr>
        <w:pStyle w:val="NormalHanging12a"/>
      </w:pPr>
      <w:r w:rsidRPr="00D15209">
        <w:t>Д.</w:t>
      </w:r>
      <w:r w:rsidRPr="00D15209">
        <w:tab/>
        <w:t xml:space="preserve">като има предвид, че </w:t>
      </w:r>
      <w:proofErr w:type="spellStart"/>
      <w:r w:rsidRPr="00D15209">
        <w:t>карбендазимът</w:t>
      </w:r>
      <w:proofErr w:type="spellEnd"/>
      <w:r w:rsidRPr="00D15209">
        <w:t xml:space="preserve"> отговаря на критериите за класифициране като </w:t>
      </w:r>
      <w:proofErr w:type="spellStart"/>
      <w:r w:rsidRPr="00D15209">
        <w:t>мутагенно</w:t>
      </w:r>
      <w:proofErr w:type="spellEnd"/>
      <w:r w:rsidRPr="00D15209">
        <w:t xml:space="preserve"> вещество от категория 1B и токсично за репродукцията вещество от категория 1B в съответствие с Регламент (ЕО) № 1272/2008 на Европейския парламент и на Съвета</w:t>
      </w:r>
      <w:r w:rsidRPr="00D15209">
        <w:rPr>
          <w:rStyle w:val="FootnoteReference"/>
        </w:rPr>
        <w:footnoteReference w:id="11"/>
      </w:r>
      <w:r w:rsidRPr="00D15209">
        <w:t xml:space="preserve"> и на два от критериите за устойчиво, </w:t>
      </w:r>
      <w:proofErr w:type="spellStart"/>
      <w:r w:rsidRPr="00D15209">
        <w:t>биокумулиращо</w:t>
      </w:r>
      <w:proofErr w:type="spellEnd"/>
      <w:r w:rsidRPr="00D15209">
        <w:t xml:space="preserve"> и токсично вещество (PBT) (P и T) в съответствие с точка 3.7.2 от приложение II към Регламент (ЕО) № 1107/2009;</w:t>
      </w:r>
    </w:p>
    <w:p w:rsidR="00554C73" w:rsidRPr="00D15209" w:rsidRDefault="00554C73" w:rsidP="00554C73">
      <w:pPr>
        <w:pStyle w:val="NormalHanging12a"/>
      </w:pPr>
      <w:r w:rsidRPr="00D15209">
        <w:t>Е.</w:t>
      </w:r>
      <w:r w:rsidRPr="00D15209">
        <w:tab/>
        <w:t xml:space="preserve">като има предвид, че </w:t>
      </w:r>
      <w:proofErr w:type="spellStart"/>
      <w:r w:rsidRPr="00D15209">
        <w:t>карбендазимът</w:t>
      </w:r>
      <w:proofErr w:type="spellEnd"/>
      <w:r w:rsidRPr="00D15209">
        <w:t xml:space="preserve"> също така е класифициран в съответствие с Регламент (ЕО) № 1272/2008 като силно токсичен за водните организми, силно токсичен е за водните организми с дълготраен ефект и може да причини алергична кожна реакция;</w:t>
      </w:r>
    </w:p>
    <w:p w:rsidR="00554C73" w:rsidRPr="00D15209" w:rsidRDefault="00554C73" w:rsidP="00554C73">
      <w:pPr>
        <w:pStyle w:val="NormalHanging12a"/>
      </w:pPr>
      <w:r w:rsidRPr="00D15209">
        <w:t>Ж.</w:t>
      </w:r>
      <w:r w:rsidRPr="00D15209">
        <w:tab/>
        <w:t xml:space="preserve">като има предвид, че поради това е целесъобразно да се заличат съществуващите максимално допустими граници на остатъчни вещества (МДГОВ), определени за </w:t>
      </w:r>
      <w:proofErr w:type="spellStart"/>
      <w:r w:rsidRPr="00D15209">
        <w:t>карбендазима</w:t>
      </w:r>
      <w:proofErr w:type="spellEnd"/>
      <w:r w:rsidRPr="00D15209">
        <w:t xml:space="preserve"> в приложение II към Регламент (ЕО) № 396/2005, в съответствие с член 14, параграф 1, буква а) и член 17 от този регламент;</w:t>
      </w:r>
    </w:p>
    <w:p w:rsidR="00554C73" w:rsidRPr="00D15209" w:rsidRDefault="00554C73" w:rsidP="00554C73">
      <w:pPr>
        <w:pStyle w:val="NormalHanging12a"/>
      </w:pPr>
      <w:r w:rsidRPr="00D15209">
        <w:t>З.</w:t>
      </w:r>
      <w:r w:rsidRPr="00D15209">
        <w:tab/>
        <w:t xml:space="preserve">като има предвид обаче, че в проекта на регламент на Комисията същата предлага да се запазят МДГОВ въз основа на допустимите за целите на вноса стойности за </w:t>
      </w:r>
      <w:proofErr w:type="spellStart"/>
      <w:r w:rsidRPr="00D15209">
        <w:t>карбендазим</w:t>
      </w:r>
      <w:proofErr w:type="spellEnd"/>
      <w:r w:rsidRPr="00D15209">
        <w:t xml:space="preserve"> над границата на определяне за употреба при лимони, зелени лимони, мандарини и бамя за целите на вноса на основата на мотивираното </w:t>
      </w:r>
      <w:r w:rsidRPr="00D15209">
        <w:lastRenderedPageBreak/>
        <w:t>становище на ЕОБХ от 5 юли 2021 г.;</w:t>
      </w:r>
    </w:p>
    <w:p w:rsidR="00554C73" w:rsidRPr="00D15209" w:rsidRDefault="00554C73" w:rsidP="00554C73">
      <w:pPr>
        <w:pStyle w:val="NormalHanging12a"/>
      </w:pPr>
      <w:r w:rsidRPr="00D15209">
        <w:t>И.</w:t>
      </w:r>
      <w:r w:rsidRPr="00D15209">
        <w:tab/>
        <w:t>като има предвид, че в проекта на регламент на Комисията същата предлага да се запазят МДГОВ въз основа на допустимите за целите на вноса стойности за лимони, зелени лимони и мандарини на съществуващите нива от 0,7 </w:t>
      </w:r>
      <w:proofErr w:type="spellStart"/>
      <w:r w:rsidRPr="00D15209">
        <w:t>mg</w:t>
      </w:r>
      <w:proofErr w:type="spellEnd"/>
      <w:r w:rsidRPr="00D15209">
        <w:t>/</w:t>
      </w:r>
      <w:proofErr w:type="spellStart"/>
      <w:r w:rsidRPr="00D15209">
        <w:t>kg</w:t>
      </w:r>
      <w:proofErr w:type="spellEnd"/>
      <w:r w:rsidRPr="00D15209">
        <w:t xml:space="preserve"> и да се определят МДГОВ за бамя на установено от ЕОБХ ново ниво от 1,5 </w:t>
      </w:r>
      <w:proofErr w:type="spellStart"/>
      <w:r w:rsidRPr="00D15209">
        <w:t>mg</w:t>
      </w:r>
      <w:proofErr w:type="spellEnd"/>
      <w:r w:rsidRPr="00D15209">
        <w:t>/</w:t>
      </w:r>
      <w:proofErr w:type="spellStart"/>
      <w:r w:rsidRPr="00D15209">
        <w:t>kg</w:t>
      </w:r>
      <w:proofErr w:type="spellEnd"/>
      <w:r w:rsidRPr="00D15209">
        <w:t xml:space="preserve">; </w:t>
      </w:r>
    </w:p>
    <w:p w:rsidR="00554C73" w:rsidRPr="00D15209" w:rsidRDefault="00554C73" w:rsidP="00554C73">
      <w:pPr>
        <w:pStyle w:val="NormalHanging12a"/>
      </w:pPr>
      <w:r w:rsidRPr="00D15209">
        <w:t>Й.</w:t>
      </w:r>
      <w:r w:rsidRPr="00D15209">
        <w:tab/>
        <w:t xml:space="preserve">като има предвид, че одобрението на активното вещество </w:t>
      </w:r>
      <w:proofErr w:type="spellStart"/>
      <w:r w:rsidRPr="00D15209">
        <w:t>тиофанат</w:t>
      </w:r>
      <w:proofErr w:type="spellEnd"/>
      <w:r w:rsidRPr="00D15209">
        <w:t>-метил не беше подновено на 15 октомври 2020 г., след като заявлението за подновяването му беше оттеглено от заявителя;</w:t>
      </w:r>
    </w:p>
    <w:p w:rsidR="00554C73" w:rsidRPr="00D15209" w:rsidRDefault="00554C73" w:rsidP="00554C73">
      <w:pPr>
        <w:pStyle w:val="NormalHanging12a"/>
      </w:pPr>
      <w:r w:rsidRPr="00D15209">
        <w:t>К.</w:t>
      </w:r>
      <w:r w:rsidRPr="00D15209">
        <w:tab/>
        <w:t xml:space="preserve">като има предвид, че </w:t>
      </w:r>
      <w:proofErr w:type="spellStart"/>
      <w:r w:rsidRPr="00D15209">
        <w:t>тиофанат</w:t>
      </w:r>
      <w:proofErr w:type="spellEnd"/>
      <w:r w:rsidRPr="00D15209">
        <w:t xml:space="preserve">-метилът отговаря на критериите за класифициране като </w:t>
      </w:r>
      <w:proofErr w:type="spellStart"/>
      <w:r w:rsidRPr="00D15209">
        <w:t>мутагенно</w:t>
      </w:r>
      <w:proofErr w:type="spellEnd"/>
      <w:r w:rsidRPr="00D15209">
        <w:t xml:space="preserve"> вещество от категория 2 и токсично за репродукцията вещество от категория 2 в съответствие с Регламент (ЕО) № 1272/2008</w:t>
      </w:r>
      <w:r w:rsidRPr="00D15209">
        <w:rPr>
          <w:rStyle w:val="FootnoteReference"/>
        </w:rPr>
        <w:footnoteReference w:id="12"/>
      </w:r>
      <w:r w:rsidRPr="00D15209">
        <w:t>;</w:t>
      </w:r>
    </w:p>
    <w:p w:rsidR="00554C73" w:rsidRPr="00D15209" w:rsidRDefault="00554C73" w:rsidP="00554C73">
      <w:pPr>
        <w:pStyle w:val="NormalHanging12a"/>
      </w:pPr>
      <w:r w:rsidRPr="00D15209">
        <w:t>Л.</w:t>
      </w:r>
      <w:r w:rsidRPr="00D15209">
        <w:tab/>
        <w:t xml:space="preserve">като има предвид, че в своето актуализирано мотивирано становище от 10 януари 2024 г. ЕОБХ определи </w:t>
      </w:r>
      <w:proofErr w:type="spellStart"/>
      <w:r w:rsidRPr="00D15209">
        <w:t>тиофанат</w:t>
      </w:r>
      <w:proofErr w:type="spellEnd"/>
      <w:r w:rsidRPr="00D15209">
        <w:t>-метила като нарушител на функциите на ендокринната система (Т модалност) от значение за хората съгласно научните критерии за определянето на свойствата, нарушаващи функциите на ендокринната система, които са установени в Регламент (ЕС) 2018/605 на Комисията</w:t>
      </w:r>
      <w:r w:rsidRPr="00D15209">
        <w:rPr>
          <w:rStyle w:val="FootnoteReference"/>
        </w:rPr>
        <w:footnoteReference w:id="13"/>
      </w:r>
      <w:r w:rsidRPr="00D15209">
        <w:t>;</w:t>
      </w:r>
    </w:p>
    <w:p w:rsidR="00554C73" w:rsidRPr="00D15209" w:rsidRDefault="00554C73" w:rsidP="00554C73">
      <w:pPr>
        <w:pStyle w:val="NormalHanging12a"/>
      </w:pPr>
      <w:r w:rsidRPr="00D15209">
        <w:t>М.</w:t>
      </w:r>
      <w:r w:rsidRPr="00D15209">
        <w:tab/>
        <w:t xml:space="preserve">като има предвид, че </w:t>
      </w:r>
      <w:proofErr w:type="spellStart"/>
      <w:r w:rsidRPr="00D15209">
        <w:t>карбендазимът</w:t>
      </w:r>
      <w:proofErr w:type="spellEnd"/>
      <w:r w:rsidRPr="00D15209">
        <w:t xml:space="preserve"> е основен растителен </w:t>
      </w:r>
      <w:proofErr w:type="spellStart"/>
      <w:r w:rsidRPr="00D15209">
        <w:t>метаболит</w:t>
      </w:r>
      <w:proofErr w:type="spellEnd"/>
      <w:r w:rsidRPr="00D15209">
        <w:t xml:space="preserve"> на </w:t>
      </w:r>
      <w:proofErr w:type="spellStart"/>
      <w:r w:rsidRPr="00D15209">
        <w:t>тиофанат</w:t>
      </w:r>
      <w:proofErr w:type="spellEnd"/>
      <w:r w:rsidRPr="00D15209">
        <w:t>-метила;</w:t>
      </w:r>
    </w:p>
    <w:p w:rsidR="00554C73" w:rsidRPr="00D15209" w:rsidRDefault="00554C73" w:rsidP="00554C73">
      <w:pPr>
        <w:pStyle w:val="NormalHanging12a"/>
      </w:pPr>
      <w:r w:rsidRPr="00D15209">
        <w:t>Н.</w:t>
      </w:r>
      <w:r w:rsidRPr="00D15209">
        <w:tab/>
        <w:t xml:space="preserve">като има предвид, че заключението на ЕОБХ относно партньорската проверка във връзка с пестицидите от 8 декември 2017 г. заключава, че предвид </w:t>
      </w:r>
      <w:proofErr w:type="spellStart"/>
      <w:r w:rsidRPr="00D15209">
        <w:t>кластогенния</w:t>
      </w:r>
      <w:proofErr w:type="spellEnd"/>
      <w:r w:rsidRPr="00D15209">
        <w:t xml:space="preserve"> потенциал на </w:t>
      </w:r>
      <w:proofErr w:type="spellStart"/>
      <w:r w:rsidRPr="00D15209">
        <w:t>тиофанат</w:t>
      </w:r>
      <w:proofErr w:type="spellEnd"/>
      <w:r w:rsidRPr="00D15209">
        <w:t>-метила не могат да бъдат извлечени токсикологичните референтни стойности за оценка на риска за потребителите и операторите;</w:t>
      </w:r>
    </w:p>
    <w:p w:rsidR="00554C73" w:rsidRPr="00D15209" w:rsidRDefault="00554C73" w:rsidP="00554C73">
      <w:pPr>
        <w:pStyle w:val="NormalHanging12a"/>
      </w:pPr>
      <w:r w:rsidRPr="00D15209">
        <w:t>О.</w:t>
      </w:r>
      <w:r w:rsidRPr="00D15209">
        <w:tab/>
        <w:t xml:space="preserve">като има предвид, че през 2024 г. Комисията намали МДГОВ за </w:t>
      </w:r>
      <w:proofErr w:type="spellStart"/>
      <w:r w:rsidRPr="00D15209">
        <w:t>тиаклоприд</w:t>
      </w:r>
      <w:proofErr w:type="spellEnd"/>
      <w:r w:rsidRPr="00D15209">
        <w:t xml:space="preserve">, активно вещество, класифицирано като токсично за репродукцията от категория 1B, до съответната граница на определяне, като заяви, че „в очакване на заключението на Органа от тази допълнителна оценка на риска [относно свързаните с ендокринната система последици] и предвид наличната </w:t>
      </w:r>
      <w:proofErr w:type="spellStart"/>
      <w:r w:rsidRPr="00D15209">
        <w:t>относима</w:t>
      </w:r>
      <w:proofErr w:type="spellEnd"/>
      <w:r w:rsidRPr="00D15209">
        <w:t xml:space="preserve"> информация по отношение на потенциално вредните последици за човешкото здраве, е целесъобразно временно да се намалят МДГОВ ... [за посочените продукти]“</w:t>
      </w:r>
      <w:r w:rsidRPr="00D15209">
        <w:rPr>
          <w:rStyle w:val="FootnoteReference"/>
        </w:rPr>
        <w:footnoteReference w:id="14"/>
      </w:r>
      <w:r w:rsidRPr="00D15209">
        <w:t>;</w:t>
      </w:r>
    </w:p>
    <w:p w:rsidR="00554C73" w:rsidRPr="00D15209" w:rsidRDefault="00554C73" w:rsidP="00554C73">
      <w:pPr>
        <w:pStyle w:val="NormalHanging12a"/>
      </w:pPr>
      <w:r w:rsidRPr="00D15209">
        <w:t>П.</w:t>
      </w:r>
      <w:r w:rsidRPr="00D15209">
        <w:tab/>
        <w:t xml:space="preserve">като има предвид, че поради това е целесъобразно да се заличат съществуващите МДГОВ, определени за </w:t>
      </w:r>
      <w:proofErr w:type="spellStart"/>
      <w:r w:rsidRPr="00D15209">
        <w:t>тиофанат</w:t>
      </w:r>
      <w:proofErr w:type="spellEnd"/>
      <w:r w:rsidRPr="00D15209">
        <w:t xml:space="preserve">-метила в приложение II към Регламент (ЕО) </w:t>
      </w:r>
      <w:r w:rsidRPr="00D15209">
        <w:lastRenderedPageBreak/>
        <w:t>№ 396/2005, в съответствие с член 14, параграф 1, буква а) и член 17 от този регламент;</w:t>
      </w:r>
    </w:p>
    <w:p w:rsidR="00554C73" w:rsidRPr="00D15209" w:rsidRDefault="00554C73" w:rsidP="00554C73">
      <w:pPr>
        <w:pStyle w:val="NormalHanging12a"/>
      </w:pPr>
      <w:r w:rsidRPr="00D15209">
        <w:t>Р.</w:t>
      </w:r>
      <w:r w:rsidRPr="00D15209">
        <w:tab/>
        <w:t xml:space="preserve">като има предвид обаче, че в проекта на регламент на Комисията същата предлага да се запазят МДГОВ въз основа на допустимост на вноса за </w:t>
      </w:r>
      <w:proofErr w:type="spellStart"/>
      <w:r w:rsidRPr="00D15209">
        <w:t>тиофанат</w:t>
      </w:r>
      <w:proofErr w:type="spellEnd"/>
      <w:r w:rsidRPr="00D15209">
        <w:t xml:space="preserve">-метил над границата на определяне за употреба при зелени лимони и бамя за целите на вноса на основата на мотивираното становище на ЕОБХ от 5 юли 2021 г.; като има предвид, че МДГОВ за </w:t>
      </w:r>
      <w:proofErr w:type="spellStart"/>
      <w:r w:rsidRPr="00D15209">
        <w:t>тиофанат</w:t>
      </w:r>
      <w:proofErr w:type="spellEnd"/>
      <w:r w:rsidRPr="00D15209">
        <w:t>-метил за зелени лимони е определена на 6 </w:t>
      </w:r>
      <w:proofErr w:type="spellStart"/>
      <w:r w:rsidRPr="00D15209">
        <w:t>mg</w:t>
      </w:r>
      <w:proofErr w:type="spellEnd"/>
      <w:r w:rsidRPr="00D15209">
        <w:t>/</w:t>
      </w:r>
      <w:proofErr w:type="spellStart"/>
      <w:r w:rsidRPr="00D15209">
        <w:t>kg</w:t>
      </w:r>
      <w:proofErr w:type="spellEnd"/>
      <w:r w:rsidRPr="00D15209">
        <w:t>, което е 600 пъти границата на определяне;</w:t>
      </w:r>
    </w:p>
    <w:p w:rsidR="00554C73" w:rsidRPr="00D15209" w:rsidRDefault="00554C73" w:rsidP="00554C73">
      <w:pPr>
        <w:pStyle w:val="NormalHanging12a"/>
      </w:pPr>
      <w:r w:rsidRPr="00D15209">
        <w:t>С.</w:t>
      </w:r>
      <w:r w:rsidRPr="00D15209">
        <w:tab/>
        <w:t xml:space="preserve">като има предвид, че в съображение 5 от Регламент (ЕО) № 396/2005 се предвижда, че остатъчните вещества не следва да присъстват на равнища, представляващи неприемлив риск за хората и когато е </w:t>
      </w:r>
      <w:proofErr w:type="spellStart"/>
      <w:r w:rsidRPr="00D15209">
        <w:t>относимо</w:t>
      </w:r>
      <w:proofErr w:type="spellEnd"/>
      <w:r w:rsidRPr="00D15209">
        <w:t xml:space="preserve">, за животните; </w:t>
      </w:r>
    </w:p>
    <w:p w:rsidR="00554C73" w:rsidRPr="00D15209" w:rsidRDefault="00554C73" w:rsidP="00554C73">
      <w:pPr>
        <w:pStyle w:val="NormalHanging12a"/>
      </w:pPr>
      <w:r w:rsidRPr="00D15209">
        <w:t>Т.</w:t>
      </w:r>
      <w:r w:rsidRPr="00D15209">
        <w:tab/>
        <w:t xml:space="preserve">като има предвид, че член 4, параграф 2, първа алинея, буква а) от Регламент (ЕО) № 1107/2009 предвижда, че остатъчните вещества от продукти за растителна защита не трябва да оказват никакво вредно въздействие върху здравето на хората, включително върху здравето на уязвими групи от населението, нито върху здравето на животните, като се вземат предвид познатите кумулативни и </w:t>
      </w:r>
      <w:proofErr w:type="spellStart"/>
      <w:r w:rsidRPr="00D15209">
        <w:t>синергични</w:t>
      </w:r>
      <w:proofErr w:type="spellEnd"/>
      <w:r w:rsidRPr="00D15209">
        <w:t xml:space="preserve"> въздействия; като има предвид, че в точка 3.6.2 от приложение II към посочения регламент се предвижда, че активно вещество, класифицирано в съответствие с Регламент (ЕО) № 1272/2008 като </w:t>
      </w:r>
      <w:proofErr w:type="spellStart"/>
      <w:r w:rsidRPr="00D15209">
        <w:t>мутагенна</w:t>
      </w:r>
      <w:proofErr w:type="spellEnd"/>
      <w:r w:rsidRPr="00D15209">
        <w:t xml:space="preserve"> категория 1A или 1B, не се одобрява; като има предвид, че в точка 3.6.4 от цитираното приложение се предвижда, че активно вещество, класифицирано в съответствие с Регламент (ЕО) № 1272/2008 като токсично за репродукцията от категория 1A или 1B, не се одобрява, освен ако „остатъчните вещества от съответното активно вещество [...] в храните и фуражите не надхвърлят стойността по подразбиране, определена в съответствие с член 18, параграф 1, буква б) от Регламент (ЕО) № 396/2005“; като има предвид, че в точка 3.6.5 от цитираното приложение се предвижда, че активно вещество не се одобрява в случай че има свойства, нарушаващи функциите на ендокринната система, освен ако „остатъчните вещества от съответното активно вещество [...] в храните и фуражите не надхвърлят стойността по подразбиране, определена в съответствие с член 18, параграф 1, буква б) от Регламент (ЕО) № 396/2005“; като има предвид, че в член 18, параграф 1, буква б) от Регламент (ЕО) № 396/2005 се определя стойност по подразбиране от 0,01 </w:t>
      </w:r>
      <w:proofErr w:type="spellStart"/>
      <w:r w:rsidRPr="00D15209">
        <w:t>mg</w:t>
      </w:r>
      <w:proofErr w:type="spellEnd"/>
      <w:r w:rsidRPr="00D15209">
        <w:t>/</w:t>
      </w:r>
      <w:proofErr w:type="spellStart"/>
      <w:r w:rsidRPr="00D15209">
        <w:t>kg</w:t>
      </w:r>
      <w:proofErr w:type="spellEnd"/>
      <w:r w:rsidRPr="00D15209">
        <w:t>;</w:t>
      </w:r>
    </w:p>
    <w:p w:rsidR="00554C73" w:rsidRPr="00D15209" w:rsidRDefault="00554C73" w:rsidP="00554C73">
      <w:pPr>
        <w:pStyle w:val="NormalHanging12a"/>
      </w:pPr>
      <w:r w:rsidRPr="00D15209">
        <w:t>У.</w:t>
      </w:r>
      <w:r w:rsidRPr="00D15209">
        <w:tab/>
        <w:t xml:space="preserve">като има предвид, че в член 3, параграф 2, буква ж) от Регламент (ЕО) № 396/2005 се предвижда, че допустимите за вноса стойности са МДГОВ, определени за вносни продукти, когато „използването на активното вещество в продукт за растителна защита върху даден продукт не е разрешено в Общността по причини, различни от свързаните с общественото здраве за конкретния продукт и конкретната употреба“; като има предвид, че </w:t>
      </w:r>
      <w:proofErr w:type="spellStart"/>
      <w:r w:rsidRPr="00D15209">
        <w:t>карбендазим</w:t>
      </w:r>
      <w:proofErr w:type="spellEnd"/>
      <w:r w:rsidRPr="00D15209">
        <w:t xml:space="preserve"> не отговаря на тези критерии, тъй като вече не може да бъде одобрен в Съюза вследствие на класифицирането му като </w:t>
      </w:r>
      <w:proofErr w:type="spellStart"/>
      <w:r w:rsidRPr="00D15209">
        <w:t>мутагенно</w:t>
      </w:r>
      <w:proofErr w:type="spellEnd"/>
      <w:r w:rsidRPr="00D15209">
        <w:t xml:space="preserve"> вещество от категория 1B и токсично за репродукцията от категория 1B; като има предвид, че </w:t>
      </w:r>
      <w:proofErr w:type="spellStart"/>
      <w:r w:rsidRPr="00D15209">
        <w:t>тиофанат</w:t>
      </w:r>
      <w:proofErr w:type="spellEnd"/>
      <w:r w:rsidRPr="00D15209">
        <w:t>-метил също не отговаря на тези критерии, тъй като е определен като нарушител на функциите на ендокринната система (Т модалност) от значение за хората съгласно научните критерии за определянето на свойствата, нарушаващи функциите на ендокринната система, установени в Регламент (ЕС) 2018/605;</w:t>
      </w:r>
    </w:p>
    <w:p w:rsidR="00554C73" w:rsidRPr="00D15209" w:rsidRDefault="00554C73" w:rsidP="00554C73">
      <w:pPr>
        <w:pStyle w:val="NormalHanging12a"/>
      </w:pPr>
      <w:r w:rsidRPr="00D15209">
        <w:t>Ф.</w:t>
      </w:r>
      <w:r w:rsidRPr="00D15209">
        <w:tab/>
        <w:t xml:space="preserve">като има предвид, че съгласно член 5, параграф 1 от Регламент (ЕО) № 178/2002 </w:t>
      </w:r>
      <w:r w:rsidRPr="00D15209">
        <w:lastRenderedPageBreak/>
        <w:t>законодателството в областта на храните се стреми към постигането на една или повече от общите цели за висока степен на опазване на живота и здравето на човека и защита на интересите на потребителите, включително практики за лоялна търговия с храни, като по целесъобразност се вземат под внимание опазването на здравето на животните и хуманното отношение към тях, здравето на растенията и околната среда;</w:t>
      </w:r>
    </w:p>
    <w:p w:rsidR="00554C73" w:rsidRPr="00D15209" w:rsidRDefault="00554C73" w:rsidP="00554C73">
      <w:pPr>
        <w:pStyle w:val="NormalHanging12a"/>
      </w:pPr>
      <w:r w:rsidRPr="00D15209">
        <w:t>Х.</w:t>
      </w:r>
      <w:r w:rsidRPr="00D15209">
        <w:tab/>
        <w:t>като има предвид, че в своето съобщение от 20 май 2020 г., озаглавено „Стратегия „От фермата до трапезата за справедлива, здравословна и екологосъобразна продоволствена система“</w:t>
      </w:r>
      <w:r w:rsidRPr="00D15209">
        <w:rPr>
          <w:vertAlign w:val="superscript"/>
        </w:rPr>
        <w:footnoteReference w:id="15"/>
      </w:r>
      <w:r w:rsidRPr="00D15209">
        <w:t>, Комисията обяви, че „ЕС ще насърчава глобалния преход към устойчиви системи в сектора на селското стопанство и хранително-вкусовата промишленост в съответствие с целите на настоящата стратегия и целите за устойчиво развитие“ и че „чрез настоящата стратегия ЕС може да играе решаваща роля в определянето на световните стандарти“; като има предвид, че в стратегията Комисията изрично заявява, че „за по-устойчива продоволствена система на ЕС е необходимо да има още по-устойчиви практики от страна на нашите търговски партньори. За да подпомогне постепенното преминаване към употреба на по-безопасни продукти за растителна защита, ЕС ще обмисли – съобразявайки се с правилата на СТО и след извършването на оценка на риска – извършването на преглед на допустимите за целите на вноса стойности за вещества, които отговарят на т.нар. „критерии за изключване“ и които представляват високо равнище на риск за здравето на човека“;</w:t>
      </w:r>
    </w:p>
    <w:p w:rsidR="00554C73" w:rsidRPr="00D15209" w:rsidRDefault="00554C73" w:rsidP="00554C73">
      <w:pPr>
        <w:pStyle w:val="NormalHanging12a"/>
      </w:pPr>
      <w:r w:rsidRPr="00D15209">
        <w:t>Ц.</w:t>
      </w:r>
      <w:r w:rsidRPr="00D15209">
        <w:tab/>
        <w:t>като има предвид, че Комисията трябва да защитава околната среда и европейските граждани въз основа на наличната научна информация, като използва задълженията и правните възможности, предвидени в Регламент (ЕО) № 396/2005 и Регламент (ЕО) № 178/2002, за да се гарантира високо равнище на опазване на здравето на хората и животните и на околната среда;</w:t>
      </w:r>
    </w:p>
    <w:p w:rsidR="00554C73" w:rsidRPr="00D15209" w:rsidRDefault="00554C73" w:rsidP="00554C73">
      <w:pPr>
        <w:pStyle w:val="NormalHanging12a"/>
      </w:pPr>
      <w:r w:rsidRPr="00D15209">
        <w:t>Ч.</w:t>
      </w:r>
      <w:r w:rsidRPr="00D15209">
        <w:tab/>
        <w:t>като има предвид, че предложените МДГОВ не защитават здравето на гражданите в Европа и следователно противоречат на разпоредбите на Регламент (ЕО) № 396/2005 и Регламент (ЕО) № 178/2002;</w:t>
      </w:r>
    </w:p>
    <w:p w:rsidR="00554C73" w:rsidRPr="00D15209" w:rsidRDefault="00554C73" w:rsidP="00554C73">
      <w:pPr>
        <w:pStyle w:val="NormalHanging12a"/>
      </w:pPr>
      <w:r w:rsidRPr="00D15209">
        <w:t xml:space="preserve">Ш. </w:t>
      </w:r>
      <w:r w:rsidRPr="00D15209">
        <w:tab/>
        <w:t xml:space="preserve">като има предвид, че МДГОВ не следва да се определят за активни вещества, които не са одобрени в Съюза поради опасения за здравето; като има предвид, че поради това не следва да се определят допустими за целите на вноса стойности за </w:t>
      </w:r>
      <w:proofErr w:type="spellStart"/>
      <w:r w:rsidRPr="00D15209">
        <w:t>тиофанат</w:t>
      </w:r>
      <w:proofErr w:type="spellEnd"/>
      <w:r w:rsidRPr="00D15209">
        <w:t xml:space="preserve">-метил, тъй като той е идентифициран като нарушител на функциите на ендокринната система, или за </w:t>
      </w:r>
      <w:proofErr w:type="spellStart"/>
      <w:r w:rsidRPr="00D15209">
        <w:t>карбендазим</w:t>
      </w:r>
      <w:proofErr w:type="spellEnd"/>
      <w:r w:rsidRPr="00D15209">
        <w:t xml:space="preserve">, тъй като е класифициран като </w:t>
      </w:r>
      <w:proofErr w:type="spellStart"/>
      <w:r w:rsidRPr="00D15209">
        <w:t>мутагенно</w:t>
      </w:r>
      <w:proofErr w:type="spellEnd"/>
      <w:r w:rsidRPr="00D15209">
        <w:t xml:space="preserve"> вещество от категория 1B и като токсичен за репродукцията от категория 1B;</w:t>
      </w:r>
    </w:p>
    <w:p w:rsidR="00554C73" w:rsidRPr="00D15209" w:rsidRDefault="00554C73" w:rsidP="00554C73">
      <w:pPr>
        <w:pStyle w:val="NormalHanging12a"/>
      </w:pPr>
      <w:r w:rsidRPr="00D15209">
        <w:t>Щ.</w:t>
      </w:r>
      <w:r w:rsidRPr="00D15209">
        <w:tab/>
        <w:t xml:space="preserve">като има предвид, че практиката на определяне на високи МДГОВ насърчава двоен стандарт по отношение на земеделските стопани от Съюза и на земеделските стопани в трети държави, тъй като земеделските стопани извън Съюза могат да продължат да произвеждат съответните храни, като използват </w:t>
      </w:r>
      <w:proofErr w:type="spellStart"/>
      <w:r w:rsidRPr="00D15209">
        <w:t>карбендазим</w:t>
      </w:r>
      <w:proofErr w:type="spellEnd"/>
      <w:r w:rsidRPr="00D15209">
        <w:t xml:space="preserve">, и да ги изнасят за Съюза, което поставя земеделските стопани в Съюза в неблагоприятно конкурентно положение; като има предвид, че от друга страна използването на посочените пестициди застрашава здравето на селскостопанските работници, здравето на населението като цяло и околната </w:t>
      </w:r>
      <w:r w:rsidRPr="00D15209">
        <w:lastRenderedPageBreak/>
        <w:t>среда в страните производителки;</w:t>
      </w:r>
    </w:p>
    <w:p w:rsidR="00554C73" w:rsidRPr="00D15209" w:rsidRDefault="00554C73" w:rsidP="00554C73">
      <w:pPr>
        <w:pStyle w:val="NormalHanging12a"/>
      </w:pPr>
      <w:r w:rsidRPr="00D15209">
        <w:t>1.</w:t>
      </w:r>
      <w:r w:rsidRPr="00D15209">
        <w:tab/>
        <w:t>се противопоставя на приемането на проекта на регламент на Комисията;</w:t>
      </w:r>
    </w:p>
    <w:p w:rsidR="00554C73" w:rsidRPr="00D15209" w:rsidRDefault="00554C73" w:rsidP="00554C73">
      <w:pPr>
        <w:pStyle w:val="NormalHanging12a"/>
      </w:pPr>
      <w:r w:rsidRPr="00D15209">
        <w:t>2.</w:t>
      </w:r>
      <w:r w:rsidRPr="00D15209">
        <w:tab/>
        <w:t>счита, че проектът на регламент на Комисията е несъвместим с целта и съдържанието на Регламент (ЕО) № 396/2005 и Регламент (ЕО) № 178/2002, както и на Регламент (ЕО) № 1107/2009, включително точки 3.6.2, 3.6.4 и 3.6.5. от приложение II към него;</w:t>
      </w:r>
    </w:p>
    <w:p w:rsidR="00554C73" w:rsidRPr="00D15209" w:rsidRDefault="00554C73" w:rsidP="00554C73">
      <w:pPr>
        <w:pStyle w:val="NormalHanging12a"/>
      </w:pPr>
      <w:r w:rsidRPr="00D15209">
        <w:t>3.</w:t>
      </w:r>
      <w:r w:rsidRPr="00D15209">
        <w:tab/>
        <w:t>отправя искане към Комисията да оттегли своя проект на регламент и да внесе нов проект в комисията;</w:t>
      </w:r>
    </w:p>
    <w:p w:rsidR="00554C73" w:rsidRPr="00D15209" w:rsidRDefault="00554C73" w:rsidP="00554C73">
      <w:pPr>
        <w:pStyle w:val="NormalHanging12a"/>
      </w:pPr>
      <w:r w:rsidRPr="00D15209">
        <w:t>4.</w:t>
      </w:r>
      <w:r w:rsidRPr="00D15209">
        <w:tab/>
        <w:t xml:space="preserve">призовава Комисията да представи на комисията нов проект на регламент за намаляване на всички МДГОВ за </w:t>
      </w:r>
      <w:proofErr w:type="spellStart"/>
      <w:r w:rsidRPr="00D15209">
        <w:t>карбендазим</w:t>
      </w:r>
      <w:proofErr w:type="spellEnd"/>
      <w:r w:rsidRPr="00D15209">
        <w:t xml:space="preserve"> и </w:t>
      </w:r>
      <w:proofErr w:type="spellStart"/>
      <w:r w:rsidRPr="00D15209">
        <w:t>тиофанат</w:t>
      </w:r>
      <w:proofErr w:type="spellEnd"/>
      <w:r w:rsidRPr="00D15209">
        <w:t>-метил до съответната граница на определяне за всички видове употреба и да отхвърли всякакви искания за допустими за целите на вноса стойности;</w:t>
      </w:r>
    </w:p>
    <w:p w:rsidR="00E365E1" w:rsidRPr="00D15209" w:rsidRDefault="00554C73" w:rsidP="00FA6FEA">
      <w:pPr>
        <w:ind w:left="567" w:hanging="567"/>
      </w:pPr>
      <w:r w:rsidRPr="00D15209">
        <w:t>5.</w:t>
      </w:r>
      <w:r w:rsidRPr="00D15209">
        <w:tab/>
        <w:t xml:space="preserve">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 </w:t>
      </w:r>
      <w:bookmarkStart w:id="9" w:name="TextBodyEnd"/>
      <w:bookmarkEnd w:id="9"/>
    </w:p>
    <w:sectPr w:rsidR="00E365E1" w:rsidRPr="00D15209" w:rsidSect="00D1520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1ED" w:rsidRPr="00D15209" w:rsidRDefault="001931ED">
      <w:r w:rsidRPr="00D15209">
        <w:separator/>
      </w:r>
    </w:p>
  </w:endnote>
  <w:endnote w:type="continuationSeparator" w:id="0">
    <w:p w:rsidR="001931ED" w:rsidRPr="00D15209" w:rsidRDefault="001931ED">
      <w:r w:rsidRPr="00D152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520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520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52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1ED" w:rsidRPr="00D15209" w:rsidRDefault="001931ED">
      <w:r w:rsidRPr="00D15209">
        <w:separator/>
      </w:r>
    </w:p>
  </w:footnote>
  <w:footnote w:type="continuationSeparator" w:id="0">
    <w:p w:rsidR="001931ED" w:rsidRPr="00D15209" w:rsidRDefault="001931ED">
      <w:r w:rsidRPr="00D15209">
        <w:continuationSeparator/>
      </w:r>
    </w:p>
  </w:footnote>
  <w:footnote w:id="1">
    <w:p w:rsidR="00554C73" w:rsidRPr="00D15209" w:rsidRDefault="00554C73" w:rsidP="00D15209">
      <w:pPr>
        <w:pStyle w:val="FootnoteText"/>
        <w:ind w:left="567" w:hanging="567"/>
        <w:rPr>
          <w:sz w:val="24"/>
          <w:lang w:val="bg-BG"/>
        </w:rPr>
      </w:pPr>
      <w:r w:rsidRPr="00D15209">
        <w:rPr>
          <w:rStyle w:val="FootnoteReference"/>
          <w:sz w:val="24"/>
          <w:lang w:val="bg-BG"/>
        </w:rPr>
        <w:footnoteRef/>
      </w:r>
      <w:r w:rsidR="00D15209" w:rsidRPr="00D15209">
        <w:rPr>
          <w:sz w:val="24"/>
          <w:lang w:val="bg-BG"/>
        </w:rPr>
        <w:t xml:space="preserve"> </w:t>
      </w:r>
      <w:r w:rsidR="00D15209" w:rsidRPr="00D15209">
        <w:rPr>
          <w:sz w:val="24"/>
          <w:lang w:val="bg-BG"/>
        </w:rPr>
        <w:tab/>
      </w:r>
      <w:r w:rsidRPr="00D15209">
        <w:rPr>
          <w:sz w:val="24"/>
          <w:lang w:val="bg-BG"/>
        </w:rPr>
        <w:t>OВ L 70, 16.3.2005 г., стр. 1.</w:t>
      </w:r>
    </w:p>
  </w:footnote>
  <w:footnote w:id="2">
    <w:p w:rsidR="00554C73" w:rsidRPr="00D15209" w:rsidRDefault="00554C73" w:rsidP="00D15209">
      <w:pPr>
        <w:pStyle w:val="FootnoteText"/>
        <w:ind w:left="567" w:hanging="567"/>
        <w:rPr>
          <w:sz w:val="24"/>
          <w:lang w:val="bg-BG"/>
        </w:rPr>
      </w:pPr>
      <w:r w:rsidRPr="00D15209">
        <w:rPr>
          <w:rStyle w:val="FootnoteReference"/>
          <w:sz w:val="24"/>
          <w:lang w:val="bg-BG"/>
        </w:rPr>
        <w:footnoteRef/>
      </w:r>
      <w:r w:rsidR="00D15209" w:rsidRPr="00D15209">
        <w:rPr>
          <w:sz w:val="24"/>
          <w:lang w:val="bg-BG"/>
        </w:rPr>
        <w:t xml:space="preserve"> </w:t>
      </w:r>
      <w:r w:rsidR="00D15209" w:rsidRPr="00D15209">
        <w:rPr>
          <w:sz w:val="24"/>
          <w:lang w:val="bg-BG"/>
        </w:rPr>
        <w:tab/>
      </w:r>
      <w:r w:rsidRPr="00D15209">
        <w:rPr>
          <w:sz w:val="24"/>
          <w:lang w:val="bg-BG"/>
        </w:rPr>
        <w:t>OВ L 309, 24.11.2009 г., стр. 1.</w:t>
      </w:r>
    </w:p>
  </w:footnote>
  <w:footnote w:id="3">
    <w:p w:rsidR="00554C73" w:rsidRPr="00D15209" w:rsidRDefault="00554C73" w:rsidP="00D15209">
      <w:pPr>
        <w:pStyle w:val="FootnoteText"/>
        <w:ind w:left="567" w:hanging="567"/>
        <w:rPr>
          <w:sz w:val="24"/>
          <w:lang w:val="bg-BG"/>
        </w:rPr>
      </w:pPr>
      <w:r w:rsidRPr="00D15209">
        <w:rPr>
          <w:rStyle w:val="FootnoteReference"/>
          <w:sz w:val="24"/>
          <w:lang w:val="bg-BG"/>
        </w:rPr>
        <w:footnoteRef/>
      </w:r>
      <w:r w:rsidR="00D15209" w:rsidRPr="00D15209">
        <w:rPr>
          <w:sz w:val="24"/>
          <w:lang w:val="bg-BG"/>
        </w:rPr>
        <w:t xml:space="preserve"> </w:t>
      </w:r>
      <w:r w:rsidR="00D15209" w:rsidRPr="00D15209">
        <w:rPr>
          <w:sz w:val="24"/>
          <w:lang w:val="bg-BG"/>
        </w:rPr>
        <w:tab/>
      </w:r>
      <w:r w:rsidRPr="00D15209">
        <w:rPr>
          <w:sz w:val="24"/>
          <w:lang w:val="bg-BG"/>
        </w:rPr>
        <w:t>OВ L 31, 1.2.2002 г., стр. 1.</w:t>
      </w:r>
    </w:p>
  </w:footnote>
  <w:footnote w:id="4">
    <w:p w:rsidR="00554C73" w:rsidRPr="00D15209" w:rsidRDefault="00554C73" w:rsidP="00D15209">
      <w:pPr>
        <w:pStyle w:val="FootnoteText"/>
        <w:ind w:left="567" w:hanging="567"/>
        <w:rPr>
          <w:sz w:val="24"/>
          <w:lang w:val="bg-BG"/>
        </w:rPr>
      </w:pPr>
      <w:r w:rsidRPr="00D15209">
        <w:rPr>
          <w:rStyle w:val="FootnoteReference"/>
          <w:sz w:val="24"/>
          <w:lang w:val="bg-BG"/>
        </w:rPr>
        <w:footnoteRef/>
      </w:r>
      <w:r w:rsidR="00D15209" w:rsidRPr="00D15209">
        <w:rPr>
          <w:sz w:val="24"/>
          <w:lang w:val="bg-BG"/>
        </w:rPr>
        <w:t xml:space="preserve"> </w:t>
      </w:r>
      <w:r w:rsidR="00D15209" w:rsidRPr="00D15209">
        <w:rPr>
          <w:sz w:val="24"/>
          <w:lang w:val="bg-BG"/>
        </w:rPr>
        <w:tab/>
      </w:r>
      <w:r w:rsidRPr="00D15209">
        <w:rPr>
          <w:sz w:val="24"/>
          <w:lang w:val="bg-BG"/>
        </w:rPr>
        <w:t xml:space="preserve">Мотивирано становище на ЕОБХ относно токсикологичните свойства и максимално допустимите граници на остатъчни вещества за </w:t>
      </w:r>
      <w:proofErr w:type="spellStart"/>
      <w:r w:rsidRPr="00D15209">
        <w:rPr>
          <w:sz w:val="24"/>
          <w:lang w:val="bg-BG"/>
        </w:rPr>
        <w:t>бензимидазоловите</w:t>
      </w:r>
      <w:proofErr w:type="spellEnd"/>
      <w:r w:rsidRPr="00D15209">
        <w:rPr>
          <w:sz w:val="24"/>
          <w:lang w:val="bg-BG"/>
        </w:rPr>
        <w:t xml:space="preserve"> вещества </w:t>
      </w:r>
      <w:proofErr w:type="spellStart"/>
      <w:r w:rsidRPr="00D15209">
        <w:rPr>
          <w:sz w:val="24"/>
          <w:lang w:val="bg-BG"/>
        </w:rPr>
        <w:t>карбендазим</w:t>
      </w:r>
      <w:proofErr w:type="spellEnd"/>
      <w:r w:rsidRPr="00D15209">
        <w:rPr>
          <w:sz w:val="24"/>
          <w:lang w:val="bg-BG"/>
        </w:rPr>
        <w:t xml:space="preserve"> и </w:t>
      </w:r>
      <w:proofErr w:type="spellStart"/>
      <w:r w:rsidRPr="00D15209">
        <w:rPr>
          <w:sz w:val="24"/>
          <w:lang w:val="bg-BG"/>
        </w:rPr>
        <w:t>тиофанат</w:t>
      </w:r>
      <w:proofErr w:type="spellEnd"/>
      <w:r w:rsidRPr="00D15209">
        <w:rPr>
          <w:sz w:val="24"/>
          <w:lang w:val="bg-BG"/>
        </w:rPr>
        <w:t xml:space="preserve">-метил, </w:t>
      </w:r>
      <w:bookmarkStart w:id="8" w:name="_Hlk168311905"/>
      <w:r w:rsidRPr="00D15209">
        <w:rPr>
          <w:sz w:val="24"/>
          <w:lang w:val="bg-BG"/>
        </w:rPr>
        <w:t>Бюлетин на ЕОБХ, 2021 г.;19(8):e06773</w:t>
      </w:r>
      <w:bookmarkEnd w:id="8"/>
      <w:r w:rsidRPr="00D15209">
        <w:rPr>
          <w:sz w:val="24"/>
          <w:lang w:val="bg-BG"/>
        </w:rPr>
        <w:t xml:space="preserve">, </w:t>
      </w:r>
      <w:hyperlink r:id="rId1" w:history="1">
        <w:r w:rsidRPr="00D15209">
          <w:rPr>
            <w:rStyle w:val="Hyperlink"/>
            <w:sz w:val="24"/>
            <w:lang w:val="bg-BG"/>
          </w:rPr>
          <w:t>https://doi.org/10.2903/j.efsa.2021.6773</w:t>
        </w:r>
      </w:hyperlink>
      <w:r w:rsidRPr="00D15209">
        <w:rPr>
          <w:rStyle w:val="Hyperlink"/>
          <w:sz w:val="24"/>
          <w:lang w:val="bg-BG"/>
        </w:rPr>
        <w:t>.</w:t>
      </w:r>
      <w:r w:rsidRPr="00D15209">
        <w:rPr>
          <w:sz w:val="24"/>
          <w:lang w:val="bg-BG"/>
        </w:rPr>
        <w:t xml:space="preserve"> </w:t>
      </w:r>
    </w:p>
  </w:footnote>
  <w:footnote w:id="5">
    <w:p w:rsidR="00554C73" w:rsidRPr="00D15209" w:rsidRDefault="00554C73" w:rsidP="00D15209">
      <w:pPr>
        <w:pStyle w:val="FootnoteText"/>
        <w:ind w:left="567" w:hanging="567"/>
        <w:rPr>
          <w:sz w:val="24"/>
          <w:lang w:val="bg-BG"/>
        </w:rPr>
      </w:pPr>
      <w:r w:rsidRPr="00D15209">
        <w:rPr>
          <w:rStyle w:val="FootnoteReference"/>
          <w:sz w:val="24"/>
          <w:lang w:val="bg-BG"/>
        </w:rPr>
        <w:footnoteRef/>
      </w:r>
      <w:r w:rsidR="00D15209" w:rsidRPr="00D15209">
        <w:rPr>
          <w:sz w:val="24"/>
          <w:lang w:val="bg-BG"/>
        </w:rPr>
        <w:t xml:space="preserve"> </w:t>
      </w:r>
      <w:r w:rsidR="00D15209" w:rsidRPr="00D15209">
        <w:rPr>
          <w:sz w:val="24"/>
          <w:lang w:val="bg-BG"/>
        </w:rPr>
        <w:tab/>
      </w:r>
      <w:r w:rsidRPr="00D15209">
        <w:rPr>
          <w:sz w:val="24"/>
          <w:lang w:val="bg-BG"/>
        </w:rPr>
        <w:t xml:space="preserve">Актуализирано мотивирано становище на ЕОБХ относно токсикологичните свойства и максимално допустимите граници на остатъчни вещества (МДГОВ) за </w:t>
      </w:r>
      <w:proofErr w:type="spellStart"/>
      <w:r w:rsidRPr="00D15209">
        <w:rPr>
          <w:sz w:val="24"/>
          <w:lang w:val="bg-BG"/>
        </w:rPr>
        <w:t>бензимидазоловите</w:t>
      </w:r>
      <w:proofErr w:type="spellEnd"/>
      <w:r w:rsidRPr="00D15209">
        <w:rPr>
          <w:sz w:val="24"/>
          <w:lang w:val="bg-BG"/>
        </w:rPr>
        <w:t xml:space="preserve"> вещества </w:t>
      </w:r>
      <w:proofErr w:type="spellStart"/>
      <w:r w:rsidRPr="00D15209">
        <w:rPr>
          <w:sz w:val="24"/>
          <w:lang w:val="bg-BG"/>
        </w:rPr>
        <w:t>карбендазим</w:t>
      </w:r>
      <w:proofErr w:type="spellEnd"/>
      <w:r w:rsidRPr="00D15209">
        <w:rPr>
          <w:sz w:val="24"/>
          <w:lang w:val="bg-BG"/>
        </w:rPr>
        <w:t xml:space="preserve"> и </w:t>
      </w:r>
      <w:proofErr w:type="spellStart"/>
      <w:r w:rsidRPr="00D15209">
        <w:rPr>
          <w:sz w:val="24"/>
          <w:lang w:val="bg-BG"/>
        </w:rPr>
        <w:t>тиофанат</w:t>
      </w:r>
      <w:proofErr w:type="spellEnd"/>
      <w:r w:rsidRPr="00D15209">
        <w:rPr>
          <w:sz w:val="24"/>
          <w:lang w:val="bg-BG"/>
        </w:rPr>
        <w:t xml:space="preserve">-метил, Бюлетин на ЕОБХ, 2024 г.; 22(2):e8569, </w:t>
      </w:r>
      <w:hyperlink r:id="rId2" w:history="1">
        <w:r w:rsidRPr="00D15209">
          <w:rPr>
            <w:rStyle w:val="Hyperlink"/>
            <w:sz w:val="24"/>
            <w:lang w:val="bg-BG"/>
          </w:rPr>
          <w:t>https://doi.org/10.2903/j.efsa.2024.8569</w:t>
        </w:r>
      </w:hyperlink>
      <w:r w:rsidRPr="00D15209">
        <w:rPr>
          <w:rStyle w:val="Hyperlink"/>
          <w:sz w:val="24"/>
          <w:lang w:val="bg-BG"/>
        </w:rPr>
        <w:t>.</w:t>
      </w:r>
      <w:r w:rsidRPr="00D15209">
        <w:rPr>
          <w:sz w:val="24"/>
          <w:lang w:val="bg-BG"/>
        </w:rPr>
        <w:t xml:space="preserve"> </w:t>
      </w:r>
    </w:p>
  </w:footnote>
  <w:footnote w:id="6">
    <w:p w:rsidR="00554C73" w:rsidRPr="00D15209" w:rsidRDefault="00554C73" w:rsidP="00D15209">
      <w:pPr>
        <w:pStyle w:val="FootnoteText"/>
        <w:ind w:left="567" w:hanging="567"/>
        <w:rPr>
          <w:sz w:val="24"/>
          <w:lang w:val="bg-BG"/>
        </w:rPr>
      </w:pPr>
      <w:r w:rsidRPr="00D15209">
        <w:rPr>
          <w:rStyle w:val="FootnoteReference"/>
          <w:sz w:val="24"/>
          <w:lang w:val="bg-BG"/>
        </w:rPr>
        <w:footnoteRef/>
      </w:r>
      <w:r w:rsidR="00D15209" w:rsidRPr="00D15209">
        <w:rPr>
          <w:sz w:val="24"/>
          <w:lang w:val="bg-BG"/>
        </w:rPr>
        <w:t xml:space="preserve"> </w:t>
      </w:r>
      <w:r w:rsidR="00D15209" w:rsidRPr="00D15209">
        <w:rPr>
          <w:sz w:val="24"/>
          <w:lang w:val="bg-BG"/>
        </w:rPr>
        <w:tab/>
      </w:r>
      <w:r w:rsidRPr="00D15209">
        <w:rPr>
          <w:sz w:val="24"/>
          <w:lang w:val="bg-BG"/>
        </w:rPr>
        <w:t xml:space="preserve">Заключение на ЕОБХ относно партньорската проверка на оценката на риска от употребата на активното вещество </w:t>
      </w:r>
      <w:proofErr w:type="spellStart"/>
      <w:r w:rsidRPr="00D15209">
        <w:rPr>
          <w:sz w:val="24"/>
          <w:lang w:val="bg-BG"/>
        </w:rPr>
        <w:t>карбендазим</w:t>
      </w:r>
      <w:proofErr w:type="spellEnd"/>
      <w:r w:rsidRPr="00D15209">
        <w:rPr>
          <w:sz w:val="24"/>
          <w:lang w:val="bg-BG"/>
        </w:rPr>
        <w:t xml:space="preserve"> като пестицид, Бюлетин на ЕОБХ, 2010 г.; 8(5):1598, </w:t>
      </w:r>
      <w:hyperlink r:id="rId3" w:history="1">
        <w:r w:rsidRPr="00D15209">
          <w:rPr>
            <w:rStyle w:val="Hyperlink"/>
            <w:sz w:val="24"/>
            <w:lang w:val="bg-BG"/>
          </w:rPr>
          <w:t>https://doi.org/10.2903/j.efsa.2010.1598</w:t>
        </w:r>
      </w:hyperlink>
      <w:r w:rsidRPr="00D15209">
        <w:rPr>
          <w:sz w:val="24"/>
          <w:lang w:val="bg-BG"/>
        </w:rPr>
        <w:t xml:space="preserve">. </w:t>
      </w:r>
    </w:p>
  </w:footnote>
  <w:footnote w:id="7">
    <w:p w:rsidR="00554C73" w:rsidRPr="00D15209" w:rsidRDefault="00554C73" w:rsidP="00D15209">
      <w:pPr>
        <w:pStyle w:val="FootnoteText"/>
        <w:ind w:left="567" w:hanging="567"/>
        <w:rPr>
          <w:sz w:val="24"/>
          <w:lang w:val="bg-BG"/>
        </w:rPr>
      </w:pPr>
      <w:r w:rsidRPr="00D15209">
        <w:rPr>
          <w:rStyle w:val="FootnoteReference"/>
          <w:sz w:val="24"/>
          <w:lang w:val="bg-BG"/>
        </w:rPr>
        <w:footnoteRef/>
      </w:r>
      <w:r w:rsidR="00D15209" w:rsidRPr="00D15209">
        <w:rPr>
          <w:sz w:val="24"/>
          <w:lang w:val="bg-BG"/>
        </w:rPr>
        <w:t xml:space="preserve"> </w:t>
      </w:r>
      <w:r w:rsidR="00D15209" w:rsidRPr="00D15209">
        <w:rPr>
          <w:sz w:val="24"/>
          <w:lang w:val="bg-BG"/>
        </w:rPr>
        <w:tab/>
      </w:r>
      <w:r w:rsidRPr="00D15209">
        <w:rPr>
          <w:sz w:val="24"/>
          <w:lang w:val="bg-BG"/>
        </w:rPr>
        <w:t xml:space="preserve">Заключение на ЕОБХ относно партньорската проверка на оценката на риска от употребата на активното вещество </w:t>
      </w:r>
      <w:proofErr w:type="spellStart"/>
      <w:r w:rsidRPr="00D15209">
        <w:rPr>
          <w:sz w:val="24"/>
          <w:lang w:val="bg-BG"/>
        </w:rPr>
        <w:t>тиофанат</w:t>
      </w:r>
      <w:proofErr w:type="spellEnd"/>
      <w:r w:rsidRPr="00D15209">
        <w:rPr>
          <w:sz w:val="24"/>
          <w:lang w:val="bg-BG"/>
        </w:rPr>
        <w:t xml:space="preserve">-метил като пестицид; Бюлетин на ЕОБХ, 2018 г.; 16(1):e05133, </w:t>
      </w:r>
      <w:hyperlink r:id="rId4" w:history="1">
        <w:r w:rsidRPr="00D15209">
          <w:rPr>
            <w:rStyle w:val="Hyperlink"/>
            <w:sz w:val="24"/>
            <w:lang w:val="bg-BG"/>
          </w:rPr>
          <w:t>https://doi.org/10.2903/j.efsa.2018.5133</w:t>
        </w:r>
      </w:hyperlink>
      <w:r w:rsidRPr="00D15209">
        <w:rPr>
          <w:sz w:val="24"/>
          <w:lang w:val="bg-BG"/>
        </w:rPr>
        <w:t xml:space="preserve">. </w:t>
      </w:r>
    </w:p>
  </w:footnote>
  <w:footnote w:id="8">
    <w:p w:rsidR="00554C73" w:rsidRPr="00D15209" w:rsidRDefault="00554C73" w:rsidP="00D15209">
      <w:pPr>
        <w:pStyle w:val="FootnoteText"/>
        <w:ind w:left="567" w:hanging="567"/>
        <w:rPr>
          <w:sz w:val="24"/>
          <w:lang w:val="bg-BG"/>
        </w:rPr>
      </w:pPr>
      <w:r w:rsidRPr="00D15209">
        <w:rPr>
          <w:rStyle w:val="FootnoteReference"/>
          <w:sz w:val="24"/>
          <w:lang w:val="bg-BG"/>
        </w:rPr>
        <w:footnoteRef/>
      </w:r>
      <w:r w:rsidR="00D15209" w:rsidRPr="00D15209">
        <w:rPr>
          <w:sz w:val="24"/>
          <w:lang w:val="bg-BG"/>
        </w:rPr>
        <w:t xml:space="preserve"> </w:t>
      </w:r>
      <w:r w:rsidR="00D15209" w:rsidRPr="00D15209">
        <w:rPr>
          <w:sz w:val="24"/>
          <w:lang w:val="bg-BG"/>
        </w:rPr>
        <w:tab/>
      </w:r>
      <w:r w:rsidRPr="00D15209">
        <w:rPr>
          <w:sz w:val="24"/>
          <w:lang w:val="bg-BG"/>
        </w:rPr>
        <w:t xml:space="preserve">Изявление на ЕОБХ относно оценката на качеството на данните, с които разполага, за да извлече основаните на здравни критерии ориентировъчни стойности за </w:t>
      </w:r>
      <w:proofErr w:type="spellStart"/>
      <w:r w:rsidRPr="00D15209">
        <w:rPr>
          <w:sz w:val="24"/>
          <w:lang w:val="bg-BG"/>
        </w:rPr>
        <w:t>карбендазима</w:t>
      </w:r>
      <w:proofErr w:type="spellEnd"/>
      <w:r w:rsidRPr="00D15209">
        <w:rPr>
          <w:sz w:val="24"/>
          <w:lang w:val="bg-BG"/>
        </w:rPr>
        <w:t xml:space="preserve">, Бюлетин на ЕОБХ, 2024 г.; 22(5):e8756, </w:t>
      </w:r>
      <w:hyperlink r:id="rId5" w:history="1">
        <w:r w:rsidRPr="00D15209">
          <w:rPr>
            <w:rStyle w:val="Hyperlink"/>
            <w:sz w:val="24"/>
            <w:lang w:val="bg-BG"/>
          </w:rPr>
          <w:t>https://doi.org/10.2903/j.efsa.2024.8756</w:t>
        </w:r>
      </w:hyperlink>
      <w:r w:rsidRPr="00D15209">
        <w:rPr>
          <w:sz w:val="24"/>
          <w:lang w:val="bg-BG"/>
        </w:rPr>
        <w:t xml:space="preserve">. </w:t>
      </w:r>
    </w:p>
  </w:footnote>
  <w:footnote w:id="9">
    <w:p w:rsidR="00554C73" w:rsidRPr="00D15209" w:rsidRDefault="00554C73" w:rsidP="00D15209">
      <w:pPr>
        <w:pStyle w:val="FootnoteText"/>
        <w:ind w:left="567" w:hanging="567"/>
        <w:rPr>
          <w:sz w:val="24"/>
          <w:lang w:val="bg-BG"/>
        </w:rPr>
      </w:pPr>
      <w:r w:rsidRPr="00D15209">
        <w:rPr>
          <w:rStyle w:val="FootnoteReference"/>
          <w:sz w:val="24"/>
          <w:lang w:val="bg-BG"/>
        </w:rPr>
        <w:footnoteRef/>
      </w:r>
      <w:r w:rsidR="00D15209" w:rsidRPr="00D15209">
        <w:rPr>
          <w:sz w:val="24"/>
          <w:lang w:val="bg-BG"/>
        </w:rPr>
        <w:t xml:space="preserve"> </w:t>
      </w:r>
      <w:r w:rsidR="00D15209" w:rsidRPr="00D15209">
        <w:rPr>
          <w:sz w:val="24"/>
          <w:lang w:val="bg-BG"/>
        </w:rPr>
        <w:tab/>
      </w:r>
      <w:r w:rsidRPr="00D15209">
        <w:rPr>
          <w:sz w:val="24"/>
          <w:lang w:val="bg-BG"/>
        </w:rPr>
        <w:t xml:space="preserve">Становище на КОР, в което се предлага хармонизирано класифициране и етикетиране на равнище ЕС на </w:t>
      </w:r>
      <w:proofErr w:type="spellStart"/>
      <w:r w:rsidRPr="00D15209">
        <w:rPr>
          <w:sz w:val="24"/>
          <w:lang w:val="bg-BG"/>
        </w:rPr>
        <w:t>тиаклоприд</w:t>
      </w:r>
      <w:proofErr w:type="spellEnd"/>
      <w:r w:rsidRPr="00D15209">
        <w:rPr>
          <w:sz w:val="24"/>
          <w:lang w:val="bg-BG"/>
        </w:rPr>
        <w:t xml:space="preserve"> (ISO); метил бензимидазол-2-илкарбамат; </w:t>
      </w:r>
      <w:hyperlink r:id="rId6" w:history="1">
        <w:r w:rsidRPr="00D15209">
          <w:rPr>
            <w:rStyle w:val="Hyperlink"/>
            <w:sz w:val="24"/>
            <w:lang w:val="bg-BG"/>
          </w:rPr>
          <w:t>https://www.echa.europa.eu/documents/10162/5eb9760e-6c73-7f2c-1226-98d92ed847d1</w:t>
        </w:r>
      </w:hyperlink>
    </w:p>
  </w:footnote>
  <w:footnote w:id="10">
    <w:p w:rsidR="00554C73" w:rsidRPr="00D15209" w:rsidRDefault="00554C73" w:rsidP="00D15209">
      <w:pPr>
        <w:pStyle w:val="FootnoteText"/>
        <w:ind w:left="567" w:hanging="567"/>
        <w:rPr>
          <w:sz w:val="24"/>
          <w:lang w:val="bg-BG"/>
        </w:rPr>
      </w:pPr>
      <w:r w:rsidRPr="00D15209">
        <w:rPr>
          <w:rStyle w:val="FootnoteReference"/>
          <w:sz w:val="24"/>
          <w:lang w:val="bg-BG"/>
        </w:rPr>
        <w:footnoteRef/>
      </w:r>
      <w:r w:rsidR="00D15209" w:rsidRPr="00D15209">
        <w:rPr>
          <w:sz w:val="24"/>
          <w:lang w:val="bg-BG"/>
        </w:rPr>
        <w:t xml:space="preserve"> </w:t>
      </w:r>
      <w:r w:rsidR="00D15209" w:rsidRPr="00D15209">
        <w:rPr>
          <w:sz w:val="24"/>
          <w:lang w:val="bg-BG"/>
        </w:rPr>
        <w:tab/>
      </w:r>
      <w:r w:rsidRPr="00D15209">
        <w:rPr>
          <w:sz w:val="24"/>
          <w:lang w:val="bg-BG"/>
        </w:rPr>
        <w:t>OВ L 184, 17.7.1999 г., стр. 23.</w:t>
      </w:r>
    </w:p>
  </w:footnote>
  <w:footnote w:id="11">
    <w:p w:rsidR="00554C73" w:rsidRPr="00D15209" w:rsidRDefault="00554C73" w:rsidP="00D15209">
      <w:pPr>
        <w:pStyle w:val="FootnoteText"/>
        <w:ind w:left="567" w:hanging="567"/>
        <w:rPr>
          <w:sz w:val="24"/>
          <w:lang w:val="bg-BG"/>
        </w:rPr>
      </w:pPr>
      <w:r w:rsidRPr="00D15209">
        <w:rPr>
          <w:rStyle w:val="FootnoteReference"/>
          <w:sz w:val="24"/>
          <w:lang w:val="bg-BG"/>
        </w:rPr>
        <w:footnoteRef/>
      </w:r>
      <w:r w:rsidR="00D15209" w:rsidRPr="00D15209">
        <w:rPr>
          <w:sz w:val="24"/>
          <w:lang w:val="bg-BG"/>
        </w:rPr>
        <w:t xml:space="preserve"> </w:t>
      </w:r>
      <w:r w:rsidR="00D15209" w:rsidRPr="00D15209">
        <w:rPr>
          <w:sz w:val="24"/>
          <w:lang w:val="bg-BG"/>
        </w:rPr>
        <w:tab/>
      </w:r>
      <w:r w:rsidRPr="00D15209">
        <w:rPr>
          <w:sz w:val="24"/>
          <w:lang w:val="bg-BG"/>
        </w:rPr>
        <w:t xml:space="preserve">Регламент (ЕО) № 1272/2008 на Европейския парламент и на Съвета от 16 декември 2008 г. относно класифицирането, етикетирането и опаковането на вещества и смеси, за изменение и за отмяна на директиви 67/548/ЕИО и 1999/45/ЕО и за изменение на Регламент (ЕО) № </w:t>
      </w:r>
      <w:r w:rsidR="002C44D7">
        <w:rPr>
          <w:sz w:val="24"/>
          <w:lang w:val="bg-BG"/>
        </w:rPr>
        <w:t>1907/2006 (ОВ L 353, 31.12.2008 </w:t>
      </w:r>
      <w:r w:rsidRPr="00D15209">
        <w:rPr>
          <w:sz w:val="24"/>
          <w:lang w:val="bg-BG"/>
        </w:rPr>
        <w:t>г., стр. 1).</w:t>
      </w:r>
    </w:p>
  </w:footnote>
  <w:footnote w:id="12">
    <w:p w:rsidR="00554C73" w:rsidRPr="00D15209" w:rsidRDefault="00554C73" w:rsidP="00D15209">
      <w:pPr>
        <w:pStyle w:val="FootnoteText"/>
        <w:ind w:left="567" w:hanging="567"/>
        <w:rPr>
          <w:sz w:val="24"/>
          <w:lang w:val="bg-BG"/>
        </w:rPr>
      </w:pPr>
      <w:r w:rsidRPr="00D15209">
        <w:rPr>
          <w:rStyle w:val="FootnoteReference"/>
          <w:sz w:val="24"/>
          <w:lang w:val="bg-BG"/>
        </w:rPr>
        <w:footnoteRef/>
      </w:r>
      <w:r w:rsidR="00D15209" w:rsidRPr="00D15209">
        <w:rPr>
          <w:sz w:val="24"/>
          <w:lang w:val="bg-BG"/>
        </w:rPr>
        <w:t xml:space="preserve"> </w:t>
      </w:r>
      <w:r w:rsidR="00D15209" w:rsidRPr="00D15209">
        <w:rPr>
          <w:sz w:val="24"/>
          <w:lang w:val="bg-BG"/>
        </w:rPr>
        <w:tab/>
      </w:r>
      <w:r w:rsidRPr="00D15209">
        <w:rPr>
          <w:sz w:val="24"/>
          <w:lang w:val="bg-BG"/>
        </w:rPr>
        <w:t xml:space="preserve">Регламент (ЕО) № 1272/2008 на Европейския парламент и на Съвета от 16 декември 2008 г. относно класифицирането, етикетирането и опаковането на вещества и смеси, за изменение и за отмяна на директиви 67/548/ЕИО и 1999/45/ЕО и за изменение на Регламент (ЕО) № </w:t>
      </w:r>
      <w:r w:rsidR="002C44D7">
        <w:rPr>
          <w:sz w:val="24"/>
          <w:lang w:val="bg-BG"/>
        </w:rPr>
        <w:t>1907/2006 (ОВ L 353, 31.12.2008 </w:t>
      </w:r>
      <w:r w:rsidRPr="00D15209">
        <w:rPr>
          <w:sz w:val="24"/>
          <w:lang w:val="bg-BG"/>
        </w:rPr>
        <w:t>г., стр. 1).</w:t>
      </w:r>
    </w:p>
  </w:footnote>
  <w:footnote w:id="13">
    <w:p w:rsidR="00554C73" w:rsidRPr="00D15209" w:rsidRDefault="00554C73" w:rsidP="00D15209">
      <w:pPr>
        <w:pStyle w:val="FootnoteText"/>
        <w:ind w:left="567" w:hanging="567"/>
        <w:rPr>
          <w:sz w:val="24"/>
          <w:lang w:val="bg-BG"/>
        </w:rPr>
      </w:pPr>
      <w:r w:rsidRPr="00D15209">
        <w:rPr>
          <w:rStyle w:val="FootnoteReference"/>
          <w:sz w:val="24"/>
          <w:lang w:val="bg-BG"/>
        </w:rPr>
        <w:footnoteRef/>
      </w:r>
      <w:r w:rsidR="00D15209" w:rsidRPr="00D15209">
        <w:rPr>
          <w:sz w:val="24"/>
          <w:lang w:val="bg-BG"/>
        </w:rPr>
        <w:t xml:space="preserve"> </w:t>
      </w:r>
      <w:r w:rsidR="00D15209" w:rsidRPr="00D15209">
        <w:rPr>
          <w:sz w:val="24"/>
          <w:lang w:val="bg-BG"/>
        </w:rPr>
        <w:tab/>
      </w:r>
      <w:r w:rsidRPr="00D15209">
        <w:rPr>
          <w:sz w:val="24"/>
          <w:lang w:val="bg-BG"/>
        </w:rPr>
        <w:t>Регламент (ЕС) 2018/605 на Комисията от 19 април 2018 г. за изменение на приложение II към Регламент (ЕО) № 1107/2009 чрез установяване на научни критерии за определянето на свойствата, нарушаващи функциите на ендокринната система (ОВ L 101, 20.4.2018 г., стр. 33).</w:t>
      </w:r>
    </w:p>
  </w:footnote>
  <w:footnote w:id="14">
    <w:p w:rsidR="00554C73" w:rsidRPr="00D15209" w:rsidRDefault="00554C73" w:rsidP="00D15209">
      <w:pPr>
        <w:pStyle w:val="FootnoteText"/>
        <w:ind w:left="567" w:hanging="567"/>
        <w:rPr>
          <w:sz w:val="24"/>
          <w:lang w:val="bg-BG"/>
        </w:rPr>
      </w:pPr>
      <w:r w:rsidRPr="00D15209">
        <w:rPr>
          <w:rStyle w:val="FootnoteReference"/>
          <w:sz w:val="24"/>
          <w:lang w:val="bg-BG"/>
        </w:rPr>
        <w:footnoteRef/>
      </w:r>
      <w:r w:rsidR="00FA6FEA" w:rsidRPr="00FA6FEA">
        <w:rPr>
          <w:rStyle w:val="Hyperlink"/>
          <w:sz w:val="24"/>
          <w:u w:val="none"/>
          <w:lang w:val="bg-BG"/>
        </w:rPr>
        <w:t xml:space="preserve"> </w:t>
      </w:r>
      <w:r w:rsidR="00FA6FEA" w:rsidRPr="00FA6FEA">
        <w:rPr>
          <w:rStyle w:val="Hyperlink"/>
          <w:sz w:val="24"/>
          <w:u w:val="none"/>
          <w:lang w:val="bg-BG"/>
        </w:rPr>
        <w:tab/>
      </w:r>
      <w:hyperlink r:id="rId7" w:history="1">
        <w:r w:rsidR="00FA6FEA" w:rsidRPr="00FA6FEA">
          <w:rPr>
            <w:rStyle w:val="Hyperlink"/>
            <w:sz w:val="24"/>
            <w:lang w:val="bg-BG"/>
          </w:rPr>
          <w:t>https://ec.europa.eu/transparency/comitology-register/screen/documents/089880/5/consult?lang=en</w:t>
        </w:r>
      </w:hyperlink>
    </w:p>
  </w:footnote>
  <w:footnote w:id="15">
    <w:p w:rsidR="00554C73" w:rsidRPr="00D15209" w:rsidRDefault="00554C73" w:rsidP="00D15209">
      <w:pPr>
        <w:pStyle w:val="FootnoteText"/>
        <w:ind w:left="567" w:hanging="567"/>
        <w:rPr>
          <w:iCs/>
          <w:sz w:val="24"/>
          <w:lang w:val="bg-BG"/>
        </w:rPr>
      </w:pPr>
      <w:r w:rsidRPr="00D15209">
        <w:rPr>
          <w:iCs/>
          <w:sz w:val="24"/>
          <w:vertAlign w:val="superscript"/>
          <w:lang w:val="bg-BG"/>
        </w:rPr>
        <w:footnoteRef/>
      </w:r>
      <w:r w:rsidR="00D15209" w:rsidRPr="00D15209">
        <w:rPr>
          <w:sz w:val="24"/>
          <w:lang w:val="bg-BG"/>
        </w:rPr>
        <w:t xml:space="preserve"> </w:t>
      </w:r>
      <w:r w:rsidR="00D15209" w:rsidRPr="00D15209">
        <w:rPr>
          <w:sz w:val="24"/>
          <w:lang w:val="bg-BG"/>
        </w:rPr>
        <w:tab/>
      </w:r>
      <w:r w:rsidRPr="00D15209">
        <w:rPr>
          <w:sz w:val="24"/>
          <w:lang w:val="bg-BG"/>
        </w:rPr>
        <w:t>COM(2020)0381.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520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520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52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0/2024"/>
    <w:docVar w:name="dvlangue" w:val="BG"/>
    <w:docVar w:name="dvnumam" w:val="0"/>
    <w:docVar w:name="dvpe" w:val="763.090"/>
    <w:docVar w:name="dvtitre" w:val="Резолюция на Европейския парламент от ... 2024 г. относно проекта на регламент на Комисията за изменение на приложения II, III и V към Регламент (ЕО) № 396/2005 на Европейския парламент и на Съвета по отношение на максимално допустимите граници на остатъчни вещества за беномил, карбендазим и тиофанат-метил във и върху определени продукти (D089819/05 – 2024/2758(RPS))"/>
  </w:docVars>
  <w:rsids>
    <w:rsidRoot w:val="001931ED"/>
    <w:rsid w:val="00002272"/>
    <w:rsid w:val="00064002"/>
    <w:rsid w:val="000677B9"/>
    <w:rsid w:val="000831BA"/>
    <w:rsid w:val="000A42CC"/>
    <w:rsid w:val="000E7DD9"/>
    <w:rsid w:val="0010095E"/>
    <w:rsid w:val="00125B37"/>
    <w:rsid w:val="00187494"/>
    <w:rsid w:val="001931ED"/>
    <w:rsid w:val="001F32AE"/>
    <w:rsid w:val="002767FF"/>
    <w:rsid w:val="002B18FE"/>
    <w:rsid w:val="002B5493"/>
    <w:rsid w:val="002C44D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4C73"/>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7BE"/>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247E"/>
    <w:rsid w:val="00C61C0C"/>
    <w:rsid w:val="00C941CB"/>
    <w:rsid w:val="00CC2357"/>
    <w:rsid w:val="00CF071A"/>
    <w:rsid w:val="00D058B8"/>
    <w:rsid w:val="00D15209"/>
    <w:rsid w:val="00D56C11"/>
    <w:rsid w:val="00D834A0"/>
    <w:rsid w:val="00D872DF"/>
    <w:rsid w:val="00D91E21"/>
    <w:rsid w:val="00DA7FCD"/>
    <w:rsid w:val="00E365E1"/>
    <w:rsid w:val="00E820A4"/>
    <w:rsid w:val="00EB006A"/>
    <w:rsid w:val="00EB4772"/>
    <w:rsid w:val="00ED169E"/>
    <w:rsid w:val="00ED4235"/>
    <w:rsid w:val="00EE0FFF"/>
    <w:rsid w:val="00F04346"/>
    <w:rsid w:val="00F075DC"/>
    <w:rsid w:val="00F149E9"/>
    <w:rsid w:val="00F5134D"/>
    <w:rsid w:val="00F74202"/>
    <w:rsid w:val="00F87713"/>
    <w:rsid w:val="00FA6FE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A4795B"/>
  <w15:chartTrackingRefBased/>
  <w15:docId w15:val="{6196D2B7-928D-447A-A500-B705962FD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54C73"/>
    <w:pPr>
      <w:spacing w:before="480" w:after="240"/>
    </w:pPr>
  </w:style>
  <w:style w:type="paragraph" w:customStyle="1" w:styleId="NormalHanging12a">
    <w:name w:val="NormalHanging12a"/>
    <w:basedOn w:val="Normal"/>
    <w:rsid w:val="00554C73"/>
    <w:pPr>
      <w:spacing w:after="240"/>
      <w:ind w:left="567" w:hanging="567"/>
    </w:pPr>
  </w:style>
  <w:style w:type="character" w:styleId="Hyperlink">
    <w:name w:val="Hyperlink"/>
    <w:basedOn w:val="DefaultParagraphFont"/>
    <w:uiPriority w:val="99"/>
    <w:rsid w:val="00554C7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10.1598" TargetMode="External"/><Relationship Id="rId7" Type="http://schemas.openxmlformats.org/officeDocument/2006/relationships/hyperlink" Target="https://ec.europa.eu/transparency/comitology-register/screen/documents/089880/5/consult?lang=en" TargetMode="External"/><Relationship Id="rId2" Type="http://schemas.openxmlformats.org/officeDocument/2006/relationships/hyperlink" Target="https://doi.org/10.2903/j.efsa.2024.8569" TargetMode="External"/><Relationship Id="rId1" Type="http://schemas.openxmlformats.org/officeDocument/2006/relationships/hyperlink" Target="https://doi.org/10.2903/j.efsa.2021.6773" TargetMode="External"/><Relationship Id="rId6" Type="http://schemas.openxmlformats.org/officeDocument/2006/relationships/hyperlink" Target="https://www.echa.europa.eu/documents/10162/5eb9760e-6c73-7f2c-1226-98d92ed847d1" TargetMode="External"/><Relationship Id="rId5" Type="http://schemas.openxmlformats.org/officeDocument/2006/relationships/hyperlink" Target="https://doi.org/10.2903/j.efsa.2024.8756" TargetMode="External"/><Relationship Id="rId4" Type="http://schemas.openxmlformats.org/officeDocument/2006/relationships/hyperlink" Target="https://doi.org/10.2903/j.efsa.2018.5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A819B-3BF5-4E92-A5A7-03A4FCBD7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2347</Words>
  <Characters>12723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2024-09-18T10:45:00Z</dcterms:created>
  <dcterms:modified xsi:type="dcterms:W3CDTF">2024-09-18T10:45:00Z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B10-0020/2024</vt:lpwstr>
  </property>
  <property fmtid="{D5CDD505-2E9C-101B-9397-08002B2CF9AE}" pid="4" name="&lt;Type&gt;">
    <vt:lpwstr>RR</vt:lpwstr>
  </property>
</Properties>
</file>