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9A9" w:rsidTr="0010095E">
        <w:trPr>
          <w:trHeight w:hRule="exact" w:val="1418"/>
        </w:trPr>
        <w:tc>
          <w:tcPr>
            <w:tcW w:w="6804" w:type="dxa"/>
            <w:shd w:val="clear" w:color="auto" w:fill="auto"/>
            <w:vAlign w:val="center"/>
          </w:tcPr>
          <w:p w:rsidR="00751A4A" w:rsidRPr="002A39A9" w:rsidRDefault="003F7E2E" w:rsidP="0010095E">
            <w:pPr>
              <w:pStyle w:val="EPName"/>
            </w:pPr>
            <w:r w:rsidRPr="002A39A9">
              <w:t>Europa-Parlamentet</w:t>
            </w:r>
          </w:p>
          <w:p w:rsidR="00751A4A" w:rsidRPr="002A39A9" w:rsidRDefault="005F1B17" w:rsidP="005F1B17">
            <w:pPr>
              <w:pStyle w:val="EPTerm"/>
              <w:rPr>
                <w:rStyle w:val="HideTWBExt"/>
                <w:noProof w:val="0"/>
                <w:vanish w:val="0"/>
                <w:color w:val="auto"/>
              </w:rPr>
            </w:pPr>
            <w:r w:rsidRPr="002A39A9">
              <w:t>2024</w:t>
            </w:r>
            <w:r w:rsidR="00817416" w:rsidRPr="002A39A9">
              <w:t>-202</w:t>
            </w:r>
            <w:r w:rsidRPr="002A39A9">
              <w:t>9</w:t>
            </w:r>
          </w:p>
        </w:tc>
        <w:tc>
          <w:tcPr>
            <w:tcW w:w="2268" w:type="dxa"/>
            <w:shd w:val="clear" w:color="auto" w:fill="auto"/>
          </w:tcPr>
          <w:p w:rsidR="00751A4A" w:rsidRPr="002A39A9" w:rsidRDefault="00187494" w:rsidP="0010095E">
            <w:pPr>
              <w:pStyle w:val="EPLogo"/>
            </w:pPr>
            <w:r w:rsidRPr="002A39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39A9" w:rsidRDefault="00D058B8" w:rsidP="004C5D52">
      <w:pPr>
        <w:pStyle w:val="LineTop"/>
      </w:pPr>
    </w:p>
    <w:p w:rsidR="00680577" w:rsidRPr="002A39A9" w:rsidRDefault="003F7E2E" w:rsidP="00680577">
      <w:pPr>
        <w:pStyle w:val="EPBodyTA1"/>
      </w:pPr>
      <w:r w:rsidRPr="002A39A9">
        <w:t>VEDTAGNE TEKSTER</w:t>
      </w:r>
    </w:p>
    <w:p w:rsidR="00D058B8" w:rsidRPr="002A39A9" w:rsidRDefault="00D058B8" w:rsidP="00D058B8">
      <w:pPr>
        <w:pStyle w:val="LineBottom"/>
      </w:pPr>
    </w:p>
    <w:p w:rsidR="003F7E2E" w:rsidRPr="002A39A9" w:rsidRDefault="003F7E2E" w:rsidP="003F7E2E">
      <w:pPr>
        <w:pStyle w:val="ATHeading1"/>
      </w:pPr>
      <w:bookmarkStart w:id="0" w:name="TANumber"/>
      <w:r w:rsidRPr="002A39A9">
        <w:t>P10_</w:t>
      </w:r>
      <w:proofErr w:type="gramStart"/>
      <w:r w:rsidRPr="002A39A9">
        <w:t>TA(</w:t>
      </w:r>
      <w:proofErr w:type="gramEnd"/>
      <w:r w:rsidRPr="002A39A9">
        <w:t>2024)000</w:t>
      </w:r>
      <w:bookmarkEnd w:id="0"/>
      <w:r w:rsidR="00122F40">
        <w:t>6</w:t>
      </w:r>
    </w:p>
    <w:p w:rsidR="003F7E2E" w:rsidRPr="002A39A9" w:rsidRDefault="003B12DD" w:rsidP="003F7E2E">
      <w:pPr>
        <w:pStyle w:val="ATHeading2"/>
      </w:pPr>
      <w:r w:rsidRPr="00A52E06">
        <w:rPr>
          <w:szCs w:val="22"/>
          <w:lang w:eastAsia="da-DK" w:bidi="da-DK"/>
        </w:rPr>
        <w:t>Indsigelse mod en delegeret retsakt:</w:t>
      </w:r>
      <w:r>
        <w:rPr>
          <w:szCs w:val="22"/>
          <w:lang w:eastAsia="da-DK" w:bidi="da-DK"/>
        </w:rPr>
        <w:t xml:space="preserve"> </w:t>
      </w:r>
      <w:r w:rsidRPr="002A39A9">
        <w:t xml:space="preserve">maksimalgrænseværdierne for </w:t>
      </w:r>
      <w:proofErr w:type="spellStart"/>
      <w:r w:rsidRPr="002A39A9">
        <w:t>benomyl</w:t>
      </w:r>
      <w:proofErr w:type="spellEnd"/>
      <w:r w:rsidRPr="002A39A9">
        <w:t xml:space="preserve">, </w:t>
      </w:r>
      <w:proofErr w:type="spellStart"/>
      <w:r w:rsidRPr="002A39A9">
        <w:t>carbendazim</w:t>
      </w:r>
      <w:proofErr w:type="spellEnd"/>
      <w:r w:rsidRPr="002A39A9">
        <w:t xml:space="preserve"> og </w:t>
      </w:r>
      <w:proofErr w:type="spellStart"/>
      <w:r w:rsidRPr="002A39A9">
        <w:t>thiophanat-methyl</w:t>
      </w:r>
      <w:proofErr w:type="spellEnd"/>
    </w:p>
    <w:p w:rsidR="003F7E2E" w:rsidRPr="002A39A9" w:rsidRDefault="003F7E2E" w:rsidP="003F7E2E">
      <w:pPr>
        <w:rPr>
          <w:i/>
          <w:vanish/>
        </w:rPr>
      </w:pPr>
      <w:r w:rsidRPr="002A39A9">
        <w:rPr>
          <w:i/>
        </w:rPr>
        <w:fldChar w:fldCharType="begin"/>
      </w:r>
      <w:r w:rsidRPr="002A39A9">
        <w:rPr>
          <w:i/>
        </w:rPr>
        <w:instrText xml:space="preserve"> TC"(</w:instrText>
      </w:r>
      <w:bookmarkStart w:id="1" w:name="DocNumber"/>
      <w:r w:rsidRPr="002A39A9">
        <w:rPr>
          <w:i/>
        </w:rPr>
        <w:instrText>B10-0020/2024</w:instrText>
      </w:r>
      <w:bookmarkEnd w:id="1"/>
      <w:r w:rsidRPr="002A39A9">
        <w:rPr>
          <w:i/>
        </w:rPr>
        <w:instrText xml:space="preserve">)"\l3 \n&gt; \* MERGEFORMAT </w:instrText>
      </w:r>
      <w:r w:rsidRPr="002A39A9">
        <w:rPr>
          <w:i/>
        </w:rPr>
        <w:fldChar w:fldCharType="end"/>
      </w:r>
    </w:p>
    <w:p w:rsidR="003F7E2E" w:rsidRPr="002A39A9" w:rsidRDefault="003F7E2E" w:rsidP="003F7E2E">
      <w:pPr>
        <w:rPr>
          <w:vanish/>
        </w:rPr>
      </w:pPr>
      <w:bookmarkStart w:id="2" w:name="PE"/>
      <w:r w:rsidRPr="002A39A9">
        <w:rPr>
          <w:vanish/>
        </w:rPr>
        <w:t>PE763.090</w:t>
      </w:r>
      <w:bookmarkEnd w:id="2"/>
    </w:p>
    <w:p w:rsidR="003F7E2E" w:rsidRPr="002A39A9" w:rsidRDefault="003F7E2E" w:rsidP="003F7E2E">
      <w:pPr>
        <w:pStyle w:val="ATHeading3"/>
      </w:pPr>
      <w:bookmarkStart w:id="3" w:name="Sujet"/>
      <w:r w:rsidRPr="002A39A9">
        <w:t xml:space="preserve">Europa-Parlamentets beslutning af </w:t>
      </w:r>
      <w:r w:rsidR="003B12DD">
        <w:t>18. september</w:t>
      </w:r>
      <w:r w:rsidRPr="002A39A9">
        <w:t xml:space="preserve"> 2024 Kommissionens udkast til forordning om ændring af bilag II, III og V til Europa-Parlamentets og Rådets forordning (EF) nr. 396/2005 for så vidt angår maksimalgrænseværdierne for </w:t>
      </w:r>
      <w:proofErr w:type="spellStart"/>
      <w:r w:rsidRPr="002A39A9">
        <w:t>benomyl</w:t>
      </w:r>
      <w:proofErr w:type="spellEnd"/>
      <w:r w:rsidRPr="002A39A9">
        <w:t xml:space="preserve">, </w:t>
      </w:r>
      <w:proofErr w:type="spellStart"/>
      <w:r w:rsidRPr="002A39A9">
        <w:t>carbendazim</w:t>
      </w:r>
      <w:proofErr w:type="spellEnd"/>
      <w:r w:rsidRPr="002A39A9">
        <w:t xml:space="preserve"> og </w:t>
      </w:r>
      <w:proofErr w:type="spellStart"/>
      <w:r w:rsidRPr="002A39A9">
        <w:t>thiophanat-methyl</w:t>
      </w:r>
      <w:proofErr w:type="spellEnd"/>
      <w:r w:rsidRPr="002A39A9">
        <w:t xml:space="preserve"> i eller på visse produkter</w:t>
      </w:r>
      <w:bookmarkEnd w:id="3"/>
      <w:r w:rsidRPr="002A39A9">
        <w:t xml:space="preserve"> </w:t>
      </w:r>
      <w:bookmarkStart w:id="4" w:name="References"/>
      <w:r w:rsidRPr="002A39A9">
        <w:t>(D089819/05 – 2024/2758(RPS))</w:t>
      </w:r>
      <w:bookmarkEnd w:id="4"/>
    </w:p>
    <w:p w:rsidR="00AF2C4E" w:rsidRPr="002A39A9" w:rsidRDefault="00AF2C4E" w:rsidP="00AF2C4E">
      <w:pPr>
        <w:pStyle w:val="EPComma"/>
      </w:pPr>
      <w:bookmarkStart w:id="5" w:name="TextBodyBegin"/>
      <w:bookmarkEnd w:id="5"/>
      <w:r w:rsidRPr="002A39A9">
        <w:rPr>
          <w:i/>
          <w:iCs/>
        </w:rPr>
        <w:t>Europa-Parlamentet,</w:t>
      </w:r>
    </w:p>
    <w:p w:rsidR="00AF2C4E" w:rsidRPr="002A39A9" w:rsidRDefault="00AF2C4E" w:rsidP="00AF2C4E">
      <w:pPr>
        <w:pStyle w:val="NormalHanging12a"/>
      </w:pPr>
      <w:r w:rsidRPr="002A39A9">
        <w:t>–</w:t>
      </w:r>
      <w:r w:rsidRPr="002A39A9">
        <w:tab/>
        <w:t xml:space="preserve">der henviser til Kommissionens udkast til forordning om ændring af bilag II, III og V til Europa-Parlamentets og Rådets forordning (EF) nr. 396/2005 for så vidt angår maksimalgrænseværdierne for </w:t>
      </w:r>
      <w:proofErr w:type="spellStart"/>
      <w:r w:rsidRPr="002A39A9">
        <w:t>benomyl</w:t>
      </w:r>
      <w:proofErr w:type="spellEnd"/>
      <w:r w:rsidRPr="002A39A9">
        <w:t xml:space="preserve">, </w:t>
      </w:r>
      <w:proofErr w:type="spellStart"/>
      <w:r w:rsidRPr="002A39A9">
        <w:t>carbendazim</w:t>
      </w:r>
      <w:proofErr w:type="spellEnd"/>
      <w:r w:rsidRPr="002A39A9">
        <w:t xml:space="preserve"> og </w:t>
      </w:r>
      <w:proofErr w:type="spellStart"/>
      <w:r w:rsidRPr="002A39A9">
        <w:t>thiophanat-methyl</w:t>
      </w:r>
      <w:proofErr w:type="spellEnd"/>
      <w:r w:rsidRPr="002A39A9">
        <w:t xml:space="preserve"> i eller på visse produkter (D089819/05),</w:t>
      </w:r>
    </w:p>
    <w:p w:rsidR="00AF2C4E" w:rsidRPr="002A39A9" w:rsidRDefault="00AF2C4E" w:rsidP="00AF2C4E">
      <w:pPr>
        <w:pStyle w:val="NormalHanging12a"/>
      </w:pPr>
      <w:r w:rsidRPr="002A39A9">
        <w:t>–</w:t>
      </w:r>
      <w:r w:rsidRPr="002A39A9">
        <w:tab/>
        <w:t>der henviser til Europa-Parlamentets og Rådets forordning (EF) nr. 396/2005 af 23. februar 2005 om maksimalgrænseværdier for pesticidrester i eller på vegetabilske og animalske fødevarer og foderstoffer og om ændring af Rådets direktiv 91/414/EØF</w:t>
      </w:r>
      <w:r w:rsidRPr="002A39A9">
        <w:rPr>
          <w:vertAlign w:val="superscript"/>
        </w:rPr>
        <w:footnoteReference w:id="1"/>
      </w:r>
      <w:r w:rsidRPr="002A39A9">
        <w:t>, særlig artikel 14, stk. 1, litra a),</w:t>
      </w:r>
    </w:p>
    <w:p w:rsidR="00AF2C4E" w:rsidRPr="002A39A9" w:rsidRDefault="00AF2C4E" w:rsidP="00AF2C4E">
      <w:pPr>
        <w:pStyle w:val="NormalHanging12a"/>
      </w:pPr>
      <w:r w:rsidRPr="002A39A9">
        <w:t>–</w:t>
      </w:r>
      <w:r w:rsidRPr="002A39A9">
        <w:tab/>
        <w:t>der henviser til Europa-Parlamentets og Rådets forordning (EF) nr. 1107/2009 af 21. oktober 2009 om markedsføring af plantebeskyttelsesmidler og om ophævelse af Rådets direktiv 79/117/EØF og 91/414/EØF</w:t>
      </w:r>
      <w:r w:rsidRPr="002A39A9">
        <w:rPr>
          <w:vertAlign w:val="superscript"/>
        </w:rPr>
        <w:footnoteReference w:id="2"/>
      </w:r>
      <w:r w:rsidRPr="002A39A9">
        <w:t>, særlig artikel 4, stk. 1, og artikel 4, stk. 2, første afsnit, litra a), samt punkt 3.6.2, 3.6.4 og 3.6.5 i bilag II,</w:t>
      </w:r>
    </w:p>
    <w:p w:rsidR="00AF2C4E" w:rsidRPr="002A39A9" w:rsidRDefault="00AF2C4E" w:rsidP="00AF2C4E">
      <w:pPr>
        <w:pStyle w:val="NormalHanging12a"/>
      </w:pPr>
      <w:r w:rsidRPr="002A39A9">
        <w:t>–</w:t>
      </w:r>
      <w:r w:rsidRPr="002A39A9">
        <w:tab/>
        <w:t>der henviser til Europa-Parlamentets og Rådets forordning (EF) nr. 178/2002 af 28. januar 2002 om generelle principper og krav i fødevarelovgivningen, om oprettelse af Den Europæiske Fødevaresikkerhedsautoritet og om procedurer vedrørende fødevaresikkerhed</w:t>
      </w:r>
      <w:r w:rsidRPr="002A39A9">
        <w:rPr>
          <w:vertAlign w:val="superscript"/>
        </w:rPr>
        <w:footnoteReference w:id="3"/>
      </w:r>
      <w:r w:rsidRPr="002A39A9">
        <w:t>, navnlig artikel 5, stk. 1,</w:t>
      </w:r>
    </w:p>
    <w:p w:rsidR="00AF2C4E" w:rsidRPr="002A39A9" w:rsidRDefault="00AF2C4E" w:rsidP="00AF2C4E">
      <w:pPr>
        <w:pStyle w:val="NormalHanging12a"/>
      </w:pPr>
      <w:r w:rsidRPr="002A39A9">
        <w:t>–</w:t>
      </w:r>
      <w:r w:rsidRPr="002A39A9">
        <w:tab/>
        <w:t xml:space="preserve">der henviser til artikel 11, 13, 168 og 191 i traktaten om Den Europæiske Unions </w:t>
      </w:r>
      <w:r w:rsidRPr="002A39A9">
        <w:lastRenderedPageBreak/>
        <w:t>funktionsmåde,</w:t>
      </w:r>
    </w:p>
    <w:p w:rsidR="00AF2C4E" w:rsidRPr="002A39A9" w:rsidRDefault="00AF2C4E" w:rsidP="00AF2C4E">
      <w:pPr>
        <w:pStyle w:val="NormalHanging12a"/>
      </w:pPr>
      <w:r w:rsidRPr="002A39A9">
        <w:t>–</w:t>
      </w:r>
      <w:r w:rsidRPr="002A39A9">
        <w:tab/>
        <w:t>der henviser til den udtalelse, der blev vedtaget af Den Europæiske Fødevaresikkerhedsautoritet (EFSA) den 5. juli 2021 og offentliggjort den 23. august 2021</w:t>
      </w:r>
      <w:r w:rsidRPr="002A39A9">
        <w:rPr>
          <w:vertAlign w:val="superscript"/>
        </w:rPr>
        <w:footnoteReference w:id="4"/>
      </w:r>
      <w:r w:rsidRPr="002A39A9">
        <w:t>,</w:t>
      </w:r>
    </w:p>
    <w:p w:rsidR="00AF2C4E" w:rsidRPr="002A39A9" w:rsidRDefault="00AF2C4E" w:rsidP="00AF2C4E">
      <w:pPr>
        <w:pStyle w:val="NormalHanging12a"/>
      </w:pPr>
      <w:r w:rsidRPr="002A39A9">
        <w:t>–</w:t>
      </w:r>
      <w:r w:rsidRPr="002A39A9">
        <w:tab/>
        <w:t>der henviser til den ajourførte begrundede udtalelse, der blev vedtaget af EFSA den 10. januar 2024 og offentliggjort den 20. februar 2024</w:t>
      </w:r>
      <w:r w:rsidRPr="002A39A9">
        <w:rPr>
          <w:rStyle w:val="FootnoteReference"/>
        </w:rPr>
        <w:footnoteReference w:id="5"/>
      </w:r>
    </w:p>
    <w:p w:rsidR="00AF2C4E" w:rsidRPr="002A39A9" w:rsidRDefault="00AF2C4E" w:rsidP="00AF2C4E">
      <w:pPr>
        <w:pStyle w:val="NormalHanging12a"/>
      </w:pPr>
      <w:r w:rsidRPr="002A39A9">
        <w:t>–</w:t>
      </w:r>
      <w:r w:rsidRPr="002A39A9">
        <w:tab/>
        <w:t>der henviser til konklusionen om fagfællebedømmelser af pesticider, der blev vedtaget af EFSA den 30. april 2010 og offentliggjort den 12. maj 2010</w:t>
      </w:r>
      <w:r w:rsidRPr="002A39A9">
        <w:rPr>
          <w:vertAlign w:val="superscript"/>
        </w:rPr>
        <w:footnoteReference w:id="6"/>
      </w:r>
      <w:r w:rsidRPr="002A39A9">
        <w:t>,</w:t>
      </w:r>
    </w:p>
    <w:p w:rsidR="00AF2C4E" w:rsidRPr="002A39A9" w:rsidRDefault="00AF2C4E" w:rsidP="00AF2C4E">
      <w:pPr>
        <w:pStyle w:val="NormalHanging12a"/>
      </w:pPr>
      <w:r w:rsidRPr="002A39A9">
        <w:t>–</w:t>
      </w:r>
      <w:r w:rsidRPr="002A39A9">
        <w:tab/>
        <w:t>der henviser til konklusionen om fagfællebedømmelser af pesticider, der blev vedtaget af EFSA den 8. december 2017 og offentliggjort den 17. januar 2018</w:t>
      </w:r>
      <w:r w:rsidRPr="002A39A9">
        <w:rPr>
          <w:vertAlign w:val="superscript"/>
        </w:rPr>
        <w:footnoteReference w:id="7"/>
      </w:r>
      <w:r w:rsidRPr="002A39A9">
        <w:t>,</w:t>
      </w:r>
    </w:p>
    <w:p w:rsidR="00AF2C4E" w:rsidRPr="002A39A9" w:rsidRDefault="00AF2C4E" w:rsidP="00AF2C4E">
      <w:pPr>
        <w:pStyle w:val="NormalHanging12a"/>
      </w:pPr>
      <w:r w:rsidRPr="002A39A9">
        <w:t>–</w:t>
      </w:r>
      <w:r w:rsidRPr="002A39A9">
        <w:tab/>
        <w:t>der henviser til den erklæring, der blev vedtaget af EFSA den 27. marts 2024 og offentliggjort den 13. maj 2024</w:t>
      </w:r>
      <w:r w:rsidRPr="002A39A9">
        <w:rPr>
          <w:vertAlign w:val="superscript"/>
        </w:rPr>
        <w:footnoteReference w:id="8"/>
      </w:r>
      <w:r w:rsidRPr="002A39A9">
        <w:t>,</w:t>
      </w:r>
    </w:p>
    <w:p w:rsidR="00AF2C4E" w:rsidRPr="002A39A9" w:rsidRDefault="00AF2C4E" w:rsidP="00AF2C4E">
      <w:pPr>
        <w:pStyle w:val="NormalHanging12a"/>
      </w:pPr>
      <w:r w:rsidRPr="002A39A9">
        <w:t>–</w:t>
      </w:r>
      <w:r w:rsidRPr="002A39A9">
        <w:tab/>
        <w:t>der henviser til udtalelse vedtaget af Udvalget for Risikovurdering (RAC) under Det Europæiske Kemikalieagentur den 5. december 2019</w:t>
      </w:r>
      <w:r w:rsidRPr="002A39A9">
        <w:rPr>
          <w:rStyle w:val="FootnoteReference"/>
        </w:rPr>
        <w:footnoteReference w:id="9"/>
      </w:r>
      <w:r w:rsidRPr="002A39A9">
        <w:t>,</w:t>
      </w:r>
    </w:p>
    <w:p w:rsidR="00AF2C4E" w:rsidRPr="002A39A9" w:rsidRDefault="00AF2C4E" w:rsidP="00AF2C4E">
      <w:pPr>
        <w:pStyle w:val="NormalHanging12a"/>
      </w:pPr>
      <w:r w:rsidRPr="002A39A9">
        <w:t>–</w:t>
      </w:r>
      <w:r w:rsidRPr="002A39A9">
        <w:tab/>
        <w:t>der henviser til artikel 5a, stk. 3, litra b), og artikel 5a, stk. 5, i Rådets afgørelse 1999/468/EF af 28. juni 1999 om fastsættelse af de nærmere vilkår for udøvelsen af de gennemførelsesbeføjelser, der tillægges Kommissionen</w:t>
      </w:r>
      <w:r w:rsidRPr="002A39A9">
        <w:rPr>
          <w:rStyle w:val="FootnoteReference"/>
        </w:rPr>
        <w:footnoteReference w:id="10"/>
      </w:r>
      <w:r w:rsidRPr="002A39A9">
        <w:t>,</w:t>
      </w:r>
    </w:p>
    <w:p w:rsidR="00AF2C4E" w:rsidRPr="002A39A9" w:rsidRDefault="00AF2C4E" w:rsidP="00AF2C4E">
      <w:pPr>
        <w:pStyle w:val="NormalHanging12a"/>
      </w:pPr>
      <w:r w:rsidRPr="002A39A9">
        <w:t>–</w:t>
      </w:r>
      <w:r w:rsidRPr="002A39A9">
        <w:tab/>
        <w:t>der henviser til forretningsordenens artikel 115, stk. 2 og 3, og artikel 115, stk. 4, litra c),</w:t>
      </w:r>
    </w:p>
    <w:p w:rsidR="00AF2C4E" w:rsidRPr="002A39A9" w:rsidRDefault="00AF2C4E" w:rsidP="00AF2C4E">
      <w:pPr>
        <w:pStyle w:val="NormalHanging12a"/>
      </w:pPr>
      <w:r w:rsidRPr="002A39A9">
        <w:t>–</w:t>
      </w:r>
      <w:r w:rsidRPr="002A39A9">
        <w:tab/>
        <w:t xml:space="preserve">der henviser til forslag til beslutning fra Udvalget om Miljø, Folkesundhed og </w:t>
      </w:r>
      <w:r w:rsidRPr="002A39A9">
        <w:lastRenderedPageBreak/>
        <w:t>Fødevaresikkerhed,</w:t>
      </w:r>
    </w:p>
    <w:p w:rsidR="00AF2C4E" w:rsidRPr="002A39A9" w:rsidRDefault="00AF2C4E" w:rsidP="00AF2C4E">
      <w:pPr>
        <w:pStyle w:val="NormalHanging12a"/>
      </w:pPr>
      <w:r w:rsidRPr="002A39A9">
        <w:t>A.</w:t>
      </w:r>
      <w:r w:rsidRPr="002A39A9">
        <w:tab/>
        <w:t>der henviser til, at landbrugernes protester, der fandt sted i første halvdel af 2024, som et af deres centrale krav krævede en retfærdig og lige behandling af produkter importeret fra tredjelande, som bør følge de samme standarder som produkter produceret i Unionen;</w:t>
      </w:r>
    </w:p>
    <w:p w:rsidR="00AF2C4E" w:rsidRPr="002A39A9" w:rsidRDefault="00AF2C4E" w:rsidP="00AF2C4E">
      <w:pPr>
        <w:pStyle w:val="NormalHanging12a"/>
      </w:pPr>
      <w:r w:rsidRPr="002A39A9">
        <w:t>B.</w:t>
      </w:r>
      <w:r w:rsidRPr="002A39A9">
        <w:tab/>
        <w:t>der henviser til, at vedtagelsen af udkastet til Kommissionens forordning vil give mulighed for fortsat import til Unionen, som ikke overholder de standarder, som Unionens landbrugere overholder;</w:t>
      </w:r>
    </w:p>
    <w:p w:rsidR="00AF2C4E" w:rsidRPr="002A39A9" w:rsidRDefault="00AF2C4E" w:rsidP="00AF2C4E">
      <w:pPr>
        <w:pStyle w:val="NormalHanging12a"/>
      </w:pPr>
      <w:r w:rsidRPr="002A39A9">
        <w:t>C.</w:t>
      </w:r>
      <w:r w:rsidRPr="002A39A9">
        <w:tab/>
        <w:t>der henviser til, at en sådan situation ville stille Unionens landbrugere ringere i konkurrencen;</w:t>
      </w:r>
    </w:p>
    <w:p w:rsidR="00AF2C4E" w:rsidRPr="002A39A9" w:rsidRDefault="00AF2C4E" w:rsidP="00AF2C4E">
      <w:pPr>
        <w:pStyle w:val="NormalHanging12a"/>
      </w:pPr>
      <w:r w:rsidRPr="002A39A9">
        <w:t>D.</w:t>
      </w:r>
      <w:r w:rsidRPr="002A39A9">
        <w:tab/>
        <w:t xml:space="preserve">der henviser til, at godkendelsen af aktivstoffet </w:t>
      </w:r>
      <w:proofErr w:type="spellStart"/>
      <w:r w:rsidRPr="002A39A9">
        <w:t>carbendazim</w:t>
      </w:r>
      <w:proofErr w:type="spellEnd"/>
      <w:r w:rsidRPr="002A39A9">
        <w:t xml:space="preserve"> udløb den 30. november 2014, og der var ikke indgivet nogen ansøgning om fornyelse af godkendelsen;</w:t>
      </w:r>
    </w:p>
    <w:p w:rsidR="00AF2C4E" w:rsidRPr="002A39A9" w:rsidRDefault="00AF2C4E" w:rsidP="00AF2C4E">
      <w:pPr>
        <w:pStyle w:val="NormalHanging12a"/>
      </w:pPr>
      <w:r w:rsidRPr="002A39A9">
        <w:t>E.</w:t>
      </w:r>
      <w:r w:rsidRPr="002A39A9">
        <w:tab/>
        <w:t xml:space="preserve">der henviser til, at </w:t>
      </w:r>
      <w:proofErr w:type="spellStart"/>
      <w:r w:rsidRPr="002A39A9">
        <w:t>carbendazim</w:t>
      </w:r>
      <w:proofErr w:type="spellEnd"/>
      <w:r w:rsidRPr="002A39A9">
        <w:t xml:space="preserve"> opfylder kriterierne for klassificering som mutagent i kategori 1B og reproduktionstoksisk i kategori 1B i overensstemmelse med Europa-Parlamentets og Rådets forordning (EF) nr. 1272/2008</w:t>
      </w:r>
      <w:r w:rsidRPr="002A39A9">
        <w:rPr>
          <w:rStyle w:val="FootnoteReference"/>
        </w:rPr>
        <w:footnoteReference w:id="11"/>
      </w:r>
      <w:r w:rsidRPr="002A39A9">
        <w:t xml:space="preserve"> og to af kriterierne for persisterende, bioakkumulerende og toksiske stoffer (PBT) (P og T) i overensstemmelse med punkt 3.7.2 i bilag II til forordning (EF) nr. 1107/2009;</w:t>
      </w:r>
    </w:p>
    <w:p w:rsidR="00AF2C4E" w:rsidRPr="002A39A9" w:rsidRDefault="00AF2C4E" w:rsidP="00AF2C4E">
      <w:pPr>
        <w:pStyle w:val="NormalHanging12a"/>
      </w:pPr>
      <w:r w:rsidRPr="002A39A9">
        <w:t>F.</w:t>
      </w:r>
      <w:r w:rsidRPr="002A39A9">
        <w:tab/>
        <w:t xml:space="preserve">der henviser til, at </w:t>
      </w:r>
      <w:proofErr w:type="spellStart"/>
      <w:r w:rsidRPr="002A39A9">
        <w:t>carbendazim</w:t>
      </w:r>
      <w:proofErr w:type="spellEnd"/>
      <w:r w:rsidRPr="002A39A9">
        <w:t xml:space="preserve"> i overensstemmelse med forordning (EF) nr. 1272/2008 også er klassificeret som meget giftig for vandlevende organismer, er meget giftig med langvarige virkninger for vandlevende organismer og kan forårsage allergisk hudreaktion;</w:t>
      </w:r>
    </w:p>
    <w:p w:rsidR="00AF2C4E" w:rsidRPr="002A39A9" w:rsidRDefault="00AF2C4E" w:rsidP="00AF2C4E">
      <w:pPr>
        <w:pStyle w:val="NormalHanging12a"/>
      </w:pPr>
      <w:r w:rsidRPr="002A39A9">
        <w:t>G.</w:t>
      </w:r>
      <w:r w:rsidRPr="002A39A9">
        <w:tab/>
        <w:t xml:space="preserve">der henviser til, at de gældende maksimalgrænseværdier for restkoncentrationer (MRL), der er fastsat for </w:t>
      </w:r>
      <w:proofErr w:type="spellStart"/>
      <w:r w:rsidRPr="002A39A9">
        <w:t>carbendazim</w:t>
      </w:r>
      <w:proofErr w:type="spellEnd"/>
      <w:r w:rsidRPr="002A39A9">
        <w:t xml:space="preserve"> i bilag II til forordning (EF) nr. 396/2005, jf. artikel 14, stk. 1, litra a), og artikel 17 i denne forordning, derfor bør udgå;</w:t>
      </w:r>
    </w:p>
    <w:p w:rsidR="00AF2C4E" w:rsidRPr="002A39A9" w:rsidRDefault="00AF2C4E" w:rsidP="00AF2C4E">
      <w:pPr>
        <w:pStyle w:val="NormalHanging12a"/>
      </w:pPr>
      <w:r w:rsidRPr="002A39A9">
        <w:t>H.</w:t>
      </w:r>
      <w:r w:rsidRPr="002A39A9">
        <w:tab/>
        <w:t xml:space="preserve">der henviser til, at Kommissionen i udkastet til Kommissionens forordning imidlertid foreslår at fastholde </w:t>
      </w:r>
      <w:proofErr w:type="spellStart"/>
      <w:r w:rsidRPr="002A39A9">
        <w:t>MRL'erne</w:t>
      </w:r>
      <w:proofErr w:type="spellEnd"/>
      <w:r w:rsidRPr="002A39A9">
        <w:t xml:space="preserve"> baseret på importtolerancer for </w:t>
      </w:r>
      <w:proofErr w:type="spellStart"/>
      <w:r w:rsidRPr="002A39A9">
        <w:t>carbendazim</w:t>
      </w:r>
      <w:proofErr w:type="spellEnd"/>
      <w:r w:rsidRPr="002A39A9">
        <w:t xml:space="preserve"> over bestemmelsesgrænsen for anvendelse i citroner, limefrugter, mandariner og okra/</w:t>
      </w:r>
      <w:proofErr w:type="spellStart"/>
      <w:r w:rsidRPr="002A39A9">
        <w:t>lady's</w:t>
      </w:r>
      <w:proofErr w:type="spellEnd"/>
      <w:r w:rsidRPr="002A39A9">
        <w:t xml:space="preserve"> fingers til importformål på grundlag af </w:t>
      </w:r>
      <w:proofErr w:type="spellStart"/>
      <w:r w:rsidRPr="002A39A9">
        <w:t>EFSA's</w:t>
      </w:r>
      <w:proofErr w:type="spellEnd"/>
      <w:r w:rsidRPr="002A39A9">
        <w:t xml:space="preserve"> begrundede udtalelse af 5. juli 2021;</w:t>
      </w:r>
    </w:p>
    <w:p w:rsidR="00AF2C4E" w:rsidRPr="002A39A9" w:rsidRDefault="00AF2C4E" w:rsidP="00AF2C4E">
      <w:pPr>
        <w:pStyle w:val="NormalHanging12a"/>
      </w:pPr>
      <w:r w:rsidRPr="002A39A9">
        <w:t>I.</w:t>
      </w:r>
      <w:r w:rsidRPr="002A39A9">
        <w:tab/>
        <w:t xml:space="preserve">der henviser til, at Kommissionen i udkastet til Kommissionens forordning foreslår at opretholde </w:t>
      </w:r>
      <w:proofErr w:type="spellStart"/>
      <w:r w:rsidRPr="002A39A9">
        <w:t>MRL'erne</w:t>
      </w:r>
      <w:proofErr w:type="spellEnd"/>
      <w:r w:rsidRPr="002A39A9">
        <w:t xml:space="preserve"> baseret på importtolerancer for citroner, limefrugter og mandariner på de eksisterende niveauer på 0,7 mg/kg og at fastsætte maksimalgrænseværdierne for okra/</w:t>
      </w:r>
      <w:proofErr w:type="spellStart"/>
      <w:r w:rsidRPr="002A39A9">
        <w:t>lady's</w:t>
      </w:r>
      <w:proofErr w:type="spellEnd"/>
      <w:r w:rsidRPr="002A39A9">
        <w:t xml:space="preserve"> fingers til et nyt niveau fastsat af EFSA på 1,5 mg/kg; </w:t>
      </w:r>
    </w:p>
    <w:p w:rsidR="00AF2C4E" w:rsidRPr="002A39A9" w:rsidRDefault="00AF2C4E" w:rsidP="00AF2C4E">
      <w:pPr>
        <w:pStyle w:val="NormalHanging12a"/>
      </w:pPr>
      <w:r w:rsidRPr="002A39A9">
        <w:t>J.</w:t>
      </w:r>
      <w:r w:rsidRPr="002A39A9">
        <w:tab/>
        <w:t xml:space="preserve">der henviser til, at godkendelsen af aktivstoffet </w:t>
      </w:r>
      <w:proofErr w:type="spellStart"/>
      <w:r w:rsidRPr="002A39A9">
        <w:t>thiophanat-methyl</w:t>
      </w:r>
      <w:proofErr w:type="spellEnd"/>
      <w:r w:rsidRPr="002A39A9">
        <w:t xml:space="preserve"> ikke blev fornyet den 15. oktober 2020, efter at ansøgeren havde trukket en ansøgning om fornyelse tilbage;</w:t>
      </w:r>
    </w:p>
    <w:p w:rsidR="00AF2C4E" w:rsidRPr="002A39A9" w:rsidRDefault="00AF2C4E" w:rsidP="00AF2C4E">
      <w:pPr>
        <w:pStyle w:val="NormalHanging12a"/>
      </w:pPr>
      <w:r w:rsidRPr="002A39A9">
        <w:t>K.</w:t>
      </w:r>
      <w:r w:rsidRPr="002A39A9">
        <w:tab/>
        <w:t xml:space="preserve">der henviser til, at </w:t>
      </w:r>
      <w:proofErr w:type="spellStart"/>
      <w:r w:rsidRPr="002A39A9">
        <w:t>thiophanat-methyl</w:t>
      </w:r>
      <w:proofErr w:type="spellEnd"/>
      <w:r w:rsidRPr="002A39A9">
        <w:t xml:space="preserve"> opfylder kriterierne for klassificering som </w:t>
      </w:r>
      <w:r w:rsidRPr="002A39A9">
        <w:lastRenderedPageBreak/>
        <w:t>mutagent i kategori 2 og reproduktionstoksisk i kategori 2 i overensstemmelse med forordning (EF) nr. 1272/2008</w:t>
      </w:r>
      <w:r w:rsidRPr="002A39A9">
        <w:rPr>
          <w:rStyle w:val="FootnoteReference"/>
        </w:rPr>
        <w:footnoteReference w:id="12"/>
      </w:r>
      <w:r w:rsidRPr="002A39A9">
        <w:t>;</w:t>
      </w:r>
    </w:p>
    <w:p w:rsidR="00AF2C4E" w:rsidRPr="002A39A9" w:rsidRDefault="00AF2C4E" w:rsidP="00AF2C4E">
      <w:pPr>
        <w:pStyle w:val="NormalHanging12a"/>
      </w:pPr>
      <w:r w:rsidRPr="002A39A9">
        <w:t>L.</w:t>
      </w:r>
      <w:r w:rsidRPr="002A39A9">
        <w:tab/>
        <w:t xml:space="preserve">der henviser til, at EFSA i sin ajourførte begrundede udtalelse af 10. januar 2024 identificerede </w:t>
      </w:r>
      <w:proofErr w:type="spellStart"/>
      <w:r w:rsidRPr="002A39A9">
        <w:t>thiophanat-methyl</w:t>
      </w:r>
      <w:proofErr w:type="spellEnd"/>
      <w:r w:rsidRPr="002A39A9">
        <w:t xml:space="preserve"> som et hormonforstyrrende stof (T-modalitet) af relevans for mennesker i henhold til de videnskabelige kriterier til bestemmelse af hormonforstyrrende egenskaber, der er fastsat i Kommissionens forordning (EU) 2018/605</w:t>
      </w:r>
      <w:r w:rsidRPr="002A39A9">
        <w:rPr>
          <w:rStyle w:val="FootnoteReference"/>
        </w:rPr>
        <w:footnoteReference w:id="13"/>
      </w:r>
      <w:r w:rsidRPr="002A39A9">
        <w:t>;</w:t>
      </w:r>
    </w:p>
    <w:p w:rsidR="00AF2C4E" w:rsidRPr="002A39A9" w:rsidRDefault="00AF2C4E" w:rsidP="00AF2C4E">
      <w:pPr>
        <w:pStyle w:val="NormalHanging12a"/>
      </w:pPr>
      <w:r w:rsidRPr="002A39A9">
        <w:t>M.</w:t>
      </w:r>
      <w:r w:rsidRPr="002A39A9">
        <w:tab/>
        <w:t xml:space="preserve">der henviser til, at </w:t>
      </w:r>
      <w:proofErr w:type="spellStart"/>
      <w:r w:rsidRPr="002A39A9">
        <w:t>carbendazim</w:t>
      </w:r>
      <w:proofErr w:type="spellEnd"/>
      <w:r w:rsidRPr="002A39A9">
        <w:t xml:space="preserve"> er en vigtig </w:t>
      </w:r>
      <w:proofErr w:type="spellStart"/>
      <w:r w:rsidRPr="002A39A9">
        <w:t>plantemetabolit</w:t>
      </w:r>
      <w:proofErr w:type="spellEnd"/>
      <w:r w:rsidRPr="002A39A9">
        <w:t xml:space="preserve"> af </w:t>
      </w:r>
      <w:proofErr w:type="spellStart"/>
      <w:r w:rsidRPr="002A39A9">
        <w:t>thiophanat-methyl</w:t>
      </w:r>
      <w:proofErr w:type="spellEnd"/>
      <w:r w:rsidRPr="002A39A9">
        <w:t>;</w:t>
      </w:r>
    </w:p>
    <w:p w:rsidR="00AF2C4E" w:rsidRPr="002A39A9" w:rsidRDefault="00AF2C4E" w:rsidP="00AF2C4E">
      <w:pPr>
        <w:pStyle w:val="NormalHanging12a"/>
      </w:pPr>
      <w:r w:rsidRPr="002A39A9">
        <w:t>N.</w:t>
      </w:r>
      <w:r w:rsidRPr="002A39A9">
        <w:tab/>
        <w:t xml:space="preserve">der henviser til, at </w:t>
      </w:r>
      <w:proofErr w:type="spellStart"/>
      <w:r w:rsidRPr="002A39A9">
        <w:t>EFSA's</w:t>
      </w:r>
      <w:proofErr w:type="spellEnd"/>
      <w:r w:rsidRPr="002A39A9">
        <w:t xml:space="preserve"> konklusioner om peerevaluering af pesticider af 8. december 2017 konkluderede, at der i betragtning af </w:t>
      </w:r>
      <w:proofErr w:type="spellStart"/>
      <w:r w:rsidRPr="002A39A9">
        <w:t>thiophanat</w:t>
      </w:r>
      <w:proofErr w:type="spellEnd"/>
      <w:r w:rsidRPr="002A39A9">
        <w:noBreakHyphen/>
        <w:t>methyls clastogene potentiale ikke kunne udledes toksikologiske referenceværdier for risikovurdering af forbrugere og operatører;</w:t>
      </w:r>
    </w:p>
    <w:p w:rsidR="00AF2C4E" w:rsidRPr="002A39A9" w:rsidRDefault="00AF2C4E" w:rsidP="00AF2C4E">
      <w:pPr>
        <w:pStyle w:val="NormalHanging12a"/>
      </w:pPr>
      <w:r w:rsidRPr="002A39A9">
        <w:t>O.</w:t>
      </w:r>
      <w:r w:rsidRPr="002A39A9">
        <w:tab/>
        <w:t xml:space="preserve">der henviser til, at Kommissionen i 2024 sænkede </w:t>
      </w:r>
      <w:proofErr w:type="spellStart"/>
      <w:r w:rsidRPr="002A39A9">
        <w:t>MRL'erne</w:t>
      </w:r>
      <w:proofErr w:type="spellEnd"/>
      <w:r w:rsidRPr="002A39A9">
        <w:t xml:space="preserve"> for </w:t>
      </w:r>
      <w:proofErr w:type="spellStart"/>
      <w:r w:rsidRPr="002A39A9">
        <w:t>thiacloprid</w:t>
      </w:r>
      <w:proofErr w:type="spellEnd"/>
      <w:r w:rsidRPr="002A39A9">
        <w:t>, et aktivstof, der er klassificeret som reproduktionstoksisk i kategori 1B, til den relevante bestemmelsesgrænse, idet den hævdede, at "[p]</w:t>
      </w:r>
      <w:proofErr w:type="spellStart"/>
      <w:r w:rsidRPr="002A39A9">
        <w:t>ending</w:t>
      </w:r>
      <w:proofErr w:type="spellEnd"/>
      <w:r w:rsidRPr="002A39A9">
        <w:t xml:space="preserve"> the </w:t>
      </w:r>
      <w:proofErr w:type="spellStart"/>
      <w:r w:rsidRPr="002A39A9">
        <w:t>conclusion</w:t>
      </w:r>
      <w:proofErr w:type="spellEnd"/>
      <w:r w:rsidRPr="002A39A9">
        <w:t xml:space="preserve"> of </w:t>
      </w:r>
      <w:proofErr w:type="spellStart"/>
      <w:r w:rsidRPr="002A39A9">
        <w:t>this</w:t>
      </w:r>
      <w:proofErr w:type="spellEnd"/>
      <w:r w:rsidRPr="002A39A9">
        <w:t xml:space="preserve"> </w:t>
      </w:r>
      <w:proofErr w:type="spellStart"/>
      <w:r w:rsidRPr="002A39A9">
        <w:t>additional</w:t>
      </w:r>
      <w:proofErr w:type="spellEnd"/>
      <w:r w:rsidRPr="002A39A9">
        <w:t xml:space="preserve"> </w:t>
      </w:r>
      <w:proofErr w:type="spellStart"/>
      <w:r w:rsidRPr="002A39A9">
        <w:t>risk</w:t>
      </w:r>
      <w:proofErr w:type="spellEnd"/>
      <w:r w:rsidRPr="002A39A9">
        <w:t xml:space="preserve"> </w:t>
      </w:r>
      <w:proofErr w:type="spellStart"/>
      <w:r w:rsidRPr="002A39A9">
        <w:t>assessment</w:t>
      </w:r>
      <w:proofErr w:type="spellEnd"/>
      <w:r w:rsidRPr="002A39A9">
        <w:t xml:space="preserve"> [on </w:t>
      </w:r>
      <w:proofErr w:type="spellStart"/>
      <w:r w:rsidRPr="002A39A9">
        <w:t>endocrine-related</w:t>
      </w:r>
      <w:proofErr w:type="spellEnd"/>
      <w:r w:rsidRPr="002A39A9">
        <w:t xml:space="preserve"> </w:t>
      </w:r>
      <w:proofErr w:type="spellStart"/>
      <w:r w:rsidRPr="002A39A9">
        <w:t>effects</w:t>
      </w:r>
      <w:proofErr w:type="spellEnd"/>
      <w:r w:rsidRPr="002A39A9">
        <w:t xml:space="preserve">] by the Authority, and given the </w:t>
      </w:r>
      <w:proofErr w:type="spellStart"/>
      <w:r w:rsidRPr="002A39A9">
        <w:t>available</w:t>
      </w:r>
      <w:proofErr w:type="spellEnd"/>
      <w:r w:rsidRPr="002A39A9">
        <w:t xml:space="preserve"> pertinent information with </w:t>
      </w:r>
      <w:proofErr w:type="spellStart"/>
      <w:r w:rsidRPr="002A39A9">
        <w:t>regard</w:t>
      </w:r>
      <w:proofErr w:type="spellEnd"/>
      <w:r w:rsidRPr="002A39A9">
        <w:t xml:space="preserve"> to </w:t>
      </w:r>
      <w:proofErr w:type="spellStart"/>
      <w:r w:rsidRPr="002A39A9">
        <w:t>potentially</w:t>
      </w:r>
      <w:proofErr w:type="spellEnd"/>
      <w:r w:rsidRPr="002A39A9">
        <w:t xml:space="preserve"> harmful </w:t>
      </w:r>
      <w:proofErr w:type="spellStart"/>
      <w:r w:rsidRPr="002A39A9">
        <w:t>effects</w:t>
      </w:r>
      <w:proofErr w:type="spellEnd"/>
      <w:r w:rsidRPr="002A39A9">
        <w:t xml:space="preserve"> on human </w:t>
      </w:r>
      <w:proofErr w:type="spellStart"/>
      <w:r w:rsidRPr="002A39A9">
        <w:t>health</w:t>
      </w:r>
      <w:proofErr w:type="spellEnd"/>
      <w:r w:rsidRPr="002A39A9">
        <w:t xml:space="preserve">, it is </w:t>
      </w:r>
      <w:proofErr w:type="spellStart"/>
      <w:r w:rsidRPr="002A39A9">
        <w:t>appropriate</w:t>
      </w:r>
      <w:proofErr w:type="spellEnd"/>
      <w:r w:rsidRPr="002A39A9">
        <w:t xml:space="preserve"> to </w:t>
      </w:r>
      <w:proofErr w:type="spellStart"/>
      <w:r w:rsidRPr="002A39A9">
        <w:t>provisionally</w:t>
      </w:r>
      <w:proofErr w:type="spellEnd"/>
      <w:r w:rsidRPr="002A39A9">
        <w:t xml:space="preserve"> </w:t>
      </w:r>
      <w:proofErr w:type="spellStart"/>
      <w:r w:rsidRPr="002A39A9">
        <w:t>lower</w:t>
      </w:r>
      <w:proofErr w:type="spellEnd"/>
      <w:r w:rsidRPr="002A39A9">
        <w:t xml:space="preserve"> the </w:t>
      </w:r>
      <w:proofErr w:type="spellStart"/>
      <w:r w:rsidRPr="002A39A9">
        <w:t>MRLs</w:t>
      </w:r>
      <w:proofErr w:type="spellEnd"/>
      <w:r w:rsidRPr="002A39A9">
        <w:t xml:space="preserve"> ... [for </w:t>
      </w:r>
      <w:proofErr w:type="spellStart"/>
      <w:r w:rsidRPr="002A39A9">
        <w:t>those</w:t>
      </w:r>
      <w:proofErr w:type="spellEnd"/>
      <w:r w:rsidRPr="002A39A9">
        <w:t xml:space="preserve"> products]</w:t>
      </w:r>
      <w:r w:rsidRPr="002A39A9">
        <w:rPr>
          <w:rStyle w:val="FootnoteReference"/>
        </w:rPr>
        <w:footnoteReference w:id="14"/>
      </w:r>
      <w:r w:rsidRPr="002A39A9">
        <w:t xml:space="preserve">"(i afventning af autoritetens konklusion på den supplerende risikovurdering [om hormonforstyrrende virkninger] og i betragtning af de foreliggende relevante oplysninger om potentielt skadelige virkninger på menneskers sundhed er det hensigtsmæssigt midlertidigt at sænke </w:t>
      </w:r>
      <w:proofErr w:type="spellStart"/>
      <w:r w:rsidRPr="002A39A9">
        <w:t>MRL'erne</w:t>
      </w:r>
      <w:proofErr w:type="spellEnd"/>
      <w:r w:rsidRPr="002A39A9">
        <w:t>... [for disse produkter...]);</w:t>
      </w:r>
    </w:p>
    <w:p w:rsidR="00AF2C4E" w:rsidRPr="002A39A9" w:rsidRDefault="00AF2C4E" w:rsidP="00AF2C4E">
      <w:pPr>
        <w:pStyle w:val="NormalHanging12a"/>
      </w:pPr>
      <w:r w:rsidRPr="002A39A9">
        <w:t>P.</w:t>
      </w:r>
      <w:r w:rsidRPr="002A39A9">
        <w:tab/>
        <w:t xml:space="preserve">der henviser til, at de gældende </w:t>
      </w:r>
      <w:proofErr w:type="spellStart"/>
      <w:r w:rsidRPr="002A39A9">
        <w:t>MRL'er</w:t>
      </w:r>
      <w:proofErr w:type="spellEnd"/>
      <w:r w:rsidRPr="002A39A9">
        <w:t xml:space="preserve"> for restkoncentrationer, der er fastsat for </w:t>
      </w:r>
      <w:proofErr w:type="spellStart"/>
      <w:r w:rsidRPr="002A39A9">
        <w:t>thiophanat-methyl</w:t>
      </w:r>
      <w:proofErr w:type="spellEnd"/>
      <w:r w:rsidRPr="002A39A9">
        <w:t xml:space="preserve"> i bilag II til forordning (EF) nr. 396/2005, jf. artikel 14, stk. 1, litra a), og artikel 17 i denne forordning, derfor bør udgå;</w:t>
      </w:r>
    </w:p>
    <w:p w:rsidR="00AF2C4E" w:rsidRPr="002A39A9" w:rsidRDefault="00AF2C4E" w:rsidP="00AF2C4E">
      <w:pPr>
        <w:pStyle w:val="NormalHanging12a"/>
      </w:pPr>
      <w:r w:rsidRPr="002A39A9">
        <w:t>Q.</w:t>
      </w:r>
      <w:r w:rsidRPr="002A39A9">
        <w:tab/>
        <w:t xml:space="preserve">der henviser til, at Kommissionen i udkastet til Kommissionens forordning imidlertid foreslår at fastholde </w:t>
      </w:r>
      <w:proofErr w:type="spellStart"/>
      <w:r w:rsidRPr="002A39A9">
        <w:t>MRL'erne</w:t>
      </w:r>
      <w:proofErr w:type="spellEnd"/>
      <w:r w:rsidRPr="002A39A9">
        <w:t xml:space="preserve"> baseret på importtolerancer for </w:t>
      </w:r>
      <w:proofErr w:type="spellStart"/>
      <w:r w:rsidRPr="002A39A9">
        <w:t>thiophanat-methyl</w:t>
      </w:r>
      <w:proofErr w:type="spellEnd"/>
      <w:r w:rsidRPr="002A39A9">
        <w:t xml:space="preserve"> over bestemmelsesgrænsen for anvendelse i citroner, limefrugter, mandariner og okra/</w:t>
      </w:r>
      <w:proofErr w:type="spellStart"/>
      <w:r w:rsidRPr="002A39A9">
        <w:t>lady's</w:t>
      </w:r>
      <w:proofErr w:type="spellEnd"/>
      <w:r w:rsidRPr="002A39A9">
        <w:t xml:space="preserve"> fingers til importformål på grundlag af </w:t>
      </w:r>
      <w:proofErr w:type="spellStart"/>
      <w:r w:rsidRPr="002A39A9">
        <w:t>EFSA's</w:t>
      </w:r>
      <w:proofErr w:type="spellEnd"/>
      <w:r w:rsidRPr="002A39A9">
        <w:t xml:space="preserve"> begrundede udtalelse af 5. juli 2021; der henviser til, at </w:t>
      </w:r>
      <w:proofErr w:type="spellStart"/>
      <w:r w:rsidRPr="002A39A9">
        <w:t>MRL'en</w:t>
      </w:r>
      <w:proofErr w:type="spellEnd"/>
      <w:r w:rsidRPr="002A39A9">
        <w:t xml:space="preserve"> for </w:t>
      </w:r>
      <w:proofErr w:type="spellStart"/>
      <w:r w:rsidRPr="002A39A9">
        <w:t>thiophanat</w:t>
      </w:r>
      <w:proofErr w:type="spellEnd"/>
      <w:r w:rsidRPr="002A39A9">
        <w:t>-metyl på limetyl er fastsat til 6 mg/kg, 600 gange bestemmelsesgrænsen;</w:t>
      </w:r>
    </w:p>
    <w:p w:rsidR="00AF2C4E" w:rsidRPr="002A39A9" w:rsidRDefault="00AF2C4E" w:rsidP="00AF2C4E">
      <w:pPr>
        <w:pStyle w:val="NormalHanging12a"/>
      </w:pPr>
      <w:r w:rsidRPr="002A39A9">
        <w:t>R.</w:t>
      </w:r>
      <w:r w:rsidRPr="002A39A9">
        <w:tab/>
        <w:t xml:space="preserve">der henviser til, at forordning (EF) nr. 396/2005 fastsætter, at restkoncentrationer ikke bør forekomme i mængder, der udgør en uacceptabel risiko for mennesker og, hvor det er relevant, for dyr; </w:t>
      </w:r>
    </w:p>
    <w:p w:rsidR="00AF2C4E" w:rsidRPr="002A39A9" w:rsidRDefault="00AF2C4E" w:rsidP="00AF2C4E">
      <w:pPr>
        <w:pStyle w:val="NormalHanging12a"/>
      </w:pPr>
      <w:r w:rsidRPr="002A39A9">
        <w:lastRenderedPageBreak/>
        <w:t>S.</w:t>
      </w:r>
      <w:r w:rsidRPr="002A39A9">
        <w:tab/>
        <w:t xml:space="preserve">der henviser til, at artikel 4, stk. 2, første afsnit, litra a), i forordning (EF) nr. 1107/2009 fastsætter, at restkoncentrationer af plantebeskyttelsesmidler ikke må have skadelige virkninger på menneskers sundhed, herunder sårbare gruppers, eller på dyrs sundhed, idet kendte kumulative og </w:t>
      </w:r>
      <w:proofErr w:type="spellStart"/>
      <w:r w:rsidRPr="002A39A9">
        <w:t>synergistiske</w:t>
      </w:r>
      <w:proofErr w:type="spellEnd"/>
      <w:r w:rsidRPr="002A39A9">
        <w:t xml:space="preserve"> virkninger tages i betragtning; der henviser til, at det i punkt 3.6.2 i bilag II til nævnte forordning fastsættes, at et aktivstof, der i overensstemmelse med forordning (EF) nr. 1272/2008 er klassificeret som mutagent i kategori 1A eller 1B, ikke godkendes; der henviser til, at det i punkt 3.6.4 i nævnte bilag fastsættes, at et aktivstof, der i overensstemmelse med forordning (EF) nr. 1272/2008 er klassificeret som reproduktionstoksicitet kategori 1A eller 1B, ikke godkendes, medmindre "restkoncentrationerne af det pågældende aktivstof i fødevarer og foder ikke overstiger den standardværdi, der er fastsat i henhold til artikel 18, stk. 1, litra b), i forordning (EF) nr. 396/2005"; der henviser til, at det i punkt 3.6.5 i nævnte bilag fastsættes, at et aktivstof ikke godkendes, hvis det er et stof med hormonforstyrrende egenskaber, medmindre "restkoncentrationerne af det pågældende aktivstof i fødevarer og foder ikke overstiger den standardværdi, der er fastsat i henhold til artikel 18, stk. 1, litra b), i forordning (EF) nr. 396/2005"; der henviser til, at artikel 18, stk. 1, litra b), i forordning (EF) nr. 396/2005 fastsætter en standardværdi på 0,01 mg/kg;</w:t>
      </w:r>
    </w:p>
    <w:p w:rsidR="00AF2C4E" w:rsidRPr="002A39A9" w:rsidRDefault="00AF2C4E" w:rsidP="00AF2C4E">
      <w:pPr>
        <w:pStyle w:val="NormalHanging12a"/>
      </w:pPr>
      <w:r w:rsidRPr="002A39A9">
        <w:t>T.</w:t>
      </w:r>
      <w:r w:rsidRPr="002A39A9">
        <w:tab/>
        <w:t xml:space="preserve">der henviser til, at det i artikel 3, stk. 2, litra g), i forordning (EF) nr. 396/2005 er fastsat, at importtolerancen er en MRL for restkoncentration, der er fastsat for importerede produkter, når "anvendelsen af aktivstoffet i et plantebeskyttelsesmiddel på et givet produkt ikke er tilladt i Fællesskabet af andre årsager end folkesundhedsmæssige hensyn til det specifikke produkt og den specifikke anvendelse"; der henviser til, at </w:t>
      </w:r>
      <w:proofErr w:type="spellStart"/>
      <w:r w:rsidRPr="002A39A9">
        <w:t>carbendazim</w:t>
      </w:r>
      <w:proofErr w:type="spellEnd"/>
      <w:r w:rsidRPr="002A39A9">
        <w:t xml:space="preserve"> ikke opfylder disse kriterier, da det ikke længere kan godkendes i Unionen som følge af dets klassificering som mutagent i kategori 1B og reproduktionstoksisk i kategori 1B; der henviser til, at </w:t>
      </w:r>
      <w:proofErr w:type="spellStart"/>
      <w:r w:rsidRPr="002A39A9">
        <w:t>thiophanat-methyl</w:t>
      </w:r>
      <w:proofErr w:type="spellEnd"/>
      <w:r w:rsidRPr="002A39A9">
        <w:t xml:space="preserve"> ligeledes ikke opfylder disse kriterier, idet det er blevet identificeret som et hormonforstyrrende stof (T-modalitet) af relevans for mennesker i henhold til de videnskabelige kriterier til bestemmelse af hormonforstyrrende egenskaber, der er fastsat i forordning (EU) 2018/605;</w:t>
      </w:r>
    </w:p>
    <w:p w:rsidR="00AF2C4E" w:rsidRPr="002A39A9" w:rsidRDefault="00AF2C4E" w:rsidP="00AF2C4E">
      <w:pPr>
        <w:pStyle w:val="NormalHanging12a"/>
      </w:pPr>
      <w:r w:rsidRPr="002A39A9">
        <w:t>U.</w:t>
      </w:r>
      <w:r w:rsidRPr="002A39A9">
        <w:tab/>
        <w:t>der henviser til, at fødevarelovgivningen i henhold til artikel 5, stk. 1, i forordning (EF) nr. 178/2002 skal forfølge en eller flere af de generelle målsætninger om et højt niveau for beskyttelse af menneskers liv og sundhed og beskyttelse af forbrugernes interesser, herunder redelig praksis i handelen med fødevarer, om nødvendigt under hensyntagen til beskyttelsen af dyrs sundhed og velfærd, planters sundhed og miljøet;</w:t>
      </w:r>
    </w:p>
    <w:p w:rsidR="00AF2C4E" w:rsidRPr="002A39A9" w:rsidRDefault="00AF2C4E" w:rsidP="00AF2C4E">
      <w:pPr>
        <w:pStyle w:val="NormalHanging12a"/>
      </w:pPr>
      <w:r w:rsidRPr="002A39A9">
        <w:t>V.</w:t>
      </w:r>
      <w:r w:rsidRPr="002A39A9">
        <w:tab/>
        <w:t>der henviser til, at Kommissionen i sin meddelelse af 20. maj 2020 om "En jord til bord-strategi for et fair, sundt og miljøvenligt fødevaresystem</w:t>
      </w:r>
      <w:r w:rsidRPr="002A39A9">
        <w:rPr>
          <w:vertAlign w:val="superscript"/>
        </w:rPr>
        <w:footnoteReference w:id="15"/>
      </w:r>
      <w:r w:rsidRPr="002A39A9">
        <w:t xml:space="preserve">" bebudede, at "EU vil støtte en global omstilling til bæredygtige landbrugsfødevaresystemer i overensstemmelse med målene i denne strategi og med verdensmålene for bæredygtig udvikling", og at "EU kan spille en nøglerolle i arbejdet med at fastsætte globale standarder med denne strategi"; der henviser til, at Kommissionen i strategien udtrykkeligt anførte, at "[e]n af forudsætningerne for et mere bæredygtigt EU-fødevaresystem er, at vore handelspartneres praksis også bliver stadig mere bæredygtig. For at befordre en gradvis overgang til brug af sikrere plantebeskyttelsesmidler vil EU – i overensstemmelse med WTO-reglerne og på grundlag af en risikovurdering – overveje at revurdere importtolerancerne for stoffer, der opfylder "afskæringskriterierne" og udgør en høj </w:t>
      </w:r>
      <w:r w:rsidRPr="002A39A9">
        <w:lastRenderedPageBreak/>
        <w:t>risiko for menneskers sundhed.";</w:t>
      </w:r>
    </w:p>
    <w:p w:rsidR="00AF2C4E" w:rsidRPr="002A39A9" w:rsidRDefault="00AF2C4E" w:rsidP="00AF2C4E">
      <w:pPr>
        <w:pStyle w:val="NormalHanging12a"/>
      </w:pPr>
      <w:r w:rsidRPr="002A39A9">
        <w:t>W.</w:t>
      </w:r>
      <w:r w:rsidRPr="002A39A9">
        <w:tab/>
        <w:t>der henviser til, at Kommissionen skal beskytte miljøet og de europæiske borgere på grundlag af de foreliggende videnskabelige oplysninger under anvendelse af de forpligtelser og retlige muligheder, som forordning (EF) nr. 396/2005 og forordning (EF) nr. 178/2002 giver for at sikre et højt beskyttelsesniveau for menneskers og dyrs sundhed og miljøet;</w:t>
      </w:r>
    </w:p>
    <w:p w:rsidR="00AF2C4E" w:rsidRPr="002A39A9" w:rsidRDefault="00AF2C4E" w:rsidP="00AF2C4E">
      <w:pPr>
        <w:pStyle w:val="NormalHanging12a"/>
      </w:pPr>
      <w:r w:rsidRPr="002A39A9">
        <w:t>X.</w:t>
      </w:r>
      <w:r w:rsidRPr="002A39A9">
        <w:tab/>
        <w:t xml:space="preserve">der henviser til, at de foreslåede </w:t>
      </w:r>
      <w:proofErr w:type="spellStart"/>
      <w:r w:rsidRPr="002A39A9">
        <w:t>MRL'er</w:t>
      </w:r>
      <w:proofErr w:type="spellEnd"/>
      <w:r w:rsidRPr="002A39A9">
        <w:t xml:space="preserve"> ikke beskytter borgernes sundhed i Europa, og at de derfor er i strid med forordning (EF) nr. 396/2005 og (EF) nr. 178/2002;</w:t>
      </w:r>
    </w:p>
    <w:p w:rsidR="00AF2C4E" w:rsidRPr="002A39A9" w:rsidRDefault="00AF2C4E" w:rsidP="00AF2C4E">
      <w:pPr>
        <w:pStyle w:val="NormalHanging12a"/>
      </w:pPr>
      <w:r w:rsidRPr="002A39A9">
        <w:t xml:space="preserve">Y. </w:t>
      </w:r>
      <w:r w:rsidRPr="002A39A9">
        <w:tab/>
        <w:t xml:space="preserve">der henviser til, at der ikke bør fastsættes </w:t>
      </w:r>
      <w:proofErr w:type="spellStart"/>
      <w:r w:rsidRPr="002A39A9">
        <w:t>MRL'er</w:t>
      </w:r>
      <w:proofErr w:type="spellEnd"/>
      <w:r w:rsidRPr="002A39A9">
        <w:t xml:space="preserve"> for restkoncentrationer for aktivstoffer, der ikke er godkendt i Unionen på grund af sundhedsmæssige betænkeligheder; der henviser til, at der derfor ikke bør fastsættes importtolerancer for </w:t>
      </w:r>
      <w:proofErr w:type="spellStart"/>
      <w:r w:rsidRPr="002A39A9">
        <w:t>thiophanat-methyl</w:t>
      </w:r>
      <w:proofErr w:type="spellEnd"/>
      <w:r w:rsidRPr="002A39A9">
        <w:t xml:space="preserve">, da det er identificeret som et hormonforstyrrende stof eller for </w:t>
      </w:r>
      <w:proofErr w:type="spellStart"/>
      <w:r w:rsidRPr="002A39A9">
        <w:t>carbendazim</w:t>
      </w:r>
      <w:proofErr w:type="spellEnd"/>
      <w:r w:rsidRPr="002A39A9">
        <w:t>, da det er klassificeret som mutagent i kategori 1B og reproduktionstoksisk i kategori 1B;</w:t>
      </w:r>
    </w:p>
    <w:p w:rsidR="00AF2C4E" w:rsidRPr="002A39A9" w:rsidRDefault="00AF2C4E" w:rsidP="00AF2C4E">
      <w:pPr>
        <w:pStyle w:val="NormalHanging12a"/>
      </w:pPr>
      <w:r w:rsidRPr="002A39A9">
        <w:t>Z.</w:t>
      </w:r>
      <w:r w:rsidRPr="002A39A9">
        <w:tab/>
        <w:t xml:space="preserve">der henviser til, at praksis med at fastsætte høje </w:t>
      </w:r>
      <w:proofErr w:type="spellStart"/>
      <w:r w:rsidRPr="002A39A9">
        <w:t>MRL'er</w:t>
      </w:r>
      <w:proofErr w:type="spellEnd"/>
      <w:r w:rsidRPr="002A39A9">
        <w:t xml:space="preserve"> fremmer en dobbelt standard mellem Unionens landbrugere og landbrugere i tredjelande, da landbrugere uden for Unionen kan fortsætte med at producere de pågældende fødevarer ved hjælp af </w:t>
      </w:r>
      <w:proofErr w:type="spellStart"/>
      <w:r w:rsidRPr="002A39A9">
        <w:t>carbendazim</w:t>
      </w:r>
      <w:proofErr w:type="spellEnd"/>
      <w:r w:rsidRPr="002A39A9">
        <w:t xml:space="preserve"> og </w:t>
      </w:r>
      <w:proofErr w:type="spellStart"/>
      <w:r w:rsidRPr="002A39A9">
        <w:t>thiophanat-methyl</w:t>
      </w:r>
      <w:proofErr w:type="spellEnd"/>
      <w:r w:rsidRPr="002A39A9">
        <w:t xml:space="preserve"> og eksportere dem til Unionen, hvilket stiller Unionens landbrugere ringere i konkurrencen; der henviser til, at anvendelsen af disse pesticider på den anden side bringer landbrugsarbejdernes sundhed, befolkningens sundhed og miljøet i producentlandene i fare;</w:t>
      </w:r>
    </w:p>
    <w:p w:rsidR="00AF2C4E" w:rsidRPr="002A39A9" w:rsidRDefault="00AF2C4E" w:rsidP="00AF2C4E">
      <w:pPr>
        <w:pStyle w:val="NormalHanging12a"/>
      </w:pPr>
      <w:r w:rsidRPr="002A39A9">
        <w:t>1.</w:t>
      </w:r>
      <w:r w:rsidRPr="002A39A9">
        <w:tab/>
        <w:t>modsætter sig vedtagelse af udkastet til Kommissionens forordning;</w:t>
      </w:r>
    </w:p>
    <w:p w:rsidR="00AF2C4E" w:rsidRPr="002A39A9" w:rsidRDefault="00AF2C4E" w:rsidP="00AF2C4E">
      <w:pPr>
        <w:pStyle w:val="NormalHanging12a"/>
      </w:pPr>
      <w:r w:rsidRPr="002A39A9">
        <w:t>2.</w:t>
      </w:r>
      <w:r w:rsidRPr="002A39A9">
        <w:tab/>
        <w:t xml:space="preserve">mener, at udkastet til Kommissionens forordning hverken er i overensstemmelse med formålet og indholdet i forordning (EF) nr. 396/2005 og forordning (EF) nr. 178/2002 </w:t>
      </w:r>
      <w:r w:rsidR="003D7E49">
        <w:t>eller med forordning (EF) nr. 11</w:t>
      </w:r>
      <w:r w:rsidRPr="002A39A9">
        <w:t>07/2009, herunder afsnit 3.6.2, 3.6.4 og 3.6.5 i bilag II hertil;</w:t>
      </w:r>
      <w:bookmarkStart w:id="7" w:name="_GoBack"/>
      <w:bookmarkEnd w:id="7"/>
    </w:p>
    <w:p w:rsidR="00AF2C4E" w:rsidRPr="002A39A9" w:rsidRDefault="00AF2C4E" w:rsidP="00AF2C4E">
      <w:pPr>
        <w:pStyle w:val="NormalHanging12a"/>
      </w:pPr>
      <w:r w:rsidRPr="002A39A9">
        <w:t>3.</w:t>
      </w:r>
      <w:r w:rsidRPr="002A39A9">
        <w:tab/>
        <w:t>opfordrer Kommissionen til at trække udkastet til forordning tilbage og forelægge udvalget et nyt;</w:t>
      </w:r>
    </w:p>
    <w:p w:rsidR="00AF2C4E" w:rsidRPr="002A39A9" w:rsidRDefault="00AF2C4E" w:rsidP="00AF2C4E">
      <w:pPr>
        <w:pStyle w:val="NormalHanging12a"/>
      </w:pPr>
      <w:r w:rsidRPr="002A39A9">
        <w:t>4.</w:t>
      </w:r>
      <w:r w:rsidRPr="002A39A9">
        <w:tab/>
        <w:t xml:space="preserve">opfordrer Kommissionen til at forelægge et nyt udkast til forordning for udvalget, der sænker alle </w:t>
      </w:r>
      <w:proofErr w:type="spellStart"/>
      <w:r w:rsidRPr="002A39A9">
        <w:t>MRL'er</w:t>
      </w:r>
      <w:proofErr w:type="spellEnd"/>
      <w:r w:rsidRPr="002A39A9">
        <w:t xml:space="preserve"> for restkoncentrationer af </w:t>
      </w:r>
      <w:proofErr w:type="spellStart"/>
      <w:r w:rsidRPr="002A39A9">
        <w:t>carbendazim</w:t>
      </w:r>
      <w:proofErr w:type="spellEnd"/>
      <w:r w:rsidRPr="002A39A9">
        <w:t xml:space="preserve"> og </w:t>
      </w:r>
      <w:proofErr w:type="spellStart"/>
      <w:r w:rsidRPr="002A39A9">
        <w:t>thiophanat-methyl</w:t>
      </w:r>
      <w:proofErr w:type="spellEnd"/>
      <w:r w:rsidRPr="002A39A9">
        <w:t xml:space="preserve"> til den relevante bestemmelsesgrænse for alle anvendelser, og til at afvise enhver anmodning om importtolerancer;</w:t>
      </w:r>
    </w:p>
    <w:p w:rsidR="00E365E1" w:rsidRPr="002A39A9" w:rsidRDefault="00AF2C4E" w:rsidP="003B12DD">
      <w:pPr>
        <w:pStyle w:val="NormalHanging12a"/>
      </w:pPr>
      <w:r w:rsidRPr="002A39A9">
        <w:t>5.</w:t>
      </w:r>
      <w:r w:rsidRPr="002A39A9">
        <w:tab/>
        <w:t xml:space="preserve">pålægger sin formand at sende denne beslutning til Rådet og Kommissionen samt til medlemsstaternes regeringer og parlamenter. </w:t>
      </w:r>
      <w:bookmarkStart w:id="8" w:name="TextBodyEnd"/>
      <w:bookmarkEnd w:id="8"/>
    </w:p>
    <w:sectPr w:rsidR="00E365E1" w:rsidRPr="002A39A9" w:rsidSect="002A39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E2E" w:rsidRPr="002A39A9" w:rsidRDefault="003F7E2E">
      <w:r w:rsidRPr="002A39A9">
        <w:separator/>
      </w:r>
    </w:p>
  </w:endnote>
  <w:endnote w:type="continuationSeparator" w:id="0">
    <w:p w:rsidR="003F7E2E" w:rsidRPr="002A39A9" w:rsidRDefault="003F7E2E">
      <w:r w:rsidRPr="002A3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9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9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9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E2E" w:rsidRPr="002A39A9" w:rsidRDefault="003F7E2E">
      <w:r w:rsidRPr="002A39A9">
        <w:separator/>
      </w:r>
    </w:p>
  </w:footnote>
  <w:footnote w:type="continuationSeparator" w:id="0">
    <w:p w:rsidR="003F7E2E" w:rsidRPr="002A39A9" w:rsidRDefault="003F7E2E">
      <w:r w:rsidRPr="002A39A9">
        <w:continuationSeparator/>
      </w:r>
    </w:p>
  </w:footnote>
  <w:footnote w:id="1">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r w:rsidRPr="002A39A9">
        <w:rPr>
          <w:sz w:val="24"/>
          <w:lang w:val="da-DK"/>
        </w:rPr>
        <w:t>EUT L 70 af 16.3.2005, s. 1.</w:t>
      </w:r>
    </w:p>
  </w:footnote>
  <w:footnote w:id="2">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r w:rsidRPr="002A39A9">
        <w:rPr>
          <w:sz w:val="24"/>
          <w:lang w:val="da-DK"/>
        </w:rPr>
        <w:t>EUT L 309 af 24.11.2009, s. 1.</w:t>
      </w:r>
    </w:p>
  </w:footnote>
  <w:footnote w:id="3">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r w:rsidRPr="002A39A9">
        <w:rPr>
          <w:sz w:val="24"/>
          <w:lang w:val="da-DK"/>
        </w:rPr>
        <w:t>EFT L 31 af 1.2.2002, s. 1.</w:t>
      </w:r>
    </w:p>
  </w:footnote>
  <w:footnote w:id="4">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proofErr w:type="spellStart"/>
      <w:r w:rsidRPr="002A39A9">
        <w:rPr>
          <w:sz w:val="24"/>
          <w:lang w:val="da-DK"/>
        </w:rPr>
        <w:t>EFSA's</w:t>
      </w:r>
      <w:proofErr w:type="spellEnd"/>
      <w:r w:rsidRPr="002A39A9">
        <w:rPr>
          <w:sz w:val="24"/>
          <w:lang w:val="da-DK"/>
        </w:rPr>
        <w:t xml:space="preserve"> begrundede udtalelse om de toksikologiske egenskaber og maksimalgrænseværdierne (MRL) for </w:t>
      </w:r>
      <w:proofErr w:type="spellStart"/>
      <w:r w:rsidRPr="002A39A9">
        <w:rPr>
          <w:sz w:val="24"/>
          <w:lang w:val="da-DK"/>
        </w:rPr>
        <w:t>benzimidazolstofferne</w:t>
      </w:r>
      <w:proofErr w:type="spellEnd"/>
      <w:r w:rsidRPr="002A39A9">
        <w:rPr>
          <w:sz w:val="24"/>
          <w:lang w:val="da-DK"/>
        </w:rPr>
        <w:t xml:space="preserve"> </w:t>
      </w:r>
      <w:proofErr w:type="spellStart"/>
      <w:r w:rsidRPr="002A39A9">
        <w:rPr>
          <w:sz w:val="24"/>
          <w:lang w:val="da-DK"/>
        </w:rPr>
        <w:t>carbendazim</w:t>
      </w:r>
      <w:proofErr w:type="spellEnd"/>
      <w:r w:rsidRPr="002A39A9">
        <w:rPr>
          <w:sz w:val="24"/>
          <w:lang w:val="da-DK"/>
        </w:rPr>
        <w:t xml:space="preserve"> og </w:t>
      </w:r>
      <w:proofErr w:type="spellStart"/>
      <w:r w:rsidRPr="002A39A9">
        <w:rPr>
          <w:sz w:val="24"/>
          <w:lang w:val="da-DK"/>
        </w:rPr>
        <w:t>thiophanat-methyl</w:t>
      </w:r>
      <w:proofErr w:type="spellEnd"/>
      <w:r w:rsidRPr="002A39A9">
        <w:rPr>
          <w:sz w:val="24"/>
          <w:lang w:val="da-DK"/>
        </w:rPr>
        <w:t xml:space="preserve">, </w:t>
      </w:r>
      <w:bookmarkStart w:id="6" w:name="_Hlk168311905"/>
      <w:r w:rsidRPr="002A39A9">
        <w:rPr>
          <w:sz w:val="24"/>
          <w:lang w:val="da-DK"/>
        </w:rPr>
        <w:t>EFSA Journal 2021;19(8):e06773</w:t>
      </w:r>
      <w:bookmarkEnd w:id="6"/>
      <w:r w:rsidRPr="002A39A9">
        <w:rPr>
          <w:sz w:val="24"/>
          <w:lang w:val="da-DK"/>
        </w:rPr>
        <w:t xml:space="preserve">, </w:t>
      </w:r>
      <w:hyperlink r:id="rId1" w:history="1">
        <w:r w:rsidRPr="002A39A9">
          <w:rPr>
            <w:rStyle w:val="Hyperlink"/>
            <w:sz w:val="24"/>
            <w:lang w:val="da-DK"/>
          </w:rPr>
          <w:t>https://doi.org/10.2903/j.efsa.2021.6773</w:t>
        </w:r>
      </w:hyperlink>
      <w:r w:rsidRPr="002A39A9">
        <w:rPr>
          <w:rStyle w:val="Hyperlink"/>
          <w:sz w:val="24"/>
          <w:lang w:val="da-DK"/>
        </w:rPr>
        <w:t>.</w:t>
      </w:r>
      <w:r w:rsidRPr="002A39A9">
        <w:rPr>
          <w:sz w:val="24"/>
          <w:lang w:val="da-DK"/>
        </w:rPr>
        <w:t xml:space="preserve"> </w:t>
      </w:r>
    </w:p>
  </w:footnote>
  <w:footnote w:id="5">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proofErr w:type="spellStart"/>
      <w:r w:rsidRPr="002A39A9">
        <w:rPr>
          <w:sz w:val="24"/>
          <w:lang w:val="da-DK"/>
        </w:rPr>
        <w:t>EFSA's</w:t>
      </w:r>
      <w:proofErr w:type="spellEnd"/>
      <w:r w:rsidRPr="002A39A9">
        <w:rPr>
          <w:sz w:val="24"/>
          <w:lang w:val="da-DK"/>
        </w:rPr>
        <w:t xml:space="preserve"> ajourførte begrundede udtalelse om de toksikologiske egenskaber og maksimalgrænseværdierne (MRL) for </w:t>
      </w:r>
      <w:proofErr w:type="spellStart"/>
      <w:r w:rsidRPr="002A39A9">
        <w:rPr>
          <w:sz w:val="24"/>
          <w:lang w:val="da-DK"/>
        </w:rPr>
        <w:t>benzimidazolstofferne</w:t>
      </w:r>
      <w:proofErr w:type="spellEnd"/>
      <w:r w:rsidRPr="002A39A9">
        <w:rPr>
          <w:sz w:val="24"/>
          <w:lang w:val="da-DK"/>
        </w:rPr>
        <w:t xml:space="preserve"> </w:t>
      </w:r>
      <w:proofErr w:type="spellStart"/>
      <w:r w:rsidRPr="002A39A9">
        <w:rPr>
          <w:sz w:val="24"/>
          <w:lang w:val="da-DK"/>
        </w:rPr>
        <w:t>carbendazim</w:t>
      </w:r>
      <w:proofErr w:type="spellEnd"/>
      <w:r w:rsidRPr="002A39A9">
        <w:rPr>
          <w:sz w:val="24"/>
          <w:lang w:val="da-DK"/>
        </w:rPr>
        <w:t xml:space="preserve"> og </w:t>
      </w:r>
      <w:proofErr w:type="spellStart"/>
      <w:r w:rsidRPr="002A39A9">
        <w:rPr>
          <w:sz w:val="24"/>
          <w:lang w:val="da-DK"/>
        </w:rPr>
        <w:t>thiophanat-methyl</w:t>
      </w:r>
      <w:proofErr w:type="spellEnd"/>
      <w:r w:rsidRPr="002A39A9">
        <w:rPr>
          <w:sz w:val="24"/>
          <w:lang w:val="da-DK"/>
        </w:rPr>
        <w:t xml:space="preserve">, EFSA Journal 2024;22(2):e8569, </w:t>
      </w:r>
      <w:hyperlink r:id="rId2" w:history="1">
        <w:r w:rsidRPr="002A39A9">
          <w:rPr>
            <w:rStyle w:val="Hyperlink"/>
            <w:sz w:val="24"/>
            <w:lang w:val="da-DK"/>
          </w:rPr>
          <w:t>https://doi.org/10.2903/j.efsa.2021.6773</w:t>
        </w:r>
      </w:hyperlink>
      <w:r w:rsidRPr="002A39A9">
        <w:rPr>
          <w:rStyle w:val="Hyperlink"/>
          <w:sz w:val="24"/>
          <w:lang w:val="da-DK"/>
        </w:rPr>
        <w:t>.</w:t>
      </w:r>
      <w:r w:rsidRPr="002A39A9">
        <w:rPr>
          <w:sz w:val="24"/>
          <w:lang w:val="da-DK"/>
        </w:rPr>
        <w:t xml:space="preserve"> </w:t>
      </w:r>
    </w:p>
  </w:footnote>
  <w:footnote w:id="6">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proofErr w:type="spellStart"/>
      <w:r w:rsidRPr="002A39A9">
        <w:rPr>
          <w:sz w:val="24"/>
          <w:lang w:val="da-DK"/>
        </w:rPr>
        <w:t>Conclusion</w:t>
      </w:r>
      <w:proofErr w:type="spellEnd"/>
      <w:r w:rsidRPr="002A39A9">
        <w:rPr>
          <w:sz w:val="24"/>
          <w:lang w:val="da-DK"/>
        </w:rPr>
        <w:t xml:space="preserve"> on the peer </w:t>
      </w:r>
      <w:proofErr w:type="spellStart"/>
      <w:r w:rsidRPr="002A39A9">
        <w:rPr>
          <w:sz w:val="24"/>
          <w:lang w:val="da-DK"/>
        </w:rPr>
        <w:t>review</w:t>
      </w:r>
      <w:proofErr w:type="spellEnd"/>
      <w:r w:rsidRPr="002A39A9">
        <w:rPr>
          <w:sz w:val="24"/>
          <w:lang w:val="da-DK"/>
        </w:rPr>
        <w:t xml:space="preserve"> of the </w:t>
      </w:r>
      <w:proofErr w:type="spellStart"/>
      <w:r w:rsidRPr="002A39A9">
        <w:rPr>
          <w:sz w:val="24"/>
          <w:lang w:val="da-DK"/>
        </w:rPr>
        <w:t>pesticide</w:t>
      </w:r>
      <w:proofErr w:type="spellEnd"/>
      <w:r w:rsidRPr="002A39A9">
        <w:rPr>
          <w:sz w:val="24"/>
          <w:lang w:val="da-DK"/>
        </w:rPr>
        <w:t xml:space="preserve"> </w:t>
      </w:r>
      <w:proofErr w:type="spellStart"/>
      <w:r w:rsidRPr="002A39A9">
        <w:rPr>
          <w:sz w:val="24"/>
          <w:lang w:val="da-DK"/>
        </w:rPr>
        <w:t>risk</w:t>
      </w:r>
      <w:proofErr w:type="spellEnd"/>
      <w:r w:rsidRPr="002A39A9">
        <w:rPr>
          <w:sz w:val="24"/>
          <w:lang w:val="da-DK"/>
        </w:rPr>
        <w:t xml:space="preserve"> </w:t>
      </w:r>
      <w:proofErr w:type="spellStart"/>
      <w:r w:rsidRPr="002A39A9">
        <w:rPr>
          <w:sz w:val="24"/>
          <w:lang w:val="da-DK"/>
        </w:rPr>
        <w:t>assessment</w:t>
      </w:r>
      <w:proofErr w:type="spellEnd"/>
      <w:r w:rsidRPr="002A39A9">
        <w:rPr>
          <w:sz w:val="24"/>
          <w:lang w:val="da-DK"/>
        </w:rPr>
        <w:t xml:space="preserve"> of the </w:t>
      </w:r>
      <w:proofErr w:type="spellStart"/>
      <w:r w:rsidRPr="002A39A9">
        <w:rPr>
          <w:sz w:val="24"/>
          <w:lang w:val="da-DK"/>
        </w:rPr>
        <w:t>active</w:t>
      </w:r>
      <w:proofErr w:type="spellEnd"/>
      <w:r w:rsidRPr="002A39A9">
        <w:rPr>
          <w:sz w:val="24"/>
          <w:lang w:val="da-DK"/>
        </w:rPr>
        <w:t xml:space="preserve"> </w:t>
      </w:r>
      <w:proofErr w:type="spellStart"/>
      <w:r w:rsidRPr="002A39A9">
        <w:rPr>
          <w:sz w:val="24"/>
          <w:lang w:val="da-DK"/>
        </w:rPr>
        <w:t>substance</w:t>
      </w:r>
      <w:proofErr w:type="spellEnd"/>
      <w:r w:rsidRPr="002A39A9">
        <w:rPr>
          <w:sz w:val="24"/>
          <w:lang w:val="da-DK"/>
        </w:rPr>
        <w:t xml:space="preserve"> </w:t>
      </w:r>
      <w:proofErr w:type="spellStart"/>
      <w:r w:rsidRPr="002A39A9">
        <w:rPr>
          <w:sz w:val="24"/>
          <w:lang w:val="da-DK"/>
        </w:rPr>
        <w:t>cyproconazole</w:t>
      </w:r>
      <w:proofErr w:type="spellEnd"/>
      <w:r w:rsidRPr="002A39A9">
        <w:rPr>
          <w:sz w:val="24"/>
          <w:lang w:val="da-DK"/>
        </w:rPr>
        <w:t xml:space="preserve"> (</w:t>
      </w:r>
      <w:proofErr w:type="spellStart"/>
      <w:r w:rsidRPr="002A39A9">
        <w:rPr>
          <w:sz w:val="24"/>
          <w:lang w:val="da-DK"/>
        </w:rPr>
        <w:t>EFSA's</w:t>
      </w:r>
      <w:proofErr w:type="spellEnd"/>
      <w:r w:rsidRPr="002A39A9">
        <w:rPr>
          <w:sz w:val="24"/>
          <w:lang w:val="da-DK"/>
        </w:rPr>
        <w:t xml:space="preserve"> konklusioner vedrørende fagfællebedømmelsen af pesticidrisikovurderingen for aktivstoffet </w:t>
      </w:r>
      <w:proofErr w:type="spellStart"/>
      <w:r w:rsidRPr="002A39A9">
        <w:rPr>
          <w:sz w:val="24"/>
          <w:lang w:val="da-DK"/>
        </w:rPr>
        <w:t>cyproconazol</w:t>
      </w:r>
      <w:proofErr w:type="spellEnd"/>
      <w:r w:rsidRPr="002A39A9">
        <w:rPr>
          <w:sz w:val="24"/>
          <w:lang w:val="da-DK"/>
        </w:rPr>
        <w:t xml:space="preserve">), EFSA Journal 2010;8(5):1598, </w:t>
      </w:r>
      <w:hyperlink r:id="rId3" w:history="1">
        <w:r w:rsidRPr="002A39A9">
          <w:rPr>
            <w:rStyle w:val="Hyperlink"/>
            <w:sz w:val="24"/>
            <w:lang w:val="da-DK"/>
          </w:rPr>
          <w:t>https://doi.org/10.2903/j.efsa.2010.1598</w:t>
        </w:r>
      </w:hyperlink>
      <w:r w:rsidRPr="002A39A9">
        <w:rPr>
          <w:sz w:val="24"/>
          <w:lang w:val="da-DK"/>
        </w:rPr>
        <w:t xml:space="preserve">. </w:t>
      </w:r>
    </w:p>
  </w:footnote>
  <w:footnote w:id="7">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proofErr w:type="spellStart"/>
      <w:r w:rsidRPr="002A39A9">
        <w:rPr>
          <w:sz w:val="24"/>
          <w:lang w:val="da-DK"/>
        </w:rPr>
        <w:t>EFSA's</w:t>
      </w:r>
      <w:proofErr w:type="spellEnd"/>
      <w:r w:rsidRPr="002A39A9">
        <w:rPr>
          <w:sz w:val="24"/>
          <w:lang w:val="da-DK"/>
        </w:rPr>
        <w:t xml:space="preserve"> konklusioner vedrørende fagfællebedømmelsen af </w:t>
      </w:r>
      <w:proofErr w:type="spellStart"/>
      <w:r w:rsidRPr="002A39A9">
        <w:rPr>
          <w:sz w:val="24"/>
          <w:lang w:val="da-DK"/>
        </w:rPr>
        <w:t>af</w:t>
      </w:r>
      <w:proofErr w:type="spellEnd"/>
      <w:r w:rsidRPr="002A39A9">
        <w:rPr>
          <w:sz w:val="24"/>
          <w:lang w:val="da-DK"/>
        </w:rPr>
        <w:t xml:space="preserve"> pesticidrisikovurderingen for aktivstoffet </w:t>
      </w:r>
      <w:proofErr w:type="spellStart"/>
      <w:r w:rsidRPr="002A39A9">
        <w:rPr>
          <w:sz w:val="24"/>
          <w:lang w:val="da-DK"/>
        </w:rPr>
        <w:t>thiophanat-methyl</w:t>
      </w:r>
      <w:proofErr w:type="spellEnd"/>
      <w:r w:rsidRPr="002A39A9">
        <w:rPr>
          <w:sz w:val="24"/>
          <w:lang w:val="da-DK"/>
        </w:rPr>
        <w:t xml:space="preserve">. EFSA Journal 2018;16(1):e05133, </w:t>
      </w:r>
      <w:hyperlink r:id="rId4" w:history="1">
        <w:r w:rsidRPr="002A39A9">
          <w:rPr>
            <w:rStyle w:val="Hyperlink"/>
            <w:sz w:val="24"/>
            <w:lang w:val="da-DK"/>
          </w:rPr>
          <w:t>https://doi.org/10.2903/j.efsa.2018.5133</w:t>
        </w:r>
      </w:hyperlink>
      <w:r w:rsidRPr="002A39A9">
        <w:rPr>
          <w:sz w:val="24"/>
          <w:lang w:val="da-DK"/>
        </w:rPr>
        <w:t xml:space="preserve">. </w:t>
      </w:r>
    </w:p>
  </w:footnote>
  <w:footnote w:id="8">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proofErr w:type="spellStart"/>
      <w:r w:rsidRPr="002A39A9">
        <w:rPr>
          <w:sz w:val="24"/>
          <w:lang w:val="da-DK"/>
        </w:rPr>
        <w:t>EFSA's</w:t>
      </w:r>
      <w:proofErr w:type="spellEnd"/>
      <w:r w:rsidRPr="002A39A9">
        <w:rPr>
          <w:sz w:val="24"/>
          <w:lang w:val="da-DK"/>
        </w:rPr>
        <w:t xml:space="preserve"> erklæring om vurdering af kvaliteten af de data, som EFSA har til rådighed med henblik på at udlede de sundhedsbaserede vejledende værdier for </w:t>
      </w:r>
      <w:proofErr w:type="spellStart"/>
      <w:r w:rsidRPr="002A39A9">
        <w:rPr>
          <w:sz w:val="24"/>
          <w:lang w:val="da-DK"/>
        </w:rPr>
        <w:t>carbendazim</w:t>
      </w:r>
      <w:proofErr w:type="spellEnd"/>
      <w:r w:rsidRPr="002A39A9">
        <w:rPr>
          <w:sz w:val="24"/>
          <w:lang w:val="da-DK"/>
        </w:rPr>
        <w:t xml:space="preserve">, EFSA Journal 2024;22(5):e8756, </w:t>
      </w:r>
      <w:hyperlink r:id="rId5" w:history="1">
        <w:r w:rsidRPr="002A39A9">
          <w:rPr>
            <w:rStyle w:val="Hyperlink"/>
            <w:sz w:val="24"/>
            <w:lang w:val="da-DK"/>
          </w:rPr>
          <w:t>https://doi.org/10.2903/j.efsa.2024.8756</w:t>
        </w:r>
      </w:hyperlink>
      <w:r w:rsidRPr="002A39A9">
        <w:rPr>
          <w:sz w:val="24"/>
          <w:lang w:val="da-DK"/>
        </w:rPr>
        <w:t xml:space="preserve">. </w:t>
      </w:r>
    </w:p>
  </w:footnote>
  <w:footnote w:id="9">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r w:rsidRPr="002A39A9">
        <w:rPr>
          <w:sz w:val="24"/>
          <w:lang w:val="da-DK"/>
        </w:rPr>
        <w:t xml:space="preserve">RAC-udtalelse om forslag til harmoniseret klassificering og mærkning på EU-plan af </w:t>
      </w:r>
      <w:proofErr w:type="spellStart"/>
      <w:r w:rsidRPr="002A39A9">
        <w:rPr>
          <w:sz w:val="24"/>
          <w:lang w:val="da-DK"/>
        </w:rPr>
        <w:t>carbendazim</w:t>
      </w:r>
      <w:proofErr w:type="spellEnd"/>
      <w:r w:rsidRPr="002A39A9">
        <w:rPr>
          <w:sz w:val="24"/>
          <w:lang w:val="da-DK"/>
        </w:rPr>
        <w:t xml:space="preserve"> (ISO); methylbenzimidazol-2-ylcarbamat; </w:t>
      </w:r>
      <w:hyperlink r:id="rId6" w:history="1">
        <w:r w:rsidRPr="002A39A9">
          <w:rPr>
            <w:rStyle w:val="Hyperlink"/>
            <w:sz w:val="24"/>
            <w:lang w:val="da-DK"/>
          </w:rPr>
          <w:t>https://www.echa.europa.eu/documents/10162/5eb9760e-6c73-7f2c-1226-98d92ed847d1</w:t>
        </w:r>
      </w:hyperlink>
    </w:p>
  </w:footnote>
  <w:footnote w:id="10">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r w:rsidRPr="002A39A9">
        <w:rPr>
          <w:sz w:val="24"/>
          <w:lang w:val="da-DK"/>
        </w:rPr>
        <w:t>EFT L 184 af 17.7.1999, s. 23.</w:t>
      </w:r>
    </w:p>
  </w:footnote>
  <w:footnote w:id="11">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r w:rsidRPr="002A39A9">
        <w:rPr>
          <w:sz w:val="24"/>
          <w:lang w:val="da-DK"/>
        </w:rPr>
        <w:t>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footnote>
  <w:footnote w:id="12">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r w:rsidRPr="002A39A9">
        <w:rPr>
          <w:sz w:val="24"/>
          <w:lang w:val="da-DK"/>
        </w:rPr>
        <w:t>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footnote>
  <w:footnote w:id="13">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sz w:val="24"/>
          <w:lang w:val="da-DK"/>
        </w:rPr>
        <w:t xml:space="preserve"> </w:t>
      </w:r>
      <w:r w:rsidR="002A39A9" w:rsidRPr="002A39A9">
        <w:rPr>
          <w:sz w:val="24"/>
          <w:lang w:val="da-DK"/>
        </w:rPr>
        <w:tab/>
      </w:r>
      <w:r w:rsidRPr="002A39A9">
        <w:rPr>
          <w:sz w:val="24"/>
          <w:lang w:val="da-DK"/>
        </w:rPr>
        <w:t>Kommissionens forordning (EU) 2018/605 af 19. april 2018 om ændring af bilag II til forordning (EF) nr. 1107/2009 ved at fastlægge videnskabelige kriterier til bestemmelse af hormonforstyrrende egenskaber (EUT L 101 af 20.4.2018, s. 33).</w:t>
      </w:r>
    </w:p>
  </w:footnote>
  <w:footnote w:id="14">
    <w:p w:rsidR="00AF2C4E" w:rsidRPr="002A39A9" w:rsidRDefault="00AF2C4E" w:rsidP="002A39A9">
      <w:pPr>
        <w:pStyle w:val="FootnoteText"/>
        <w:ind w:left="567" w:hanging="567"/>
        <w:rPr>
          <w:sz w:val="24"/>
          <w:lang w:val="da-DK"/>
        </w:rPr>
      </w:pPr>
      <w:r w:rsidRPr="002A39A9">
        <w:rPr>
          <w:rStyle w:val="FootnoteReference"/>
          <w:sz w:val="24"/>
          <w:lang w:val="da-DK"/>
        </w:rPr>
        <w:footnoteRef/>
      </w:r>
      <w:r w:rsidR="002A39A9" w:rsidRPr="002A39A9">
        <w:rPr>
          <w:rStyle w:val="Hyperlink"/>
          <w:sz w:val="24"/>
          <w:lang w:val="da-DK"/>
        </w:rPr>
        <w:t xml:space="preserve"> </w:t>
      </w:r>
      <w:r w:rsidR="002A39A9" w:rsidRPr="002A39A9">
        <w:rPr>
          <w:rStyle w:val="Hyperlink"/>
          <w:sz w:val="24"/>
          <w:lang w:val="da-DK"/>
        </w:rPr>
        <w:tab/>
      </w:r>
      <w:r w:rsidRPr="002A39A9">
        <w:rPr>
          <w:rStyle w:val="Hyperlink"/>
          <w:sz w:val="24"/>
          <w:lang w:val="da-DK"/>
        </w:rPr>
        <w:t>https://ec.europa.eu/transparency/comitology-register/screen/documents/089880/5/consult?lang=en.</w:t>
      </w:r>
    </w:p>
  </w:footnote>
  <w:footnote w:id="15">
    <w:p w:rsidR="00AF2C4E" w:rsidRPr="002A39A9" w:rsidRDefault="00AF2C4E" w:rsidP="002A39A9">
      <w:pPr>
        <w:pStyle w:val="FootnoteText"/>
        <w:ind w:left="567" w:hanging="567"/>
        <w:rPr>
          <w:iCs/>
          <w:sz w:val="24"/>
          <w:lang w:val="da-DK"/>
        </w:rPr>
      </w:pPr>
      <w:r w:rsidRPr="002A39A9">
        <w:rPr>
          <w:iCs/>
          <w:sz w:val="24"/>
          <w:vertAlign w:val="superscript"/>
          <w:lang w:val="da-DK"/>
        </w:rPr>
        <w:footnoteRef/>
      </w:r>
      <w:r w:rsidR="002A39A9" w:rsidRPr="002A39A9">
        <w:rPr>
          <w:sz w:val="24"/>
          <w:lang w:val="da-DK"/>
        </w:rPr>
        <w:t xml:space="preserve"> </w:t>
      </w:r>
      <w:r w:rsidR="002A39A9" w:rsidRPr="002A39A9">
        <w:rPr>
          <w:sz w:val="24"/>
          <w:lang w:val="da-DK"/>
        </w:rPr>
        <w:tab/>
      </w:r>
      <w:proofErr w:type="gramStart"/>
      <w:r w:rsidRPr="002A39A9">
        <w:rPr>
          <w:sz w:val="24"/>
          <w:lang w:val="da-DK"/>
        </w:rPr>
        <w:t>COM(</w:t>
      </w:r>
      <w:proofErr w:type="gramEnd"/>
      <w:r w:rsidRPr="002A39A9">
        <w:rPr>
          <w:sz w:val="24"/>
          <w:lang w:val="da-DK"/>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9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9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39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DA"/>
    <w:docVar w:name="dvnumam" w:val="0"/>
    <w:docVar w:name="dvpe" w:val="763.090"/>
    <w:docVar w:name="dvtitre" w:val="Europa-Parlamentets beslutning af xx.xx 2024 Kommissionens udkast til forordning om ændring af bilag II, III og V til Europa-Parlamentets og Rådets forordning (EF) nr. 396/2005 for så vidt angår maksimalgrænseværdierne for benomyl, carbendazim og thiophanat-methyl i eller på visse produkter (D089819/05 – 2024/2758(RPS))"/>
  </w:docVars>
  <w:rsids>
    <w:rsidRoot w:val="003F7E2E"/>
    <w:rsid w:val="00002272"/>
    <w:rsid w:val="00064002"/>
    <w:rsid w:val="000677B9"/>
    <w:rsid w:val="000831BA"/>
    <w:rsid w:val="000A42CC"/>
    <w:rsid w:val="000E7DD9"/>
    <w:rsid w:val="0010095E"/>
    <w:rsid w:val="00122F40"/>
    <w:rsid w:val="00125B37"/>
    <w:rsid w:val="00187494"/>
    <w:rsid w:val="001F32AE"/>
    <w:rsid w:val="002767FF"/>
    <w:rsid w:val="002A39A9"/>
    <w:rsid w:val="002B18FE"/>
    <w:rsid w:val="002B5493"/>
    <w:rsid w:val="00343214"/>
    <w:rsid w:val="00361C00"/>
    <w:rsid w:val="00366769"/>
    <w:rsid w:val="00395FA1"/>
    <w:rsid w:val="003B12DD"/>
    <w:rsid w:val="003D7E49"/>
    <w:rsid w:val="003E15D4"/>
    <w:rsid w:val="003F7E2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2C4E"/>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10D51"/>
  <w15:chartTrackingRefBased/>
  <w15:docId w15:val="{287D14AB-DF8E-4141-8928-737547A38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2C4E"/>
    <w:pPr>
      <w:spacing w:before="480" w:after="240"/>
    </w:pPr>
  </w:style>
  <w:style w:type="paragraph" w:customStyle="1" w:styleId="NormalHanging12a">
    <w:name w:val="NormalHanging12a"/>
    <w:basedOn w:val="Normal"/>
    <w:rsid w:val="00AF2C4E"/>
    <w:pPr>
      <w:spacing w:after="240"/>
      <w:ind w:left="567" w:hanging="567"/>
    </w:pPr>
  </w:style>
  <w:style w:type="character" w:styleId="Hyperlink">
    <w:name w:val="Hyperlink"/>
    <w:basedOn w:val="DefaultParagraphFont"/>
    <w:uiPriority w:val="99"/>
    <w:rsid w:val="00AF2C4E"/>
    <w:rPr>
      <w:color w:val="0563C1" w:themeColor="hyperlink"/>
      <w:u w:val="single"/>
    </w:rPr>
  </w:style>
  <w:style w:type="paragraph" w:styleId="BalloonText">
    <w:name w:val="Balloon Text"/>
    <w:basedOn w:val="Normal"/>
    <w:link w:val="BalloonTextChar"/>
    <w:rsid w:val="003B12DD"/>
    <w:rPr>
      <w:rFonts w:ascii="Segoe UI" w:hAnsi="Segoe UI" w:cs="Segoe UI"/>
      <w:sz w:val="18"/>
      <w:szCs w:val="18"/>
    </w:rPr>
  </w:style>
  <w:style w:type="character" w:customStyle="1" w:styleId="BalloonTextChar">
    <w:name w:val="Balloon Text Char"/>
    <w:basedOn w:val="DefaultParagraphFont"/>
    <w:link w:val="BalloonText"/>
    <w:rsid w:val="003B12D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1D1D4-47D2-42A7-937F-5C8911EAF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2071</Words>
  <Characters>12370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RORMAND Mia</cp:lastModifiedBy>
  <cp:revision>2</cp:revision>
  <cp:lastPrinted>2004-11-19T15:42:00Z</cp:lastPrinted>
  <dcterms:created xsi:type="dcterms:W3CDTF">2024-10-21T11:55:00Z</dcterms:created>
  <dcterms:modified xsi:type="dcterms:W3CDTF">2024-10-21T11:55:00Z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P10_TA-PROV(2024)0006_B10-0020_2024_</vt:lpwstr>
  </property>
  <property fmtid="{D5CDD505-2E9C-101B-9397-08002B2CF9AE}" pid="4" name="&lt;Type&gt;">
    <vt:lpwstr>RR</vt:lpwstr>
  </property>
</Properties>
</file>