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2C1F" w:rsidTr="0010095E">
        <w:trPr>
          <w:trHeight w:hRule="exact" w:val="1418"/>
        </w:trPr>
        <w:tc>
          <w:tcPr>
            <w:tcW w:w="6804" w:type="dxa"/>
            <w:shd w:val="clear" w:color="auto" w:fill="auto"/>
            <w:vAlign w:val="center"/>
          </w:tcPr>
          <w:p w:rsidR="00751A4A" w:rsidRPr="00BF2C1F" w:rsidRDefault="00CA7CF4" w:rsidP="0010095E">
            <w:pPr>
              <w:pStyle w:val="EPName"/>
            </w:pPr>
            <w:bookmarkStart w:id="0" w:name="_GoBack"/>
            <w:bookmarkEnd w:id="0"/>
            <w:r w:rsidRPr="00BF2C1F">
              <w:t>Europäisches Parlament</w:t>
            </w:r>
          </w:p>
          <w:p w:rsidR="00751A4A" w:rsidRPr="00BF2C1F" w:rsidRDefault="005F1B17" w:rsidP="005F1B17">
            <w:pPr>
              <w:pStyle w:val="EPTerm"/>
              <w:rPr>
                <w:rStyle w:val="HideTWBExt"/>
                <w:noProof w:val="0"/>
                <w:vanish w:val="0"/>
                <w:color w:val="auto"/>
              </w:rPr>
            </w:pPr>
            <w:r w:rsidRPr="001C2208">
              <w:t>2024</w:t>
            </w:r>
            <w:r w:rsidR="00817416" w:rsidRPr="00BF2C1F">
              <w:t>-</w:t>
            </w:r>
            <w:r w:rsidR="00817416" w:rsidRPr="001C2208">
              <w:t>202</w:t>
            </w:r>
            <w:r w:rsidRPr="001C2208">
              <w:t>9</w:t>
            </w:r>
          </w:p>
        </w:tc>
        <w:tc>
          <w:tcPr>
            <w:tcW w:w="2268" w:type="dxa"/>
            <w:shd w:val="clear" w:color="auto" w:fill="auto"/>
          </w:tcPr>
          <w:p w:rsidR="00751A4A" w:rsidRPr="00BF2C1F" w:rsidRDefault="00187494" w:rsidP="0010095E">
            <w:pPr>
              <w:pStyle w:val="EPLogo"/>
            </w:pPr>
            <w:r w:rsidRPr="00BF2C1F">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2C1F" w:rsidRDefault="00D058B8" w:rsidP="004C5D52">
      <w:pPr>
        <w:pStyle w:val="LineTop"/>
      </w:pPr>
    </w:p>
    <w:p w:rsidR="00680577" w:rsidRPr="00BF2C1F" w:rsidRDefault="00CA7CF4" w:rsidP="00680577">
      <w:pPr>
        <w:pStyle w:val="EPBodyTA1"/>
      </w:pPr>
      <w:r w:rsidRPr="00BF2C1F">
        <w:t>ANGENOMMENE TEXTE</w:t>
      </w:r>
    </w:p>
    <w:p w:rsidR="00D058B8" w:rsidRPr="00BF2C1F" w:rsidRDefault="00D058B8" w:rsidP="00D058B8">
      <w:pPr>
        <w:pStyle w:val="LineBottom"/>
      </w:pPr>
    </w:p>
    <w:p w:rsidR="00CA7CF4" w:rsidRPr="00BF2C1F" w:rsidRDefault="00CA7CF4" w:rsidP="00CA7CF4">
      <w:pPr>
        <w:pStyle w:val="ATHeading1"/>
      </w:pPr>
      <w:bookmarkStart w:id="1" w:name="TANumber"/>
      <w:r w:rsidRPr="00BF2C1F">
        <w:t>P</w:t>
      </w:r>
      <w:r w:rsidRPr="001C2208">
        <w:t>10</w:t>
      </w:r>
      <w:r w:rsidRPr="00BF2C1F">
        <w:t>_TA(</w:t>
      </w:r>
      <w:r w:rsidRPr="001C2208">
        <w:t>2024</w:t>
      </w:r>
      <w:r w:rsidRPr="00BF2C1F">
        <w:t>)</w:t>
      </w:r>
      <w:r w:rsidRPr="001C2208">
        <w:t>000</w:t>
      </w:r>
      <w:bookmarkEnd w:id="1"/>
      <w:r w:rsidR="0078042D">
        <w:t>6</w:t>
      </w:r>
    </w:p>
    <w:p w:rsidR="00CA7CF4" w:rsidRPr="00BF2C1F" w:rsidRDefault="001C2208" w:rsidP="00CA7CF4">
      <w:pPr>
        <w:pStyle w:val="ATHeading2"/>
      </w:pPr>
      <w:bookmarkStart w:id="2" w:name="title"/>
      <w:r>
        <w:t xml:space="preserve">Einwände gegen einen Durchführungsrechtsakt: </w:t>
      </w:r>
      <w:r w:rsidR="00CA7CF4" w:rsidRPr="00BF2C1F">
        <w:t xml:space="preserve">Höchstgehalte an Rückständen von </w:t>
      </w:r>
      <w:proofErr w:type="spellStart"/>
      <w:r w:rsidR="00CA7CF4" w:rsidRPr="00BF2C1F">
        <w:t>Benomyl</w:t>
      </w:r>
      <w:proofErr w:type="spellEnd"/>
      <w:r w:rsidR="00CA7CF4" w:rsidRPr="00BF2C1F">
        <w:t xml:space="preserve">, </w:t>
      </w:r>
      <w:proofErr w:type="spellStart"/>
      <w:r w:rsidR="00CA7CF4" w:rsidRPr="00BF2C1F">
        <w:t>Carbendazim</w:t>
      </w:r>
      <w:proofErr w:type="spellEnd"/>
      <w:r w:rsidR="00CA7CF4" w:rsidRPr="00BF2C1F">
        <w:t xml:space="preserve"> und </w:t>
      </w:r>
      <w:proofErr w:type="spellStart"/>
      <w:r w:rsidR="00CA7CF4" w:rsidRPr="00BF2C1F">
        <w:t>Thiophanat</w:t>
      </w:r>
      <w:proofErr w:type="spellEnd"/>
      <w:r w:rsidR="00CA7CF4" w:rsidRPr="00BF2C1F">
        <w:t>-methyl</w:t>
      </w:r>
      <w:bookmarkEnd w:id="2"/>
    </w:p>
    <w:p w:rsidR="00CA7CF4" w:rsidRPr="00BF2C1F" w:rsidRDefault="00CA7CF4" w:rsidP="00CA7CF4">
      <w:pPr>
        <w:rPr>
          <w:i/>
          <w:vanish/>
        </w:rPr>
      </w:pPr>
      <w:r w:rsidRPr="00BF2C1F">
        <w:rPr>
          <w:i/>
        </w:rPr>
        <w:fldChar w:fldCharType="begin"/>
      </w:r>
      <w:r w:rsidRPr="00BF2C1F">
        <w:rPr>
          <w:i/>
        </w:rPr>
        <w:instrText xml:space="preserve"> TC"(</w:instrText>
      </w:r>
      <w:bookmarkStart w:id="3" w:name="DocNumber"/>
      <w:r w:rsidRPr="00BF2C1F">
        <w:rPr>
          <w:i/>
        </w:rPr>
        <w:instrText>B</w:instrText>
      </w:r>
      <w:r w:rsidRPr="001C2208">
        <w:rPr>
          <w:i/>
        </w:rPr>
        <w:instrText>10</w:instrText>
      </w:r>
      <w:r w:rsidRPr="00BF2C1F">
        <w:rPr>
          <w:i/>
        </w:rPr>
        <w:instrText>-</w:instrText>
      </w:r>
      <w:r w:rsidRPr="001C2208">
        <w:rPr>
          <w:i/>
        </w:rPr>
        <w:instrText>0020</w:instrText>
      </w:r>
      <w:r w:rsidRPr="00BF2C1F">
        <w:rPr>
          <w:i/>
        </w:rPr>
        <w:instrText>/</w:instrText>
      </w:r>
      <w:r w:rsidRPr="001C2208">
        <w:rPr>
          <w:i/>
        </w:rPr>
        <w:instrText>2024</w:instrText>
      </w:r>
      <w:bookmarkEnd w:id="3"/>
      <w:r w:rsidRPr="00BF2C1F">
        <w:rPr>
          <w:i/>
        </w:rPr>
        <w:instrText>)"\l</w:instrText>
      </w:r>
      <w:r w:rsidRPr="001C2208">
        <w:rPr>
          <w:i/>
        </w:rPr>
        <w:instrText>3</w:instrText>
      </w:r>
      <w:r w:rsidRPr="00BF2C1F">
        <w:rPr>
          <w:i/>
        </w:rPr>
        <w:instrText xml:space="preserve"> \n&gt; \* MERGEFORMAT </w:instrText>
      </w:r>
      <w:r w:rsidRPr="00BF2C1F">
        <w:rPr>
          <w:i/>
        </w:rPr>
        <w:fldChar w:fldCharType="end"/>
      </w:r>
    </w:p>
    <w:p w:rsidR="00CA7CF4" w:rsidRPr="00BF2C1F" w:rsidRDefault="00CA7CF4" w:rsidP="00CA7CF4">
      <w:pPr>
        <w:rPr>
          <w:vanish/>
        </w:rPr>
      </w:pPr>
      <w:bookmarkStart w:id="4" w:name="PE"/>
      <w:r w:rsidRPr="00BF2C1F">
        <w:rPr>
          <w:vanish/>
        </w:rPr>
        <w:t>PE</w:t>
      </w:r>
      <w:r w:rsidRPr="001C2208">
        <w:rPr>
          <w:vanish/>
        </w:rPr>
        <w:t>763</w:t>
      </w:r>
      <w:r w:rsidRPr="00BF2C1F">
        <w:rPr>
          <w:vanish/>
        </w:rPr>
        <w:t>.</w:t>
      </w:r>
      <w:r w:rsidRPr="001C2208">
        <w:rPr>
          <w:vanish/>
        </w:rPr>
        <w:t>090</w:t>
      </w:r>
      <w:bookmarkEnd w:id="4"/>
    </w:p>
    <w:p w:rsidR="00CA7CF4" w:rsidRPr="00BF2C1F" w:rsidRDefault="00CA7CF4" w:rsidP="001C2208">
      <w:pPr>
        <w:pStyle w:val="ATHeading3"/>
      </w:pPr>
      <w:bookmarkStart w:id="5" w:name="Sujet"/>
      <w:r w:rsidRPr="00BF2C1F">
        <w:t xml:space="preserve">Entschließung des Europäischen Parlaments vom </w:t>
      </w:r>
      <w:r w:rsidRPr="001C2208">
        <w:t>18</w:t>
      </w:r>
      <w:r w:rsidRPr="00BF2C1F">
        <w:t xml:space="preserve">. September </w:t>
      </w:r>
      <w:r w:rsidRPr="001C2208">
        <w:t>2024</w:t>
      </w:r>
      <w:r w:rsidRPr="00BF2C1F">
        <w:t xml:space="preserve"> zu dem Entwurf einer Verordnung der Kommission zur Änderung der Anhänge II, III und V der Verordnung (EG) Nr. </w:t>
      </w:r>
      <w:r w:rsidRPr="001C2208">
        <w:t>396</w:t>
      </w:r>
      <w:r w:rsidRPr="00BF2C1F">
        <w:t>/</w:t>
      </w:r>
      <w:r w:rsidRPr="001C2208">
        <w:t>2005</w:t>
      </w:r>
      <w:r w:rsidRPr="00BF2C1F">
        <w:t xml:space="preserve"> des Europäischen Parlaments und des Rates hinsichtlich der Höchstgehalte an Rückständen von </w:t>
      </w:r>
      <w:proofErr w:type="spellStart"/>
      <w:r w:rsidRPr="00BF2C1F">
        <w:t>Benomyl</w:t>
      </w:r>
      <w:proofErr w:type="spellEnd"/>
      <w:r w:rsidRPr="00BF2C1F">
        <w:t xml:space="preserve">, </w:t>
      </w:r>
      <w:proofErr w:type="spellStart"/>
      <w:r w:rsidRPr="00BF2C1F">
        <w:t>Carbendazim</w:t>
      </w:r>
      <w:proofErr w:type="spellEnd"/>
      <w:r w:rsidRPr="00BF2C1F">
        <w:t xml:space="preserve"> und </w:t>
      </w:r>
      <w:proofErr w:type="spellStart"/>
      <w:r w:rsidRPr="00BF2C1F">
        <w:t>Thiophanat</w:t>
      </w:r>
      <w:proofErr w:type="spellEnd"/>
      <w:r w:rsidRPr="00BF2C1F">
        <w:t>-methyl in oder auf bestimmten Erzeugnissen</w:t>
      </w:r>
      <w:bookmarkEnd w:id="5"/>
      <w:r w:rsidRPr="00BF2C1F">
        <w:t xml:space="preserve"> </w:t>
      </w:r>
      <w:bookmarkStart w:id="6" w:name="References"/>
      <w:r w:rsidRPr="00BF2C1F">
        <w:t>(D</w:t>
      </w:r>
      <w:r w:rsidRPr="001C2208">
        <w:t>089819</w:t>
      </w:r>
      <w:r w:rsidRPr="00BF2C1F">
        <w:t>/</w:t>
      </w:r>
      <w:r w:rsidRPr="001C2208">
        <w:t>05</w:t>
      </w:r>
      <w:r w:rsidRPr="00BF2C1F">
        <w:t xml:space="preserve"> – </w:t>
      </w:r>
      <w:r w:rsidRPr="001C2208">
        <w:t>2024</w:t>
      </w:r>
      <w:r w:rsidRPr="00BF2C1F">
        <w:t>/</w:t>
      </w:r>
      <w:r w:rsidRPr="001C2208">
        <w:t>2758</w:t>
      </w:r>
      <w:r w:rsidRPr="00BF2C1F">
        <w:t>(RPS))</w:t>
      </w:r>
      <w:bookmarkEnd w:id="6"/>
    </w:p>
    <w:p w:rsidR="00765984" w:rsidRPr="00BF2C1F" w:rsidRDefault="00765984" w:rsidP="00765984">
      <w:pPr>
        <w:pStyle w:val="EPComma"/>
      </w:pPr>
      <w:bookmarkStart w:id="7" w:name="TextBodyBegin"/>
      <w:bookmarkEnd w:id="7"/>
      <w:r w:rsidRPr="00BF2C1F">
        <w:rPr>
          <w:i/>
        </w:rPr>
        <w:t>Das Europäische Parlament</w:t>
      </w:r>
      <w:r w:rsidRPr="00BF2C1F">
        <w:t>,</w:t>
      </w:r>
    </w:p>
    <w:p w:rsidR="00765984" w:rsidRPr="00BF2C1F" w:rsidRDefault="00765984" w:rsidP="00765984">
      <w:pPr>
        <w:pStyle w:val="NormalHanging12a"/>
      </w:pPr>
      <w:r w:rsidRPr="00BF2C1F">
        <w:t>–</w:t>
      </w:r>
      <w:r w:rsidRPr="00BF2C1F">
        <w:tab/>
        <w:t>unter Hinweis auf den Entwurf einer Verordnung der Kommission zur Änderung der Anhänge II, III und V der Verordnung (EG) Nr. </w:t>
      </w:r>
      <w:r w:rsidRPr="001C2208">
        <w:t>396</w:t>
      </w:r>
      <w:r w:rsidRPr="00BF2C1F">
        <w:t>/</w:t>
      </w:r>
      <w:r w:rsidRPr="001C2208">
        <w:t>2005</w:t>
      </w:r>
      <w:r w:rsidRPr="00BF2C1F">
        <w:t xml:space="preserve"> des Europäischen Parlaments und des Rates hinsichtlich der Höchstgehalte an Rückständen von </w:t>
      </w:r>
      <w:proofErr w:type="spellStart"/>
      <w:r w:rsidRPr="00BF2C1F">
        <w:t>Benomyl</w:t>
      </w:r>
      <w:proofErr w:type="spellEnd"/>
      <w:r w:rsidRPr="00BF2C1F">
        <w:t xml:space="preserve">, </w:t>
      </w:r>
      <w:proofErr w:type="spellStart"/>
      <w:r w:rsidRPr="00BF2C1F">
        <w:t>Carbendazim</w:t>
      </w:r>
      <w:proofErr w:type="spellEnd"/>
      <w:r w:rsidRPr="00BF2C1F">
        <w:t xml:space="preserve"> und </w:t>
      </w:r>
      <w:proofErr w:type="spellStart"/>
      <w:r w:rsidRPr="00BF2C1F">
        <w:t>Thiophanat</w:t>
      </w:r>
      <w:proofErr w:type="spellEnd"/>
      <w:r w:rsidRPr="00BF2C1F">
        <w:t>-methyl in oder auf bestimmten Erzeugnissen (D</w:t>
      </w:r>
      <w:r w:rsidRPr="001C2208">
        <w:t>089819</w:t>
      </w:r>
      <w:r w:rsidRPr="00BF2C1F">
        <w:t>/</w:t>
      </w:r>
      <w:r w:rsidRPr="001C2208">
        <w:t>05</w:t>
      </w:r>
      <w:r w:rsidRPr="00BF2C1F">
        <w:t>),</w:t>
      </w:r>
    </w:p>
    <w:p w:rsidR="00765984" w:rsidRPr="00BF2C1F" w:rsidRDefault="00765984" w:rsidP="00765984">
      <w:pPr>
        <w:pStyle w:val="NormalHanging12a"/>
      </w:pPr>
      <w:r w:rsidRPr="00BF2C1F">
        <w:t>–</w:t>
      </w:r>
      <w:r w:rsidRPr="00BF2C1F">
        <w:tab/>
        <w:t>unter Hinweis auf die Verordnung (EG) Nr. </w:t>
      </w:r>
      <w:r w:rsidRPr="001C2208">
        <w:t>396</w:t>
      </w:r>
      <w:r w:rsidRPr="00BF2C1F">
        <w:t>/</w:t>
      </w:r>
      <w:r w:rsidRPr="001C2208">
        <w:t>2005</w:t>
      </w:r>
      <w:r w:rsidRPr="00BF2C1F">
        <w:t xml:space="preserve"> des Europäischen Parlaments und des Rates vom </w:t>
      </w:r>
      <w:r w:rsidRPr="001C2208">
        <w:t>23</w:t>
      </w:r>
      <w:r w:rsidRPr="00BF2C1F">
        <w:t xml:space="preserve">. Februar </w:t>
      </w:r>
      <w:r w:rsidRPr="001C2208">
        <w:t>2005</w:t>
      </w:r>
      <w:r w:rsidRPr="00BF2C1F">
        <w:t xml:space="preserve"> über Höchstgehalte an Pestizidrückständen in oder auf Lebens- und Futtermitteln pflanzlichen und tierischen Ursprungs und zur Änderung der Richtlinie </w:t>
      </w:r>
      <w:r w:rsidRPr="001C2208">
        <w:t>91</w:t>
      </w:r>
      <w:r w:rsidRPr="00BF2C1F">
        <w:t>/</w:t>
      </w:r>
      <w:r w:rsidRPr="001C2208">
        <w:t>414</w:t>
      </w:r>
      <w:r w:rsidRPr="00BF2C1F">
        <w:t>/EWG des Rates</w:t>
      </w:r>
      <w:r w:rsidRPr="00BF2C1F">
        <w:rPr>
          <w:vertAlign w:val="superscript"/>
        </w:rPr>
        <w:footnoteReference w:id="1"/>
      </w:r>
      <w:r w:rsidRPr="00BF2C1F">
        <w:t>, insbesondere auf Artikel </w:t>
      </w:r>
      <w:r w:rsidRPr="001C2208">
        <w:t>14</w:t>
      </w:r>
      <w:r w:rsidRPr="00BF2C1F">
        <w:t xml:space="preserve"> Absatz </w:t>
      </w:r>
      <w:r w:rsidRPr="001C2208">
        <w:t>1</w:t>
      </w:r>
      <w:r w:rsidRPr="00BF2C1F">
        <w:t xml:space="preserve"> Buchstabe a,</w:t>
      </w:r>
    </w:p>
    <w:p w:rsidR="00765984" w:rsidRPr="00BF2C1F" w:rsidRDefault="00765984" w:rsidP="00765984">
      <w:pPr>
        <w:pStyle w:val="NormalHanging12a"/>
      </w:pPr>
      <w:r w:rsidRPr="00BF2C1F">
        <w:t>–</w:t>
      </w:r>
      <w:r w:rsidRPr="00BF2C1F">
        <w:tab/>
        <w:t>unter Hinweis auf die Verordnung (EG) Nr. </w:t>
      </w:r>
      <w:r w:rsidRPr="001C2208">
        <w:t>1107</w:t>
      </w:r>
      <w:r w:rsidRPr="00BF2C1F">
        <w:t>/</w:t>
      </w:r>
      <w:r w:rsidRPr="001C2208">
        <w:t>2009</w:t>
      </w:r>
      <w:r w:rsidRPr="00BF2C1F">
        <w:t xml:space="preserve"> des Europäischen Parlaments und des Rates vom </w:t>
      </w:r>
      <w:r w:rsidRPr="001C2208">
        <w:t>21</w:t>
      </w:r>
      <w:r w:rsidRPr="00BF2C1F">
        <w:t xml:space="preserve">. Oktober </w:t>
      </w:r>
      <w:r w:rsidRPr="001C2208">
        <w:t>2009</w:t>
      </w:r>
      <w:r w:rsidRPr="00BF2C1F">
        <w:t xml:space="preserve"> über das Inverkehrbringen von Pflanzenschutzmitteln und zur Aufhebung der Richtlinien </w:t>
      </w:r>
      <w:r w:rsidRPr="001C2208">
        <w:t>79</w:t>
      </w:r>
      <w:r w:rsidRPr="00BF2C1F">
        <w:t>/</w:t>
      </w:r>
      <w:r w:rsidRPr="001C2208">
        <w:t>117</w:t>
      </w:r>
      <w:r w:rsidRPr="00BF2C1F">
        <w:t xml:space="preserve">/EWG und </w:t>
      </w:r>
      <w:r w:rsidRPr="001C2208">
        <w:t>91</w:t>
      </w:r>
      <w:r w:rsidRPr="00BF2C1F">
        <w:t>/</w:t>
      </w:r>
      <w:r w:rsidRPr="001C2208">
        <w:t>414</w:t>
      </w:r>
      <w:r w:rsidRPr="00BF2C1F">
        <w:t>/EWG des Rates</w:t>
      </w:r>
      <w:r w:rsidRPr="00BF2C1F">
        <w:rPr>
          <w:vertAlign w:val="superscript"/>
        </w:rPr>
        <w:footnoteReference w:id="2"/>
      </w:r>
      <w:r w:rsidRPr="00BF2C1F">
        <w:t>, insbesondere auf Artikel </w:t>
      </w:r>
      <w:r w:rsidRPr="001C2208">
        <w:t>4</w:t>
      </w:r>
      <w:r w:rsidRPr="00BF2C1F">
        <w:t xml:space="preserve"> Absatz </w:t>
      </w:r>
      <w:r w:rsidRPr="001C2208">
        <w:t>1</w:t>
      </w:r>
      <w:r w:rsidRPr="00BF2C1F">
        <w:t>, Artikel </w:t>
      </w:r>
      <w:r w:rsidRPr="001C2208">
        <w:t>4</w:t>
      </w:r>
      <w:r w:rsidRPr="00BF2C1F">
        <w:t xml:space="preserve"> Absatz </w:t>
      </w:r>
      <w:r w:rsidRPr="001C2208">
        <w:t>2</w:t>
      </w:r>
      <w:r w:rsidRPr="00BF2C1F">
        <w:t xml:space="preserve"> Unterabsatz </w:t>
      </w:r>
      <w:r w:rsidRPr="001C2208">
        <w:t>1</w:t>
      </w:r>
      <w:r w:rsidRPr="00BF2C1F">
        <w:t xml:space="preserve"> Buchstabe a und Anhang II Nummern </w:t>
      </w:r>
      <w:r w:rsidRPr="001C2208">
        <w:t>3</w:t>
      </w:r>
      <w:r w:rsidRPr="00BF2C1F">
        <w:t>.</w:t>
      </w:r>
      <w:r w:rsidRPr="001C2208">
        <w:t>6</w:t>
      </w:r>
      <w:r w:rsidRPr="00BF2C1F">
        <w:t>.</w:t>
      </w:r>
      <w:r w:rsidRPr="001C2208">
        <w:t>2</w:t>
      </w:r>
      <w:r w:rsidRPr="00BF2C1F">
        <w:t xml:space="preserve">, </w:t>
      </w:r>
      <w:r w:rsidRPr="001C2208">
        <w:t>3</w:t>
      </w:r>
      <w:r w:rsidRPr="00BF2C1F">
        <w:t>.</w:t>
      </w:r>
      <w:r w:rsidRPr="001C2208">
        <w:t>6</w:t>
      </w:r>
      <w:r w:rsidRPr="00BF2C1F">
        <w:t>.</w:t>
      </w:r>
      <w:r w:rsidRPr="001C2208">
        <w:t>4</w:t>
      </w:r>
      <w:r w:rsidRPr="00BF2C1F">
        <w:t xml:space="preserve"> und </w:t>
      </w:r>
      <w:r w:rsidRPr="001C2208">
        <w:t>3</w:t>
      </w:r>
      <w:r w:rsidRPr="00BF2C1F">
        <w:t>.</w:t>
      </w:r>
      <w:r w:rsidRPr="001C2208">
        <w:t>6</w:t>
      </w:r>
      <w:r w:rsidRPr="00BF2C1F">
        <w:t>.</w:t>
      </w:r>
      <w:r w:rsidRPr="001C2208">
        <w:t>5</w:t>
      </w:r>
      <w:r w:rsidRPr="00BF2C1F">
        <w:t>,</w:t>
      </w:r>
    </w:p>
    <w:p w:rsidR="00765984" w:rsidRPr="00BF2C1F" w:rsidRDefault="00765984" w:rsidP="00765984">
      <w:pPr>
        <w:pStyle w:val="NormalHanging12a"/>
      </w:pPr>
      <w:r w:rsidRPr="00BF2C1F">
        <w:t>–</w:t>
      </w:r>
      <w:r w:rsidRPr="00BF2C1F">
        <w:tab/>
        <w:t>unter Hinweis auf die Verordnung (EG) Nr. </w:t>
      </w:r>
      <w:r w:rsidRPr="001C2208">
        <w:t>178</w:t>
      </w:r>
      <w:r w:rsidRPr="00BF2C1F">
        <w:t>/</w:t>
      </w:r>
      <w:r w:rsidRPr="001C2208">
        <w:t>2002</w:t>
      </w:r>
      <w:r w:rsidRPr="00BF2C1F">
        <w:t xml:space="preserve"> des Europäischen Parlaments und des Rates vom </w:t>
      </w:r>
      <w:r w:rsidRPr="001C2208">
        <w:t>28</w:t>
      </w:r>
      <w:r w:rsidRPr="00BF2C1F">
        <w:t xml:space="preserve">. Januar </w:t>
      </w:r>
      <w:r w:rsidRPr="001C2208">
        <w:t>2002</w:t>
      </w:r>
      <w:r w:rsidRPr="00BF2C1F">
        <w:t xml:space="preserve"> zur Festlegung der allgemeinen Grundsätze und Anforderungen des Lebensmittelrechts, zur Errichtung der Europäischen Behörde für Lebensmittelsicherheit und zur Festlegung von Verfahren zur Lebensmittelsicherheit</w:t>
      </w:r>
      <w:r w:rsidRPr="00BF2C1F">
        <w:rPr>
          <w:vertAlign w:val="superscript"/>
        </w:rPr>
        <w:footnoteReference w:id="3"/>
      </w:r>
      <w:r w:rsidRPr="00BF2C1F">
        <w:t xml:space="preserve">, </w:t>
      </w:r>
      <w:r w:rsidRPr="00BF2C1F">
        <w:lastRenderedPageBreak/>
        <w:t>insbesondere auf Artikel </w:t>
      </w:r>
      <w:r w:rsidRPr="001C2208">
        <w:t>5</w:t>
      </w:r>
      <w:r w:rsidRPr="00BF2C1F">
        <w:t xml:space="preserve"> Absatz </w:t>
      </w:r>
      <w:r w:rsidRPr="001C2208">
        <w:t>1</w:t>
      </w:r>
      <w:r w:rsidRPr="00BF2C1F">
        <w:t>,</w:t>
      </w:r>
    </w:p>
    <w:p w:rsidR="00765984" w:rsidRPr="00BF2C1F" w:rsidRDefault="00765984" w:rsidP="00765984">
      <w:pPr>
        <w:pStyle w:val="NormalHanging12a"/>
      </w:pPr>
      <w:r w:rsidRPr="00BF2C1F">
        <w:t>–</w:t>
      </w:r>
      <w:r w:rsidRPr="00BF2C1F">
        <w:tab/>
        <w:t>unter Hinweis auf die Artikel </w:t>
      </w:r>
      <w:r w:rsidRPr="001C2208">
        <w:t>11</w:t>
      </w:r>
      <w:r w:rsidRPr="00BF2C1F">
        <w:t xml:space="preserve">, </w:t>
      </w:r>
      <w:r w:rsidRPr="001C2208">
        <w:t>13</w:t>
      </w:r>
      <w:r w:rsidRPr="00BF2C1F">
        <w:t xml:space="preserve">, </w:t>
      </w:r>
      <w:r w:rsidRPr="001C2208">
        <w:t>168</w:t>
      </w:r>
      <w:r w:rsidRPr="00BF2C1F">
        <w:t xml:space="preserve"> und </w:t>
      </w:r>
      <w:r w:rsidRPr="001C2208">
        <w:t>191</w:t>
      </w:r>
      <w:r w:rsidRPr="00BF2C1F">
        <w:t xml:space="preserve"> des Vertrags über die Arbeitsweise der Europäischen Union,</w:t>
      </w:r>
    </w:p>
    <w:p w:rsidR="00765984" w:rsidRPr="00BF2C1F" w:rsidRDefault="00765984" w:rsidP="00765984">
      <w:pPr>
        <w:pStyle w:val="NormalHanging12a"/>
      </w:pPr>
      <w:r w:rsidRPr="00BF2C1F">
        <w:t>–</w:t>
      </w:r>
      <w:r w:rsidRPr="00BF2C1F">
        <w:tab/>
        <w:t xml:space="preserve">unter Hinweis auf die am </w:t>
      </w:r>
      <w:r w:rsidRPr="001C2208">
        <w:t>5</w:t>
      </w:r>
      <w:r w:rsidRPr="00BF2C1F">
        <w:t xml:space="preserve">. Juli </w:t>
      </w:r>
      <w:r w:rsidRPr="001C2208">
        <w:t>2021</w:t>
      </w:r>
      <w:r w:rsidRPr="00BF2C1F">
        <w:t xml:space="preserve"> angenommene und am </w:t>
      </w:r>
      <w:r w:rsidRPr="001C2208">
        <w:t>23</w:t>
      </w:r>
      <w:r w:rsidRPr="00BF2C1F">
        <w:t xml:space="preserve">. August </w:t>
      </w:r>
      <w:r w:rsidRPr="001C2208">
        <w:t>2021</w:t>
      </w:r>
      <w:r w:rsidRPr="00BF2C1F">
        <w:t xml:space="preserve"> veröffentlichte mit Gründen versehene Stellungnahme der Europäischen Behörde für Lebensmittelsicherheit (EFSA)</w:t>
      </w:r>
      <w:r w:rsidRPr="00BF2C1F">
        <w:rPr>
          <w:vertAlign w:val="superscript"/>
        </w:rPr>
        <w:footnoteReference w:id="4"/>
      </w:r>
      <w:r w:rsidRPr="00BF2C1F">
        <w:t>,</w:t>
      </w:r>
    </w:p>
    <w:p w:rsidR="00765984" w:rsidRPr="00BF2C1F" w:rsidRDefault="00765984" w:rsidP="00765984">
      <w:pPr>
        <w:pStyle w:val="NormalHanging12a"/>
      </w:pPr>
      <w:r w:rsidRPr="00BF2C1F">
        <w:t>–</w:t>
      </w:r>
      <w:r w:rsidRPr="00BF2C1F">
        <w:tab/>
        <w:t xml:space="preserve">unter Hinweis auf die aktualisierte mit Gründen versehene Stellungnahme der EFSA, die am </w:t>
      </w:r>
      <w:r w:rsidRPr="001C2208">
        <w:t>10</w:t>
      </w:r>
      <w:r w:rsidRPr="00BF2C1F">
        <w:t xml:space="preserve">. Januar </w:t>
      </w:r>
      <w:r w:rsidRPr="001C2208">
        <w:t>2024</w:t>
      </w:r>
      <w:r w:rsidRPr="00BF2C1F">
        <w:t xml:space="preserve"> angenommen und am </w:t>
      </w:r>
      <w:r w:rsidRPr="001C2208">
        <w:t>20</w:t>
      </w:r>
      <w:r w:rsidRPr="00BF2C1F">
        <w:t xml:space="preserve">. Februar </w:t>
      </w:r>
      <w:r w:rsidRPr="001C2208">
        <w:t>2024</w:t>
      </w:r>
      <w:r w:rsidRPr="00BF2C1F">
        <w:t xml:space="preserve"> veröffentlicht wurde</w:t>
      </w:r>
      <w:r w:rsidRPr="00BF2C1F">
        <w:rPr>
          <w:rStyle w:val="FootnoteReference"/>
        </w:rPr>
        <w:footnoteReference w:id="5"/>
      </w:r>
      <w:r w:rsidRPr="00BF2C1F">
        <w:t>,</w:t>
      </w:r>
    </w:p>
    <w:p w:rsidR="00765984" w:rsidRPr="00BF2C1F" w:rsidRDefault="00765984" w:rsidP="00765984">
      <w:pPr>
        <w:pStyle w:val="NormalHanging12a"/>
      </w:pPr>
      <w:r w:rsidRPr="00BF2C1F">
        <w:t>–</w:t>
      </w:r>
      <w:r w:rsidRPr="00BF2C1F">
        <w:tab/>
        <w:t xml:space="preserve">unter Hinweis auf die Schlussfolgerungen zum Peer-Review zu Pestiziden, die von der EFSA am </w:t>
      </w:r>
      <w:r w:rsidRPr="001C2208">
        <w:t>30</w:t>
      </w:r>
      <w:r w:rsidRPr="00BF2C1F">
        <w:t xml:space="preserve">. April </w:t>
      </w:r>
      <w:r w:rsidRPr="001C2208">
        <w:t>2010</w:t>
      </w:r>
      <w:r w:rsidRPr="00BF2C1F">
        <w:t xml:space="preserve"> angenommen und am </w:t>
      </w:r>
      <w:r w:rsidRPr="001C2208">
        <w:t>12</w:t>
      </w:r>
      <w:r w:rsidRPr="00BF2C1F">
        <w:t xml:space="preserve">. Mai </w:t>
      </w:r>
      <w:r w:rsidRPr="001C2208">
        <w:t>2010</w:t>
      </w:r>
      <w:r w:rsidRPr="00BF2C1F">
        <w:t xml:space="preserve"> veröffentlicht wurden</w:t>
      </w:r>
      <w:r w:rsidRPr="00BF2C1F">
        <w:rPr>
          <w:vertAlign w:val="superscript"/>
        </w:rPr>
        <w:footnoteReference w:id="6"/>
      </w:r>
      <w:r w:rsidRPr="00BF2C1F">
        <w:t>,</w:t>
      </w:r>
    </w:p>
    <w:p w:rsidR="00765984" w:rsidRPr="00BF2C1F" w:rsidRDefault="00765984" w:rsidP="00765984">
      <w:pPr>
        <w:pStyle w:val="NormalHanging12a"/>
      </w:pPr>
      <w:r w:rsidRPr="00BF2C1F">
        <w:t>–</w:t>
      </w:r>
      <w:r w:rsidRPr="00BF2C1F">
        <w:tab/>
        <w:t xml:space="preserve">unter Hinweis auf die Schlussfolgerungen zum Peer-Review zu Pestiziden, die von der EFSA am </w:t>
      </w:r>
      <w:r w:rsidRPr="001C2208">
        <w:t>8</w:t>
      </w:r>
      <w:r w:rsidRPr="00BF2C1F">
        <w:t xml:space="preserve">. Dezember </w:t>
      </w:r>
      <w:r w:rsidRPr="001C2208">
        <w:t>2017</w:t>
      </w:r>
      <w:r w:rsidRPr="00BF2C1F">
        <w:t xml:space="preserve"> angenommen und am </w:t>
      </w:r>
      <w:r w:rsidRPr="001C2208">
        <w:t>17</w:t>
      </w:r>
      <w:r w:rsidRPr="00BF2C1F">
        <w:t xml:space="preserve">. Januar </w:t>
      </w:r>
      <w:r w:rsidRPr="001C2208">
        <w:t>2018</w:t>
      </w:r>
      <w:r w:rsidRPr="00BF2C1F">
        <w:t xml:space="preserve"> veröffentlicht wurden</w:t>
      </w:r>
      <w:r w:rsidRPr="00BF2C1F">
        <w:rPr>
          <w:vertAlign w:val="superscript"/>
        </w:rPr>
        <w:footnoteReference w:id="7"/>
      </w:r>
      <w:r w:rsidRPr="00BF2C1F">
        <w:t>,</w:t>
      </w:r>
    </w:p>
    <w:p w:rsidR="00765984" w:rsidRPr="00BF2C1F" w:rsidRDefault="00765984" w:rsidP="00765984">
      <w:pPr>
        <w:pStyle w:val="NormalHanging12a"/>
      </w:pPr>
      <w:r w:rsidRPr="00BF2C1F">
        <w:t>–</w:t>
      </w:r>
      <w:r w:rsidRPr="00BF2C1F">
        <w:tab/>
        <w:t xml:space="preserve">unter Hinweis auf die Erklärung der EFSA, die am </w:t>
      </w:r>
      <w:r w:rsidRPr="001C2208">
        <w:t>27</w:t>
      </w:r>
      <w:r w:rsidRPr="00BF2C1F">
        <w:t xml:space="preserve">. März </w:t>
      </w:r>
      <w:r w:rsidRPr="001C2208">
        <w:t>2024</w:t>
      </w:r>
      <w:r w:rsidRPr="00BF2C1F">
        <w:t xml:space="preserve"> angenommen und am </w:t>
      </w:r>
      <w:r w:rsidRPr="001C2208">
        <w:t>13</w:t>
      </w:r>
      <w:r w:rsidRPr="00BF2C1F">
        <w:t xml:space="preserve">. Mai </w:t>
      </w:r>
      <w:r w:rsidRPr="001C2208">
        <w:t>2024</w:t>
      </w:r>
      <w:r w:rsidRPr="00BF2C1F">
        <w:t xml:space="preserve"> veröffentlicht wurde</w:t>
      </w:r>
      <w:r w:rsidRPr="00BF2C1F">
        <w:rPr>
          <w:vertAlign w:val="superscript"/>
        </w:rPr>
        <w:footnoteReference w:id="8"/>
      </w:r>
      <w:r w:rsidRPr="00BF2C1F">
        <w:t>,</w:t>
      </w:r>
    </w:p>
    <w:p w:rsidR="00765984" w:rsidRPr="00BF2C1F" w:rsidRDefault="00765984" w:rsidP="00765984">
      <w:pPr>
        <w:pStyle w:val="NormalHanging12a"/>
      </w:pPr>
      <w:r w:rsidRPr="00BF2C1F">
        <w:t>–</w:t>
      </w:r>
      <w:r w:rsidRPr="00BF2C1F">
        <w:tab/>
        <w:t xml:space="preserve">unter Hinweis auf die Stellungnahme des Ausschusses für Risikobeurteilung (RAC) der </w:t>
      </w:r>
      <w:r w:rsidRPr="00BF2C1F">
        <w:lastRenderedPageBreak/>
        <w:t xml:space="preserve">Europäischen Chemikalienagentur vom </w:t>
      </w:r>
      <w:r w:rsidRPr="001C2208">
        <w:t>5</w:t>
      </w:r>
      <w:r w:rsidRPr="00BF2C1F">
        <w:t xml:space="preserve">. Dezember </w:t>
      </w:r>
      <w:r w:rsidRPr="001C2208">
        <w:t>2019</w:t>
      </w:r>
      <w:r w:rsidRPr="00BF2C1F">
        <w:rPr>
          <w:rStyle w:val="FootnoteReference"/>
        </w:rPr>
        <w:footnoteReference w:id="9"/>
      </w:r>
      <w:r w:rsidRPr="00BF2C1F">
        <w:t>,</w:t>
      </w:r>
    </w:p>
    <w:p w:rsidR="00765984" w:rsidRPr="00BF2C1F" w:rsidRDefault="00765984" w:rsidP="00765984">
      <w:pPr>
        <w:pStyle w:val="NormalHanging12a"/>
      </w:pPr>
      <w:r w:rsidRPr="00BF2C1F">
        <w:t>–</w:t>
      </w:r>
      <w:r w:rsidRPr="00BF2C1F">
        <w:tab/>
        <w:t>gestützt auf Artikel </w:t>
      </w:r>
      <w:r w:rsidRPr="001C2208">
        <w:t>5</w:t>
      </w:r>
      <w:r w:rsidRPr="00BF2C1F">
        <w:t>a Absatz </w:t>
      </w:r>
      <w:r w:rsidRPr="001C2208">
        <w:t>3</w:t>
      </w:r>
      <w:r w:rsidRPr="00BF2C1F">
        <w:t xml:space="preserve"> Buchstabe b und Artikel </w:t>
      </w:r>
      <w:r w:rsidRPr="001C2208">
        <w:t>5</w:t>
      </w:r>
      <w:r w:rsidRPr="00BF2C1F">
        <w:t>a Absatz </w:t>
      </w:r>
      <w:r w:rsidRPr="001C2208">
        <w:t>5</w:t>
      </w:r>
      <w:r w:rsidRPr="00BF2C1F">
        <w:t xml:space="preserve"> des Beschlusses </w:t>
      </w:r>
      <w:r w:rsidRPr="001C2208">
        <w:t>1999</w:t>
      </w:r>
      <w:r w:rsidRPr="00BF2C1F">
        <w:t>/</w:t>
      </w:r>
      <w:r w:rsidRPr="001C2208">
        <w:t>468</w:t>
      </w:r>
      <w:r w:rsidRPr="00BF2C1F">
        <w:t xml:space="preserve">/EG des Rates vom </w:t>
      </w:r>
      <w:r w:rsidRPr="001C2208">
        <w:t>28</w:t>
      </w:r>
      <w:r w:rsidRPr="00BF2C1F">
        <w:t xml:space="preserve">. Juni </w:t>
      </w:r>
      <w:r w:rsidRPr="001C2208">
        <w:t>1999</w:t>
      </w:r>
      <w:r w:rsidRPr="00BF2C1F">
        <w:t xml:space="preserve"> zur Festlegung der Modalitäten für die Ausübung der der Kommission übertragenen Durchführungsbefugnisse</w:t>
      </w:r>
      <w:r w:rsidRPr="00BF2C1F">
        <w:rPr>
          <w:rStyle w:val="FootnoteReference"/>
        </w:rPr>
        <w:footnoteReference w:id="10"/>
      </w:r>
      <w:r w:rsidRPr="00BF2C1F">
        <w:t>,</w:t>
      </w:r>
    </w:p>
    <w:p w:rsidR="00765984" w:rsidRPr="00BF2C1F" w:rsidRDefault="00765984" w:rsidP="00765984">
      <w:pPr>
        <w:pStyle w:val="NormalHanging12a"/>
      </w:pPr>
      <w:r w:rsidRPr="00BF2C1F">
        <w:t>–</w:t>
      </w:r>
      <w:r w:rsidRPr="00BF2C1F">
        <w:tab/>
        <w:t>gestützt auf Artikel </w:t>
      </w:r>
      <w:r w:rsidRPr="001C2208">
        <w:t>115</w:t>
      </w:r>
      <w:r w:rsidRPr="00BF2C1F">
        <w:t xml:space="preserve"> Absätze </w:t>
      </w:r>
      <w:r w:rsidRPr="001C2208">
        <w:t>2</w:t>
      </w:r>
      <w:r w:rsidRPr="00BF2C1F">
        <w:t xml:space="preserve"> und </w:t>
      </w:r>
      <w:r w:rsidRPr="001C2208">
        <w:t>3</w:t>
      </w:r>
      <w:r w:rsidRPr="00BF2C1F">
        <w:t xml:space="preserve"> und Absatz </w:t>
      </w:r>
      <w:r w:rsidRPr="001C2208">
        <w:t>4</w:t>
      </w:r>
      <w:r w:rsidRPr="00BF2C1F">
        <w:t xml:space="preserve"> Buchstabe c seiner Geschäftsordnung,</w:t>
      </w:r>
    </w:p>
    <w:p w:rsidR="00765984" w:rsidRPr="00BF2C1F" w:rsidRDefault="00765984" w:rsidP="00765984">
      <w:pPr>
        <w:pStyle w:val="NormalHanging12a"/>
      </w:pPr>
      <w:r w:rsidRPr="00BF2C1F">
        <w:t>–</w:t>
      </w:r>
      <w:r w:rsidRPr="00BF2C1F">
        <w:tab/>
        <w:t>unter Hinweis auf den Entschließungsantrag des Ausschusses für Umweltfragen, öffentliche Gesundheit und Lebensmittelsicherheit,</w:t>
      </w:r>
    </w:p>
    <w:p w:rsidR="00765984" w:rsidRPr="00BF2C1F" w:rsidRDefault="00765984" w:rsidP="00765984">
      <w:pPr>
        <w:pStyle w:val="NormalHanging12a"/>
      </w:pPr>
      <w:r w:rsidRPr="00BF2C1F">
        <w:t>A.</w:t>
      </w:r>
      <w:r w:rsidRPr="00BF2C1F">
        <w:tab/>
        <w:t xml:space="preserve">in der Erwägung, dass bei den Protesten der Landwirte, die sich in der ersten Jahreshälfte </w:t>
      </w:r>
      <w:r w:rsidRPr="001C2208">
        <w:t>2024</w:t>
      </w:r>
      <w:r w:rsidRPr="00BF2C1F">
        <w:t xml:space="preserve"> ereigneten, eine faire und gleiche Behandlung von aus Drittländern eingeführten Erzeugnissen, die denselben Normen entsprechen sollten wie in der Union hergestellte Erzeugnisse, zu den zentralen Forderungen gehörte;</w:t>
      </w:r>
    </w:p>
    <w:p w:rsidR="00765984" w:rsidRPr="00BF2C1F" w:rsidRDefault="00765984" w:rsidP="00765984">
      <w:pPr>
        <w:pStyle w:val="NormalHanging12a"/>
      </w:pPr>
      <w:r w:rsidRPr="00BF2C1F">
        <w:t>B.</w:t>
      </w:r>
      <w:r w:rsidRPr="00BF2C1F">
        <w:tab/>
        <w:t>in der Erwägung, dass die Annahme des Entwurfs einer Verordnung der Kommission es ermöglichen würde, weiterhin Erzeugnisse in die Union einzuführen, die nicht den für Landwirte in der Union geltenden Normen entsprechen;</w:t>
      </w:r>
    </w:p>
    <w:p w:rsidR="00765984" w:rsidRPr="00BF2C1F" w:rsidRDefault="00765984" w:rsidP="00765984">
      <w:pPr>
        <w:pStyle w:val="NormalHanging12a"/>
      </w:pPr>
      <w:r w:rsidRPr="00BF2C1F">
        <w:t>C.</w:t>
      </w:r>
      <w:r w:rsidRPr="00BF2C1F">
        <w:tab/>
        <w:t>in der Erwägung, dass eine solche Situation für die Landwirte in der Union einen Wettbewerbsnachteil darstellen würde;</w:t>
      </w:r>
    </w:p>
    <w:p w:rsidR="00765984" w:rsidRPr="00BF2C1F" w:rsidRDefault="00765984" w:rsidP="00765984">
      <w:pPr>
        <w:pStyle w:val="NormalHanging12a"/>
      </w:pPr>
      <w:r w:rsidRPr="00BF2C1F">
        <w:t>D.</w:t>
      </w:r>
      <w:r w:rsidRPr="00BF2C1F">
        <w:tab/>
        <w:t xml:space="preserve">in der Erwägung, dass die Genehmigung für den Wirkstoff </w:t>
      </w:r>
      <w:proofErr w:type="spellStart"/>
      <w:r w:rsidRPr="00BF2C1F">
        <w:t>Carbendazim</w:t>
      </w:r>
      <w:proofErr w:type="spellEnd"/>
      <w:r w:rsidRPr="00BF2C1F">
        <w:t xml:space="preserve"> am </w:t>
      </w:r>
      <w:r w:rsidRPr="001C2208">
        <w:t>30</w:t>
      </w:r>
      <w:r w:rsidRPr="00BF2C1F">
        <w:t xml:space="preserve">. November </w:t>
      </w:r>
      <w:r w:rsidRPr="001C2208">
        <w:t>2014</w:t>
      </w:r>
      <w:r w:rsidRPr="00BF2C1F">
        <w:t xml:space="preserve"> auslief und kein Antrag auf Erneuerung gestellt wurde;</w:t>
      </w:r>
    </w:p>
    <w:p w:rsidR="00765984" w:rsidRPr="00BF2C1F" w:rsidRDefault="00765984" w:rsidP="00765984">
      <w:pPr>
        <w:pStyle w:val="NormalHanging12a"/>
      </w:pPr>
      <w:r w:rsidRPr="00BF2C1F">
        <w:t>E.</w:t>
      </w:r>
      <w:r w:rsidRPr="00BF2C1F">
        <w:tab/>
        <w:t xml:space="preserve">in der Erwägung, dass </w:t>
      </w:r>
      <w:proofErr w:type="spellStart"/>
      <w:r w:rsidRPr="00BF2C1F">
        <w:t>Carbendazim</w:t>
      </w:r>
      <w:proofErr w:type="spellEnd"/>
      <w:r w:rsidRPr="00BF2C1F">
        <w:t xml:space="preserve"> die Kriterien für eine Einstufung als </w:t>
      </w:r>
      <w:proofErr w:type="spellStart"/>
      <w:r w:rsidRPr="00BF2C1F">
        <w:t>mutagener</w:t>
      </w:r>
      <w:proofErr w:type="spellEnd"/>
      <w:r w:rsidRPr="00BF2C1F">
        <w:t xml:space="preserve"> Stoff der Kategorie </w:t>
      </w:r>
      <w:r w:rsidRPr="001C2208">
        <w:t>1</w:t>
      </w:r>
      <w:r w:rsidRPr="00BF2C1F">
        <w:t>B und reproduktionstoxischer Stoff der Kategorie </w:t>
      </w:r>
      <w:r w:rsidRPr="001C2208">
        <w:t>1</w:t>
      </w:r>
      <w:r w:rsidRPr="00BF2C1F">
        <w:t>B gemäß der Verordnung (EG) Nr. </w:t>
      </w:r>
      <w:r w:rsidRPr="001C2208">
        <w:t>1272</w:t>
      </w:r>
      <w:r w:rsidRPr="00BF2C1F">
        <w:t>/</w:t>
      </w:r>
      <w:r w:rsidRPr="001C2208">
        <w:t>2008</w:t>
      </w:r>
      <w:r w:rsidRPr="00BF2C1F">
        <w:t xml:space="preserve"> des Europäischen Parlaments und des Rates</w:t>
      </w:r>
      <w:r w:rsidRPr="00BF2C1F">
        <w:rPr>
          <w:rStyle w:val="FootnoteReference"/>
        </w:rPr>
        <w:footnoteReference w:id="11"/>
      </w:r>
      <w:r w:rsidRPr="00BF2C1F">
        <w:t xml:space="preserve"> und zwei der Kriterien für eine Einstufung als persistent, </w:t>
      </w:r>
      <w:proofErr w:type="spellStart"/>
      <w:r w:rsidRPr="00BF2C1F">
        <w:t>bioakkumulierbar</w:t>
      </w:r>
      <w:proofErr w:type="spellEnd"/>
      <w:r w:rsidRPr="00BF2C1F">
        <w:t xml:space="preserve"> und toxisch (PBT) (P und T) gemäß Anhang II Nummer </w:t>
      </w:r>
      <w:r w:rsidRPr="001C2208">
        <w:t>3</w:t>
      </w:r>
      <w:r w:rsidRPr="00BF2C1F">
        <w:t>.</w:t>
      </w:r>
      <w:r w:rsidRPr="001C2208">
        <w:t>7</w:t>
      </w:r>
      <w:r w:rsidRPr="00BF2C1F">
        <w:t>.</w:t>
      </w:r>
      <w:r w:rsidRPr="001C2208">
        <w:t>2</w:t>
      </w:r>
      <w:r w:rsidRPr="00BF2C1F">
        <w:t xml:space="preserve"> der Verordnung (EG) Nr. </w:t>
      </w:r>
      <w:r w:rsidRPr="001C2208">
        <w:t>1107</w:t>
      </w:r>
      <w:r w:rsidRPr="00BF2C1F">
        <w:t>/</w:t>
      </w:r>
      <w:r w:rsidRPr="001C2208">
        <w:t>2009</w:t>
      </w:r>
      <w:r w:rsidRPr="00BF2C1F">
        <w:t xml:space="preserve"> erfüllt;</w:t>
      </w:r>
    </w:p>
    <w:p w:rsidR="00765984" w:rsidRPr="00BF2C1F" w:rsidRDefault="00765984" w:rsidP="00765984">
      <w:pPr>
        <w:pStyle w:val="NormalHanging12a"/>
      </w:pPr>
      <w:r w:rsidRPr="00BF2C1F">
        <w:t>F.</w:t>
      </w:r>
      <w:r w:rsidRPr="00BF2C1F">
        <w:tab/>
        <w:t xml:space="preserve">in der Erwägung, dass </w:t>
      </w:r>
      <w:proofErr w:type="spellStart"/>
      <w:r w:rsidRPr="00BF2C1F">
        <w:t>Carbendazim</w:t>
      </w:r>
      <w:proofErr w:type="spellEnd"/>
      <w:r w:rsidRPr="00BF2C1F">
        <w:t xml:space="preserve"> gemäß der Verordnung (EG) Nr. </w:t>
      </w:r>
      <w:r w:rsidRPr="001C2208">
        <w:t>1272</w:t>
      </w:r>
      <w:r w:rsidRPr="00BF2C1F">
        <w:t>/</w:t>
      </w:r>
      <w:r w:rsidRPr="001C2208">
        <w:t>2008</w:t>
      </w:r>
      <w:r w:rsidRPr="00BF2C1F">
        <w:t xml:space="preserve"> auch als sehr giftig für Wasserorganismen eingestuft ist, sehr giftig für Wasserorganismen mit langfristiger Wirkung ist und eine allergische Hautreaktion hervorrufen kann;</w:t>
      </w:r>
    </w:p>
    <w:p w:rsidR="00765984" w:rsidRPr="00BF2C1F" w:rsidRDefault="00765984" w:rsidP="00765984">
      <w:pPr>
        <w:pStyle w:val="NormalHanging12a"/>
      </w:pPr>
      <w:r w:rsidRPr="00BF2C1F">
        <w:t>G.</w:t>
      </w:r>
      <w:r w:rsidRPr="00BF2C1F">
        <w:tab/>
        <w:t>in der Erwägung, dass daher die in Anhang II der Verordnung (EG) Nr. </w:t>
      </w:r>
      <w:r w:rsidRPr="001C2208">
        <w:t>396</w:t>
      </w:r>
      <w:r w:rsidRPr="00BF2C1F">
        <w:t>/</w:t>
      </w:r>
      <w:r w:rsidRPr="001C2208">
        <w:t>2005</w:t>
      </w:r>
      <w:r w:rsidRPr="00BF2C1F">
        <w:t xml:space="preserve"> für </w:t>
      </w:r>
      <w:proofErr w:type="spellStart"/>
      <w:r w:rsidRPr="00BF2C1F">
        <w:t>Carbendazim</w:t>
      </w:r>
      <w:proofErr w:type="spellEnd"/>
      <w:r w:rsidRPr="00BF2C1F">
        <w:t xml:space="preserve"> festgelegten Höchstgehalte an Rückständen (MRL-Werte) im Einklang </w:t>
      </w:r>
      <w:r w:rsidRPr="00BF2C1F">
        <w:lastRenderedPageBreak/>
        <w:t>mit Artikel </w:t>
      </w:r>
      <w:r w:rsidRPr="001C2208">
        <w:t>14</w:t>
      </w:r>
      <w:r w:rsidRPr="00BF2C1F">
        <w:t xml:space="preserve"> Absatz </w:t>
      </w:r>
      <w:r w:rsidRPr="001C2208">
        <w:t>1</w:t>
      </w:r>
      <w:r w:rsidRPr="00BF2C1F">
        <w:t xml:space="preserve"> Buchstabe a und Artikel </w:t>
      </w:r>
      <w:r w:rsidRPr="001C2208">
        <w:t>17</w:t>
      </w:r>
      <w:r w:rsidRPr="00BF2C1F">
        <w:t xml:space="preserve"> jener Verordnung gestrichen werden sollten;</w:t>
      </w:r>
    </w:p>
    <w:p w:rsidR="00765984" w:rsidRPr="00BF2C1F" w:rsidRDefault="00765984" w:rsidP="00765984">
      <w:pPr>
        <w:pStyle w:val="NormalHanging12a"/>
      </w:pPr>
      <w:r w:rsidRPr="00BF2C1F">
        <w:t>H.</w:t>
      </w:r>
      <w:r w:rsidRPr="00BF2C1F">
        <w:tab/>
        <w:t xml:space="preserve">in der Erwägung, dass die Kommission in ihrem Entwurf einer Verordnung jedoch vorschlägt, die auf Einfuhrtoleranzen beruhenden MRL-Werte für </w:t>
      </w:r>
      <w:proofErr w:type="spellStart"/>
      <w:r w:rsidRPr="00BF2C1F">
        <w:t>Carbendazim</w:t>
      </w:r>
      <w:proofErr w:type="spellEnd"/>
      <w:r w:rsidRPr="00BF2C1F">
        <w:t xml:space="preserve"> oberhalb der Bestimmungsgrenze für die Verwendung in Zitronen, Limetten, Mandarinen und </w:t>
      </w:r>
      <w:proofErr w:type="spellStart"/>
      <w:r w:rsidRPr="00BF2C1F">
        <w:t>Okraschoten</w:t>
      </w:r>
      <w:proofErr w:type="spellEnd"/>
      <w:r w:rsidRPr="00BF2C1F">
        <w:t xml:space="preserve"> für Einfuhrzwecke auf der Grundlage der mit Gründen versehenen Stellungnahme der EFSA vom </w:t>
      </w:r>
      <w:r w:rsidRPr="001C2208">
        <w:t>5</w:t>
      </w:r>
      <w:r w:rsidRPr="00BF2C1F">
        <w:t xml:space="preserve">. Juli </w:t>
      </w:r>
      <w:r w:rsidRPr="001C2208">
        <w:t>2021</w:t>
      </w:r>
      <w:r w:rsidRPr="00BF2C1F">
        <w:t xml:space="preserve"> beizubehalten;</w:t>
      </w:r>
    </w:p>
    <w:p w:rsidR="00765984" w:rsidRPr="00BF2C1F" w:rsidRDefault="00765984" w:rsidP="00765984">
      <w:pPr>
        <w:pStyle w:val="NormalHanging12a"/>
      </w:pPr>
      <w:r w:rsidRPr="00BF2C1F">
        <w:t>I.</w:t>
      </w:r>
      <w:r w:rsidRPr="00BF2C1F">
        <w:tab/>
        <w:t xml:space="preserve">in der Erwägung, dass die Kommission in ihrem Entwurf einer Verordnung vorschlägt, als auf Einfuhrtoleranzen beruhenden MRL-Wert für Zitronen, Limetten und Mandarinen den derzeitigen Wert von </w:t>
      </w:r>
      <w:r w:rsidRPr="001C2208">
        <w:t>0</w:t>
      </w:r>
      <w:r w:rsidRPr="00BF2C1F">
        <w:t>,</w:t>
      </w:r>
      <w:r w:rsidRPr="001C2208">
        <w:t>7</w:t>
      </w:r>
      <w:r w:rsidRPr="00BF2C1F">
        <w:t xml:space="preserve"> mg/kg beizubehalten und als MRL-Wert für </w:t>
      </w:r>
      <w:proofErr w:type="spellStart"/>
      <w:r w:rsidRPr="00BF2C1F">
        <w:t>Okraschoten</w:t>
      </w:r>
      <w:proofErr w:type="spellEnd"/>
      <w:r w:rsidRPr="00BF2C1F">
        <w:t xml:space="preserve"> einen von der EFSA bestimmten neuen Wert von </w:t>
      </w:r>
      <w:r w:rsidRPr="001C2208">
        <w:t>1</w:t>
      </w:r>
      <w:r w:rsidRPr="00BF2C1F">
        <w:t>,</w:t>
      </w:r>
      <w:r w:rsidRPr="001C2208">
        <w:t>5</w:t>
      </w:r>
      <w:r w:rsidRPr="00BF2C1F">
        <w:t xml:space="preserve"> mg/kg festzulegen; </w:t>
      </w:r>
    </w:p>
    <w:p w:rsidR="00765984" w:rsidRPr="00BF2C1F" w:rsidRDefault="00765984" w:rsidP="00765984">
      <w:pPr>
        <w:pStyle w:val="NormalHanging12a"/>
      </w:pPr>
      <w:r w:rsidRPr="00BF2C1F">
        <w:t>J.</w:t>
      </w:r>
      <w:r w:rsidRPr="00BF2C1F">
        <w:tab/>
        <w:t xml:space="preserve">in der Erwägung, dass die Genehmigung für den Wirkstoff </w:t>
      </w:r>
      <w:proofErr w:type="spellStart"/>
      <w:r w:rsidRPr="00BF2C1F">
        <w:t>Thiophanat</w:t>
      </w:r>
      <w:proofErr w:type="spellEnd"/>
      <w:r w:rsidRPr="00BF2C1F">
        <w:t xml:space="preserve">-methyl am </w:t>
      </w:r>
      <w:r w:rsidRPr="001C2208">
        <w:t>15</w:t>
      </w:r>
      <w:r w:rsidRPr="00BF2C1F">
        <w:t xml:space="preserve">. Oktober </w:t>
      </w:r>
      <w:r w:rsidRPr="001C2208">
        <w:t>2020</w:t>
      </w:r>
      <w:r w:rsidRPr="00BF2C1F">
        <w:t xml:space="preserve"> nicht erneuert wurde, nachdem ein Antrag auf Erneuerung vom Antragsteller zurückgezogen worden war;</w:t>
      </w:r>
    </w:p>
    <w:p w:rsidR="00765984" w:rsidRPr="00BF2C1F" w:rsidRDefault="00765984" w:rsidP="00765984">
      <w:pPr>
        <w:pStyle w:val="NormalHanging12a"/>
      </w:pPr>
      <w:r w:rsidRPr="00BF2C1F">
        <w:t>K.</w:t>
      </w:r>
      <w:r w:rsidRPr="00BF2C1F">
        <w:tab/>
        <w:t xml:space="preserve">in der Erwägung, dass </w:t>
      </w:r>
      <w:proofErr w:type="spellStart"/>
      <w:r w:rsidRPr="00BF2C1F">
        <w:t>Thiophanat</w:t>
      </w:r>
      <w:proofErr w:type="spellEnd"/>
      <w:r w:rsidRPr="00BF2C1F">
        <w:t xml:space="preserve">-methyl die Kriterien für eine Einstufung als </w:t>
      </w:r>
      <w:proofErr w:type="spellStart"/>
      <w:r w:rsidRPr="00BF2C1F">
        <w:t>mutagener</w:t>
      </w:r>
      <w:proofErr w:type="spellEnd"/>
      <w:r w:rsidRPr="00BF2C1F">
        <w:t xml:space="preserve"> Stoff der Kategorie </w:t>
      </w:r>
      <w:r w:rsidRPr="001C2208">
        <w:t>2</w:t>
      </w:r>
      <w:r w:rsidRPr="00BF2C1F">
        <w:t xml:space="preserve"> und als reproduktionstoxischer Stoff der Kategorie </w:t>
      </w:r>
      <w:r w:rsidRPr="001C2208">
        <w:t>2</w:t>
      </w:r>
      <w:r w:rsidRPr="00BF2C1F">
        <w:t xml:space="preserve"> gemäß der Verordnung (EG) Nr. </w:t>
      </w:r>
      <w:r w:rsidRPr="001C2208">
        <w:t>1272</w:t>
      </w:r>
      <w:r w:rsidRPr="00BF2C1F">
        <w:t>/</w:t>
      </w:r>
      <w:r w:rsidRPr="001C2208">
        <w:t>2008</w:t>
      </w:r>
      <w:r w:rsidRPr="00BF2C1F">
        <w:rPr>
          <w:rStyle w:val="FootnoteReference"/>
        </w:rPr>
        <w:footnoteReference w:id="12"/>
      </w:r>
      <w:r w:rsidRPr="00BF2C1F">
        <w:t xml:space="preserve"> erfüllt;</w:t>
      </w:r>
    </w:p>
    <w:p w:rsidR="00765984" w:rsidRPr="00BF2C1F" w:rsidRDefault="00765984" w:rsidP="00765984">
      <w:pPr>
        <w:pStyle w:val="NormalHanging12a"/>
      </w:pPr>
      <w:r w:rsidRPr="00BF2C1F">
        <w:t>L.</w:t>
      </w:r>
      <w:r w:rsidRPr="00BF2C1F">
        <w:tab/>
        <w:t xml:space="preserve">in der Erwägung, dass die EFSA </w:t>
      </w:r>
      <w:proofErr w:type="spellStart"/>
      <w:r w:rsidRPr="00BF2C1F">
        <w:t>Thiophanat</w:t>
      </w:r>
      <w:proofErr w:type="spellEnd"/>
      <w:r w:rsidRPr="00BF2C1F">
        <w:t xml:space="preserve">-methyl in ihrer aktualisierten mit Gründen versehenen Stellungnahme vom </w:t>
      </w:r>
      <w:r w:rsidRPr="001C2208">
        <w:t>10</w:t>
      </w:r>
      <w:r w:rsidRPr="00BF2C1F">
        <w:t xml:space="preserve">. Januar </w:t>
      </w:r>
      <w:r w:rsidRPr="001C2208">
        <w:t>2024</w:t>
      </w:r>
      <w:r w:rsidRPr="00BF2C1F">
        <w:t xml:space="preserve"> als endokrinen </w:t>
      </w:r>
      <w:proofErr w:type="spellStart"/>
      <w:r w:rsidRPr="00BF2C1F">
        <w:t>Disruptor</w:t>
      </w:r>
      <w:proofErr w:type="spellEnd"/>
      <w:r w:rsidRPr="00BF2C1F">
        <w:t xml:space="preserve"> (T-Modalität) ermittelt hat, der gemäß den in der Verordnung (EU) </w:t>
      </w:r>
      <w:r w:rsidRPr="001C2208">
        <w:t>2018</w:t>
      </w:r>
      <w:r w:rsidRPr="00BF2C1F">
        <w:t>/</w:t>
      </w:r>
      <w:r w:rsidRPr="001C2208">
        <w:t>605</w:t>
      </w:r>
      <w:r w:rsidRPr="00BF2C1F">
        <w:t xml:space="preserve"> der Kommission</w:t>
      </w:r>
      <w:r w:rsidRPr="00BF2C1F">
        <w:rPr>
          <w:rStyle w:val="FootnoteReference"/>
        </w:rPr>
        <w:footnoteReference w:id="13"/>
      </w:r>
      <w:r w:rsidRPr="00BF2C1F">
        <w:t xml:space="preserve"> festgelegten wissenschaftlichen Kriterien für die Bestimmung </w:t>
      </w:r>
      <w:proofErr w:type="spellStart"/>
      <w:r w:rsidRPr="00BF2C1F">
        <w:t>endokrinschädlicher</w:t>
      </w:r>
      <w:proofErr w:type="spellEnd"/>
      <w:r w:rsidRPr="00BF2C1F">
        <w:t xml:space="preserve"> Eigenschaften für den Menschen von Bedeutung ist;</w:t>
      </w:r>
    </w:p>
    <w:p w:rsidR="00765984" w:rsidRPr="00BF2C1F" w:rsidRDefault="00765984" w:rsidP="00765984">
      <w:pPr>
        <w:pStyle w:val="NormalHanging12a"/>
      </w:pPr>
      <w:r w:rsidRPr="00BF2C1F">
        <w:t>M.</w:t>
      </w:r>
      <w:r w:rsidRPr="00BF2C1F">
        <w:tab/>
        <w:t xml:space="preserve">in der Erwägung, dass </w:t>
      </w:r>
      <w:proofErr w:type="spellStart"/>
      <w:r w:rsidRPr="00BF2C1F">
        <w:t>Carbendazim</w:t>
      </w:r>
      <w:proofErr w:type="spellEnd"/>
      <w:r w:rsidRPr="00BF2C1F">
        <w:t xml:space="preserve"> ein wichtiger Pflanzenmetabolit von </w:t>
      </w:r>
      <w:proofErr w:type="spellStart"/>
      <w:r w:rsidRPr="00BF2C1F">
        <w:t>Thiophanat</w:t>
      </w:r>
      <w:proofErr w:type="spellEnd"/>
      <w:r w:rsidRPr="00BF2C1F">
        <w:t>-methyl ist;</w:t>
      </w:r>
    </w:p>
    <w:p w:rsidR="00765984" w:rsidRPr="00BF2C1F" w:rsidRDefault="00765984" w:rsidP="00765984">
      <w:pPr>
        <w:pStyle w:val="NormalHanging12a"/>
      </w:pPr>
      <w:r w:rsidRPr="00BF2C1F">
        <w:t>N.</w:t>
      </w:r>
      <w:r w:rsidRPr="00BF2C1F">
        <w:tab/>
        <w:t xml:space="preserve">in der Erwägung, dass in den Schlussfolgerungen der EFSA zum Peer-Review von Pestiziden vom </w:t>
      </w:r>
      <w:r w:rsidRPr="001C2208">
        <w:t>8</w:t>
      </w:r>
      <w:r w:rsidRPr="00BF2C1F">
        <w:t xml:space="preserve">. Dezember </w:t>
      </w:r>
      <w:r w:rsidRPr="001C2208">
        <w:t>2017</w:t>
      </w:r>
      <w:r w:rsidRPr="00BF2C1F">
        <w:t xml:space="preserve"> dargelegt wird, dass angesichts des </w:t>
      </w:r>
      <w:proofErr w:type="spellStart"/>
      <w:r w:rsidRPr="00BF2C1F">
        <w:t>klastogenen</w:t>
      </w:r>
      <w:proofErr w:type="spellEnd"/>
      <w:r w:rsidRPr="00BF2C1F">
        <w:t xml:space="preserve"> Potenzials von </w:t>
      </w:r>
      <w:proofErr w:type="spellStart"/>
      <w:r w:rsidRPr="00BF2C1F">
        <w:t>Thiophanat</w:t>
      </w:r>
      <w:proofErr w:type="spellEnd"/>
      <w:r w:rsidRPr="00BF2C1F">
        <w:t>-methyl keine toxikologischen Referenzwerte für die Risikobewertung für Verbraucher und Anwender abgeleitet werden können;</w:t>
      </w:r>
    </w:p>
    <w:p w:rsidR="00765984" w:rsidRPr="00BF2C1F" w:rsidRDefault="00765984" w:rsidP="00765984">
      <w:pPr>
        <w:pStyle w:val="NormalHanging12a"/>
      </w:pPr>
      <w:r w:rsidRPr="00BF2C1F">
        <w:t>O.</w:t>
      </w:r>
      <w:r w:rsidRPr="00BF2C1F">
        <w:tab/>
        <w:t xml:space="preserve">in der Erwägung, dass die Kommission </w:t>
      </w:r>
      <w:r w:rsidRPr="001C2208">
        <w:t>2024</w:t>
      </w:r>
      <w:r w:rsidRPr="00BF2C1F">
        <w:t xml:space="preserve"> die MRL-Werte für </w:t>
      </w:r>
      <w:proofErr w:type="spellStart"/>
      <w:r w:rsidRPr="00BF2C1F">
        <w:t>Thiacloprid</w:t>
      </w:r>
      <w:proofErr w:type="spellEnd"/>
      <w:r w:rsidRPr="00BF2C1F">
        <w:t>, einen als reproduktionstoxischen Stoff der Kategorie </w:t>
      </w:r>
      <w:r w:rsidRPr="001C2208">
        <w:t>1</w:t>
      </w:r>
      <w:r w:rsidRPr="00BF2C1F">
        <w:t>B eingestuften Wirkstoff, auf die entsprechende Bestimmungsgrenze gesenkt hat, und zwar mit der Begründung, dass es bis zum Abschluss einer zusätzlichen Risikobewertung zu endokrinen Wirkungen durch die EFSA und angesichts der verfügbaren einschlägigen Informationen über potenziell schädliche Auswirkungen auf die menschliche Gesundheit angezeigt ist, die MRL-</w:t>
      </w:r>
      <w:r w:rsidRPr="00BF2C1F">
        <w:lastRenderedPageBreak/>
        <w:t>Werte für die entsprechenden Erzeugnisse vorläufig zu senken</w:t>
      </w:r>
      <w:r w:rsidRPr="00BF2C1F">
        <w:rPr>
          <w:rStyle w:val="FootnoteReference"/>
        </w:rPr>
        <w:footnoteReference w:id="14"/>
      </w:r>
      <w:r w:rsidRPr="00BF2C1F">
        <w:t>;</w:t>
      </w:r>
    </w:p>
    <w:p w:rsidR="00765984" w:rsidRPr="00BF2C1F" w:rsidRDefault="00765984" w:rsidP="00765984">
      <w:pPr>
        <w:pStyle w:val="NormalHanging12a"/>
      </w:pPr>
      <w:r w:rsidRPr="00BF2C1F">
        <w:t>P.</w:t>
      </w:r>
      <w:r w:rsidRPr="00BF2C1F">
        <w:tab/>
        <w:t>in der Erwägung, dass daher die in Anhang II der Verordnung (EG) Nr. </w:t>
      </w:r>
      <w:r w:rsidRPr="001C2208">
        <w:t>396</w:t>
      </w:r>
      <w:r w:rsidRPr="00BF2C1F">
        <w:t>/</w:t>
      </w:r>
      <w:r w:rsidRPr="001C2208">
        <w:t>2005</w:t>
      </w:r>
      <w:r w:rsidRPr="00BF2C1F">
        <w:t xml:space="preserve"> für </w:t>
      </w:r>
      <w:proofErr w:type="spellStart"/>
      <w:r w:rsidRPr="00BF2C1F">
        <w:t>Thiophanat</w:t>
      </w:r>
      <w:proofErr w:type="spellEnd"/>
      <w:r w:rsidRPr="00BF2C1F">
        <w:t>-methyl festgelegten MRL-Werte im Einklang mit Artikel </w:t>
      </w:r>
      <w:r w:rsidRPr="001C2208">
        <w:t>14</w:t>
      </w:r>
      <w:r w:rsidRPr="00BF2C1F">
        <w:t xml:space="preserve"> Absatz </w:t>
      </w:r>
      <w:r w:rsidRPr="001C2208">
        <w:t>1</w:t>
      </w:r>
      <w:r w:rsidRPr="00BF2C1F">
        <w:t xml:space="preserve"> Buchstabe a und Artikel </w:t>
      </w:r>
      <w:r w:rsidRPr="001C2208">
        <w:t>17</w:t>
      </w:r>
      <w:r w:rsidRPr="00BF2C1F">
        <w:t xml:space="preserve"> jener Verordnung gestrichen werden sollten;</w:t>
      </w:r>
    </w:p>
    <w:p w:rsidR="00765984" w:rsidRPr="00BF2C1F" w:rsidRDefault="00765984" w:rsidP="00765984">
      <w:pPr>
        <w:pStyle w:val="NormalHanging12a"/>
      </w:pPr>
      <w:r w:rsidRPr="00BF2C1F">
        <w:t>Q.</w:t>
      </w:r>
      <w:r w:rsidRPr="00BF2C1F">
        <w:tab/>
        <w:t xml:space="preserve">in der Erwägung, dass die Kommission in ihrem Entwurf einer Verordnung jedoch vorschlägt, die auf Einfuhrtoleranzen beruhenden MRL-Werte für </w:t>
      </w:r>
      <w:proofErr w:type="spellStart"/>
      <w:r w:rsidRPr="00BF2C1F">
        <w:t>Thiophanat</w:t>
      </w:r>
      <w:proofErr w:type="spellEnd"/>
      <w:r w:rsidRPr="00BF2C1F">
        <w:t xml:space="preserve">-methyl oberhalb der Bestimmungsgrenze für die Verwendung in Limetten und </w:t>
      </w:r>
      <w:proofErr w:type="spellStart"/>
      <w:r w:rsidRPr="00BF2C1F">
        <w:t>Okraschoten</w:t>
      </w:r>
      <w:proofErr w:type="spellEnd"/>
      <w:r w:rsidRPr="00BF2C1F">
        <w:t xml:space="preserve"> für Einfuhrzwecke auf der Grundlage der mit Gründen versehenen Stellungnahme der EFSA vom </w:t>
      </w:r>
      <w:r w:rsidRPr="001C2208">
        <w:t>5</w:t>
      </w:r>
      <w:r w:rsidRPr="00BF2C1F">
        <w:t xml:space="preserve">. Juli </w:t>
      </w:r>
      <w:r w:rsidRPr="001C2208">
        <w:t>2021</w:t>
      </w:r>
      <w:r w:rsidRPr="00BF2C1F">
        <w:t xml:space="preserve"> beizubehalten; in der Erwägung, dass der MRL-Wert für </w:t>
      </w:r>
      <w:proofErr w:type="spellStart"/>
      <w:r w:rsidRPr="00BF2C1F">
        <w:t>Thiophanat</w:t>
      </w:r>
      <w:proofErr w:type="spellEnd"/>
      <w:r w:rsidRPr="00BF2C1F">
        <w:t xml:space="preserve">-methyl bei Limetten auf </w:t>
      </w:r>
      <w:r w:rsidRPr="001C2208">
        <w:t>6</w:t>
      </w:r>
      <w:r w:rsidRPr="00BF2C1F">
        <w:t xml:space="preserve"> mg/kg festgelegt ist, d. h. auf das </w:t>
      </w:r>
      <w:r w:rsidRPr="001C2208">
        <w:t>600</w:t>
      </w:r>
      <w:r w:rsidRPr="00BF2C1F">
        <w:t>-fache der Bestimmungsgrenze;</w:t>
      </w:r>
    </w:p>
    <w:p w:rsidR="00765984" w:rsidRPr="00BF2C1F" w:rsidRDefault="00765984" w:rsidP="00765984">
      <w:pPr>
        <w:pStyle w:val="NormalHanging12a"/>
      </w:pPr>
      <w:r w:rsidRPr="00BF2C1F">
        <w:t>R.</w:t>
      </w:r>
      <w:r w:rsidRPr="00BF2C1F">
        <w:tab/>
        <w:t>in der Erwägung, dass gemäß Erwägungsgrund </w:t>
      </w:r>
      <w:r w:rsidRPr="001C2208">
        <w:t>5</w:t>
      </w:r>
      <w:r w:rsidRPr="00BF2C1F">
        <w:t xml:space="preserve"> der Verordnung (EG) Nr. </w:t>
      </w:r>
      <w:r w:rsidRPr="001C2208">
        <w:t>396</w:t>
      </w:r>
      <w:r w:rsidRPr="00BF2C1F">
        <w:t>/</w:t>
      </w:r>
      <w:r w:rsidRPr="001C2208">
        <w:t>2005</w:t>
      </w:r>
      <w:r w:rsidRPr="00BF2C1F">
        <w:t xml:space="preserve"> Rückstände nicht in Mengen vorhanden sein sollten, die ein inakzeptables Gesundheitsrisiko für Menschen und gegebenenfalls Tiere darstellen; </w:t>
      </w:r>
    </w:p>
    <w:p w:rsidR="00765984" w:rsidRPr="00BF2C1F" w:rsidRDefault="00765984" w:rsidP="00765984">
      <w:pPr>
        <w:pStyle w:val="NormalHanging12a"/>
      </w:pPr>
      <w:r w:rsidRPr="00BF2C1F">
        <w:t>S.</w:t>
      </w:r>
      <w:r w:rsidRPr="00BF2C1F">
        <w:tab/>
        <w:t>in der Erwägung, dass gemäß Artikel </w:t>
      </w:r>
      <w:r w:rsidRPr="001C2208">
        <w:t>4</w:t>
      </w:r>
      <w:r w:rsidRPr="00BF2C1F">
        <w:t xml:space="preserve"> Absatz </w:t>
      </w:r>
      <w:r w:rsidRPr="001C2208">
        <w:t>2</w:t>
      </w:r>
      <w:r w:rsidRPr="00BF2C1F">
        <w:t xml:space="preserve"> Unterabsatz </w:t>
      </w:r>
      <w:r w:rsidRPr="001C2208">
        <w:t>1</w:t>
      </w:r>
      <w:r w:rsidRPr="00BF2C1F">
        <w:t xml:space="preserve"> Buchstabe a der Verordnung (EG) Nr. </w:t>
      </w:r>
      <w:r w:rsidRPr="001C2208">
        <w:t>1107</w:t>
      </w:r>
      <w:r w:rsidRPr="00BF2C1F">
        <w:t>/</w:t>
      </w:r>
      <w:r w:rsidRPr="001C2208">
        <w:t>2009</w:t>
      </w:r>
      <w:r w:rsidRPr="00BF2C1F">
        <w:t xml:space="preserve"> Rückstände von Pflanzenschutzmitteln unter Berücksichtigung von Kumulations- und Synergieeffekten keine schädlichen Auswirkungen auf die Gesundheit von Menschen, einschließlich besonders gefährdeter Personengruppen, oder von Tieren haben dürfen; in der Erwägung, dass gemäß Anhang II Nummer </w:t>
      </w:r>
      <w:r w:rsidRPr="001C2208">
        <w:t>3</w:t>
      </w:r>
      <w:r w:rsidRPr="00BF2C1F">
        <w:t>.</w:t>
      </w:r>
      <w:r w:rsidRPr="001C2208">
        <w:t>6</w:t>
      </w:r>
      <w:r w:rsidRPr="00BF2C1F">
        <w:t>.</w:t>
      </w:r>
      <w:r w:rsidRPr="001C2208">
        <w:t>2</w:t>
      </w:r>
      <w:r w:rsidRPr="00BF2C1F">
        <w:t xml:space="preserve"> der genannten Verordnung ein Wirkstoff, der gemäß der Verordnung (EG) Nr. </w:t>
      </w:r>
      <w:r w:rsidRPr="001C2208">
        <w:t>1272</w:t>
      </w:r>
      <w:r w:rsidRPr="00BF2C1F">
        <w:t>/</w:t>
      </w:r>
      <w:r w:rsidRPr="001C2208">
        <w:t>2008</w:t>
      </w:r>
      <w:r w:rsidRPr="00BF2C1F">
        <w:t xml:space="preserve"> als </w:t>
      </w:r>
      <w:proofErr w:type="spellStart"/>
      <w:r w:rsidRPr="00BF2C1F">
        <w:t>mutagener</w:t>
      </w:r>
      <w:proofErr w:type="spellEnd"/>
      <w:r w:rsidRPr="00BF2C1F">
        <w:t xml:space="preserve"> Stoff der Kategorie </w:t>
      </w:r>
      <w:r w:rsidRPr="001C2208">
        <w:t>1</w:t>
      </w:r>
      <w:r w:rsidRPr="00BF2C1F">
        <w:t xml:space="preserve">A oder </w:t>
      </w:r>
      <w:r w:rsidRPr="001C2208">
        <w:t>1</w:t>
      </w:r>
      <w:r w:rsidRPr="00BF2C1F">
        <w:t>B eingestuft ist, nicht genehmigt werden darf; in der Erwägung, dass unter Nummer </w:t>
      </w:r>
      <w:r w:rsidRPr="001C2208">
        <w:t>3</w:t>
      </w:r>
      <w:r w:rsidRPr="00BF2C1F">
        <w:t>.</w:t>
      </w:r>
      <w:r w:rsidRPr="001C2208">
        <w:t>6</w:t>
      </w:r>
      <w:r w:rsidRPr="00BF2C1F">
        <w:t>.</w:t>
      </w:r>
      <w:r w:rsidRPr="001C2208">
        <w:t>4</w:t>
      </w:r>
      <w:r w:rsidRPr="00BF2C1F">
        <w:t xml:space="preserve"> des genannten Anhangs vorgesehen ist, dass ein Wirkstoff, der gemäß der Verordnung (EG) Nr. </w:t>
      </w:r>
      <w:r w:rsidRPr="001C2208">
        <w:t>1272</w:t>
      </w:r>
      <w:r w:rsidRPr="00BF2C1F">
        <w:t>/</w:t>
      </w:r>
      <w:r w:rsidRPr="001C2208">
        <w:t>2008</w:t>
      </w:r>
      <w:r w:rsidRPr="00BF2C1F">
        <w:t xml:space="preserve"> als reproduktionstoxischer Stoff der Kategorie </w:t>
      </w:r>
      <w:r w:rsidRPr="001C2208">
        <w:t>1</w:t>
      </w:r>
      <w:r w:rsidRPr="00BF2C1F">
        <w:t xml:space="preserve">A oder </w:t>
      </w:r>
      <w:r w:rsidRPr="001C2208">
        <w:t>1</w:t>
      </w:r>
      <w:r w:rsidRPr="00BF2C1F">
        <w:t>B eingestuft wird, nur genehmigt werden darf, wenn die „Rückstände des betreffenden Wirkstoffs [...] in Nahrungs- und Futtermitteln den gemäß Artikel </w:t>
      </w:r>
      <w:r w:rsidRPr="001C2208">
        <w:t>18</w:t>
      </w:r>
      <w:r w:rsidRPr="00BF2C1F">
        <w:t xml:space="preserve"> Absatz </w:t>
      </w:r>
      <w:r w:rsidRPr="001C2208">
        <w:t>1</w:t>
      </w:r>
      <w:r w:rsidRPr="00BF2C1F">
        <w:t xml:space="preserve"> Buchstabe b der Verordnung (EG) Nr. </w:t>
      </w:r>
      <w:r w:rsidRPr="001C2208">
        <w:t>396</w:t>
      </w:r>
      <w:r w:rsidRPr="00BF2C1F">
        <w:t>/</w:t>
      </w:r>
      <w:r w:rsidRPr="001C2208">
        <w:t>2005</w:t>
      </w:r>
      <w:r w:rsidRPr="00BF2C1F">
        <w:t xml:space="preserve"> festgelegten Standardwert nicht übersteigen“; in der Erwägung, dass unter Nummer </w:t>
      </w:r>
      <w:r w:rsidRPr="001C2208">
        <w:t>3</w:t>
      </w:r>
      <w:r w:rsidRPr="00BF2C1F">
        <w:t>.</w:t>
      </w:r>
      <w:r w:rsidRPr="001C2208">
        <w:t>6</w:t>
      </w:r>
      <w:r w:rsidRPr="00BF2C1F">
        <w:t>.</w:t>
      </w:r>
      <w:r w:rsidRPr="001C2208">
        <w:t>5</w:t>
      </w:r>
      <w:r w:rsidRPr="00BF2C1F">
        <w:t xml:space="preserve"> des genannten Anhangs vorgesehen ist, dass ein Wirkstoff, der </w:t>
      </w:r>
      <w:proofErr w:type="spellStart"/>
      <w:r w:rsidRPr="00BF2C1F">
        <w:t>endokrinschädliche</w:t>
      </w:r>
      <w:proofErr w:type="spellEnd"/>
      <w:r w:rsidRPr="00BF2C1F">
        <w:t xml:space="preserve"> Eigenschaften besitzt, nur genehmigt werden darf, wenn die „Rückstände des betreffenden Wirkstoffs [...] in Nahrungs- und Futtermitteln den gemäß Artikel </w:t>
      </w:r>
      <w:r w:rsidRPr="001C2208">
        <w:t>18</w:t>
      </w:r>
      <w:r w:rsidRPr="00BF2C1F">
        <w:t xml:space="preserve"> Absatz </w:t>
      </w:r>
      <w:r w:rsidRPr="001C2208">
        <w:t>1</w:t>
      </w:r>
      <w:r w:rsidRPr="00BF2C1F">
        <w:t xml:space="preserve"> Buchstabe b der Verordnung (EG) Nr. </w:t>
      </w:r>
      <w:r w:rsidRPr="001C2208">
        <w:t>396</w:t>
      </w:r>
      <w:r w:rsidRPr="00BF2C1F">
        <w:t>/</w:t>
      </w:r>
      <w:r w:rsidRPr="001C2208">
        <w:t>2005</w:t>
      </w:r>
      <w:r w:rsidRPr="00BF2C1F">
        <w:t xml:space="preserve"> festgelegten Standardwert nicht übersteigen“; in der Erwägung, dass in Artikel </w:t>
      </w:r>
      <w:r w:rsidRPr="001C2208">
        <w:t>18</w:t>
      </w:r>
      <w:r w:rsidRPr="00BF2C1F">
        <w:t xml:space="preserve"> Absatz </w:t>
      </w:r>
      <w:r w:rsidRPr="001C2208">
        <w:t>1</w:t>
      </w:r>
      <w:r w:rsidRPr="00BF2C1F">
        <w:t xml:space="preserve"> Buchstabe b der Verordnung (EG) Nr. </w:t>
      </w:r>
      <w:r w:rsidRPr="001C2208">
        <w:t>396</w:t>
      </w:r>
      <w:r w:rsidRPr="00BF2C1F">
        <w:t>/</w:t>
      </w:r>
      <w:r w:rsidRPr="001C2208">
        <w:t>2005</w:t>
      </w:r>
      <w:r w:rsidRPr="00BF2C1F">
        <w:t xml:space="preserve"> ein Standardwert von </w:t>
      </w:r>
      <w:r w:rsidRPr="001C2208">
        <w:t>0</w:t>
      </w:r>
      <w:r w:rsidRPr="00BF2C1F">
        <w:t>,</w:t>
      </w:r>
      <w:r w:rsidRPr="001C2208">
        <w:t>01</w:t>
      </w:r>
      <w:r w:rsidRPr="00BF2C1F">
        <w:t> mg/kg festgelegt ist;</w:t>
      </w:r>
    </w:p>
    <w:p w:rsidR="00765984" w:rsidRPr="00BF2C1F" w:rsidRDefault="00765984" w:rsidP="00765984">
      <w:pPr>
        <w:pStyle w:val="NormalHanging12a"/>
      </w:pPr>
      <w:r w:rsidRPr="00BF2C1F">
        <w:t>T.</w:t>
      </w:r>
      <w:r w:rsidRPr="00BF2C1F">
        <w:tab/>
        <w:t>in der Erwägung, dass in Artikel </w:t>
      </w:r>
      <w:r w:rsidRPr="001C2208">
        <w:t>3</w:t>
      </w:r>
      <w:r w:rsidRPr="00BF2C1F">
        <w:t xml:space="preserve"> Absatz </w:t>
      </w:r>
      <w:r w:rsidRPr="001C2208">
        <w:t>2</w:t>
      </w:r>
      <w:r w:rsidRPr="00BF2C1F">
        <w:t xml:space="preserve"> Buchstabe g der Verordnung (EG) Nr. </w:t>
      </w:r>
      <w:r w:rsidRPr="001C2208">
        <w:t>396</w:t>
      </w:r>
      <w:r w:rsidRPr="00BF2C1F">
        <w:t>/</w:t>
      </w:r>
      <w:r w:rsidRPr="001C2208">
        <w:t>2005</w:t>
      </w:r>
      <w:r w:rsidRPr="00BF2C1F">
        <w:t xml:space="preserve"> festgelegt ist, dass „Einfuhrtoleranz“ einen für eingeführte Erzeugnisse festgelegten MRL-Wert bezeichnet, wenn „die Verwendung dieses Wirkstoffs in einem Pflanzenschutzmittel an einem bestimmten Erzeugnis in der Gemeinschaft aus anderen Gründen als dem Schutz der öffentlichen Gesundheit für das spezifische Erzeugnis und die spezifische Verwendung nicht zugelassen ist“; in der Erwägung, dass </w:t>
      </w:r>
      <w:proofErr w:type="spellStart"/>
      <w:r w:rsidRPr="00BF2C1F">
        <w:t>Carbendazim</w:t>
      </w:r>
      <w:proofErr w:type="spellEnd"/>
      <w:r w:rsidRPr="00BF2C1F">
        <w:t xml:space="preserve"> diese Kriterien nicht erfüllt, da es aufgrund seiner Einstufung als </w:t>
      </w:r>
      <w:proofErr w:type="spellStart"/>
      <w:r w:rsidRPr="00BF2C1F">
        <w:t>mutagener</w:t>
      </w:r>
      <w:proofErr w:type="spellEnd"/>
      <w:r w:rsidRPr="00BF2C1F">
        <w:t xml:space="preserve"> Stoff der Kategorie </w:t>
      </w:r>
      <w:r w:rsidRPr="001C2208">
        <w:t>1</w:t>
      </w:r>
      <w:r w:rsidRPr="00BF2C1F">
        <w:t>B und als reproduktionstoxischer Stoff der Kategorie </w:t>
      </w:r>
      <w:r w:rsidRPr="001C2208">
        <w:t>1</w:t>
      </w:r>
      <w:r w:rsidRPr="00BF2C1F">
        <w:t xml:space="preserve">B in der Union nicht mehr zugelassen werden darf; in der Erwägung, dass </w:t>
      </w:r>
      <w:proofErr w:type="spellStart"/>
      <w:r w:rsidRPr="00BF2C1F">
        <w:t>Thiophanat</w:t>
      </w:r>
      <w:proofErr w:type="spellEnd"/>
      <w:r w:rsidRPr="00BF2C1F">
        <w:t xml:space="preserve">-methyl diese Kriterien </w:t>
      </w:r>
      <w:r w:rsidRPr="00BF2C1F">
        <w:lastRenderedPageBreak/>
        <w:t xml:space="preserve">ebenfalls nicht erfüllt, da es als endokriner </w:t>
      </w:r>
      <w:proofErr w:type="spellStart"/>
      <w:r w:rsidRPr="00BF2C1F">
        <w:t>Disruptor</w:t>
      </w:r>
      <w:proofErr w:type="spellEnd"/>
      <w:r w:rsidRPr="00BF2C1F">
        <w:t xml:space="preserve"> (T-Modalität) ermittelt wurde, der gemäß den in der Verordnung (EU) </w:t>
      </w:r>
      <w:r w:rsidRPr="001C2208">
        <w:t>2018</w:t>
      </w:r>
      <w:r w:rsidRPr="00BF2C1F">
        <w:t>/</w:t>
      </w:r>
      <w:r w:rsidRPr="001C2208">
        <w:t>605</w:t>
      </w:r>
      <w:r w:rsidRPr="00BF2C1F">
        <w:t xml:space="preserve"> der Kommission festgelegten wissenschaftlichen Kriterien für die Bestimmung </w:t>
      </w:r>
      <w:proofErr w:type="spellStart"/>
      <w:r w:rsidRPr="00BF2C1F">
        <w:t>endokrinschädlicher</w:t>
      </w:r>
      <w:proofErr w:type="spellEnd"/>
      <w:r w:rsidRPr="00BF2C1F">
        <w:t xml:space="preserve"> Eigenschaften für den Menschen von Bedeutung ist;</w:t>
      </w:r>
    </w:p>
    <w:p w:rsidR="00765984" w:rsidRPr="00BF2C1F" w:rsidRDefault="00765984" w:rsidP="00765984">
      <w:pPr>
        <w:pStyle w:val="NormalHanging12a"/>
      </w:pPr>
      <w:r w:rsidRPr="00BF2C1F">
        <w:t>U.</w:t>
      </w:r>
      <w:r w:rsidRPr="00BF2C1F">
        <w:tab/>
        <w:t>in der Erwägung, dass im Rahmen des Lebensmittelrechts gemäß Artikel </w:t>
      </w:r>
      <w:r w:rsidRPr="001C2208">
        <w:t>5</w:t>
      </w:r>
      <w:r w:rsidRPr="00BF2C1F">
        <w:t xml:space="preserve"> Absatz </w:t>
      </w:r>
      <w:r w:rsidRPr="001C2208">
        <w:t>1</w:t>
      </w:r>
      <w:r w:rsidRPr="00BF2C1F">
        <w:t xml:space="preserve"> der Verordnung (EG) Nr. </w:t>
      </w:r>
      <w:r w:rsidRPr="001C2208">
        <w:t>178</w:t>
      </w:r>
      <w:r w:rsidRPr="00BF2C1F">
        <w:t>/</w:t>
      </w:r>
      <w:r w:rsidRPr="001C2208">
        <w:t>2002</w:t>
      </w:r>
      <w:r w:rsidRPr="00BF2C1F">
        <w:t xml:space="preserve"> eines oder mehrere der allgemeinen Ziele eines hohen Maßes an Schutz für das Leben und die Gesundheit der Menschen sowie des Schutzes der Verbraucherinteressen, einschließlich lauterer Handelsgepflogenheiten im Lebensmittelhandel, gegebenenfalls unter Berücksichtigung des Schutzes der Tiergesundheit, des Tierschutzes, des Pflanzenschutzes und der Umwelt verfolgt werden;</w:t>
      </w:r>
    </w:p>
    <w:p w:rsidR="00765984" w:rsidRPr="00BF2C1F" w:rsidRDefault="00765984" w:rsidP="00765984">
      <w:pPr>
        <w:pStyle w:val="NormalHanging12a"/>
      </w:pPr>
      <w:r w:rsidRPr="00BF2C1F">
        <w:t>V.</w:t>
      </w:r>
      <w:r w:rsidRPr="00BF2C1F">
        <w:tab/>
        <w:t xml:space="preserve">in der Erwägung, dass die Kommission in ihrer Mitteilung vom </w:t>
      </w:r>
      <w:r w:rsidRPr="001C2208">
        <w:t>20</w:t>
      </w:r>
      <w:r w:rsidRPr="00BF2C1F">
        <w:t xml:space="preserve">. Mai </w:t>
      </w:r>
      <w:r w:rsidRPr="001C2208">
        <w:t>2020</w:t>
      </w:r>
      <w:r w:rsidRPr="00BF2C1F">
        <w:t xml:space="preserve"> mit dem Titel „Vom Hof auf den Tisch – eine Strategie für ein faires, gesundes und umweltfreundliches Lebensmittelsystem“</w:t>
      </w:r>
      <w:r w:rsidRPr="00BF2C1F">
        <w:rPr>
          <w:vertAlign w:val="superscript"/>
        </w:rPr>
        <w:footnoteReference w:id="15"/>
      </w:r>
      <w:r w:rsidRPr="00BF2C1F">
        <w:t xml:space="preserve"> ankündigte, dass die EU „den weltweiten Übergang zu nachhaltigen Agrar- und Lebensmittelsystemen im Einklang mit den Zielen dieser Strategie und den Zielen für nachhaltige Entwicklung unterstützen [wird]“, und dass „die EU [mit dieser Strategie] beim Setzen globaler Maßstäbe eine Schlüsselrolle spielen [kann]“; in der Erwägung, dass die Kommission in der Strategie ausdrücklich erklärt hat, dass es auch eine „Voraussetzung für ein nachhaltigeres EU-Lebensmittelsystem ist [...], dass unsere Handelspartner zunehmend nachhaltigere Verfahren anwenden“, und dass die EU, um „einen schrittweisen Übergang zum Einsatz sichererer Pflanzenschutzmittel zu fördern, [...] erwägen [wird], die Einfuhrtoleranzen für Stoffe, auf die die Ausschlusskriterien zutreffen und die ein hohes Risiko für die menschliche Gesundheit bergen, unter Einhaltung der WTO-Regeln auf der Grundlage einer Risikobewertung zu überarbeiten“;</w:t>
      </w:r>
    </w:p>
    <w:p w:rsidR="00765984" w:rsidRPr="00BF2C1F" w:rsidRDefault="00765984" w:rsidP="00765984">
      <w:pPr>
        <w:pStyle w:val="NormalHanging12a"/>
      </w:pPr>
      <w:r w:rsidRPr="00BF2C1F">
        <w:t>W.</w:t>
      </w:r>
      <w:r w:rsidRPr="00BF2C1F">
        <w:tab/>
        <w:t>in der Erwägung, dass die Kommission die Umwelt und die europäischen Bürgerinnen und Bürger auf der Grundlage der verfügbaren wissenschaftlichen Informationen schützen und dabei die Verpflichtungen und rechtlichen Möglichkeiten nutzen muss, die in den Verordnungen (EG) Nr. </w:t>
      </w:r>
      <w:r w:rsidRPr="001C2208">
        <w:t>396</w:t>
      </w:r>
      <w:r w:rsidRPr="00BF2C1F">
        <w:t>/</w:t>
      </w:r>
      <w:r w:rsidRPr="001C2208">
        <w:t>2005</w:t>
      </w:r>
      <w:r w:rsidRPr="00BF2C1F">
        <w:t xml:space="preserve"> und (EG) Nr. </w:t>
      </w:r>
      <w:r w:rsidRPr="001C2208">
        <w:t>178</w:t>
      </w:r>
      <w:r w:rsidRPr="00BF2C1F">
        <w:t>/</w:t>
      </w:r>
      <w:r w:rsidRPr="001C2208">
        <w:t>2002</w:t>
      </w:r>
      <w:r w:rsidRPr="00BF2C1F">
        <w:t xml:space="preserve"> vorgesehen sind, um ein hohes Schutzniveau für die Gesundheit von Mensch und Tier sowie für die Umwelt sicherzustellen;</w:t>
      </w:r>
    </w:p>
    <w:p w:rsidR="00765984" w:rsidRPr="00BF2C1F" w:rsidRDefault="00765984" w:rsidP="00765984">
      <w:pPr>
        <w:pStyle w:val="NormalHanging12a"/>
      </w:pPr>
      <w:r w:rsidRPr="00BF2C1F">
        <w:t>X.</w:t>
      </w:r>
      <w:r w:rsidRPr="00BF2C1F">
        <w:tab/>
        <w:t>in der Erwägung, dass die Gesundheit der Bürgerinnen und Bürger in der EU durch die vorgeschlagenen MRL-Werte nicht geschützt wird und sie daher gegen die Verordnungen (EG) Nr. </w:t>
      </w:r>
      <w:r w:rsidRPr="001C2208">
        <w:t>396</w:t>
      </w:r>
      <w:r w:rsidRPr="00BF2C1F">
        <w:t>/</w:t>
      </w:r>
      <w:r w:rsidRPr="001C2208">
        <w:t>2005</w:t>
      </w:r>
      <w:r w:rsidRPr="00BF2C1F">
        <w:t xml:space="preserve"> und (EG) Nr. </w:t>
      </w:r>
      <w:r w:rsidRPr="001C2208">
        <w:t>178</w:t>
      </w:r>
      <w:r w:rsidRPr="00BF2C1F">
        <w:t>/</w:t>
      </w:r>
      <w:r w:rsidRPr="001C2208">
        <w:t>2002</w:t>
      </w:r>
      <w:r w:rsidRPr="00BF2C1F">
        <w:t xml:space="preserve"> verstoßen;</w:t>
      </w:r>
    </w:p>
    <w:p w:rsidR="00765984" w:rsidRPr="00BF2C1F" w:rsidRDefault="00765984" w:rsidP="00765984">
      <w:pPr>
        <w:pStyle w:val="NormalHanging12a"/>
      </w:pPr>
      <w:r w:rsidRPr="00BF2C1F">
        <w:t xml:space="preserve">Y. </w:t>
      </w:r>
      <w:r w:rsidRPr="00BF2C1F">
        <w:tab/>
        <w:t xml:space="preserve">in der Erwägung, dass keine MRL-Werte für Wirkstoffe festgelegt werden sollten, die aus gesundheitlichen Gründen in der EU nicht zugelassen sind; in der Erwägung, dass daher weder Einfuhrtoleranzen für </w:t>
      </w:r>
      <w:proofErr w:type="spellStart"/>
      <w:r w:rsidRPr="00BF2C1F">
        <w:t>Thiophanat</w:t>
      </w:r>
      <w:proofErr w:type="spellEnd"/>
      <w:r w:rsidRPr="00BF2C1F">
        <w:t xml:space="preserve">-methyl festgelegt werden sollten, da es als endokriner </w:t>
      </w:r>
      <w:proofErr w:type="spellStart"/>
      <w:r w:rsidRPr="00BF2C1F">
        <w:t>Disruptor</w:t>
      </w:r>
      <w:proofErr w:type="spellEnd"/>
      <w:r w:rsidRPr="00BF2C1F">
        <w:t xml:space="preserve"> ermittelt wurde, noch für </w:t>
      </w:r>
      <w:proofErr w:type="spellStart"/>
      <w:r w:rsidRPr="00BF2C1F">
        <w:t>Carbendazim</w:t>
      </w:r>
      <w:proofErr w:type="spellEnd"/>
      <w:r w:rsidRPr="00BF2C1F">
        <w:t xml:space="preserve">, da es als </w:t>
      </w:r>
      <w:proofErr w:type="spellStart"/>
      <w:r w:rsidRPr="00BF2C1F">
        <w:t>mutagener</w:t>
      </w:r>
      <w:proofErr w:type="spellEnd"/>
      <w:r w:rsidRPr="00BF2C1F">
        <w:t xml:space="preserve"> Stoff der Kategorie </w:t>
      </w:r>
      <w:r w:rsidRPr="001C2208">
        <w:t>1</w:t>
      </w:r>
      <w:r w:rsidRPr="00BF2C1F">
        <w:t>B und als reproduktionstoxischer Stoff der Kategorie </w:t>
      </w:r>
      <w:r w:rsidRPr="001C2208">
        <w:t>1</w:t>
      </w:r>
      <w:r w:rsidRPr="00BF2C1F">
        <w:t>B eingestuft wurde;</w:t>
      </w:r>
    </w:p>
    <w:p w:rsidR="00765984" w:rsidRPr="00BF2C1F" w:rsidRDefault="00765984" w:rsidP="00765984">
      <w:pPr>
        <w:pStyle w:val="NormalHanging12a"/>
      </w:pPr>
      <w:r w:rsidRPr="00BF2C1F">
        <w:t>Z.</w:t>
      </w:r>
      <w:r w:rsidRPr="00BF2C1F">
        <w:tab/>
        <w:t xml:space="preserve">in der Erwägung, dass durch die Praxis der Festlegung hoher MRL-Werte dazu beigetragen wird, dass bei Landwirten in der Union und Landwirten in Drittländern mit zweierlei Maß gemessen wird, da Landwirte aus Drittländern die betreffenden </w:t>
      </w:r>
      <w:r w:rsidRPr="00BF2C1F">
        <w:lastRenderedPageBreak/>
        <w:t xml:space="preserve">Lebensmittel weiterhin unter Verwendung von </w:t>
      </w:r>
      <w:proofErr w:type="spellStart"/>
      <w:r w:rsidRPr="00BF2C1F">
        <w:t>Carbendazim</w:t>
      </w:r>
      <w:proofErr w:type="spellEnd"/>
      <w:r w:rsidRPr="00BF2C1F">
        <w:t xml:space="preserve"> und </w:t>
      </w:r>
      <w:proofErr w:type="spellStart"/>
      <w:r w:rsidRPr="00BF2C1F">
        <w:t>Thiophanat</w:t>
      </w:r>
      <w:proofErr w:type="spellEnd"/>
      <w:r w:rsidRPr="00BF2C1F">
        <w:t>-methyl erzeugen und in die Union ausführen können, wodurch ein Wettbewerbsnachteil für die Landwirte in der Union entsteht; in der Erwägung, dass der Einsatz dieser Pestizide andererseits die Gesundheit der Arbeitskräfte in der Landwirtschaft, die Gesundheit der Bevölkerung im Allgemeinen und die Umwelt in den Erzeugerländern gefährdet;</w:t>
      </w:r>
    </w:p>
    <w:p w:rsidR="00765984" w:rsidRPr="00BF2C1F" w:rsidRDefault="00765984" w:rsidP="00765984">
      <w:pPr>
        <w:pStyle w:val="NormalHanging12a"/>
      </w:pPr>
      <w:r w:rsidRPr="001C2208">
        <w:t>1</w:t>
      </w:r>
      <w:r w:rsidRPr="00BF2C1F">
        <w:t>.</w:t>
      </w:r>
      <w:r w:rsidRPr="00BF2C1F">
        <w:tab/>
        <w:t>lehnt die Annahme des Entwurfs einer Verordnung der Kommission ab;</w:t>
      </w:r>
    </w:p>
    <w:p w:rsidR="00765984" w:rsidRPr="00BF2C1F" w:rsidRDefault="00765984" w:rsidP="00765984">
      <w:pPr>
        <w:pStyle w:val="NormalHanging12a"/>
      </w:pPr>
      <w:r w:rsidRPr="001C2208">
        <w:t>2</w:t>
      </w:r>
      <w:r w:rsidRPr="00BF2C1F">
        <w:t>.</w:t>
      </w:r>
      <w:r w:rsidRPr="00BF2C1F">
        <w:tab/>
        <w:t>vertritt die Auffassung, dass der Entwurf der Verordnung der Kommission nicht mit dem Ziel und dem Inhalt der Verordnungen (EG) Nr. </w:t>
      </w:r>
      <w:r w:rsidRPr="001C2208">
        <w:t>396</w:t>
      </w:r>
      <w:r w:rsidRPr="00BF2C1F">
        <w:t>/</w:t>
      </w:r>
      <w:r w:rsidRPr="001C2208">
        <w:t>2005</w:t>
      </w:r>
      <w:r w:rsidRPr="00BF2C1F">
        <w:t xml:space="preserve"> und (EG) Nr. </w:t>
      </w:r>
      <w:r w:rsidRPr="001C2208">
        <w:t>178</w:t>
      </w:r>
      <w:r w:rsidRPr="00BF2C1F">
        <w:t>/</w:t>
      </w:r>
      <w:r w:rsidRPr="001C2208">
        <w:t>2002</w:t>
      </w:r>
      <w:r w:rsidRPr="00BF2C1F">
        <w:t xml:space="preserve"> sowie der Verordnung (EG) Nr. </w:t>
      </w:r>
      <w:r w:rsidRPr="001C2208">
        <w:t>1107</w:t>
      </w:r>
      <w:r w:rsidRPr="00BF2C1F">
        <w:t>/</w:t>
      </w:r>
      <w:r w:rsidRPr="001C2208">
        <w:t>2009</w:t>
      </w:r>
      <w:r w:rsidRPr="00BF2C1F">
        <w:t>, einschließlich ihres Anhangs II Nummern </w:t>
      </w:r>
      <w:r w:rsidRPr="001C2208">
        <w:t>3</w:t>
      </w:r>
      <w:r w:rsidRPr="00BF2C1F">
        <w:t>.</w:t>
      </w:r>
      <w:r w:rsidRPr="001C2208">
        <w:t>6</w:t>
      </w:r>
      <w:r w:rsidRPr="00BF2C1F">
        <w:t>.</w:t>
      </w:r>
      <w:r w:rsidRPr="001C2208">
        <w:t>2</w:t>
      </w:r>
      <w:r w:rsidRPr="00BF2C1F">
        <w:t xml:space="preserve">, </w:t>
      </w:r>
      <w:r w:rsidRPr="001C2208">
        <w:t>3</w:t>
      </w:r>
      <w:r w:rsidRPr="00BF2C1F">
        <w:t>.</w:t>
      </w:r>
      <w:r w:rsidRPr="001C2208">
        <w:t>6</w:t>
      </w:r>
      <w:r w:rsidRPr="00BF2C1F">
        <w:t>.</w:t>
      </w:r>
      <w:r w:rsidRPr="001C2208">
        <w:t>4</w:t>
      </w:r>
      <w:r w:rsidRPr="00BF2C1F">
        <w:t xml:space="preserve"> und </w:t>
      </w:r>
      <w:r w:rsidRPr="001C2208">
        <w:t>3</w:t>
      </w:r>
      <w:r w:rsidRPr="00BF2C1F">
        <w:t>.</w:t>
      </w:r>
      <w:r w:rsidRPr="001C2208">
        <w:t>6</w:t>
      </w:r>
      <w:r w:rsidRPr="00BF2C1F">
        <w:t>.</w:t>
      </w:r>
      <w:r w:rsidRPr="001C2208">
        <w:t>5</w:t>
      </w:r>
      <w:r w:rsidRPr="00BF2C1F">
        <w:t>, vereinbar ist;</w:t>
      </w:r>
    </w:p>
    <w:p w:rsidR="00765984" w:rsidRPr="00BF2C1F" w:rsidRDefault="00765984" w:rsidP="00765984">
      <w:pPr>
        <w:pStyle w:val="NormalHanging12a"/>
      </w:pPr>
      <w:r w:rsidRPr="001C2208">
        <w:t>3</w:t>
      </w:r>
      <w:r w:rsidRPr="00BF2C1F">
        <w:t>.</w:t>
      </w:r>
      <w:r w:rsidRPr="00BF2C1F">
        <w:tab/>
        <w:t>fordert die Kommission auf, ihren Entwurf einer Verordnung zurückzuziehen und dem Ausschuss einen neuen Entwurf vorzulegen;</w:t>
      </w:r>
    </w:p>
    <w:p w:rsidR="00765984" w:rsidRPr="00BF2C1F" w:rsidRDefault="00765984" w:rsidP="00765984">
      <w:pPr>
        <w:pStyle w:val="NormalHanging12a"/>
      </w:pPr>
      <w:r w:rsidRPr="001C2208">
        <w:t>4</w:t>
      </w:r>
      <w:r w:rsidRPr="00BF2C1F">
        <w:t>.</w:t>
      </w:r>
      <w:r w:rsidRPr="00BF2C1F">
        <w:tab/>
        <w:t xml:space="preserve">fordert die Kommission auf, dem Ausschuss einen neuen Entwurf einer Verordnung vorzulegen, mit dem alle MRL-Werte für </w:t>
      </w:r>
      <w:proofErr w:type="spellStart"/>
      <w:r w:rsidRPr="00BF2C1F">
        <w:t>Carbendazim</w:t>
      </w:r>
      <w:proofErr w:type="spellEnd"/>
      <w:r w:rsidRPr="00BF2C1F">
        <w:t xml:space="preserve"> und </w:t>
      </w:r>
      <w:proofErr w:type="spellStart"/>
      <w:r w:rsidRPr="00BF2C1F">
        <w:t>Thiophanat</w:t>
      </w:r>
      <w:proofErr w:type="spellEnd"/>
      <w:r w:rsidRPr="00BF2C1F">
        <w:t>-methyl für alle Anwendungen auf die entsprechende Bestimmungsgrenze gesenkt werden, und Anträge auf Einfuhrtoleranzen abzulehnen;</w:t>
      </w:r>
    </w:p>
    <w:p w:rsidR="00765984" w:rsidRPr="00BF2C1F" w:rsidRDefault="00765984" w:rsidP="0078042D">
      <w:pPr>
        <w:ind w:left="567" w:hanging="567"/>
      </w:pPr>
      <w:r w:rsidRPr="001C2208">
        <w:t>5</w:t>
      </w:r>
      <w:r w:rsidRPr="00BF2C1F">
        <w:t>.</w:t>
      </w:r>
      <w:r w:rsidRPr="00BF2C1F">
        <w:tab/>
        <w:t xml:space="preserve">beauftragt seine Präsidentin, diese Entschließung dem Rat und der Kommission sowie den Regierungen und Parlamenten der Mitgliedstaaten </w:t>
      </w:r>
      <w:r w:rsidR="00BF2C1F" w:rsidRPr="00BF2C1F">
        <w:t>zu übermitteln.</w:t>
      </w:r>
      <w:r w:rsidRPr="00BF2C1F">
        <w:t xml:space="preserve"> </w:t>
      </w:r>
    </w:p>
    <w:p w:rsidR="00E365E1" w:rsidRPr="00BF2C1F" w:rsidRDefault="00E365E1" w:rsidP="001C2208">
      <w:bookmarkStart w:id="9" w:name="TextBodyEnd"/>
      <w:bookmarkEnd w:id="9"/>
    </w:p>
    <w:sectPr w:rsidR="00E365E1" w:rsidRPr="00BF2C1F" w:rsidSect="00BF2C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CF4" w:rsidRPr="00BF2C1F" w:rsidRDefault="00CA7CF4">
      <w:r w:rsidRPr="00BF2C1F">
        <w:separator/>
      </w:r>
    </w:p>
  </w:endnote>
  <w:endnote w:type="continuationSeparator" w:id="0">
    <w:p w:rsidR="00CA7CF4" w:rsidRPr="00BF2C1F" w:rsidRDefault="00CA7CF4">
      <w:r w:rsidRPr="00BF2C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C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C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C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CF4" w:rsidRPr="00BF2C1F" w:rsidRDefault="00CA7CF4">
      <w:r w:rsidRPr="00BF2C1F">
        <w:separator/>
      </w:r>
    </w:p>
  </w:footnote>
  <w:footnote w:type="continuationSeparator" w:id="0">
    <w:p w:rsidR="00CA7CF4" w:rsidRPr="00BF2C1F" w:rsidRDefault="00CA7CF4">
      <w:r w:rsidRPr="00BF2C1F">
        <w:continuationSeparator/>
      </w:r>
    </w:p>
  </w:footnote>
  <w:footnote w:id="1">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ABl. L </w:t>
      </w:r>
      <w:r w:rsidRPr="001C2208">
        <w:rPr>
          <w:sz w:val="24"/>
          <w:lang w:val="de-DE"/>
        </w:rPr>
        <w:t>70</w:t>
      </w:r>
      <w:r w:rsidRPr="00BF2C1F">
        <w:rPr>
          <w:sz w:val="24"/>
          <w:lang w:val="de-DE"/>
        </w:rPr>
        <w:t xml:space="preserve"> vom </w:t>
      </w:r>
      <w:r w:rsidRPr="001C2208">
        <w:rPr>
          <w:sz w:val="24"/>
          <w:lang w:val="de-DE"/>
        </w:rPr>
        <w:t>16</w:t>
      </w:r>
      <w:r w:rsidRPr="00BF2C1F">
        <w:rPr>
          <w:sz w:val="24"/>
          <w:lang w:val="de-DE"/>
        </w:rPr>
        <w:t>.</w:t>
      </w:r>
      <w:r w:rsidRPr="001C2208">
        <w:rPr>
          <w:sz w:val="24"/>
          <w:lang w:val="de-DE"/>
        </w:rPr>
        <w:t>3</w:t>
      </w:r>
      <w:r w:rsidRPr="00BF2C1F">
        <w:rPr>
          <w:sz w:val="24"/>
          <w:lang w:val="de-DE"/>
        </w:rPr>
        <w:t>.</w:t>
      </w:r>
      <w:r w:rsidRPr="001C2208">
        <w:rPr>
          <w:sz w:val="24"/>
          <w:lang w:val="de-DE"/>
        </w:rPr>
        <w:t>2005</w:t>
      </w:r>
      <w:r w:rsidRPr="00BF2C1F">
        <w:rPr>
          <w:sz w:val="24"/>
          <w:lang w:val="de-DE"/>
        </w:rPr>
        <w:t>, S. </w:t>
      </w:r>
      <w:r w:rsidRPr="001C2208">
        <w:rPr>
          <w:sz w:val="24"/>
          <w:lang w:val="de-DE"/>
        </w:rPr>
        <w:t>1</w:t>
      </w:r>
      <w:r w:rsidRPr="00BF2C1F">
        <w:rPr>
          <w:sz w:val="24"/>
          <w:lang w:val="de-DE"/>
        </w:rPr>
        <w:t>.</w:t>
      </w:r>
    </w:p>
  </w:footnote>
  <w:footnote w:id="2">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ABl. L </w:t>
      </w:r>
      <w:r w:rsidRPr="001C2208">
        <w:rPr>
          <w:sz w:val="24"/>
          <w:lang w:val="de-DE"/>
        </w:rPr>
        <w:t>309</w:t>
      </w:r>
      <w:r w:rsidRPr="00BF2C1F">
        <w:rPr>
          <w:sz w:val="24"/>
          <w:lang w:val="de-DE"/>
        </w:rPr>
        <w:t xml:space="preserve"> vom </w:t>
      </w:r>
      <w:r w:rsidRPr="001C2208">
        <w:rPr>
          <w:sz w:val="24"/>
          <w:lang w:val="de-DE"/>
        </w:rPr>
        <w:t>24</w:t>
      </w:r>
      <w:r w:rsidRPr="00BF2C1F">
        <w:rPr>
          <w:sz w:val="24"/>
          <w:lang w:val="de-DE"/>
        </w:rPr>
        <w:t>.</w:t>
      </w:r>
      <w:r w:rsidRPr="001C2208">
        <w:rPr>
          <w:sz w:val="24"/>
          <w:lang w:val="de-DE"/>
        </w:rPr>
        <w:t>11</w:t>
      </w:r>
      <w:r w:rsidRPr="00BF2C1F">
        <w:rPr>
          <w:sz w:val="24"/>
          <w:lang w:val="de-DE"/>
        </w:rPr>
        <w:t>.</w:t>
      </w:r>
      <w:r w:rsidRPr="001C2208">
        <w:rPr>
          <w:sz w:val="24"/>
          <w:lang w:val="de-DE"/>
        </w:rPr>
        <w:t>2009</w:t>
      </w:r>
      <w:r w:rsidRPr="00BF2C1F">
        <w:rPr>
          <w:sz w:val="24"/>
          <w:lang w:val="de-DE"/>
        </w:rPr>
        <w:t>, S. </w:t>
      </w:r>
      <w:r w:rsidRPr="001C2208">
        <w:rPr>
          <w:sz w:val="24"/>
          <w:lang w:val="de-DE"/>
        </w:rPr>
        <w:t>1</w:t>
      </w:r>
      <w:r w:rsidRPr="00BF2C1F">
        <w:rPr>
          <w:sz w:val="24"/>
          <w:lang w:val="de-DE"/>
        </w:rPr>
        <w:t>.</w:t>
      </w:r>
    </w:p>
  </w:footnote>
  <w:footnote w:id="3">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ABl. L </w:t>
      </w:r>
      <w:r w:rsidRPr="001C2208">
        <w:rPr>
          <w:sz w:val="24"/>
          <w:lang w:val="de-DE"/>
        </w:rPr>
        <w:t>31</w:t>
      </w:r>
      <w:r w:rsidRPr="00BF2C1F">
        <w:rPr>
          <w:sz w:val="24"/>
          <w:lang w:val="de-DE"/>
        </w:rPr>
        <w:t xml:space="preserve"> vom </w:t>
      </w:r>
      <w:r w:rsidRPr="001C2208">
        <w:rPr>
          <w:sz w:val="24"/>
          <w:lang w:val="de-DE"/>
        </w:rPr>
        <w:t>1</w:t>
      </w:r>
      <w:r w:rsidRPr="00BF2C1F">
        <w:rPr>
          <w:sz w:val="24"/>
          <w:lang w:val="de-DE"/>
        </w:rPr>
        <w:t>.</w:t>
      </w:r>
      <w:r w:rsidRPr="001C2208">
        <w:rPr>
          <w:sz w:val="24"/>
          <w:lang w:val="de-DE"/>
        </w:rPr>
        <w:t>2</w:t>
      </w:r>
      <w:r w:rsidRPr="00BF2C1F">
        <w:rPr>
          <w:sz w:val="24"/>
          <w:lang w:val="de-DE"/>
        </w:rPr>
        <w:t>.</w:t>
      </w:r>
      <w:r w:rsidRPr="001C2208">
        <w:rPr>
          <w:sz w:val="24"/>
          <w:lang w:val="de-DE"/>
        </w:rPr>
        <w:t>2002</w:t>
      </w:r>
      <w:r w:rsidRPr="00BF2C1F">
        <w:rPr>
          <w:sz w:val="24"/>
          <w:lang w:val="de-DE"/>
        </w:rPr>
        <w:t>, S. </w:t>
      </w:r>
      <w:r w:rsidRPr="001C2208">
        <w:rPr>
          <w:sz w:val="24"/>
          <w:lang w:val="de-DE"/>
        </w:rPr>
        <w:t>1</w:t>
      </w:r>
      <w:r w:rsidRPr="00BF2C1F">
        <w:rPr>
          <w:sz w:val="24"/>
          <w:lang w:val="de-DE"/>
        </w:rPr>
        <w:t>.</w:t>
      </w:r>
    </w:p>
  </w:footnote>
  <w:footnote w:id="4">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 xml:space="preserve">EFSA </w:t>
      </w:r>
      <w:proofErr w:type="spellStart"/>
      <w:r w:rsidRPr="00BF2C1F">
        <w:rPr>
          <w:sz w:val="24"/>
          <w:lang w:val="de-DE"/>
        </w:rPr>
        <w:t>reasoned</w:t>
      </w:r>
      <w:proofErr w:type="spellEnd"/>
      <w:r w:rsidRPr="00BF2C1F">
        <w:rPr>
          <w:sz w:val="24"/>
          <w:lang w:val="de-DE"/>
        </w:rPr>
        <w:t xml:space="preserve"> </w:t>
      </w:r>
      <w:proofErr w:type="spellStart"/>
      <w:r w:rsidRPr="00BF2C1F">
        <w:rPr>
          <w:sz w:val="24"/>
          <w:lang w:val="de-DE"/>
        </w:rPr>
        <w:t>opinion</w:t>
      </w:r>
      <w:proofErr w:type="spellEnd"/>
      <w:r w:rsidRPr="00BF2C1F">
        <w:rPr>
          <w:sz w:val="24"/>
          <w:lang w:val="de-DE"/>
        </w:rPr>
        <w:t xml:space="preserve"> on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toxicological</w:t>
      </w:r>
      <w:proofErr w:type="spellEnd"/>
      <w:r w:rsidRPr="00BF2C1F">
        <w:rPr>
          <w:sz w:val="24"/>
          <w:lang w:val="de-DE"/>
        </w:rPr>
        <w:t xml:space="preserve"> </w:t>
      </w:r>
      <w:proofErr w:type="spellStart"/>
      <w:r w:rsidRPr="00BF2C1F">
        <w:rPr>
          <w:sz w:val="24"/>
          <w:lang w:val="de-DE"/>
        </w:rPr>
        <w:t>properties</w:t>
      </w:r>
      <w:proofErr w:type="spellEnd"/>
      <w:r w:rsidRPr="00BF2C1F">
        <w:rPr>
          <w:sz w:val="24"/>
          <w:lang w:val="de-DE"/>
        </w:rPr>
        <w:t xml:space="preserve"> and </w:t>
      </w:r>
      <w:proofErr w:type="spellStart"/>
      <w:r w:rsidRPr="00BF2C1F">
        <w:rPr>
          <w:sz w:val="24"/>
          <w:lang w:val="de-DE"/>
        </w:rPr>
        <w:t>maximum</w:t>
      </w:r>
      <w:proofErr w:type="spellEnd"/>
      <w:r w:rsidRPr="00BF2C1F">
        <w:rPr>
          <w:sz w:val="24"/>
          <w:lang w:val="de-DE"/>
        </w:rPr>
        <w:t xml:space="preserve"> </w:t>
      </w:r>
      <w:proofErr w:type="spellStart"/>
      <w:r w:rsidRPr="00BF2C1F">
        <w:rPr>
          <w:sz w:val="24"/>
          <w:lang w:val="de-DE"/>
        </w:rPr>
        <w:t>residue</w:t>
      </w:r>
      <w:proofErr w:type="spellEnd"/>
      <w:r w:rsidRPr="00BF2C1F">
        <w:rPr>
          <w:sz w:val="24"/>
          <w:lang w:val="de-DE"/>
        </w:rPr>
        <w:t xml:space="preserve"> </w:t>
      </w:r>
      <w:proofErr w:type="spellStart"/>
      <w:r w:rsidRPr="00BF2C1F">
        <w:rPr>
          <w:sz w:val="24"/>
          <w:lang w:val="de-DE"/>
        </w:rPr>
        <w:t>levels</w:t>
      </w:r>
      <w:proofErr w:type="spellEnd"/>
      <w:r w:rsidRPr="00BF2C1F">
        <w:rPr>
          <w:sz w:val="24"/>
          <w:lang w:val="de-DE"/>
        </w:rPr>
        <w:t xml:space="preserve"> (MRLs) </w:t>
      </w:r>
      <w:proofErr w:type="spellStart"/>
      <w:r w:rsidRPr="00BF2C1F">
        <w:rPr>
          <w:sz w:val="24"/>
          <w:lang w:val="de-DE"/>
        </w:rPr>
        <w:t>for</w:t>
      </w:r>
      <w:proofErr w:type="spellEnd"/>
      <w:r w:rsidRPr="00BF2C1F">
        <w:rPr>
          <w:sz w:val="24"/>
          <w:lang w:val="de-DE"/>
        </w:rPr>
        <w:t xml:space="preserve">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benzimidazole</w:t>
      </w:r>
      <w:proofErr w:type="spellEnd"/>
      <w:r w:rsidRPr="00BF2C1F">
        <w:rPr>
          <w:sz w:val="24"/>
          <w:lang w:val="de-DE"/>
        </w:rPr>
        <w:t xml:space="preserve"> </w:t>
      </w:r>
      <w:proofErr w:type="spellStart"/>
      <w:r w:rsidRPr="00BF2C1F">
        <w:rPr>
          <w:sz w:val="24"/>
          <w:lang w:val="de-DE"/>
        </w:rPr>
        <w:t>substances</w:t>
      </w:r>
      <w:proofErr w:type="spellEnd"/>
      <w:r w:rsidRPr="00BF2C1F">
        <w:rPr>
          <w:sz w:val="24"/>
          <w:lang w:val="de-DE"/>
        </w:rPr>
        <w:t xml:space="preserve"> </w:t>
      </w:r>
      <w:proofErr w:type="spellStart"/>
      <w:r w:rsidRPr="00BF2C1F">
        <w:rPr>
          <w:sz w:val="24"/>
          <w:lang w:val="de-DE"/>
        </w:rPr>
        <w:t>carbendazim</w:t>
      </w:r>
      <w:proofErr w:type="spellEnd"/>
      <w:r w:rsidRPr="00BF2C1F">
        <w:rPr>
          <w:sz w:val="24"/>
          <w:lang w:val="de-DE"/>
        </w:rPr>
        <w:t xml:space="preserve"> and </w:t>
      </w:r>
      <w:proofErr w:type="spellStart"/>
      <w:r w:rsidRPr="00BF2C1F">
        <w:rPr>
          <w:sz w:val="24"/>
          <w:lang w:val="de-DE"/>
        </w:rPr>
        <w:t>thiophanate</w:t>
      </w:r>
      <w:proofErr w:type="spellEnd"/>
      <w:r w:rsidRPr="00BF2C1F">
        <w:rPr>
          <w:sz w:val="24"/>
          <w:lang w:val="de-DE"/>
        </w:rPr>
        <w:t xml:space="preserve">-methyl (Mit Gründen versehene Stellungnahme der EFSA zu den toxikologischen Eigenschaften und den Höchstgehalten an Rückständen für die </w:t>
      </w:r>
      <w:proofErr w:type="spellStart"/>
      <w:r w:rsidRPr="00BF2C1F">
        <w:rPr>
          <w:sz w:val="24"/>
          <w:lang w:val="de-DE"/>
        </w:rPr>
        <w:t>Benzimidazol</w:t>
      </w:r>
      <w:proofErr w:type="spellEnd"/>
      <w:r w:rsidRPr="00BF2C1F">
        <w:rPr>
          <w:sz w:val="24"/>
          <w:lang w:val="de-DE"/>
        </w:rPr>
        <w:t xml:space="preserve">-Stoffe </w:t>
      </w:r>
      <w:proofErr w:type="spellStart"/>
      <w:r w:rsidRPr="00BF2C1F">
        <w:rPr>
          <w:sz w:val="24"/>
          <w:lang w:val="de-DE"/>
        </w:rPr>
        <w:t>Carbendazim</w:t>
      </w:r>
      <w:proofErr w:type="spellEnd"/>
      <w:r w:rsidRPr="00BF2C1F">
        <w:rPr>
          <w:sz w:val="24"/>
          <w:lang w:val="de-DE"/>
        </w:rPr>
        <w:t xml:space="preserve"> und </w:t>
      </w:r>
      <w:proofErr w:type="spellStart"/>
      <w:r w:rsidRPr="00BF2C1F">
        <w:rPr>
          <w:sz w:val="24"/>
          <w:lang w:val="de-DE"/>
        </w:rPr>
        <w:t>Thiophanat</w:t>
      </w:r>
      <w:proofErr w:type="spellEnd"/>
      <w:r w:rsidRPr="00BF2C1F">
        <w:rPr>
          <w:sz w:val="24"/>
          <w:lang w:val="de-DE"/>
        </w:rPr>
        <w:t xml:space="preserve">-methyl), </w:t>
      </w:r>
      <w:bookmarkStart w:id="8" w:name="_Hlk168311905"/>
      <w:r w:rsidRPr="00BF2C1F">
        <w:rPr>
          <w:sz w:val="24"/>
          <w:lang w:val="de-DE"/>
        </w:rPr>
        <w:t xml:space="preserve">EFSA Journal </w:t>
      </w:r>
      <w:r w:rsidRPr="001C2208">
        <w:rPr>
          <w:sz w:val="24"/>
          <w:lang w:val="de-DE"/>
        </w:rPr>
        <w:t>2021</w:t>
      </w:r>
      <w:r w:rsidRPr="00BF2C1F">
        <w:rPr>
          <w:sz w:val="24"/>
          <w:lang w:val="de-DE"/>
        </w:rPr>
        <w:t>, Band </w:t>
      </w:r>
      <w:r w:rsidRPr="001C2208">
        <w:rPr>
          <w:sz w:val="24"/>
          <w:lang w:val="de-DE"/>
        </w:rPr>
        <w:t>19</w:t>
      </w:r>
      <w:r w:rsidRPr="00BF2C1F">
        <w:rPr>
          <w:sz w:val="24"/>
          <w:lang w:val="de-DE"/>
        </w:rPr>
        <w:t xml:space="preserve"> Ausgabe </w:t>
      </w:r>
      <w:r w:rsidRPr="001C2208">
        <w:rPr>
          <w:sz w:val="24"/>
          <w:lang w:val="de-DE"/>
        </w:rPr>
        <w:t>8</w:t>
      </w:r>
      <w:r w:rsidRPr="00BF2C1F">
        <w:rPr>
          <w:sz w:val="24"/>
          <w:lang w:val="de-DE"/>
        </w:rPr>
        <w:t>: e</w:t>
      </w:r>
      <w:r w:rsidRPr="001C2208">
        <w:rPr>
          <w:sz w:val="24"/>
          <w:lang w:val="de-DE"/>
        </w:rPr>
        <w:t>06773</w:t>
      </w:r>
      <w:bookmarkEnd w:id="8"/>
      <w:r w:rsidRPr="00BF2C1F">
        <w:rPr>
          <w:sz w:val="24"/>
          <w:lang w:val="de-DE"/>
        </w:rPr>
        <w:t xml:space="preserve">, </w:t>
      </w:r>
      <w:hyperlink r:id="rId1" w:history="1">
        <w:r w:rsidRPr="00BF2C1F">
          <w:rPr>
            <w:rStyle w:val="Hyperlink"/>
            <w:sz w:val="24"/>
            <w:lang w:val="de-DE"/>
          </w:rPr>
          <w:t>https://doi.org/</w:t>
        </w:r>
        <w:r w:rsidRPr="001C2208">
          <w:rPr>
            <w:rStyle w:val="Hyperlink"/>
            <w:sz w:val="24"/>
            <w:lang w:val="de-DE"/>
          </w:rPr>
          <w:t>10</w:t>
        </w:r>
        <w:r w:rsidRPr="00BF2C1F">
          <w:rPr>
            <w:rStyle w:val="Hyperlink"/>
            <w:sz w:val="24"/>
            <w:lang w:val="de-DE"/>
          </w:rPr>
          <w:t>.</w:t>
        </w:r>
        <w:r w:rsidRPr="001C2208">
          <w:rPr>
            <w:rStyle w:val="Hyperlink"/>
            <w:sz w:val="24"/>
            <w:lang w:val="de-DE"/>
          </w:rPr>
          <w:t>2903</w:t>
        </w:r>
        <w:r w:rsidRPr="00BF2C1F">
          <w:rPr>
            <w:rStyle w:val="Hyperlink"/>
            <w:sz w:val="24"/>
            <w:lang w:val="de-DE"/>
          </w:rPr>
          <w:t>/j.efsa.</w:t>
        </w:r>
        <w:r w:rsidRPr="001C2208">
          <w:rPr>
            <w:rStyle w:val="Hyperlink"/>
            <w:sz w:val="24"/>
            <w:lang w:val="de-DE"/>
          </w:rPr>
          <w:t>2021</w:t>
        </w:r>
        <w:r w:rsidRPr="00BF2C1F">
          <w:rPr>
            <w:rStyle w:val="Hyperlink"/>
            <w:sz w:val="24"/>
            <w:lang w:val="de-DE"/>
          </w:rPr>
          <w:t>.</w:t>
        </w:r>
        <w:r w:rsidRPr="001C2208">
          <w:rPr>
            <w:rStyle w:val="Hyperlink"/>
            <w:sz w:val="24"/>
            <w:lang w:val="de-DE"/>
          </w:rPr>
          <w:t>6773</w:t>
        </w:r>
      </w:hyperlink>
      <w:r w:rsidRPr="00BF2C1F">
        <w:rPr>
          <w:sz w:val="24"/>
          <w:lang w:val="de-DE"/>
        </w:rPr>
        <w:t xml:space="preserve">. </w:t>
      </w:r>
    </w:p>
  </w:footnote>
  <w:footnote w:id="5">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 xml:space="preserve">EFSA </w:t>
      </w:r>
      <w:proofErr w:type="spellStart"/>
      <w:r w:rsidRPr="00BF2C1F">
        <w:rPr>
          <w:sz w:val="24"/>
          <w:lang w:val="de-DE"/>
        </w:rPr>
        <w:t>updated</w:t>
      </w:r>
      <w:proofErr w:type="spellEnd"/>
      <w:r w:rsidRPr="00BF2C1F">
        <w:rPr>
          <w:sz w:val="24"/>
          <w:lang w:val="de-DE"/>
        </w:rPr>
        <w:t xml:space="preserve"> </w:t>
      </w:r>
      <w:proofErr w:type="spellStart"/>
      <w:r w:rsidRPr="00BF2C1F">
        <w:rPr>
          <w:sz w:val="24"/>
          <w:lang w:val="de-DE"/>
        </w:rPr>
        <w:t>reasoned</w:t>
      </w:r>
      <w:proofErr w:type="spellEnd"/>
      <w:r w:rsidRPr="00BF2C1F">
        <w:rPr>
          <w:sz w:val="24"/>
          <w:lang w:val="de-DE"/>
        </w:rPr>
        <w:t xml:space="preserve"> </w:t>
      </w:r>
      <w:proofErr w:type="spellStart"/>
      <w:r w:rsidRPr="00BF2C1F">
        <w:rPr>
          <w:sz w:val="24"/>
          <w:lang w:val="de-DE"/>
        </w:rPr>
        <w:t>opinion</w:t>
      </w:r>
      <w:proofErr w:type="spellEnd"/>
      <w:r w:rsidRPr="00BF2C1F">
        <w:rPr>
          <w:sz w:val="24"/>
          <w:lang w:val="de-DE"/>
        </w:rPr>
        <w:t xml:space="preserve"> on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toxicological</w:t>
      </w:r>
      <w:proofErr w:type="spellEnd"/>
      <w:r w:rsidRPr="00BF2C1F">
        <w:rPr>
          <w:sz w:val="24"/>
          <w:lang w:val="de-DE"/>
        </w:rPr>
        <w:t xml:space="preserve"> </w:t>
      </w:r>
      <w:proofErr w:type="spellStart"/>
      <w:r w:rsidRPr="00BF2C1F">
        <w:rPr>
          <w:sz w:val="24"/>
          <w:lang w:val="de-DE"/>
        </w:rPr>
        <w:t>properties</w:t>
      </w:r>
      <w:proofErr w:type="spellEnd"/>
      <w:r w:rsidRPr="00BF2C1F">
        <w:rPr>
          <w:sz w:val="24"/>
          <w:lang w:val="de-DE"/>
        </w:rPr>
        <w:t xml:space="preserve"> and </w:t>
      </w:r>
      <w:proofErr w:type="spellStart"/>
      <w:r w:rsidRPr="00BF2C1F">
        <w:rPr>
          <w:sz w:val="24"/>
          <w:lang w:val="de-DE"/>
        </w:rPr>
        <w:t>maximum</w:t>
      </w:r>
      <w:proofErr w:type="spellEnd"/>
      <w:r w:rsidRPr="00BF2C1F">
        <w:rPr>
          <w:sz w:val="24"/>
          <w:lang w:val="de-DE"/>
        </w:rPr>
        <w:t xml:space="preserve"> </w:t>
      </w:r>
      <w:proofErr w:type="spellStart"/>
      <w:r w:rsidRPr="00BF2C1F">
        <w:rPr>
          <w:sz w:val="24"/>
          <w:lang w:val="de-DE"/>
        </w:rPr>
        <w:t>residue</w:t>
      </w:r>
      <w:proofErr w:type="spellEnd"/>
      <w:r w:rsidRPr="00BF2C1F">
        <w:rPr>
          <w:sz w:val="24"/>
          <w:lang w:val="de-DE"/>
        </w:rPr>
        <w:t xml:space="preserve"> </w:t>
      </w:r>
      <w:proofErr w:type="spellStart"/>
      <w:r w:rsidRPr="00BF2C1F">
        <w:rPr>
          <w:sz w:val="24"/>
          <w:lang w:val="de-DE"/>
        </w:rPr>
        <w:t>levels</w:t>
      </w:r>
      <w:proofErr w:type="spellEnd"/>
      <w:r w:rsidRPr="00BF2C1F">
        <w:rPr>
          <w:sz w:val="24"/>
          <w:lang w:val="de-DE"/>
        </w:rPr>
        <w:t xml:space="preserve"> (MRLs) </w:t>
      </w:r>
      <w:proofErr w:type="spellStart"/>
      <w:r w:rsidRPr="00BF2C1F">
        <w:rPr>
          <w:sz w:val="24"/>
          <w:lang w:val="de-DE"/>
        </w:rPr>
        <w:t>for</w:t>
      </w:r>
      <w:proofErr w:type="spellEnd"/>
      <w:r w:rsidRPr="00BF2C1F">
        <w:rPr>
          <w:sz w:val="24"/>
          <w:lang w:val="de-DE"/>
        </w:rPr>
        <w:t xml:space="preserve">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benzimidazole</w:t>
      </w:r>
      <w:proofErr w:type="spellEnd"/>
      <w:r w:rsidRPr="00BF2C1F">
        <w:rPr>
          <w:sz w:val="24"/>
          <w:lang w:val="de-DE"/>
        </w:rPr>
        <w:t xml:space="preserve"> </w:t>
      </w:r>
      <w:proofErr w:type="spellStart"/>
      <w:r w:rsidRPr="00BF2C1F">
        <w:rPr>
          <w:sz w:val="24"/>
          <w:lang w:val="de-DE"/>
        </w:rPr>
        <w:t>substances</w:t>
      </w:r>
      <w:proofErr w:type="spellEnd"/>
      <w:r w:rsidRPr="00BF2C1F">
        <w:rPr>
          <w:sz w:val="24"/>
          <w:lang w:val="de-DE"/>
        </w:rPr>
        <w:t xml:space="preserve"> </w:t>
      </w:r>
      <w:proofErr w:type="spellStart"/>
      <w:r w:rsidRPr="00BF2C1F">
        <w:rPr>
          <w:sz w:val="24"/>
          <w:lang w:val="de-DE"/>
        </w:rPr>
        <w:t>carbendazim</w:t>
      </w:r>
      <w:proofErr w:type="spellEnd"/>
      <w:r w:rsidRPr="00BF2C1F">
        <w:rPr>
          <w:sz w:val="24"/>
          <w:lang w:val="de-DE"/>
        </w:rPr>
        <w:t xml:space="preserve"> and </w:t>
      </w:r>
      <w:proofErr w:type="spellStart"/>
      <w:r w:rsidRPr="00BF2C1F">
        <w:rPr>
          <w:sz w:val="24"/>
          <w:lang w:val="de-DE"/>
        </w:rPr>
        <w:t>thiophanate</w:t>
      </w:r>
      <w:proofErr w:type="spellEnd"/>
      <w:r w:rsidRPr="00BF2C1F">
        <w:rPr>
          <w:sz w:val="24"/>
          <w:lang w:val="de-DE"/>
        </w:rPr>
        <w:t xml:space="preserve">-methyl (Aktualisierte mit Gründen versehene Stellungnahme der EFSA zu den toxikologischen Eigenschaften und den Höchstgehalten an Rückständen für die </w:t>
      </w:r>
      <w:proofErr w:type="spellStart"/>
      <w:r w:rsidRPr="00BF2C1F">
        <w:rPr>
          <w:sz w:val="24"/>
          <w:lang w:val="de-DE"/>
        </w:rPr>
        <w:t>Benzimidazol</w:t>
      </w:r>
      <w:proofErr w:type="spellEnd"/>
      <w:r w:rsidRPr="00BF2C1F">
        <w:rPr>
          <w:sz w:val="24"/>
          <w:lang w:val="de-DE"/>
        </w:rPr>
        <w:t xml:space="preserve">-Stoffe </w:t>
      </w:r>
      <w:proofErr w:type="spellStart"/>
      <w:r w:rsidRPr="00BF2C1F">
        <w:rPr>
          <w:sz w:val="24"/>
          <w:lang w:val="de-DE"/>
        </w:rPr>
        <w:t>Carbendazim</w:t>
      </w:r>
      <w:proofErr w:type="spellEnd"/>
      <w:r w:rsidRPr="00BF2C1F">
        <w:rPr>
          <w:sz w:val="24"/>
          <w:lang w:val="de-DE"/>
        </w:rPr>
        <w:t xml:space="preserve"> und </w:t>
      </w:r>
      <w:proofErr w:type="spellStart"/>
      <w:r w:rsidRPr="00BF2C1F">
        <w:rPr>
          <w:sz w:val="24"/>
          <w:lang w:val="de-DE"/>
        </w:rPr>
        <w:t>Thiophanat</w:t>
      </w:r>
      <w:proofErr w:type="spellEnd"/>
      <w:r w:rsidRPr="00BF2C1F">
        <w:rPr>
          <w:sz w:val="24"/>
          <w:lang w:val="de-DE"/>
        </w:rPr>
        <w:t xml:space="preserve">-methyl), EFSA Journal </w:t>
      </w:r>
      <w:r w:rsidRPr="001C2208">
        <w:rPr>
          <w:sz w:val="24"/>
          <w:lang w:val="de-DE"/>
        </w:rPr>
        <w:t>2024</w:t>
      </w:r>
      <w:r w:rsidRPr="00BF2C1F">
        <w:rPr>
          <w:sz w:val="24"/>
          <w:lang w:val="de-DE"/>
        </w:rPr>
        <w:t>, Band </w:t>
      </w:r>
      <w:r w:rsidRPr="001C2208">
        <w:rPr>
          <w:sz w:val="24"/>
          <w:lang w:val="de-DE"/>
        </w:rPr>
        <w:t>22</w:t>
      </w:r>
      <w:r w:rsidRPr="00BF2C1F">
        <w:rPr>
          <w:sz w:val="24"/>
          <w:lang w:val="de-DE"/>
        </w:rPr>
        <w:t xml:space="preserve"> Ausgabe </w:t>
      </w:r>
      <w:r w:rsidRPr="001C2208">
        <w:rPr>
          <w:sz w:val="24"/>
          <w:lang w:val="de-DE"/>
        </w:rPr>
        <w:t>2</w:t>
      </w:r>
      <w:r w:rsidRPr="00BF2C1F">
        <w:rPr>
          <w:sz w:val="24"/>
          <w:lang w:val="de-DE"/>
        </w:rPr>
        <w:t>: e</w:t>
      </w:r>
      <w:r w:rsidRPr="001C2208">
        <w:rPr>
          <w:sz w:val="24"/>
          <w:lang w:val="de-DE"/>
        </w:rPr>
        <w:t>8569</w:t>
      </w:r>
      <w:r w:rsidRPr="00BF2C1F">
        <w:rPr>
          <w:sz w:val="24"/>
          <w:lang w:val="de-DE"/>
        </w:rPr>
        <w:t xml:space="preserve">, </w:t>
      </w:r>
      <w:hyperlink r:id="rId2" w:history="1">
        <w:r w:rsidRPr="00BF2C1F">
          <w:rPr>
            <w:rStyle w:val="Hyperlink"/>
            <w:sz w:val="24"/>
            <w:lang w:val="de-DE"/>
          </w:rPr>
          <w:t>https://doi.org/</w:t>
        </w:r>
        <w:r w:rsidRPr="001C2208">
          <w:rPr>
            <w:rStyle w:val="Hyperlink"/>
            <w:sz w:val="24"/>
            <w:lang w:val="de-DE"/>
          </w:rPr>
          <w:t>10</w:t>
        </w:r>
        <w:r w:rsidRPr="00BF2C1F">
          <w:rPr>
            <w:rStyle w:val="Hyperlink"/>
            <w:sz w:val="24"/>
            <w:lang w:val="de-DE"/>
          </w:rPr>
          <w:t>.</w:t>
        </w:r>
        <w:r w:rsidRPr="001C2208">
          <w:rPr>
            <w:rStyle w:val="Hyperlink"/>
            <w:sz w:val="24"/>
            <w:lang w:val="de-DE"/>
          </w:rPr>
          <w:t>2903</w:t>
        </w:r>
        <w:r w:rsidRPr="00BF2C1F">
          <w:rPr>
            <w:rStyle w:val="Hyperlink"/>
            <w:sz w:val="24"/>
            <w:lang w:val="de-DE"/>
          </w:rPr>
          <w:t>/j.efsa.</w:t>
        </w:r>
        <w:r w:rsidRPr="001C2208">
          <w:rPr>
            <w:rStyle w:val="Hyperlink"/>
            <w:sz w:val="24"/>
            <w:lang w:val="de-DE"/>
          </w:rPr>
          <w:t>2024</w:t>
        </w:r>
        <w:r w:rsidRPr="00BF2C1F">
          <w:rPr>
            <w:rStyle w:val="Hyperlink"/>
            <w:sz w:val="24"/>
            <w:lang w:val="de-DE"/>
          </w:rPr>
          <w:t>.</w:t>
        </w:r>
        <w:r w:rsidRPr="001C2208">
          <w:rPr>
            <w:rStyle w:val="Hyperlink"/>
            <w:sz w:val="24"/>
            <w:lang w:val="de-DE"/>
          </w:rPr>
          <w:t>8569</w:t>
        </w:r>
      </w:hyperlink>
      <w:r w:rsidRPr="00BF2C1F">
        <w:rPr>
          <w:sz w:val="24"/>
          <w:lang w:val="de-DE"/>
        </w:rPr>
        <w:t xml:space="preserve">. </w:t>
      </w:r>
    </w:p>
  </w:footnote>
  <w:footnote w:id="6">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 xml:space="preserve">EFSA </w:t>
      </w:r>
      <w:proofErr w:type="spellStart"/>
      <w:r w:rsidRPr="00BF2C1F">
        <w:rPr>
          <w:sz w:val="24"/>
          <w:lang w:val="de-DE"/>
        </w:rPr>
        <w:t>conclusion</w:t>
      </w:r>
      <w:proofErr w:type="spellEnd"/>
      <w:r w:rsidRPr="00BF2C1F">
        <w:rPr>
          <w:sz w:val="24"/>
          <w:lang w:val="de-DE"/>
        </w:rPr>
        <w:t xml:space="preserve"> on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peer</w:t>
      </w:r>
      <w:proofErr w:type="spellEnd"/>
      <w:r w:rsidRPr="00BF2C1F">
        <w:rPr>
          <w:sz w:val="24"/>
          <w:lang w:val="de-DE"/>
        </w:rPr>
        <w:t xml:space="preserve"> </w:t>
      </w:r>
      <w:proofErr w:type="spellStart"/>
      <w:r w:rsidRPr="00BF2C1F">
        <w:rPr>
          <w:sz w:val="24"/>
          <w:lang w:val="de-DE"/>
        </w:rPr>
        <w:t>review</w:t>
      </w:r>
      <w:proofErr w:type="spellEnd"/>
      <w:r w:rsidRPr="00BF2C1F">
        <w:rPr>
          <w:sz w:val="24"/>
          <w:lang w:val="de-DE"/>
        </w:rPr>
        <w:t xml:space="preserve"> of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pesticide</w:t>
      </w:r>
      <w:proofErr w:type="spellEnd"/>
      <w:r w:rsidRPr="00BF2C1F">
        <w:rPr>
          <w:sz w:val="24"/>
          <w:lang w:val="de-DE"/>
        </w:rPr>
        <w:t xml:space="preserve"> </w:t>
      </w:r>
      <w:proofErr w:type="spellStart"/>
      <w:r w:rsidRPr="00BF2C1F">
        <w:rPr>
          <w:sz w:val="24"/>
          <w:lang w:val="de-DE"/>
        </w:rPr>
        <w:t>risk</w:t>
      </w:r>
      <w:proofErr w:type="spellEnd"/>
      <w:r w:rsidRPr="00BF2C1F">
        <w:rPr>
          <w:sz w:val="24"/>
          <w:lang w:val="de-DE"/>
        </w:rPr>
        <w:t xml:space="preserve"> </w:t>
      </w:r>
      <w:proofErr w:type="spellStart"/>
      <w:r w:rsidRPr="00BF2C1F">
        <w:rPr>
          <w:sz w:val="24"/>
          <w:lang w:val="de-DE"/>
        </w:rPr>
        <w:t>assessment</w:t>
      </w:r>
      <w:proofErr w:type="spellEnd"/>
      <w:r w:rsidRPr="00BF2C1F">
        <w:rPr>
          <w:sz w:val="24"/>
          <w:lang w:val="de-DE"/>
        </w:rPr>
        <w:t xml:space="preserve"> of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active</w:t>
      </w:r>
      <w:proofErr w:type="spellEnd"/>
      <w:r w:rsidRPr="00BF2C1F">
        <w:rPr>
          <w:sz w:val="24"/>
          <w:lang w:val="de-DE"/>
        </w:rPr>
        <w:t xml:space="preserve"> </w:t>
      </w:r>
      <w:proofErr w:type="spellStart"/>
      <w:r w:rsidRPr="00BF2C1F">
        <w:rPr>
          <w:sz w:val="24"/>
          <w:lang w:val="de-DE"/>
        </w:rPr>
        <w:t>substance</w:t>
      </w:r>
      <w:proofErr w:type="spellEnd"/>
      <w:r w:rsidRPr="00BF2C1F">
        <w:rPr>
          <w:sz w:val="24"/>
          <w:lang w:val="de-DE"/>
        </w:rPr>
        <w:t xml:space="preserve"> </w:t>
      </w:r>
      <w:proofErr w:type="spellStart"/>
      <w:r w:rsidRPr="00BF2C1F">
        <w:rPr>
          <w:sz w:val="24"/>
          <w:lang w:val="de-DE"/>
        </w:rPr>
        <w:t>carbendazim</w:t>
      </w:r>
      <w:proofErr w:type="spellEnd"/>
      <w:r w:rsidRPr="00BF2C1F">
        <w:rPr>
          <w:sz w:val="24"/>
          <w:lang w:val="de-DE"/>
        </w:rPr>
        <w:t xml:space="preserve"> (Schlussfolgerungen der EFSA zum Peer-Review der Pestizid-Risikobewertung des Wirkstoffs </w:t>
      </w:r>
      <w:proofErr w:type="spellStart"/>
      <w:r w:rsidRPr="00BF2C1F">
        <w:rPr>
          <w:sz w:val="24"/>
          <w:lang w:val="de-DE"/>
        </w:rPr>
        <w:t>Carbendazim</w:t>
      </w:r>
      <w:proofErr w:type="spellEnd"/>
      <w:r w:rsidRPr="00BF2C1F">
        <w:rPr>
          <w:sz w:val="24"/>
          <w:lang w:val="de-DE"/>
        </w:rPr>
        <w:t xml:space="preserve">), EFSA Journal </w:t>
      </w:r>
      <w:r w:rsidRPr="001C2208">
        <w:rPr>
          <w:sz w:val="24"/>
          <w:lang w:val="de-DE"/>
        </w:rPr>
        <w:t>2010</w:t>
      </w:r>
      <w:r w:rsidRPr="00BF2C1F">
        <w:rPr>
          <w:sz w:val="24"/>
          <w:lang w:val="de-DE"/>
        </w:rPr>
        <w:t>, Band </w:t>
      </w:r>
      <w:r w:rsidRPr="001C2208">
        <w:rPr>
          <w:sz w:val="24"/>
          <w:lang w:val="de-DE"/>
        </w:rPr>
        <w:t>8</w:t>
      </w:r>
      <w:r w:rsidRPr="00BF2C1F">
        <w:rPr>
          <w:sz w:val="24"/>
          <w:lang w:val="de-DE"/>
        </w:rPr>
        <w:t xml:space="preserve"> Ausgabe </w:t>
      </w:r>
      <w:r w:rsidRPr="001C2208">
        <w:rPr>
          <w:sz w:val="24"/>
          <w:lang w:val="de-DE"/>
        </w:rPr>
        <w:t>5</w:t>
      </w:r>
      <w:r w:rsidRPr="00BF2C1F">
        <w:rPr>
          <w:sz w:val="24"/>
          <w:lang w:val="de-DE"/>
        </w:rPr>
        <w:t xml:space="preserve">: </w:t>
      </w:r>
      <w:r w:rsidRPr="001C2208">
        <w:rPr>
          <w:sz w:val="24"/>
          <w:lang w:val="de-DE"/>
        </w:rPr>
        <w:t>1598</w:t>
      </w:r>
      <w:r w:rsidRPr="00BF2C1F">
        <w:rPr>
          <w:sz w:val="24"/>
          <w:lang w:val="de-DE"/>
        </w:rPr>
        <w:t xml:space="preserve">, </w:t>
      </w:r>
      <w:hyperlink r:id="rId3" w:history="1">
        <w:r w:rsidRPr="00BF2C1F">
          <w:rPr>
            <w:rStyle w:val="Hyperlink"/>
            <w:sz w:val="24"/>
            <w:lang w:val="de-DE"/>
          </w:rPr>
          <w:t>https://doi.org/</w:t>
        </w:r>
        <w:r w:rsidRPr="001C2208">
          <w:rPr>
            <w:rStyle w:val="Hyperlink"/>
            <w:sz w:val="24"/>
            <w:lang w:val="de-DE"/>
          </w:rPr>
          <w:t>10</w:t>
        </w:r>
        <w:r w:rsidRPr="00BF2C1F">
          <w:rPr>
            <w:rStyle w:val="Hyperlink"/>
            <w:sz w:val="24"/>
            <w:lang w:val="de-DE"/>
          </w:rPr>
          <w:t>.</w:t>
        </w:r>
        <w:r w:rsidRPr="001C2208">
          <w:rPr>
            <w:rStyle w:val="Hyperlink"/>
            <w:sz w:val="24"/>
            <w:lang w:val="de-DE"/>
          </w:rPr>
          <w:t>2903</w:t>
        </w:r>
        <w:r w:rsidRPr="00BF2C1F">
          <w:rPr>
            <w:rStyle w:val="Hyperlink"/>
            <w:sz w:val="24"/>
            <w:lang w:val="de-DE"/>
          </w:rPr>
          <w:t>/j.efsa.</w:t>
        </w:r>
        <w:r w:rsidRPr="001C2208">
          <w:rPr>
            <w:rStyle w:val="Hyperlink"/>
            <w:sz w:val="24"/>
            <w:lang w:val="de-DE"/>
          </w:rPr>
          <w:t>2010</w:t>
        </w:r>
        <w:r w:rsidRPr="00BF2C1F">
          <w:rPr>
            <w:rStyle w:val="Hyperlink"/>
            <w:sz w:val="24"/>
            <w:lang w:val="de-DE"/>
          </w:rPr>
          <w:t>.</w:t>
        </w:r>
        <w:r w:rsidRPr="001C2208">
          <w:rPr>
            <w:rStyle w:val="Hyperlink"/>
            <w:sz w:val="24"/>
            <w:lang w:val="de-DE"/>
          </w:rPr>
          <w:t>1598</w:t>
        </w:r>
      </w:hyperlink>
      <w:r w:rsidRPr="00BF2C1F">
        <w:rPr>
          <w:sz w:val="24"/>
          <w:lang w:val="de-DE"/>
        </w:rPr>
        <w:t xml:space="preserve">. </w:t>
      </w:r>
    </w:p>
  </w:footnote>
  <w:footnote w:id="7">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 xml:space="preserve">EFSA </w:t>
      </w:r>
      <w:proofErr w:type="spellStart"/>
      <w:r w:rsidRPr="00BF2C1F">
        <w:rPr>
          <w:sz w:val="24"/>
          <w:lang w:val="de-DE"/>
        </w:rPr>
        <w:t>Conclusion</w:t>
      </w:r>
      <w:proofErr w:type="spellEnd"/>
      <w:r w:rsidRPr="00BF2C1F">
        <w:rPr>
          <w:sz w:val="24"/>
          <w:lang w:val="de-DE"/>
        </w:rPr>
        <w:t xml:space="preserve"> on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peer</w:t>
      </w:r>
      <w:proofErr w:type="spellEnd"/>
      <w:r w:rsidRPr="00BF2C1F">
        <w:rPr>
          <w:sz w:val="24"/>
          <w:lang w:val="de-DE"/>
        </w:rPr>
        <w:t xml:space="preserve"> </w:t>
      </w:r>
      <w:proofErr w:type="spellStart"/>
      <w:r w:rsidRPr="00BF2C1F">
        <w:rPr>
          <w:sz w:val="24"/>
          <w:lang w:val="de-DE"/>
        </w:rPr>
        <w:t>review</w:t>
      </w:r>
      <w:proofErr w:type="spellEnd"/>
      <w:r w:rsidRPr="00BF2C1F">
        <w:rPr>
          <w:sz w:val="24"/>
          <w:lang w:val="de-DE"/>
        </w:rPr>
        <w:t xml:space="preserve"> of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pesticide</w:t>
      </w:r>
      <w:proofErr w:type="spellEnd"/>
      <w:r w:rsidRPr="00BF2C1F">
        <w:rPr>
          <w:sz w:val="24"/>
          <w:lang w:val="de-DE"/>
        </w:rPr>
        <w:t xml:space="preserve"> </w:t>
      </w:r>
      <w:proofErr w:type="spellStart"/>
      <w:r w:rsidRPr="00BF2C1F">
        <w:rPr>
          <w:sz w:val="24"/>
          <w:lang w:val="de-DE"/>
        </w:rPr>
        <w:t>risk</w:t>
      </w:r>
      <w:proofErr w:type="spellEnd"/>
      <w:r w:rsidRPr="00BF2C1F">
        <w:rPr>
          <w:sz w:val="24"/>
          <w:lang w:val="de-DE"/>
        </w:rPr>
        <w:t xml:space="preserve"> </w:t>
      </w:r>
      <w:proofErr w:type="spellStart"/>
      <w:r w:rsidRPr="00BF2C1F">
        <w:rPr>
          <w:sz w:val="24"/>
          <w:lang w:val="de-DE"/>
        </w:rPr>
        <w:t>assessment</w:t>
      </w:r>
      <w:proofErr w:type="spellEnd"/>
      <w:r w:rsidRPr="00BF2C1F">
        <w:rPr>
          <w:sz w:val="24"/>
          <w:lang w:val="de-DE"/>
        </w:rPr>
        <w:t xml:space="preserve"> of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active</w:t>
      </w:r>
      <w:proofErr w:type="spellEnd"/>
      <w:r w:rsidRPr="00BF2C1F">
        <w:rPr>
          <w:sz w:val="24"/>
          <w:lang w:val="de-DE"/>
        </w:rPr>
        <w:t xml:space="preserve"> </w:t>
      </w:r>
      <w:proofErr w:type="spellStart"/>
      <w:r w:rsidRPr="00BF2C1F">
        <w:rPr>
          <w:sz w:val="24"/>
          <w:lang w:val="de-DE"/>
        </w:rPr>
        <w:t>substance</w:t>
      </w:r>
      <w:proofErr w:type="spellEnd"/>
      <w:r w:rsidRPr="00BF2C1F">
        <w:rPr>
          <w:sz w:val="24"/>
          <w:lang w:val="de-DE"/>
        </w:rPr>
        <w:t xml:space="preserve"> </w:t>
      </w:r>
      <w:proofErr w:type="spellStart"/>
      <w:r w:rsidRPr="00BF2C1F">
        <w:rPr>
          <w:sz w:val="24"/>
          <w:lang w:val="de-DE"/>
        </w:rPr>
        <w:t>thiophanate</w:t>
      </w:r>
      <w:proofErr w:type="spellEnd"/>
      <w:r w:rsidRPr="00BF2C1F">
        <w:rPr>
          <w:sz w:val="24"/>
          <w:lang w:val="de-DE"/>
        </w:rPr>
        <w:t xml:space="preserve">-methyl (Schlussfolgerungen der EFSA zum Peer-Review der Pestizid-Risikobewertung des Wirkstoffs </w:t>
      </w:r>
      <w:proofErr w:type="spellStart"/>
      <w:r w:rsidRPr="00BF2C1F">
        <w:rPr>
          <w:sz w:val="24"/>
          <w:lang w:val="de-DE"/>
        </w:rPr>
        <w:t>Thiophanat</w:t>
      </w:r>
      <w:proofErr w:type="spellEnd"/>
      <w:r w:rsidRPr="00BF2C1F">
        <w:rPr>
          <w:sz w:val="24"/>
          <w:lang w:val="de-DE"/>
        </w:rPr>
        <w:t xml:space="preserve">-methyl), EFSA Journal </w:t>
      </w:r>
      <w:r w:rsidRPr="001C2208">
        <w:rPr>
          <w:sz w:val="24"/>
          <w:lang w:val="de-DE"/>
        </w:rPr>
        <w:t>2018</w:t>
      </w:r>
      <w:r w:rsidRPr="00BF2C1F">
        <w:rPr>
          <w:sz w:val="24"/>
          <w:lang w:val="de-DE"/>
        </w:rPr>
        <w:t>; Band </w:t>
      </w:r>
      <w:r w:rsidRPr="001C2208">
        <w:rPr>
          <w:sz w:val="24"/>
          <w:lang w:val="de-DE"/>
        </w:rPr>
        <w:t>16</w:t>
      </w:r>
      <w:r w:rsidRPr="00BF2C1F">
        <w:rPr>
          <w:sz w:val="24"/>
          <w:lang w:val="de-DE"/>
        </w:rPr>
        <w:t xml:space="preserve"> </w:t>
      </w:r>
      <w:proofErr w:type="spellStart"/>
      <w:r w:rsidRPr="00BF2C1F">
        <w:rPr>
          <w:sz w:val="24"/>
          <w:lang w:val="de-DE"/>
        </w:rPr>
        <w:t>Augabe</w:t>
      </w:r>
      <w:proofErr w:type="spellEnd"/>
      <w:r w:rsidRPr="00BF2C1F">
        <w:rPr>
          <w:sz w:val="24"/>
          <w:lang w:val="de-DE"/>
        </w:rPr>
        <w:t> </w:t>
      </w:r>
      <w:r w:rsidRPr="001C2208">
        <w:rPr>
          <w:sz w:val="24"/>
          <w:lang w:val="de-DE"/>
        </w:rPr>
        <w:t>1</w:t>
      </w:r>
      <w:r w:rsidRPr="00BF2C1F">
        <w:rPr>
          <w:sz w:val="24"/>
          <w:lang w:val="de-DE"/>
        </w:rPr>
        <w:t>: e</w:t>
      </w:r>
      <w:r w:rsidRPr="001C2208">
        <w:rPr>
          <w:sz w:val="24"/>
          <w:lang w:val="de-DE"/>
        </w:rPr>
        <w:t>05133</w:t>
      </w:r>
      <w:r w:rsidRPr="00BF2C1F">
        <w:rPr>
          <w:sz w:val="24"/>
          <w:lang w:val="de-DE"/>
        </w:rPr>
        <w:t xml:space="preserve">, </w:t>
      </w:r>
      <w:hyperlink r:id="rId4" w:history="1">
        <w:r w:rsidRPr="00BF2C1F">
          <w:rPr>
            <w:rStyle w:val="Hyperlink"/>
            <w:sz w:val="24"/>
            <w:lang w:val="de-DE"/>
          </w:rPr>
          <w:t>https://doi.org/</w:t>
        </w:r>
        <w:r w:rsidRPr="001C2208">
          <w:rPr>
            <w:rStyle w:val="Hyperlink"/>
            <w:sz w:val="24"/>
            <w:lang w:val="de-DE"/>
          </w:rPr>
          <w:t>10</w:t>
        </w:r>
        <w:r w:rsidRPr="00BF2C1F">
          <w:rPr>
            <w:rStyle w:val="Hyperlink"/>
            <w:sz w:val="24"/>
            <w:lang w:val="de-DE"/>
          </w:rPr>
          <w:t>.</w:t>
        </w:r>
        <w:r w:rsidRPr="001C2208">
          <w:rPr>
            <w:rStyle w:val="Hyperlink"/>
            <w:sz w:val="24"/>
            <w:lang w:val="de-DE"/>
          </w:rPr>
          <w:t>2903</w:t>
        </w:r>
        <w:r w:rsidRPr="00BF2C1F">
          <w:rPr>
            <w:rStyle w:val="Hyperlink"/>
            <w:sz w:val="24"/>
            <w:lang w:val="de-DE"/>
          </w:rPr>
          <w:t>/j.efsa.</w:t>
        </w:r>
        <w:r w:rsidRPr="001C2208">
          <w:rPr>
            <w:rStyle w:val="Hyperlink"/>
            <w:sz w:val="24"/>
            <w:lang w:val="de-DE"/>
          </w:rPr>
          <w:t>2018</w:t>
        </w:r>
        <w:r w:rsidRPr="00BF2C1F">
          <w:rPr>
            <w:rStyle w:val="Hyperlink"/>
            <w:sz w:val="24"/>
            <w:lang w:val="de-DE"/>
          </w:rPr>
          <w:t>.</w:t>
        </w:r>
        <w:r w:rsidRPr="001C2208">
          <w:rPr>
            <w:rStyle w:val="Hyperlink"/>
            <w:sz w:val="24"/>
            <w:lang w:val="de-DE"/>
          </w:rPr>
          <w:t>5133</w:t>
        </w:r>
      </w:hyperlink>
      <w:r w:rsidRPr="00BF2C1F">
        <w:rPr>
          <w:sz w:val="24"/>
          <w:lang w:val="de-DE"/>
        </w:rPr>
        <w:t xml:space="preserve">. </w:t>
      </w:r>
    </w:p>
  </w:footnote>
  <w:footnote w:id="8">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 xml:space="preserve">EFSA </w:t>
      </w:r>
      <w:proofErr w:type="spellStart"/>
      <w:r w:rsidRPr="00BF2C1F">
        <w:rPr>
          <w:sz w:val="24"/>
          <w:lang w:val="de-DE"/>
        </w:rPr>
        <w:t>statement</w:t>
      </w:r>
      <w:proofErr w:type="spellEnd"/>
      <w:r w:rsidRPr="00BF2C1F">
        <w:rPr>
          <w:sz w:val="24"/>
          <w:lang w:val="de-DE"/>
        </w:rPr>
        <w:t xml:space="preserve"> on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assessment</w:t>
      </w:r>
      <w:proofErr w:type="spellEnd"/>
      <w:r w:rsidRPr="00BF2C1F">
        <w:rPr>
          <w:sz w:val="24"/>
          <w:lang w:val="de-DE"/>
        </w:rPr>
        <w:t xml:space="preserve"> of </w:t>
      </w:r>
      <w:proofErr w:type="spellStart"/>
      <w:r w:rsidRPr="00BF2C1F">
        <w:rPr>
          <w:sz w:val="24"/>
          <w:lang w:val="de-DE"/>
        </w:rPr>
        <w:t>quality</w:t>
      </w:r>
      <w:proofErr w:type="spellEnd"/>
      <w:r w:rsidRPr="00BF2C1F">
        <w:rPr>
          <w:sz w:val="24"/>
          <w:lang w:val="de-DE"/>
        </w:rPr>
        <w:t xml:space="preserve"> of </w:t>
      </w:r>
      <w:proofErr w:type="spellStart"/>
      <w:r w:rsidRPr="00BF2C1F">
        <w:rPr>
          <w:sz w:val="24"/>
          <w:lang w:val="de-DE"/>
        </w:rPr>
        <w:t>data</w:t>
      </w:r>
      <w:proofErr w:type="spellEnd"/>
      <w:r w:rsidRPr="00BF2C1F">
        <w:rPr>
          <w:sz w:val="24"/>
          <w:lang w:val="de-DE"/>
        </w:rPr>
        <w:t xml:space="preserve"> </w:t>
      </w:r>
      <w:proofErr w:type="spellStart"/>
      <w:r w:rsidRPr="00BF2C1F">
        <w:rPr>
          <w:sz w:val="24"/>
          <w:lang w:val="de-DE"/>
        </w:rPr>
        <w:t>available</w:t>
      </w:r>
      <w:proofErr w:type="spellEnd"/>
      <w:r w:rsidRPr="00BF2C1F">
        <w:rPr>
          <w:sz w:val="24"/>
          <w:lang w:val="de-DE"/>
        </w:rPr>
        <w:t xml:space="preserve"> </w:t>
      </w:r>
      <w:proofErr w:type="spellStart"/>
      <w:r w:rsidRPr="00BF2C1F">
        <w:rPr>
          <w:sz w:val="24"/>
          <w:lang w:val="de-DE"/>
        </w:rPr>
        <w:t>to</w:t>
      </w:r>
      <w:proofErr w:type="spellEnd"/>
      <w:r w:rsidRPr="00BF2C1F">
        <w:rPr>
          <w:sz w:val="24"/>
          <w:lang w:val="de-DE"/>
        </w:rPr>
        <w:t xml:space="preserve"> EFSA </w:t>
      </w:r>
      <w:proofErr w:type="spellStart"/>
      <w:r w:rsidRPr="00BF2C1F">
        <w:rPr>
          <w:sz w:val="24"/>
          <w:lang w:val="de-DE"/>
        </w:rPr>
        <w:t>to</w:t>
      </w:r>
      <w:proofErr w:type="spellEnd"/>
      <w:r w:rsidRPr="00BF2C1F">
        <w:rPr>
          <w:sz w:val="24"/>
          <w:lang w:val="de-DE"/>
        </w:rPr>
        <w:t xml:space="preserve"> </w:t>
      </w:r>
      <w:proofErr w:type="spellStart"/>
      <w:r w:rsidRPr="00BF2C1F">
        <w:rPr>
          <w:sz w:val="24"/>
          <w:lang w:val="de-DE"/>
        </w:rPr>
        <w:t>derive</w:t>
      </w:r>
      <w:proofErr w:type="spellEnd"/>
      <w:r w:rsidRPr="00BF2C1F">
        <w:rPr>
          <w:sz w:val="24"/>
          <w:lang w:val="de-DE"/>
        </w:rPr>
        <w:t xml:space="preserve"> </w:t>
      </w:r>
      <w:proofErr w:type="spellStart"/>
      <w:r w:rsidRPr="00BF2C1F">
        <w:rPr>
          <w:sz w:val="24"/>
          <w:lang w:val="de-DE"/>
        </w:rPr>
        <w:t>the</w:t>
      </w:r>
      <w:proofErr w:type="spellEnd"/>
      <w:r w:rsidRPr="00BF2C1F">
        <w:rPr>
          <w:sz w:val="24"/>
          <w:lang w:val="de-DE"/>
        </w:rPr>
        <w:t xml:space="preserve"> </w:t>
      </w:r>
      <w:proofErr w:type="spellStart"/>
      <w:r w:rsidRPr="00BF2C1F">
        <w:rPr>
          <w:sz w:val="24"/>
          <w:lang w:val="de-DE"/>
        </w:rPr>
        <w:t>health‐based</w:t>
      </w:r>
      <w:proofErr w:type="spellEnd"/>
      <w:r w:rsidRPr="00BF2C1F">
        <w:rPr>
          <w:sz w:val="24"/>
          <w:lang w:val="de-DE"/>
        </w:rPr>
        <w:t xml:space="preserve"> </w:t>
      </w:r>
      <w:proofErr w:type="spellStart"/>
      <w:r w:rsidRPr="00BF2C1F">
        <w:rPr>
          <w:sz w:val="24"/>
          <w:lang w:val="de-DE"/>
        </w:rPr>
        <w:t>guidance</w:t>
      </w:r>
      <w:proofErr w:type="spellEnd"/>
      <w:r w:rsidRPr="00BF2C1F">
        <w:rPr>
          <w:sz w:val="24"/>
          <w:lang w:val="de-DE"/>
        </w:rPr>
        <w:t xml:space="preserve"> </w:t>
      </w:r>
      <w:proofErr w:type="spellStart"/>
      <w:r w:rsidRPr="00BF2C1F">
        <w:rPr>
          <w:sz w:val="24"/>
          <w:lang w:val="de-DE"/>
        </w:rPr>
        <w:t>values</w:t>
      </w:r>
      <w:proofErr w:type="spellEnd"/>
      <w:r w:rsidRPr="00BF2C1F">
        <w:rPr>
          <w:sz w:val="24"/>
          <w:lang w:val="de-DE"/>
        </w:rPr>
        <w:t xml:space="preserve"> </w:t>
      </w:r>
      <w:proofErr w:type="spellStart"/>
      <w:r w:rsidRPr="00BF2C1F">
        <w:rPr>
          <w:sz w:val="24"/>
          <w:lang w:val="de-DE"/>
        </w:rPr>
        <w:t>for</w:t>
      </w:r>
      <w:proofErr w:type="spellEnd"/>
      <w:r w:rsidRPr="00BF2C1F">
        <w:rPr>
          <w:sz w:val="24"/>
          <w:lang w:val="de-DE"/>
        </w:rPr>
        <w:t xml:space="preserve"> </w:t>
      </w:r>
      <w:proofErr w:type="spellStart"/>
      <w:r w:rsidRPr="00BF2C1F">
        <w:rPr>
          <w:sz w:val="24"/>
          <w:lang w:val="de-DE"/>
        </w:rPr>
        <w:t>carbendazim</w:t>
      </w:r>
      <w:proofErr w:type="spellEnd"/>
      <w:r w:rsidRPr="00BF2C1F">
        <w:rPr>
          <w:sz w:val="24"/>
          <w:lang w:val="de-DE"/>
        </w:rPr>
        <w:t xml:space="preserve"> (Erklärung der EFSA zur Qualität der ihr vorliegenden Daten zur Ableitung gesundheitsbezogener Richtwerte für </w:t>
      </w:r>
      <w:proofErr w:type="spellStart"/>
      <w:r w:rsidRPr="00BF2C1F">
        <w:rPr>
          <w:sz w:val="24"/>
          <w:lang w:val="de-DE"/>
        </w:rPr>
        <w:t>Carbendazim</w:t>
      </w:r>
      <w:proofErr w:type="spellEnd"/>
      <w:r w:rsidRPr="00BF2C1F">
        <w:rPr>
          <w:sz w:val="24"/>
          <w:lang w:val="de-DE"/>
        </w:rPr>
        <w:t xml:space="preserve">), EFSA Journal </w:t>
      </w:r>
      <w:r w:rsidRPr="001C2208">
        <w:rPr>
          <w:sz w:val="24"/>
          <w:lang w:val="de-DE"/>
        </w:rPr>
        <w:t>2024</w:t>
      </w:r>
      <w:r w:rsidRPr="00BF2C1F">
        <w:rPr>
          <w:sz w:val="24"/>
          <w:lang w:val="de-DE"/>
        </w:rPr>
        <w:t>; Band </w:t>
      </w:r>
      <w:r w:rsidRPr="001C2208">
        <w:rPr>
          <w:sz w:val="24"/>
          <w:lang w:val="de-DE"/>
        </w:rPr>
        <w:t>22</w:t>
      </w:r>
      <w:r w:rsidRPr="00BF2C1F">
        <w:rPr>
          <w:sz w:val="24"/>
          <w:lang w:val="de-DE"/>
        </w:rPr>
        <w:t xml:space="preserve"> Ausgabe </w:t>
      </w:r>
      <w:r w:rsidRPr="001C2208">
        <w:rPr>
          <w:sz w:val="24"/>
          <w:lang w:val="de-DE"/>
        </w:rPr>
        <w:t>5</w:t>
      </w:r>
      <w:r w:rsidRPr="00BF2C1F">
        <w:rPr>
          <w:sz w:val="24"/>
          <w:lang w:val="de-DE"/>
        </w:rPr>
        <w:t>: e</w:t>
      </w:r>
      <w:r w:rsidRPr="001C2208">
        <w:rPr>
          <w:sz w:val="24"/>
          <w:lang w:val="de-DE"/>
        </w:rPr>
        <w:t>8756</w:t>
      </w:r>
      <w:r w:rsidRPr="00BF2C1F">
        <w:rPr>
          <w:sz w:val="24"/>
          <w:lang w:val="de-DE"/>
        </w:rPr>
        <w:t xml:space="preserve">, </w:t>
      </w:r>
      <w:hyperlink r:id="rId5" w:history="1">
        <w:r w:rsidRPr="00BF2C1F">
          <w:rPr>
            <w:rStyle w:val="Hyperlink"/>
            <w:sz w:val="24"/>
            <w:lang w:val="de-DE"/>
          </w:rPr>
          <w:t>https://doi.org/</w:t>
        </w:r>
        <w:r w:rsidRPr="001C2208">
          <w:rPr>
            <w:rStyle w:val="Hyperlink"/>
            <w:sz w:val="24"/>
            <w:lang w:val="de-DE"/>
          </w:rPr>
          <w:t>10</w:t>
        </w:r>
        <w:r w:rsidRPr="00BF2C1F">
          <w:rPr>
            <w:rStyle w:val="Hyperlink"/>
            <w:sz w:val="24"/>
            <w:lang w:val="de-DE"/>
          </w:rPr>
          <w:t>.</w:t>
        </w:r>
        <w:r w:rsidRPr="001C2208">
          <w:rPr>
            <w:rStyle w:val="Hyperlink"/>
            <w:sz w:val="24"/>
            <w:lang w:val="de-DE"/>
          </w:rPr>
          <w:t>2903</w:t>
        </w:r>
        <w:r w:rsidRPr="00BF2C1F">
          <w:rPr>
            <w:rStyle w:val="Hyperlink"/>
            <w:sz w:val="24"/>
            <w:lang w:val="de-DE"/>
          </w:rPr>
          <w:t>/j.efsa.</w:t>
        </w:r>
        <w:r w:rsidRPr="001C2208">
          <w:rPr>
            <w:rStyle w:val="Hyperlink"/>
            <w:sz w:val="24"/>
            <w:lang w:val="de-DE"/>
          </w:rPr>
          <w:t>2024</w:t>
        </w:r>
        <w:r w:rsidRPr="00BF2C1F">
          <w:rPr>
            <w:rStyle w:val="Hyperlink"/>
            <w:sz w:val="24"/>
            <w:lang w:val="de-DE"/>
          </w:rPr>
          <w:t>.</w:t>
        </w:r>
        <w:r w:rsidRPr="001C2208">
          <w:rPr>
            <w:rStyle w:val="Hyperlink"/>
            <w:sz w:val="24"/>
            <w:lang w:val="de-DE"/>
          </w:rPr>
          <w:t>8756</w:t>
        </w:r>
      </w:hyperlink>
      <w:r w:rsidRPr="00BF2C1F">
        <w:rPr>
          <w:sz w:val="24"/>
          <w:lang w:val="de-DE"/>
        </w:rPr>
        <w:t xml:space="preserve">. </w:t>
      </w:r>
    </w:p>
  </w:footnote>
  <w:footnote w:id="9">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 xml:space="preserve">RAC </w:t>
      </w:r>
      <w:proofErr w:type="spellStart"/>
      <w:r w:rsidRPr="00BF2C1F">
        <w:rPr>
          <w:sz w:val="24"/>
          <w:lang w:val="de-DE"/>
        </w:rPr>
        <w:t>opinion</w:t>
      </w:r>
      <w:proofErr w:type="spellEnd"/>
      <w:r w:rsidRPr="00BF2C1F">
        <w:rPr>
          <w:sz w:val="24"/>
          <w:lang w:val="de-DE"/>
        </w:rPr>
        <w:t xml:space="preserve"> </w:t>
      </w:r>
      <w:proofErr w:type="spellStart"/>
      <w:r w:rsidRPr="00BF2C1F">
        <w:rPr>
          <w:sz w:val="24"/>
          <w:lang w:val="de-DE"/>
        </w:rPr>
        <w:t>proposing</w:t>
      </w:r>
      <w:proofErr w:type="spellEnd"/>
      <w:r w:rsidRPr="00BF2C1F">
        <w:rPr>
          <w:sz w:val="24"/>
          <w:lang w:val="de-DE"/>
        </w:rPr>
        <w:t xml:space="preserve"> </w:t>
      </w:r>
      <w:proofErr w:type="spellStart"/>
      <w:r w:rsidRPr="00BF2C1F">
        <w:rPr>
          <w:sz w:val="24"/>
          <w:lang w:val="de-DE"/>
        </w:rPr>
        <w:t>harmonised</w:t>
      </w:r>
      <w:proofErr w:type="spellEnd"/>
      <w:r w:rsidRPr="00BF2C1F">
        <w:rPr>
          <w:sz w:val="24"/>
          <w:lang w:val="de-DE"/>
        </w:rPr>
        <w:t xml:space="preserve"> </w:t>
      </w:r>
      <w:proofErr w:type="spellStart"/>
      <w:r w:rsidRPr="00BF2C1F">
        <w:rPr>
          <w:sz w:val="24"/>
          <w:lang w:val="de-DE"/>
        </w:rPr>
        <w:t>classification</w:t>
      </w:r>
      <w:proofErr w:type="spellEnd"/>
      <w:r w:rsidRPr="00BF2C1F">
        <w:rPr>
          <w:sz w:val="24"/>
          <w:lang w:val="de-DE"/>
        </w:rPr>
        <w:t xml:space="preserve"> and </w:t>
      </w:r>
      <w:proofErr w:type="spellStart"/>
      <w:r w:rsidRPr="00BF2C1F">
        <w:rPr>
          <w:sz w:val="24"/>
          <w:lang w:val="de-DE"/>
        </w:rPr>
        <w:t>labelling</w:t>
      </w:r>
      <w:proofErr w:type="spellEnd"/>
      <w:r w:rsidRPr="00BF2C1F">
        <w:rPr>
          <w:sz w:val="24"/>
          <w:lang w:val="de-DE"/>
        </w:rPr>
        <w:t xml:space="preserve"> at EU </w:t>
      </w:r>
      <w:proofErr w:type="spellStart"/>
      <w:r w:rsidRPr="00BF2C1F">
        <w:rPr>
          <w:sz w:val="24"/>
          <w:lang w:val="de-DE"/>
        </w:rPr>
        <w:t>level</w:t>
      </w:r>
      <w:proofErr w:type="spellEnd"/>
      <w:r w:rsidRPr="00BF2C1F">
        <w:rPr>
          <w:sz w:val="24"/>
          <w:lang w:val="de-DE"/>
        </w:rPr>
        <w:t xml:space="preserve"> of </w:t>
      </w:r>
      <w:proofErr w:type="spellStart"/>
      <w:r w:rsidRPr="00BF2C1F">
        <w:rPr>
          <w:sz w:val="24"/>
          <w:lang w:val="de-DE"/>
        </w:rPr>
        <w:t>carbendazim</w:t>
      </w:r>
      <w:proofErr w:type="spellEnd"/>
      <w:r w:rsidRPr="00BF2C1F">
        <w:rPr>
          <w:sz w:val="24"/>
          <w:lang w:val="de-DE"/>
        </w:rPr>
        <w:t xml:space="preserve"> (ISO); </w:t>
      </w:r>
      <w:proofErr w:type="spellStart"/>
      <w:r w:rsidRPr="00BF2C1F">
        <w:rPr>
          <w:sz w:val="24"/>
          <w:lang w:val="de-DE"/>
        </w:rPr>
        <w:t>methyl</w:t>
      </w:r>
      <w:proofErr w:type="spellEnd"/>
      <w:r w:rsidRPr="00BF2C1F">
        <w:rPr>
          <w:sz w:val="24"/>
          <w:lang w:val="de-DE"/>
        </w:rPr>
        <w:t xml:space="preserve"> benzimidazol-</w:t>
      </w:r>
      <w:r w:rsidRPr="001C2208">
        <w:rPr>
          <w:sz w:val="24"/>
          <w:lang w:val="de-DE"/>
        </w:rPr>
        <w:t>2</w:t>
      </w:r>
      <w:r w:rsidRPr="00BF2C1F">
        <w:rPr>
          <w:sz w:val="24"/>
          <w:lang w:val="de-DE"/>
        </w:rPr>
        <w:t xml:space="preserve">-ylcarbamate (Stellungnahme des Ausschusses für Risikobeurteilung mit dem Vorschlag einer harmonisierten Einstufung und Kennzeichnung auf EU-Ebene für </w:t>
      </w:r>
      <w:proofErr w:type="spellStart"/>
      <w:r w:rsidRPr="00BF2C1F">
        <w:rPr>
          <w:sz w:val="24"/>
          <w:lang w:val="de-DE"/>
        </w:rPr>
        <w:t>Carbendazim</w:t>
      </w:r>
      <w:proofErr w:type="spellEnd"/>
      <w:r w:rsidRPr="00BF2C1F">
        <w:rPr>
          <w:sz w:val="24"/>
          <w:lang w:val="de-DE"/>
        </w:rPr>
        <w:t xml:space="preserve"> (ISO); Methylbenzimidazol-</w:t>
      </w:r>
      <w:r w:rsidRPr="001C2208">
        <w:rPr>
          <w:sz w:val="24"/>
          <w:lang w:val="de-DE"/>
        </w:rPr>
        <w:t>2</w:t>
      </w:r>
      <w:r w:rsidRPr="00BF2C1F">
        <w:rPr>
          <w:sz w:val="24"/>
          <w:lang w:val="de-DE"/>
        </w:rPr>
        <w:t xml:space="preserve">-ylcarbamat), </w:t>
      </w:r>
      <w:hyperlink r:id="rId6" w:history="1">
        <w:r w:rsidRPr="00BF2C1F">
          <w:rPr>
            <w:rStyle w:val="Hyperlink"/>
            <w:sz w:val="24"/>
            <w:lang w:val="de-DE"/>
          </w:rPr>
          <w:t>https://www.echa.europa.eu/documents/</w:t>
        </w:r>
        <w:r w:rsidRPr="001C2208">
          <w:rPr>
            <w:rStyle w:val="Hyperlink"/>
            <w:sz w:val="24"/>
            <w:lang w:val="de-DE"/>
          </w:rPr>
          <w:t>10162</w:t>
        </w:r>
        <w:r w:rsidRPr="00BF2C1F">
          <w:rPr>
            <w:rStyle w:val="Hyperlink"/>
            <w:sz w:val="24"/>
            <w:lang w:val="de-DE"/>
          </w:rPr>
          <w:t>/</w:t>
        </w:r>
        <w:r w:rsidRPr="001C2208">
          <w:rPr>
            <w:rStyle w:val="Hyperlink"/>
            <w:sz w:val="24"/>
            <w:lang w:val="de-DE"/>
          </w:rPr>
          <w:t>5</w:t>
        </w:r>
        <w:r w:rsidRPr="00BF2C1F">
          <w:rPr>
            <w:rStyle w:val="Hyperlink"/>
            <w:sz w:val="24"/>
            <w:lang w:val="de-DE"/>
          </w:rPr>
          <w:t>eb</w:t>
        </w:r>
        <w:r w:rsidRPr="001C2208">
          <w:rPr>
            <w:rStyle w:val="Hyperlink"/>
            <w:sz w:val="24"/>
            <w:lang w:val="de-DE"/>
          </w:rPr>
          <w:t>9760</w:t>
        </w:r>
        <w:r w:rsidRPr="00BF2C1F">
          <w:rPr>
            <w:rStyle w:val="Hyperlink"/>
            <w:sz w:val="24"/>
            <w:lang w:val="de-DE"/>
          </w:rPr>
          <w:t>e-</w:t>
        </w:r>
        <w:r w:rsidRPr="001C2208">
          <w:rPr>
            <w:rStyle w:val="Hyperlink"/>
            <w:sz w:val="24"/>
            <w:lang w:val="de-DE"/>
          </w:rPr>
          <w:t>6</w:t>
        </w:r>
        <w:r w:rsidRPr="00BF2C1F">
          <w:rPr>
            <w:rStyle w:val="Hyperlink"/>
            <w:sz w:val="24"/>
            <w:lang w:val="de-DE"/>
          </w:rPr>
          <w:t>c</w:t>
        </w:r>
        <w:r w:rsidRPr="001C2208">
          <w:rPr>
            <w:rStyle w:val="Hyperlink"/>
            <w:sz w:val="24"/>
            <w:lang w:val="de-DE"/>
          </w:rPr>
          <w:t>73</w:t>
        </w:r>
        <w:r w:rsidRPr="00BF2C1F">
          <w:rPr>
            <w:rStyle w:val="Hyperlink"/>
            <w:sz w:val="24"/>
            <w:lang w:val="de-DE"/>
          </w:rPr>
          <w:t>-</w:t>
        </w:r>
        <w:r w:rsidRPr="001C2208">
          <w:rPr>
            <w:rStyle w:val="Hyperlink"/>
            <w:sz w:val="24"/>
            <w:lang w:val="de-DE"/>
          </w:rPr>
          <w:t>7</w:t>
        </w:r>
        <w:r w:rsidRPr="00BF2C1F">
          <w:rPr>
            <w:rStyle w:val="Hyperlink"/>
            <w:sz w:val="24"/>
            <w:lang w:val="de-DE"/>
          </w:rPr>
          <w:t>f</w:t>
        </w:r>
        <w:r w:rsidRPr="001C2208">
          <w:rPr>
            <w:rStyle w:val="Hyperlink"/>
            <w:sz w:val="24"/>
            <w:lang w:val="de-DE"/>
          </w:rPr>
          <w:t>2</w:t>
        </w:r>
        <w:r w:rsidRPr="00BF2C1F">
          <w:rPr>
            <w:rStyle w:val="Hyperlink"/>
            <w:sz w:val="24"/>
            <w:lang w:val="de-DE"/>
          </w:rPr>
          <w:t>c-</w:t>
        </w:r>
        <w:r w:rsidRPr="001C2208">
          <w:rPr>
            <w:rStyle w:val="Hyperlink"/>
            <w:sz w:val="24"/>
            <w:lang w:val="de-DE"/>
          </w:rPr>
          <w:t>1226</w:t>
        </w:r>
        <w:r w:rsidRPr="00BF2C1F">
          <w:rPr>
            <w:rStyle w:val="Hyperlink"/>
            <w:sz w:val="24"/>
            <w:lang w:val="de-DE"/>
          </w:rPr>
          <w:t>-</w:t>
        </w:r>
        <w:r w:rsidRPr="001C2208">
          <w:rPr>
            <w:rStyle w:val="Hyperlink"/>
            <w:sz w:val="24"/>
            <w:lang w:val="de-DE"/>
          </w:rPr>
          <w:t>98</w:t>
        </w:r>
        <w:r w:rsidRPr="00BF2C1F">
          <w:rPr>
            <w:rStyle w:val="Hyperlink"/>
            <w:sz w:val="24"/>
            <w:lang w:val="de-DE"/>
          </w:rPr>
          <w:t>d</w:t>
        </w:r>
        <w:r w:rsidRPr="001C2208">
          <w:rPr>
            <w:rStyle w:val="Hyperlink"/>
            <w:sz w:val="24"/>
            <w:lang w:val="de-DE"/>
          </w:rPr>
          <w:t>92</w:t>
        </w:r>
        <w:r w:rsidRPr="00BF2C1F">
          <w:rPr>
            <w:rStyle w:val="Hyperlink"/>
            <w:sz w:val="24"/>
            <w:lang w:val="de-DE"/>
          </w:rPr>
          <w:t>ed</w:t>
        </w:r>
        <w:r w:rsidRPr="001C2208">
          <w:rPr>
            <w:rStyle w:val="Hyperlink"/>
            <w:sz w:val="24"/>
            <w:lang w:val="de-DE"/>
          </w:rPr>
          <w:t>847</w:t>
        </w:r>
        <w:r w:rsidRPr="00BF2C1F">
          <w:rPr>
            <w:rStyle w:val="Hyperlink"/>
            <w:sz w:val="24"/>
            <w:lang w:val="de-DE"/>
          </w:rPr>
          <w:t>d</w:t>
        </w:r>
        <w:r w:rsidRPr="001C2208">
          <w:rPr>
            <w:rStyle w:val="Hyperlink"/>
            <w:sz w:val="24"/>
            <w:lang w:val="de-DE"/>
          </w:rPr>
          <w:t>1</w:t>
        </w:r>
      </w:hyperlink>
      <w:r w:rsidRPr="00BF2C1F">
        <w:rPr>
          <w:sz w:val="24"/>
          <w:lang w:val="de-DE"/>
        </w:rPr>
        <w:t>.</w:t>
      </w:r>
    </w:p>
  </w:footnote>
  <w:footnote w:id="10">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ABl. L </w:t>
      </w:r>
      <w:r w:rsidRPr="001C2208">
        <w:rPr>
          <w:sz w:val="24"/>
          <w:lang w:val="de-DE"/>
        </w:rPr>
        <w:t>184</w:t>
      </w:r>
      <w:r w:rsidRPr="00BF2C1F">
        <w:rPr>
          <w:sz w:val="24"/>
          <w:lang w:val="de-DE"/>
        </w:rPr>
        <w:t xml:space="preserve"> vom </w:t>
      </w:r>
      <w:r w:rsidRPr="001C2208">
        <w:rPr>
          <w:sz w:val="24"/>
          <w:lang w:val="de-DE"/>
        </w:rPr>
        <w:t>17</w:t>
      </w:r>
      <w:r w:rsidRPr="00BF2C1F">
        <w:rPr>
          <w:sz w:val="24"/>
          <w:lang w:val="de-DE"/>
        </w:rPr>
        <w:t>.</w:t>
      </w:r>
      <w:r w:rsidRPr="001C2208">
        <w:rPr>
          <w:sz w:val="24"/>
          <w:lang w:val="de-DE"/>
        </w:rPr>
        <w:t>7</w:t>
      </w:r>
      <w:r w:rsidRPr="00BF2C1F">
        <w:rPr>
          <w:sz w:val="24"/>
          <w:lang w:val="de-DE"/>
        </w:rPr>
        <w:t>.</w:t>
      </w:r>
      <w:r w:rsidRPr="001C2208">
        <w:rPr>
          <w:sz w:val="24"/>
          <w:lang w:val="de-DE"/>
        </w:rPr>
        <w:t>1999</w:t>
      </w:r>
      <w:r w:rsidRPr="00BF2C1F">
        <w:rPr>
          <w:sz w:val="24"/>
          <w:lang w:val="de-DE"/>
        </w:rPr>
        <w:t>, S. </w:t>
      </w:r>
      <w:r w:rsidRPr="001C2208">
        <w:rPr>
          <w:sz w:val="24"/>
          <w:lang w:val="de-DE"/>
        </w:rPr>
        <w:t>23</w:t>
      </w:r>
      <w:r w:rsidRPr="00BF2C1F">
        <w:rPr>
          <w:sz w:val="24"/>
          <w:lang w:val="de-DE"/>
        </w:rPr>
        <w:t>.</w:t>
      </w:r>
    </w:p>
  </w:footnote>
  <w:footnote w:id="11">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Verordnung (EG) Nr. </w:t>
      </w:r>
      <w:r w:rsidRPr="001C2208">
        <w:rPr>
          <w:sz w:val="24"/>
          <w:lang w:val="de-DE"/>
        </w:rPr>
        <w:t>1272</w:t>
      </w:r>
      <w:r w:rsidRPr="00BF2C1F">
        <w:rPr>
          <w:sz w:val="24"/>
          <w:lang w:val="de-DE"/>
        </w:rPr>
        <w:t>/</w:t>
      </w:r>
      <w:r w:rsidRPr="001C2208">
        <w:rPr>
          <w:sz w:val="24"/>
          <w:lang w:val="de-DE"/>
        </w:rPr>
        <w:t>2008</w:t>
      </w:r>
      <w:r w:rsidRPr="00BF2C1F">
        <w:rPr>
          <w:sz w:val="24"/>
          <w:lang w:val="de-DE"/>
        </w:rPr>
        <w:t xml:space="preserve"> des Europäischen Parlaments und des Rates vom </w:t>
      </w:r>
      <w:r w:rsidRPr="001C2208">
        <w:rPr>
          <w:sz w:val="24"/>
          <w:lang w:val="de-DE"/>
        </w:rPr>
        <w:t>16</w:t>
      </w:r>
      <w:r w:rsidRPr="00BF2C1F">
        <w:rPr>
          <w:sz w:val="24"/>
          <w:lang w:val="de-DE"/>
        </w:rPr>
        <w:t xml:space="preserve">. Dezember </w:t>
      </w:r>
      <w:r w:rsidRPr="001C2208">
        <w:rPr>
          <w:sz w:val="24"/>
          <w:lang w:val="de-DE"/>
        </w:rPr>
        <w:t>2008</w:t>
      </w:r>
      <w:r w:rsidRPr="00BF2C1F">
        <w:rPr>
          <w:sz w:val="24"/>
          <w:lang w:val="de-DE"/>
        </w:rPr>
        <w:t xml:space="preserve"> über die Einstufung, Kennzeichnung und Verpackung von Stoffen und Gemischen, zur Änderung und Aufhebung der Richtlinien </w:t>
      </w:r>
      <w:r w:rsidRPr="001C2208">
        <w:rPr>
          <w:sz w:val="24"/>
          <w:lang w:val="de-DE"/>
        </w:rPr>
        <w:t>67</w:t>
      </w:r>
      <w:r w:rsidRPr="00BF2C1F">
        <w:rPr>
          <w:sz w:val="24"/>
          <w:lang w:val="de-DE"/>
        </w:rPr>
        <w:t>/</w:t>
      </w:r>
      <w:r w:rsidRPr="001C2208">
        <w:rPr>
          <w:sz w:val="24"/>
          <w:lang w:val="de-DE"/>
        </w:rPr>
        <w:t>548</w:t>
      </w:r>
      <w:r w:rsidRPr="00BF2C1F">
        <w:rPr>
          <w:sz w:val="24"/>
          <w:lang w:val="de-DE"/>
        </w:rPr>
        <w:t xml:space="preserve">/EWG und </w:t>
      </w:r>
      <w:r w:rsidRPr="001C2208">
        <w:rPr>
          <w:sz w:val="24"/>
          <w:lang w:val="de-DE"/>
        </w:rPr>
        <w:t>1999</w:t>
      </w:r>
      <w:r w:rsidRPr="00BF2C1F">
        <w:rPr>
          <w:sz w:val="24"/>
          <w:lang w:val="de-DE"/>
        </w:rPr>
        <w:t>/</w:t>
      </w:r>
      <w:r w:rsidRPr="001C2208">
        <w:rPr>
          <w:sz w:val="24"/>
          <w:lang w:val="de-DE"/>
        </w:rPr>
        <w:t>45</w:t>
      </w:r>
      <w:r w:rsidRPr="00BF2C1F">
        <w:rPr>
          <w:sz w:val="24"/>
          <w:lang w:val="de-DE"/>
        </w:rPr>
        <w:t>/EG und zur Änderung der Verordnung (EG) Nr. </w:t>
      </w:r>
      <w:r w:rsidRPr="001C2208">
        <w:rPr>
          <w:sz w:val="24"/>
          <w:lang w:val="de-DE"/>
        </w:rPr>
        <w:t>1907</w:t>
      </w:r>
      <w:r w:rsidRPr="00BF2C1F">
        <w:rPr>
          <w:sz w:val="24"/>
          <w:lang w:val="de-DE"/>
        </w:rPr>
        <w:t>/</w:t>
      </w:r>
      <w:r w:rsidRPr="001C2208">
        <w:rPr>
          <w:sz w:val="24"/>
          <w:lang w:val="de-DE"/>
        </w:rPr>
        <w:t>2006</w:t>
      </w:r>
      <w:r w:rsidRPr="00BF2C1F">
        <w:rPr>
          <w:sz w:val="24"/>
          <w:lang w:val="de-DE"/>
        </w:rPr>
        <w:t xml:space="preserve"> </w:t>
      </w:r>
      <w:r w:rsidR="001C2208">
        <w:rPr>
          <w:sz w:val="24"/>
          <w:lang w:val="de-DE"/>
        </w:rPr>
        <w:t>(</w:t>
      </w:r>
      <w:r w:rsidRPr="00BF2C1F">
        <w:rPr>
          <w:sz w:val="24"/>
          <w:lang w:val="de-DE"/>
        </w:rPr>
        <w:t>ABl. L </w:t>
      </w:r>
      <w:r w:rsidRPr="001C2208">
        <w:rPr>
          <w:sz w:val="24"/>
          <w:lang w:val="de-DE"/>
        </w:rPr>
        <w:t>353</w:t>
      </w:r>
      <w:r w:rsidRPr="00BF2C1F">
        <w:rPr>
          <w:sz w:val="24"/>
          <w:lang w:val="de-DE"/>
        </w:rPr>
        <w:t xml:space="preserve"> vom </w:t>
      </w:r>
      <w:r w:rsidRPr="001C2208">
        <w:rPr>
          <w:sz w:val="24"/>
          <w:lang w:val="de-DE"/>
        </w:rPr>
        <w:t>31</w:t>
      </w:r>
      <w:r w:rsidRPr="00BF2C1F">
        <w:rPr>
          <w:sz w:val="24"/>
          <w:lang w:val="de-DE"/>
        </w:rPr>
        <w:t>.</w:t>
      </w:r>
      <w:r w:rsidRPr="001C2208">
        <w:rPr>
          <w:sz w:val="24"/>
          <w:lang w:val="de-DE"/>
        </w:rPr>
        <w:t>12</w:t>
      </w:r>
      <w:r w:rsidRPr="00BF2C1F">
        <w:rPr>
          <w:sz w:val="24"/>
          <w:lang w:val="de-DE"/>
        </w:rPr>
        <w:t>.</w:t>
      </w:r>
      <w:r w:rsidRPr="001C2208">
        <w:rPr>
          <w:sz w:val="24"/>
          <w:lang w:val="de-DE"/>
        </w:rPr>
        <w:t>2008</w:t>
      </w:r>
      <w:r w:rsidRPr="00BF2C1F">
        <w:rPr>
          <w:sz w:val="24"/>
          <w:lang w:val="de-DE"/>
        </w:rPr>
        <w:t>, S. </w:t>
      </w:r>
      <w:r w:rsidRPr="001C2208">
        <w:rPr>
          <w:sz w:val="24"/>
          <w:lang w:val="de-DE"/>
        </w:rPr>
        <w:t>1</w:t>
      </w:r>
      <w:r w:rsidR="001C2208">
        <w:rPr>
          <w:sz w:val="24"/>
          <w:lang w:val="de-DE"/>
        </w:rPr>
        <w:t>)</w:t>
      </w:r>
      <w:r w:rsidRPr="00BF2C1F">
        <w:rPr>
          <w:sz w:val="24"/>
          <w:lang w:val="de-DE"/>
        </w:rPr>
        <w:t>.</w:t>
      </w:r>
    </w:p>
  </w:footnote>
  <w:footnote w:id="12">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Verordnung (EG) Nr. </w:t>
      </w:r>
      <w:r w:rsidRPr="001C2208">
        <w:rPr>
          <w:sz w:val="24"/>
          <w:lang w:val="de-DE"/>
        </w:rPr>
        <w:t>1272</w:t>
      </w:r>
      <w:r w:rsidRPr="00BF2C1F">
        <w:rPr>
          <w:sz w:val="24"/>
          <w:lang w:val="de-DE"/>
        </w:rPr>
        <w:t>/</w:t>
      </w:r>
      <w:r w:rsidRPr="001C2208">
        <w:rPr>
          <w:sz w:val="24"/>
          <w:lang w:val="de-DE"/>
        </w:rPr>
        <w:t>2008</w:t>
      </w:r>
      <w:r w:rsidRPr="00BF2C1F">
        <w:rPr>
          <w:sz w:val="24"/>
          <w:lang w:val="de-DE"/>
        </w:rPr>
        <w:t xml:space="preserve"> des Europäischen Parlaments und des Rates vom </w:t>
      </w:r>
      <w:r w:rsidRPr="001C2208">
        <w:rPr>
          <w:sz w:val="24"/>
          <w:lang w:val="de-DE"/>
        </w:rPr>
        <w:t>16</w:t>
      </w:r>
      <w:r w:rsidRPr="00BF2C1F">
        <w:rPr>
          <w:sz w:val="24"/>
          <w:lang w:val="de-DE"/>
        </w:rPr>
        <w:t xml:space="preserve">. Dezember </w:t>
      </w:r>
      <w:r w:rsidRPr="001C2208">
        <w:rPr>
          <w:sz w:val="24"/>
          <w:lang w:val="de-DE"/>
        </w:rPr>
        <w:t>2008</w:t>
      </w:r>
      <w:r w:rsidRPr="00BF2C1F">
        <w:rPr>
          <w:sz w:val="24"/>
          <w:lang w:val="de-DE"/>
        </w:rPr>
        <w:t xml:space="preserve"> über die Einstufung, Kennzeichnung und Verpackung von Stoffen und Gemischen, zur Änderung und Aufhebung der Richtlinien </w:t>
      </w:r>
      <w:r w:rsidRPr="001C2208">
        <w:rPr>
          <w:sz w:val="24"/>
          <w:lang w:val="de-DE"/>
        </w:rPr>
        <w:t>67</w:t>
      </w:r>
      <w:r w:rsidRPr="00BF2C1F">
        <w:rPr>
          <w:sz w:val="24"/>
          <w:lang w:val="de-DE"/>
        </w:rPr>
        <w:t>/</w:t>
      </w:r>
      <w:r w:rsidRPr="001C2208">
        <w:rPr>
          <w:sz w:val="24"/>
          <w:lang w:val="de-DE"/>
        </w:rPr>
        <w:t>548</w:t>
      </w:r>
      <w:r w:rsidRPr="00BF2C1F">
        <w:rPr>
          <w:sz w:val="24"/>
          <w:lang w:val="de-DE"/>
        </w:rPr>
        <w:t xml:space="preserve">/EWG und </w:t>
      </w:r>
      <w:r w:rsidRPr="001C2208">
        <w:rPr>
          <w:sz w:val="24"/>
          <w:lang w:val="de-DE"/>
        </w:rPr>
        <w:t>1999</w:t>
      </w:r>
      <w:r w:rsidRPr="00BF2C1F">
        <w:rPr>
          <w:sz w:val="24"/>
          <w:lang w:val="de-DE"/>
        </w:rPr>
        <w:t>/</w:t>
      </w:r>
      <w:r w:rsidRPr="001C2208">
        <w:rPr>
          <w:sz w:val="24"/>
          <w:lang w:val="de-DE"/>
        </w:rPr>
        <w:t>45</w:t>
      </w:r>
      <w:r w:rsidRPr="00BF2C1F">
        <w:rPr>
          <w:sz w:val="24"/>
          <w:lang w:val="de-DE"/>
        </w:rPr>
        <w:t>/EG und zur Änderung der Verordnung (EG) Nr. </w:t>
      </w:r>
      <w:r w:rsidRPr="001C2208">
        <w:rPr>
          <w:sz w:val="24"/>
          <w:lang w:val="de-DE"/>
        </w:rPr>
        <w:t>1907</w:t>
      </w:r>
      <w:r w:rsidRPr="00BF2C1F">
        <w:rPr>
          <w:sz w:val="24"/>
          <w:lang w:val="de-DE"/>
        </w:rPr>
        <w:t>/</w:t>
      </w:r>
      <w:r w:rsidRPr="001C2208">
        <w:rPr>
          <w:sz w:val="24"/>
          <w:lang w:val="de-DE"/>
        </w:rPr>
        <w:t>2006</w:t>
      </w:r>
      <w:r w:rsidRPr="00BF2C1F">
        <w:rPr>
          <w:sz w:val="24"/>
          <w:lang w:val="de-DE"/>
        </w:rPr>
        <w:t xml:space="preserve"> </w:t>
      </w:r>
      <w:r w:rsidR="001C2208">
        <w:rPr>
          <w:sz w:val="24"/>
          <w:lang w:val="de-DE"/>
        </w:rPr>
        <w:t>(</w:t>
      </w:r>
      <w:r w:rsidRPr="00BF2C1F">
        <w:rPr>
          <w:sz w:val="24"/>
          <w:lang w:val="de-DE"/>
        </w:rPr>
        <w:t>ABl. L </w:t>
      </w:r>
      <w:r w:rsidRPr="001C2208">
        <w:rPr>
          <w:sz w:val="24"/>
          <w:lang w:val="de-DE"/>
        </w:rPr>
        <w:t>353</w:t>
      </w:r>
      <w:r w:rsidRPr="00BF2C1F">
        <w:rPr>
          <w:sz w:val="24"/>
          <w:lang w:val="de-DE"/>
        </w:rPr>
        <w:t xml:space="preserve"> vom </w:t>
      </w:r>
      <w:r w:rsidRPr="001C2208">
        <w:rPr>
          <w:sz w:val="24"/>
          <w:lang w:val="de-DE"/>
        </w:rPr>
        <w:t>31</w:t>
      </w:r>
      <w:r w:rsidRPr="00BF2C1F">
        <w:rPr>
          <w:sz w:val="24"/>
          <w:lang w:val="de-DE"/>
        </w:rPr>
        <w:t>.</w:t>
      </w:r>
      <w:r w:rsidRPr="001C2208">
        <w:rPr>
          <w:sz w:val="24"/>
          <w:lang w:val="de-DE"/>
        </w:rPr>
        <w:t>12</w:t>
      </w:r>
      <w:r w:rsidRPr="00BF2C1F">
        <w:rPr>
          <w:sz w:val="24"/>
          <w:lang w:val="de-DE"/>
        </w:rPr>
        <w:t>.</w:t>
      </w:r>
      <w:r w:rsidRPr="001C2208">
        <w:rPr>
          <w:sz w:val="24"/>
          <w:lang w:val="de-DE"/>
        </w:rPr>
        <w:t>2008</w:t>
      </w:r>
      <w:r w:rsidRPr="00BF2C1F">
        <w:rPr>
          <w:sz w:val="24"/>
          <w:lang w:val="de-DE"/>
        </w:rPr>
        <w:t>, S. </w:t>
      </w:r>
      <w:r w:rsidRPr="001C2208">
        <w:rPr>
          <w:sz w:val="24"/>
          <w:lang w:val="de-DE"/>
        </w:rPr>
        <w:t>1</w:t>
      </w:r>
      <w:r w:rsidR="001C2208">
        <w:rPr>
          <w:sz w:val="24"/>
          <w:lang w:val="de-DE"/>
        </w:rPr>
        <w:t>)</w:t>
      </w:r>
      <w:r w:rsidRPr="00BF2C1F">
        <w:rPr>
          <w:sz w:val="24"/>
          <w:lang w:val="de-DE"/>
        </w:rPr>
        <w:t>.</w:t>
      </w:r>
    </w:p>
  </w:footnote>
  <w:footnote w:id="13">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sz w:val="24"/>
          <w:lang w:val="de-DE"/>
        </w:rPr>
        <w:t xml:space="preserve"> </w:t>
      </w:r>
      <w:r w:rsidR="00BF2C1F" w:rsidRPr="00BF2C1F">
        <w:rPr>
          <w:sz w:val="24"/>
          <w:lang w:val="de-DE"/>
        </w:rPr>
        <w:tab/>
      </w:r>
      <w:r w:rsidRPr="00BF2C1F">
        <w:rPr>
          <w:sz w:val="24"/>
          <w:lang w:val="de-DE"/>
        </w:rPr>
        <w:t xml:space="preserve">Verordnung (EU) </w:t>
      </w:r>
      <w:r w:rsidRPr="001C2208">
        <w:rPr>
          <w:sz w:val="24"/>
          <w:lang w:val="de-DE"/>
        </w:rPr>
        <w:t>2018</w:t>
      </w:r>
      <w:r w:rsidRPr="00BF2C1F">
        <w:rPr>
          <w:sz w:val="24"/>
          <w:lang w:val="de-DE"/>
        </w:rPr>
        <w:t>/</w:t>
      </w:r>
      <w:r w:rsidRPr="001C2208">
        <w:rPr>
          <w:sz w:val="24"/>
          <w:lang w:val="de-DE"/>
        </w:rPr>
        <w:t>605</w:t>
      </w:r>
      <w:r w:rsidRPr="00BF2C1F">
        <w:rPr>
          <w:sz w:val="24"/>
          <w:lang w:val="de-DE"/>
        </w:rPr>
        <w:t xml:space="preserve"> der Kommission vom </w:t>
      </w:r>
      <w:r w:rsidRPr="001C2208">
        <w:rPr>
          <w:sz w:val="24"/>
          <w:lang w:val="de-DE"/>
        </w:rPr>
        <w:t>19</w:t>
      </w:r>
      <w:r w:rsidRPr="00BF2C1F">
        <w:rPr>
          <w:sz w:val="24"/>
          <w:lang w:val="de-DE"/>
        </w:rPr>
        <w:t xml:space="preserve">. April </w:t>
      </w:r>
      <w:r w:rsidRPr="001C2208">
        <w:rPr>
          <w:sz w:val="24"/>
          <w:lang w:val="de-DE"/>
        </w:rPr>
        <w:t>2018</w:t>
      </w:r>
      <w:r w:rsidRPr="00BF2C1F">
        <w:rPr>
          <w:sz w:val="24"/>
          <w:lang w:val="de-DE"/>
        </w:rPr>
        <w:t xml:space="preserve"> zur Änderung von Anhang II der Verordnung (EG) Nr. </w:t>
      </w:r>
      <w:r w:rsidRPr="001C2208">
        <w:rPr>
          <w:sz w:val="24"/>
          <w:lang w:val="de-DE"/>
        </w:rPr>
        <w:t>1107</w:t>
      </w:r>
      <w:r w:rsidRPr="00BF2C1F">
        <w:rPr>
          <w:sz w:val="24"/>
          <w:lang w:val="de-DE"/>
        </w:rPr>
        <w:t>/</w:t>
      </w:r>
      <w:r w:rsidRPr="001C2208">
        <w:rPr>
          <w:sz w:val="24"/>
          <w:lang w:val="de-DE"/>
        </w:rPr>
        <w:t>2009</w:t>
      </w:r>
      <w:r w:rsidRPr="00BF2C1F">
        <w:rPr>
          <w:sz w:val="24"/>
          <w:lang w:val="de-DE"/>
        </w:rPr>
        <w:t xml:space="preserve"> durch die Festlegung wissenschaftlicher Kriterien für die Bestimmung </w:t>
      </w:r>
      <w:proofErr w:type="spellStart"/>
      <w:r w:rsidRPr="00BF2C1F">
        <w:rPr>
          <w:sz w:val="24"/>
          <w:lang w:val="de-DE"/>
        </w:rPr>
        <w:t>endokrinschädlicher</w:t>
      </w:r>
      <w:proofErr w:type="spellEnd"/>
      <w:r w:rsidRPr="00BF2C1F">
        <w:rPr>
          <w:sz w:val="24"/>
          <w:lang w:val="de-DE"/>
        </w:rPr>
        <w:t xml:space="preserve"> Eigenschaften </w:t>
      </w:r>
      <w:r w:rsidR="001C2208">
        <w:rPr>
          <w:sz w:val="24"/>
          <w:lang w:val="de-DE"/>
        </w:rPr>
        <w:t>(</w:t>
      </w:r>
      <w:r w:rsidRPr="00BF2C1F">
        <w:rPr>
          <w:sz w:val="24"/>
          <w:lang w:val="de-DE"/>
        </w:rPr>
        <w:t>ABl. L </w:t>
      </w:r>
      <w:r w:rsidRPr="001C2208">
        <w:rPr>
          <w:sz w:val="24"/>
          <w:lang w:val="de-DE"/>
        </w:rPr>
        <w:t>101</w:t>
      </w:r>
      <w:r w:rsidRPr="00BF2C1F">
        <w:rPr>
          <w:sz w:val="24"/>
          <w:lang w:val="de-DE"/>
        </w:rPr>
        <w:t xml:space="preserve"> vom </w:t>
      </w:r>
      <w:r w:rsidRPr="001C2208">
        <w:rPr>
          <w:sz w:val="24"/>
          <w:lang w:val="de-DE"/>
        </w:rPr>
        <w:t>20</w:t>
      </w:r>
      <w:r w:rsidRPr="00BF2C1F">
        <w:rPr>
          <w:sz w:val="24"/>
          <w:lang w:val="de-DE"/>
        </w:rPr>
        <w:t>.</w:t>
      </w:r>
      <w:r w:rsidRPr="001C2208">
        <w:rPr>
          <w:sz w:val="24"/>
          <w:lang w:val="de-DE"/>
        </w:rPr>
        <w:t>4</w:t>
      </w:r>
      <w:r w:rsidRPr="00BF2C1F">
        <w:rPr>
          <w:sz w:val="24"/>
          <w:lang w:val="de-DE"/>
        </w:rPr>
        <w:t>.</w:t>
      </w:r>
      <w:r w:rsidRPr="001C2208">
        <w:rPr>
          <w:sz w:val="24"/>
          <w:lang w:val="de-DE"/>
        </w:rPr>
        <w:t>2018</w:t>
      </w:r>
      <w:r w:rsidRPr="00BF2C1F">
        <w:rPr>
          <w:sz w:val="24"/>
          <w:lang w:val="de-DE"/>
        </w:rPr>
        <w:t>, S. </w:t>
      </w:r>
      <w:r w:rsidRPr="001C2208">
        <w:rPr>
          <w:sz w:val="24"/>
          <w:lang w:val="de-DE"/>
        </w:rPr>
        <w:t>33</w:t>
      </w:r>
      <w:r w:rsidR="001C2208">
        <w:rPr>
          <w:sz w:val="24"/>
          <w:lang w:val="de-DE"/>
        </w:rPr>
        <w:t>)</w:t>
      </w:r>
      <w:r w:rsidRPr="00BF2C1F">
        <w:rPr>
          <w:sz w:val="24"/>
          <w:lang w:val="de-DE"/>
        </w:rPr>
        <w:t>.</w:t>
      </w:r>
    </w:p>
  </w:footnote>
  <w:footnote w:id="14">
    <w:p w:rsidR="00765984" w:rsidRPr="00BF2C1F" w:rsidRDefault="00765984" w:rsidP="00BF2C1F">
      <w:pPr>
        <w:pStyle w:val="FootnoteText"/>
        <w:ind w:left="567" w:hanging="567"/>
        <w:rPr>
          <w:sz w:val="24"/>
          <w:lang w:val="de-DE"/>
        </w:rPr>
      </w:pPr>
      <w:r w:rsidRPr="00BF2C1F">
        <w:rPr>
          <w:rStyle w:val="FootnoteReference"/>
          <w:sz w:val="24"/>
          <w:lang w:val="de-DE"/>
        </w:rPr>
        <w:footnoteRef/>
      </w:r>
      <w:r w:rsidR="00BF2C1F" w:rsidRPr="00BF2C1F">
        <w:rPr>
          <w:rStyle w:val="Hyperlink"/>
          <w:sz w:val="24"/>
          <w:lang w:val="de-DE"/>
        </w:rPr>
        <w:t xml:space="preserve"> </w:t>
      </w:r>
      <w:r w:rsidR="00BF2C1F" w:rsidRPr="00BF2C1F">
        <w:rPr>
          <w:rStyle w:val="Hyperlink"/>
          <w:sz w:val="24"/>
          <w:lang w:val="de-DE"/>
        </w:rPr>
        <w:tab/>
      </w:r>
      <w:r w:rsidRPr="00BF2C1F">
        <w:rPr>
          <w:rStyle w:val="Hyperlink"/>
          <w:sz w:val="24"/>
          <w:lang w:val="de-DE"/>
        </w:rPr>
        <w:t>https://ec.europa.eu/transparency/comitology-register/screen/documents/</w:t>
      </w:r>
      <w:r w:rsidRPr="001C2208">
        <w:rPr>
          <w:rStyle w:val="Hyperlink"/>
          <w:sz w:val="24"/>
          <w:lang w:val="de-DE"/>
        </w:rPr>
        <w:t>089880</w:t>
      </w:r>
      <w:r w:rsidRPr="00BF2C1F">
        <w:rPr>
          <w:rStyle w:val="Hyperlink"/>
          <w:sz w:val="24"/>
          <w:lang w:val="de-DE"/>
        </w:rPr>
        <w:t>/</w:t>
      </w:r>
      <w:r w:rsidRPr="001C2208">
        <w:rPr>
          <w:rStyle w:val="Hyperlink"/>
          <w:sz w:val="24"/>
          <w:lang w:val="de-DE"/>
        </w:rPr>
        <w:t>5</w:t>
      </w:r>
      <w:r w:rsidRPr="00BF2C1F">
        <w:rPr>
          <w:rStyle w:val="Hyperlink"/>
          <w:sz w:val="24"/>
          <w:lang w:val="de-DE"/>
        </w:rPr>
        <w:t>/consult?lang=de</w:t>
      </w:r>
    </w:p>
  </w:footnote>
  <w:footnote w:id="15">
    <w:p w:rsidR="00765984" w:rsidRPr="00BF2C1F" w:rsidRDefault="00765984" w:rsidP="00BF2C1F">
      <w:pPr>
        <w:pStyle w:val="FootnoteText"/>
        <w:ind w:left="567" w:hanging="567"/>
        <w:rPr>
          <w:iCs/>
          <w:sz w:val="24"/>
          <w:lang w:val="de-DE"/>
        </w:rPr>
      </w:pPr>
      <w:r w:rsidRPr="00BF2C1F">
        <w:rPr>
          <w:iCs/>
          <w:sz w:val="24"/>
          <w:vertAlign w:val="superscript"/>
          <w:lang w:val="de-DE"/>
        </w:rPr>
        <w:footnoteRef/>
      </w:r>
      <w:r w:rsidR="00BF2C1F" w:rsidRPr="00BF2C1F">
        <w:rPr>
          <w:sz w:val="24"/>
          <w:lang w:val="de-DE"/>
        </w:rPr>
        <w:t xml:space="preserve"> </w:t>
      </w:r>
      <w:r w:rsidR="00BF2C1F" w:rsidRPr="00BF2C1F">
        <w:rPr>
          <w:sz w:val="24"/>
          <w:lang w:val="de-DE"/>
        </w:rPr>
        <w:tab/>
      </w:r>
      <w:r w:rsidRPr="00BF2C1F">
        <w:rPr>
          <w:sz w:val="24"/>
          <w:lang w:val="de-DE"/>
        </w:rPr>
        <w:t>COM(</w:t>
      </w:r>
      <w:r w:rsidRPr="001C2208">
        <w:rPr>
          <w:sz w:val="24"/>
          <w:lang w:val="de-DE"/>
        </w:rPr>
        <w:t>2020</w:t>
      </w:r>
      <w:r w:rsidRPr="00BF2C1F">
        <w:rPr>
          <w:sz w:val="24"/>
          <w:lang w:val="de-DE"/>
        </w:rPr>
        <w:t>)</w:t>
      </w:r>
      <w:r w:rsidRPr="001C2208">
        <w:rPr>
          <w:sz w:val="24"/>
          <w:lang w:val="de-DE"/>
        </w:rPr>
        <w:t>0381</w:t>
      </w:r>
      <w:r w:rsidRPr="00BF2C1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C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C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C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DE"/>
    <w:docVar w:name="dvnumam" w:val="0"/>
    <w:docVar w:name="dvpe" w:val="763.090"/>
    <w:docVar w:name="dvtitre" w:val="Entschließung des Europäischen Parlaments vom 18. September 2024 zu dem Entwurf einer Verordnung der Kommission zur Änderung der Anhänge II, III und V der Verordnung (EG) Nr. 396/2005 des Europäischen Parlaments und des Rates hinsichtlich der Höchstgehalte an Rückständen von Benomyl, Carbendazim und Thiophanat-methyl in oder auf bestimmten Erzeugnissen (D089819/05 – 2024/2758(RPS))"/>
  </w:docVars>
  <w:rsids>
    <w:rsidRoot w:val="00CA7CF4"/>
    <w:rsid w:val="00002272"/>
    <w:rsid w:val="00064002"/>
    <w:rsid w:val="000677B9"/>
    <w:rsid w:val="000831BA"/>
    <w:rsid w:val="000A42CC"/>
    <w:rsid w:val="000E7DD9"/>
    <w:rsid w:val="0010095E"/>
    <w:rsid w:val="00125B37"/>
    <w:rsid w:val="00187494"/>
    <w:rsid w:val="001C220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984"/>
    <w:rsid w:val="0078042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2C1F"/>
    <w:rsid w:val="00C05BFE"/>
    <w:rsid w:val="00C23CD4"/>
    <w:rsid w:val="00C61C0C"/>
    <w:rsid w:val="00C941CB"/>
    <w:rsid w:val="00CA7CF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5A5CF"/>
  <w15:chartTrackingRefBased/>
  <w15:docId w15:val="{718A7A06-60CB-4976-9B68-99B1F78A2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5984"/>
    <w:pPr>
      <w:spacing w:before="480" w:after="240"/>
    </w:pPr>
  </w:style>
  <w:style w:type="paragraph" w:customStyle="1" w:styleId="NormalHanging12a">
    <w:name w:val="NormalHanging12a"/>
    <w:basedOn w:val="Normal"/>
    <w:rsid w:val="00765984"/>
    <w:pPr>
      <w:spacing w:after="240"/>
      <w:ind w:left="567" w:hanging="567"/>
    </w:pPr>
  </w:style>
  <w:style w:type="character" w:styleId="Hyperlink">
    <w:name w:val="Hyperlink"/>
    <w:basedOn w:val="DefaultParagraphFont"/>
    <w:uiPriority w:val="99"/>
    <w:rsid w:val="00765984"/>
    <w:rPr>
      <w:color w:val="0563C1" w:themeColor="hyperlink"/>
      <w:u w:val="single"/>
    </w:rPr>
  </w:style>
  <w:style w:type="paragraph" w:styleId="BalloonText">
    <w:name w:val="Balloon Text"/>
    <w:basedOn w:val="Normal"/>
    <w:link w:val="BalloonTextChar"/>
    <w:rsid w:val="001C2208"/>
    <w:rPr>
      <w:rFonts w:ascii="Segoe UI" w:hAnsi="Segoe UI" w:cs="Segoe UI"/>
      <w:sz w:val="18"/>
      <w:szCs w:val="18"/>
    </w:rPr>
  </w:style>
  <w:style w:type="character" w:customStyle="1" w:styleId="BalloonTextChar">
    <w:name w:val="Balloon Text Char"/>
    <w:basedOn w:val="DefaultParagraphFont"/>
    <w:link w:val="BalloonText"/>
    <w:rsid w:val="001C2208"/>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EBBD3-177B-4070-9294-4254FD459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2320</Words>
  <Characters>13227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2024-09-18T12:35:00Z</dcterms:created>
  <dcterms:modified xsi:type="dcterms:W3CDTF">2024-09-18T12:35:00Z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B10-0020/2024</vt:lpwstr>
  </property>
  <property fmtid="{D5CDD505-2E9C-101B-9397-08002B2CF9AE}" pid="4" name="&lt;Type&gt;">
    <vt:lpwstr>RR</vt:lpwstr>
  </property>
</Properties>
</file>