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66F6" w:rsidTr="0010095E">
        <w:trPr>
          <w:trHeight w:hRule="exact" w:val="1418"/>
        </w:trPr>
        <w:tc>
          <w:tcPr>
            <w:tcW w:w="6804" w:type="dxa"/>
            <w:shd w:val="clear" w:color="auto" w:fill="auto"/>
            <w:vAlign w:val="center"/>
          </w:tcPr>
          <w:p w:rsidR="00751A4A" w:rsidRPr="000C66F6" w:rsidRDefault="00845575" w:rsidP="0010095E">
            <w:pPr>
              <w:pStyle w:val="EPName"/>
            </w:pPr>
            <w:r w:rsidRPr="000C66F6">
              <w:t>Ευρωπαϊκό Κοινοβούλιο</w:t>
            </w:r>
          </w:p>
          <w:p w:rsidR="00751A4A" w:rsidRPr="000C66F6" w:rsidRDefault="005F1B17" w:rsidP="005F1B17">
            <w:pPr>
              <w:pStyle w:val="EPTerm"/>
              <w:rPr>
                <w:rStyle w:val="HideTWBExt"/>
                <w:noProof w:val="0"/>
                <w:vanish w:val="0"/>
                <w:color w:val="auto"/>
              </w:rPr>
            </w:pPr>
            <w:r w:rsidRPr="000C66F6">
              <w:t>2024</w:t>
            </w:r>
            <w:r w:rsidR="00817416" w:rsidRPr="000C66F6">
              <w:t>-202</w:t>
            </w:r>
            <w:r w:rsidRPr="000C66F6">
              <w:t>9</w:t>
            </w:r>
          </w:p>
        </w:tc>
        <w:tc>
          <w:tcPr>
            <w:tcW w:w="2268" w:type="dxa"/>
            <w:shd w:val="clear" w:color="auto" w:fill="auto"/>
          </w:tcPr>
          <w:p w:rsidR="00751A4A" w:rsidRPr="000C66F6" w:rsidRDefault="00187494" w:rsidP="0010095E">
            <w:pPr>
              <w:pStyle w:val="EPLogo"/>
            </w:pPr>
            <w:r w:rsidRPr="000C66F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C66F6" w:rsidRDefault="00D058B8" w:rsidP="004C5D52">
      <w:pPr>
        <w:pStyle w:val="LineTop"/>
      </w:pPr>
    </w:p>
    <w:p w:rsidR="00680577" w:rsidRPr="000C66F6" w:rsidRDefault="00845575" w:rsidP="00680577">
      <w:pPr>
        <w:pStyle w:val="EPBodyTA1"/>
      </w:pPr>
      <w:r w:rsidRPr="000C66F6">
        <w:t>ΚΕΙΜΕΝΑ ΠΟΥ ΕΓΚΡΙΘΗΚΑΝ</w:t>
      </w:r>
    </w:p>
    <w:p w:rsidR="00D058B8" w:rsidRPr="000C66F6" w:rsidRDefault="00D058B8" w:rsidP="00D058B8">
      <w:pPr>
        <w:pStyle w:val="LineBottom"/>
      </w:pPr>
    </w:p>
    <w:p w:rsidR="00845575" w:rsidRPr="000C66F6" w:rsidRDefault="00845575" w:rsidP="00845575">
      <w:pPr>
        <w:pStyle w:val="ATHeading1"/>
      </w:pPr>
      <w:bookmarkStart w:id="0" w:name="TANumber"/>
      <w:r w:rsidRPr="000C66F6">
        <w:t>P10_TA(2024)000</w:t>
      </w:r>
      <w:r w:rsidR="000C66F6" w:rsidRPr="000C66F6">
        <w:t>6</w:t>
      </w:r>
      <w:bookmarkEnd w:id="0"/>
    </w:p>
    <w:p w:rsidR="00845575" w:rsidRPr="000C66F6" w:rsidRDefault="00FF47D5" w:rsidP="00845575">
      <w:pPr>
        <w:pStyle w:val="ATHeading2"/>
      </w:pPr>
      <w:r w:rsidRPr="000C66F6">
        <w:t xml:space="preserve">Αντίρρηση σε εκτελεστική πράξη: ανώτατα όρια καταλοίπων για τις ουσίες </w:t>
      </w:r>
      <w:proofErr w:type="spellStart"/>
      <w:r w:rsidRPr="000C66F6">
        <w:t>carbendazim</w:t>
      </w:r>
      <w:proofErr w:type="spellEnd"/>
      <w:r w:rsidRPr="000C66F6">
        <w:t xml:space="preserve"> (</w:t>
      </w:r>
      <w:proofErr w:type="spellStart"/>
      <w:r w:rsidRPr="000C66F6">
        <w:t>καρβενδαζίμη</w:t>
      </w:r>
      <w:proofErr w:type="spellEnd"/>
      <w:r w:rsidRPr="000C66F6">
        <w:t xml:space="preserve">) και </w:t>
      </w:r>
      <w:proofErr w:type="spellStart"/>
      <w:r w:rsidRPr="000C66F6">
        <w:t>thiophanate‐methyl</w:t>
      </w:r>
      <w:proofErr w:type="spellEnd"/>
      <w:r w:rsidRPr="000C66F6">
        <w:t xml:space="preserve"> (</w:t>
      </w:r>
      <w:proofErr w:type="spellStart"/>
      <w:r w:rsidRPr="000C66F6">
        <w:t>θειοφαινικό</w:t>
      </w:r>
      <w:proofErr w:type="spellEnd"/>
      <w:r w:rsidRPr="000C66F6">
        <w:t xml:space="preserve"> μεθύλιο)</w:t>
      </w:r>
    </w:p>
    <w:p w:rsidR="00845575" w:rsidRPr="000C66F6" w:rsidRDefault="00845575" w:rsidP="00845575">
      <w:pPr>
        <w:rPr>
          <w:i/>
          <w:vanish/>
        </w:rPr>
      </w:pPr>
      <w:r w:rsidRPr="000C66F6">
        <w:rPr>
          <w:i/>
        </w:rPr>
        <w:fldChar w:fldCharType="begin"/>
      </w:r>
      <w:r w:rsidRPr="000C66F6">
        <w:rPr>
          <w:i/>
        </w:rPr>
        <w:instrText xml:space="preserve"> TC"(</w:instrText>
      </w:r>
      <w:bookmarkStart w:id="1" w:name="DocNumber"/>
      <w:r w:rsidRPr="000C66F6">
        <w:rPr>
          <w:i/>
        </w:rPr>
        <w:instrText>B10-0020/2024</w:instrText>
      </w:r>
      <w:bookmarkEnd w:id="1"/>
      <w:r w:rsidRPr="000C66F6">
        <w:rPr>
          <w:i/>
        </w:rPr>
        <w:instrText xml:space="preserve">)"\l3 \n&gt; \* MERGEFORMAT </w:instrText>
      </w:r>
      <w:r w:rsidRPr="000C66F6">
        <w:rPr>
          <w:i/>
        </w:rPr>
        <w:fldChar w:fldCharType="end"/>
      </w:r>
    </w:p>
    <w:p w:rsidR="00845575" w:rsidRPr="000C66F6" w:rsidRDefault="00845575" w:rsidP="00845575">
      <w:pPr>
        <w:rPr>
          <w:vanish/>
        </w:rPr>
      </w:pPr>
      <w:bookmarkStart w:id="2" w:name="PE"/>
      <w:r w:rsidRPr="000C66F6">
        <w:rPr>
          <w:vanish/>
        </w:rPr>
        <w:t>PE763.090</w:t>
      </w:r>
      <w:bookmarkEnd w:id="2"/>
    </w:p>
    <w:p w:rsidR="00845575" w:rsidRPr="000C66F6" w:rsidRDefault="00845575" w:rsidP="00845575">
      <w:pPr>
        <w:pStyle w:val="ATHeading3"/>
      </w:pPr>
      <w:bookmarkStart w:id="3" w:name="Sujet"/>
      <w:r w:rsidRPr="000C66F6">
        <w:t xml:space="preserve">Ψήφισμα του Ευρωπαϊκού Κοινοβουλίου </w:t>
      </w:r>
      <w:r w:rsidR="00FF47D5" w:rsidRPr="000C66F6">
        <w:t xml:space="preserve">της 18ης Σεπτεμβρίου 2024 </w:t>
      </w:r>
      <w:r w:rsidRPr="000C66F6">
        <w:t xml:space="preserve">σχετικά με το σχέδιο κανονισμού της Επιτροπής για την τροποποίηση των παραρτημάτων II, III και V του κανονισμού (ΕΚ) αριθ. 396/2005 του Ευρωπαϊκού Κοινοβουλίου και του Συμβουλίου όσον αφορά τα ανώτατα όρια καταλοίπων για τις ουσίες </w:t>
      </w:r>
      <w:proofErr w:type="spellStart"/>
      <w:r w:rsidRPr="000C66F6">
        <w:t>benomyl</w:t>
      </w:r>
      <w:proofErr w:type="spellEnd"/>
      <w:r w:rsidRPr="000C66F6">
        <w:t xml:space="preserve"> (</w:t>
      </w:r>
      <w:proofErr w:type="spellStart"/>
      <w:r w:rsidRPr="000C66F6">
        <w:t>μπενομύλη</w:t>
      </w:r>
      <w:proofErr w:type="spellEnd"/>
      <w:r w:rsidRPr="000C66F6">
        <w:t xml:space="preserve">), </w:t>
      </w:r>
      <w:proofErr w:type="spellStart"/>
      <w:r w:rsidRPr="000C66F6">
        <w:t>carbendazim</w:t>
      </w:r>
      <w:proofErr w:type="spellEnd"/>
      <w:r w:rsidRPr="000C66F6">
        <w:t xml:space="preserve"> (</w:t>
      </w:r>
      <w:proofErr w:type="spellStart"/>
      <w:r w:rsidRPr="000C66F6">
        <w:t>καρβενδαζίμη</w:t>
      </w:r>
      <w:proofErr w:type="spellEnd"/>
      <w:r w:rsidRPr="000C66F6">
        <w:t xml:space="preserve">) και </w:t>
      </w:r>
      <w:proofErr w:type="spellStart"/>
      <w:r w:rsidRPr="000C66F6">
        <w:t>thiophanate‐methyl</w:t>
      </w:r>
      <w:proofErr w:type="spellEnd"/>
      <w:r w:rsidRPr="000C66F6">
        <w:t xml:space="preserve"> (</w:t>
      </w:r>
      <w:proofErr w:type="spellStart"/>
      <w:r w:rsidRPr="000C66F6">
        <w:t>θειοφαινικό</w:t>
      </w:r>
      <w:proofErr w:type="spellEnd"/>
      <w:r w:rsidRPr="000C66F6">
        <w:t xml:space="preserve"> μεθύλιο) μέσα ή πάνω σε ορισμένα προϊόντα </w:t>
      </w:r>
      <w:bookmarkEnd w:id="3"/>
      <w:r w:rsidRPr="000C66F6">
        <w:t xml:space="preserve"> </w:t>
      </w:r>
      <w:bookmarkStart w:id="4" w:name="References"/>
      <w:r w:rsidRPr="000C66F6">
        <w:t>(D089819/05 – 2024/2758(RPS))</w:t>
      </w:r>
      <w:bookmarkEnd w:id="4"/>
    </w:p>
    <w:p w:rsidR="006415DB" w:rsidRPr="000C66F6" w:rsidRDefault="006415DB" w:rsidP="006415DB">
      <w:pPr>
        <w:pStyle w:val="EPComma"/>
      </w:pPr>
      <w:bookmarkStart w:id="5" w:name="TextBodyBegin"/>
      <w:bookmarkEnd w:id="5"/>
      <w:r w:rsidRPr="000C66F6">
        <w:rPr>
          <w:i/>
          <w:iCs/>
        </w:rPr>
        <w:t>Το Ευρωπαϊκό Κοινοβούλιο</w:t>
      </w:r>
      <w:r w:rsidRPr="000C66F6">
        <w:t>,</w:t>
      </w:r>
    </w:p>
    <w:p w:rsidR="006415DB" w:rsidRPr="000C66F6" w:rsidRDefault="006415DB" w:rsidP="006415DB">
      <w:pPr>
        <w:pStyle w:val="NormalHanging12a"/>
      </w:pPr>
      <w:r w:rsidRPr="000C66F6">
        <w:t>–</w:t>
      </w:r>
      <w:r w:rsidRPr="000C66F6">
        <w:tab/>
        <w:t xml:space="preserve">έχοντας υπόψη το σχέδιο κανονισμού της Επιτροπής για την τροποποίηση των παραρτημάτων II, III και V του κανονισμού (ΕΚ) αριθ. 396/2005 του Ευρωπαϊκού Κοινοβουλίου και του Συμβουλίου όσον αφορά τα ανώτατα όρια καταλοίπων για τις ουσίες </w:t>
      </w:r>
      <w:proofErr w:type="spellStart"/>
      <w:r w:rsidRPr="000C66F6">
        <w:t>benomyl</w:t>
      </w:r>
      <w:proofErr w:type="spellEnd"/>
      <w:r w:rsidRPr="000C66F6">
        <w:t xml:space="preserve"> (</w:t>
      </w:r>
      <w:proofErr w:type="spellStart"/>
      <w:r w:rsidRPr="000C66F6">
        <w:t>μπενομύλη</w:t>
      </w:r>
      <w:proofErr w:type="spellEnd"/>
      <w:r w:rsidRPr="000C66F6">
        <w:t xml:space="preserve">), </w:t>
      </w:r>
      <w:proofErr w:type="spellStart"/>
      <w:r w:rsidRPr="000C66F6">
        <w:t>carbendazim</w:t>
      </w:r>
      <w:proofErr w:type="spellEnd"/>
      <w:r w:rsidRPr="000C66F6">
        <w:t xml:space="preserve"> (</w:t>
      </w:r>
      <w:proofErr w:type="spellStart"/>
      <w:r w:rsidRPr="000C66F6">
        <w:t>καρβενδαζίμη</w:t>
      </w:r>
      <w:proofErr w:type="spellEnd"/>
      <w:r w:rsidRPr="000C66F6">
        <w:t xml:space="preserve">) και </w:t>
      </w:r>
      <w:proofErr w:type="spellStart"/>
      <w:r w:rsidRPr="000C66F6">
        <w:t>thiophanate‐methyl</w:t>
      </w:r>
      <w:proofErr w:type="spellEnd"/>
      <w:r w:rsidRPr="000C66F6">
        <w:t xml:space="preserve"> (</w:t>
      </w:r>
      <w:proofErr w:type="spellStart"/>
      <w:r w:rsidRPr="000C66F6">
        <w:t>θειοφαινικό</w:t>
      </w:r>
      <w:proofErr w:type="spellEnd"/>
      <w:r w:rsidRPr="000C66F6">
        <w:t xml:space="preserve"> μεθύλιο) μέσα ή πάνω σε ορισμένα προϊόντα (D089819/05),</w:t>
      </w:r>
    </w:p>
    <w:p w:rsidR="006415DB" w:rsidRPr="000C66F6" w:rsidRDefault="006415DB" w:rsidP="006415DB">
      <w:pPr>
        <w:pStyle w:val="NormalHanging12a"/>
      </w:pPr>
      <w:r w:rsidRPr="000C66F6">
        <w:t>–</w:t>
      </w:r>
      <w:r w:rsidRPr="000C66F6">
        <w:tab/>
        <w:t>έχοντας υπόψη τον κανονισμό (ΕΚ) αριθ. 396/2005 του Ευρωπαϊκού Κοινοβουλίου και του Συμβουλίου, της 23ης Φεβρουαρίου 2005, για τα ανώτατα όρια καταλοίπων φυτοφαρμάκων μέσα ή πάνω στα τρόφιμα και τις ζωοτροφές φυτικής και ζωικής προέλευσης και για την τροποποίηση της οδηγίας 91/414/ΕΟΚ</w:t>
      </w:r>
      <w:r w:rsidR="000C66F6" w:rsidRPr="000C66F6">
        <w:t xml:space="preserve"> του Συμβουλίου</w:t>
      </w:r>
      <w:r w:rsidRPr="000C66F6">
        <w:rPr>
          <w:vertAlign w:val="superscript"/>
        </w:rPr>
        <w:footnoteReference w:id="1"/>
      </w:r>
      <w:r w:rsidRPr="000C66F6">
        <w:t>, και ιδίως το άρθρο 14 παράγραφος 1 στοιχείο α),</w:t>
      </w:r>
    </w:p>
    <w:p w:rsidR="006415DB" w:rsidRPr="000C66F6" w:rsidRDefault="006415DB" w:rsidP="006415DB">
      <w:pPr>
        <w:pStyle w:val="NormalHanging12a"/>
      </w:pPr>
      <w:r w:rsidRPr="000C66F6">
        <w:t>–</w:t>
      </w:r>
      <w:r w:rsidRPr="000C66F6">
        <w:tab/>
        <w:t xml:space="preserve">έχοντας υπόψη τον κανονισμό (ΕΚ) αριθ. 1107/2009 του Ευρωπαϊκού Κοινοβουλίου και του Συμβουλίου, της 21ης Οκτωβρίου 2009, σχετικά με τη διάθεση </w:t>
      </w:r>
      <w:proofErr w:type="spellStart"/>
      <w:r w:rsidRPr="000C66F6">
        <w:t>φυτοπροστατευτικών</w:t>
      </w:r>
      <w:proofErr w:type="spellEnd"/>
      <w:r w:rsidRPr="000C66F6">
        <w:t xml:space="preserve"> προϊόντων στην αγορά και την κατάργηση των οδηγιών 79/117/ΕΟΚ και 91/414/ΕΟΚ</w:t>
      </w:r>
      <w:r w:rsidR="000C66F6" w:rsidRPr="000C66F6">
        <w:t xml:space="preserve"> του Συμβουλίου</w:t>
      </w:r>
      <w:r w:rsidRPr="000C66F6">
        <w:rPr>
          <w:vertAlign w:val="superscript"/>
        </w:rPr>
        <w:footnoteReference w:id="2"/>
      </w:r>
      <w:r w:rsidRPr="000C66F6">
        <w:t>, και ιδίως το άρθρο 4 παράγραφος 1 και το άρθρο 4 παράγραφος 2 πρώτο εδάφιο στοιχείο α) και τα σημεία 3.6.2, 3.6.4 και 3.6.5 του παραρτήματος II,</w:t>
      </w:r>
    </w:p>
    <w:p w:rsidR="006415DB" w:rsidRPr="000C66F6" w:rsidRDefault="006415DB" w:rsidP="006415DB">
      <w:pPr>
        <w:pStyle w:val="NormalHanging12a"/>
      </w:pPr>
      <w:r w:rsidRPr="000C66F6">
        <w:t>–</w:t>
      </w:r>
      <w:r w:rsidRPr="000C66F6">
        <w:tab/>
        <w:t xml:space="preserve">έχοντας υπόψη τον κανονισμό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w:t>
      </w:r>
      <w:r w:rsidRPr="000C66F6">
        <w:lastRenderedPageBreak/>
        <w:t>την Ασφάλεια των Τροφίμων και τον καθορισμό διαδικασιών σε θέματα ασφαλείας των τροφίμων</w:t>
      </w:r>
      <w:r w:rsidRPr="000C66F6">
        <w:rPr>
          <w:vertAlign w:val="superscript"/>
        </w:rPr>
        <w:footnoteReference w:id="3"/>
      </w:r>
      <w:r w:rsidRPr="000C66F6">
        <w:t>, και ιδίως το άρθρο 5 παράγραφος 1,</w:t>
      </w:r>
    </w:p>
    <w:p w:rsidR="006415DB" w:rsidRPr="000C66F6" w:rsidRDefault="006415DB" w:rsidP="006415DB">
      <w:pPr>
        <w:pStyle w:val="NormalHanging12a"/>
      </w:pPr>
      <w:r w:rsidRPr="000C66F6">
        <w:t>–</w:t>
      </w:r>
      <w:r w:rsidRPr="000C66F6">
        <w:tab/>
        <w:t>έχοντας υπόψη τα άρθρα 11, 13, 168 και 191 της Συνθήκης για τη λειτουργία της Ευρωπαϊκής Ένωσης,</w:t>
      </w:r>
    </w:p>
    <w:p w:rsidR="006415DB" w:rsidRPr="000C66F6" w:rsidRDefault="006415DB" w:rsidP="006415DB">
      <w:pPr>
        <w:pStyle w:val="NormalHanging12a"/>
      </w:pPr>
      <w:r w:rsidRPr="000C66F6">
        <w:t>–</w:t>
      </w:r>
      <w:r w:rsidRPr="000C66F6">
        <w:tab/>
        <w:t>έχοντας υπόψη την αιτιολογημένη γνωμοδότηση που εκδόθηκε από την Ευρωπαϊκή Αρχή για την Ασφάλεια των Τροφίμων (EFSA) στις 5 Ιουλίου 2021 και δημοσιεύθηκε στις 23 Αυγούστου 2021</w:t>
      </w:r>
      <w:r w:rsidRPr="000C66F6">
        <w:rPr>
          <w:vertAlign w:val="superscript"/>
        </w:rPr>
        <w:footnoteReference w:id="4"/>
      </w:r>
      <w:r w:rsidRPr="000C66F6">
        <w:t>,</w:t>
      </w:r>
    </w:p>
    <w:p w:rsidR="006415DB" w:rsidRPr="000C66F6" w:rsidRDefault="006415DB" w:rsidP="006415DB">
      <w:pPr>
        <w:pStyle w:val="NormalHanging12a"/>
      </w:pPr>
      <w:r w:rsidRPr="000C66F6">
        <w:t>–</w:t>
      </w:r>
      <w:r w:rsidRPr="000C66F6">
        <w:tab/>
        <w:t>έχοντας υπόψη την επικαιροποιημένη αιτιολογημένη γνωμοδότηση που εκδόθηκε από την EFSA στις 10 Ιανουαρίου 2024 και δημοσιεύθηκε στις 20 Φεβρουαρίου 2024</w:t>
      </w:r>
      <w:r w:rsidRPr="000C66F6">
        <w:rPr>
          <w:rStyle w:val="FootnoteReference"/>
        </w:rPr>
        <w:footnoteReference w:id="5"/>
      </w:r>
      <w:r w:rsidRPr="000C66F6">
        <w:t>,</w:t>
      </w:r>
    </w:p>
    <w:p w:rsidR="006415DB" w:rsidRPr="000C66F6" w:rsidRDefault="006415DB" w:rsidP="006415DB">
      <w:pPr>
        <w:pStyle w:val="NormalHanging12a"/>
      </w:pPr>
      <w:r w:rsidRPr="000C66F6">
        <w:t>–</w:t>
      </w:r>
      <w:r w:rsidRPr="000C66F6">
        <w:tab/>
        <w:t xml:space="preserve">έχοντας υπόψη το συμπέρασμα σχετικά με την αξιολόγηση από </w:t>
      </w:r>
      <w:proofErr w:type="spellStart"/>
      <w:r w:rsidRPr="000C66F6">
        <w:t>ομοτίμους</w:t>
      </w:r>
      <w:proofErr w:type="spellEnd"/>
      <w:r w:rsidRPr="000C66F6">
        <w:t xml:space="preserve"> για τα φυτοφάρμακα που εκδόθηκε από την EFSA στις 30 Απριλίου 2010 και δημοσιεύθηκε στις 12 Μαΐου 2010</w:t>
      </w:r>
      <w:r w:rsidRPr="000C66F6">
        <w:rPr>
          <w:vertAlign w:val="superscript"/>
        </w:rPr>
        <w:footnoteReference w:id="6"/>
      </w:r>
      <w:r w:rsidRPr="000C66F6">
        <w:t>,</w:t>
      </w:r>
    </w:p>
    <w:p w:rsidR="006415DB" w:rsidRPr="000C66F6" w:rsidRDefault="006415DB" w:rsidP="006415DB">
      <w:pPr>
        <w:pStyle w:val="NormalHanging12a"/>
      </w:pPr>
      <w:r w:rsidRPr="000C66F6">
        <w:t>–</w:t>
      </w:r>
      <w:r w:rsidRPr="000C66F6">
        <w:tab/>
        <w:t xml:space="preserve">έχοντας υπόψη το συμπέρασμα σχετικά με την αξιολόγηση από </w:t>
      </w:r>
      <w:proofErr w:type="spellStart"/>
      <w:r w:rsidRPr="000C66F6">
        <w:t>ομοτίμους</w:t>
      </w:r>
      <w:proofErr w:type="spellEnd"/>
      <w:r w:rsidRPr="000C66F6">
        <w:t xml:space="preserve"> για τα φυτοφάρμακα που εκδόθηκε από την EFSA στις 8 Δεκεμβρίου 2017 και δημοσιεύθηκε στις 17 Ιανουαρίου 2018</w:t>
      </w:r>
      <w:r w:rsidRPr="000C66F6">
        <w:rPr>
          <w:vertAlign w:val="superscript"/>
        </w:rPr>
        <w:footnoteReference w:id="7"/>
      </w:r>
      <w:r w:rsidRPr="000C66F6">
        <w:t>,</w:t>
      </w:r>
    </w:p>
    <w:p w:rsidR="006415DB" w:rsidRPr="000C66F6" w:rsidRDefault="006415DB" w:rsidP="006415DB">
      <w:pPr>
        <w:pStyle w:val="NormalHanging12a"/>
      </w:pPr>
      <w:r w:rsidRPr="000C66F6">
        <w:t>–</w:t>
      </w:r>
      <w:r w:rsidRPr="000C66F6">
        <w:tab/>
        <w:t>έχοντας υπόψη τη δήλωση που εκδόθηκε από την EFSA στις 27 Μαρτίου 2024 και δημοσιεύθηκε στις 13 Μαΐου 2024</w:t>
      </w:r>
      <w:r w:rsidRPr="000C66F6">
        <w:rPr>
          <w:vertAlign w:val="superscript"/>
        </w:rPr>
        <w:footnoteReference w:id="8"/>
      </w:r>
      <w:r w:rsidRPr="000C66F6">
        <w:t>,</w:t>
      </w:r>
    </w:p>
    <w:p w:rsidR="006415DB" w:rsidRPr="000C66F6" w:rsidRDefault="006415DB" w:rsidP="006415DB">
      <w:pPr>
        <w:pStyle w:val="NormalHanging12a"/>
      </w:pPr>
      <w:r w:rsidRPr="000C66F6">
        <w:t>–</w:t>
      </w:r>
      <w:r w:rsidRPr="000C66F6">
        <w:tab/>
        <w:t>έχοντας υπόψη τη γνωμοδότηση που εξέδωσε η επιτροπή αξιολόγησης κινδύνων (RAC) του Ευρωπαϊκού Οργανισμού Χημικών Προϊόντων (ECHA) στις 5 Δεκεμβρίου 2019</w:t>
      </w:r>
      <w:r w:rsidRPr="000C66F6">
        <w:rPr>
          <w:rStyle w:val="FootnoteReference"/>
        </w:rPr>
        <w:footnoteReference w:id="9"/>
      </w:r>
      <w:r w:rsidRPr="000C66F6">
        <w:t>,</w:t>
      </w:r>
    </w:p>
    <w:p w:rsidR="006415DB" w:rsidRPr="000C66F6" w:rsidRDefault="006415DB" w:rsidP="006415DB">
      <w:pPr>
        <w:pStyle w:val="NormalHanging12a"/>
      </w:pPr>
      <w:r w:rsidRPr="000C66F6">
        <w:t>–</w:t>
      </w:r>
      <w:r w:rsidRPr="000C66F6">
        <w:tab/>
        <w:t xml:space="preserve">έχοντας υπόψη το άρθρο 5α παράγραφος 3 στοιχείο β) και το άρθρο 5α παράγραφος 5 </w:t>
      </w:r>
      <w:r w:rsidRPr="000C66F6">
        <w:lastRenderedPageBreak/>
        <w:t>της απόφασης 1999/468/ΕΚ του Συμβουλίου, της 28ης Ιουνίου 1999, για τον καθορισμό των όρων άσκησης των εκτελεστικών αρμοδιοτήτων που ανατίθενται στην Επιτροπή</w:t>
      </w:r>
      <w:r w:rsidRPr="000C66F6">
        <w:rPr>
          <w:rStyle w:val="FootnoteReference"/>
        </w:rPr>
        <w:footnoteReference w:id="10"/>
      </w:r>
      <w:r w:rsidRPr="000C66F6">
        <w:t>,</w:t>
      </w:r>
    </w:p>
    <w:p w:rsidR="006415DB" w:rsidRPr="000C66F6" w:rsidRDefault="006415DB" w:rsidP="006415DB">
      <w:pPr>
        <w:pStyle w:val="NormalHanging12a"/>
      </w:pPr>
      <w:r w:rsidRPr="000C66F6">
        <w:t>–</w:t>
      </w:r>
      <w:r w:rsidRPr="000C66F6">
        <w:tab/>
        <w:t>έχοντας υπόψη το άρθρο 115 παράγραφοι 2, 3 και παράγραφος 4 στοιχείο γ) του Κανονισμού του,</w:t>
      </w:r>
    </w:p>
    <w:p w:rsidR="006415DB" w:rsidRPr="000C66F6" w:rsidRDefault="006415DB" w:rsidP="006415DB">
      <w:pPr>
        <w:pStyle w:val="NormalHanging12a"/>
      </w:pPr>
      <w:r w:rsidRPr="000C66F6">
        <w:t>–</w:t>
      </w:r>
      <w:r w:rsidRPr="000C66F6">
        <w:tab/>
        <w:t>έχοντας υπόψη την πρόταση ψηφίσματος της Επιτροπής Περιβάλλοντος, Δημόσιας Υγείας και Ασφάλειας των Τροφίμων,</w:t>
      </w:r>
    </w:p>
    <w:p w:rsidR="006415DB" w:rsidRPr="000C66F6" w:rsidRDefault="006415DB" w:rsidP="006415DB">
      <w:pPr>
        <w:pStyle w:val="NormalHanging12a"/>
      </w:pPr>
      <w:r w:rsidRPr="000C66F6">
        <w:t>Α.</w:t>
      </w:r>
      <w:r w:rsidRPr="000C66F6">
        <w:tab/>
        <w:t xml:space="preserve">λαμβάνοντας υπόψη ότι μία από τις βασικές απαιτήσεις που διατυπώθηκαν κατά τις διαμαρτυρίες των αγροτών το πρώτο εξάμηνο του 2024 ήταν μια δίκαιη και επί </w:t>
      </w:r>
      <w:proofErr w:type="spellStart"/>
      <w:r w:rsidRPr="000C66F6">
        <w:t>ίσοις</w:t>
      </w:r>
      <w:proofErr w:type="spellEnd"/>
      <w:r w:rsidRPr="000C66F6">
        <w:t xml:space="preserve"> </w:t>
      </w:r>
      <w:proofErr w:type="spellStart"/>
      <w:r w:rsidRPr="000C66F6">
        <w:t>όροις</w:t>
      </w:r>
      <w:proofErr w:type="spellEnd"/>
      <w:r w:rsidRPr="000C66F6">
        <w:t xml:space="preserve"> μεταχείριση των προϊόντων που εισάγονται στην ΕΕ από τρίτες χώρες, τα οποία θα πρέπει να συμμορφώνονται μ τα ίδια πρότυπα με τα προϊόντα που παράγονται στην Ένωση·</w:t>
      </w:r>
    </w:p>
    <w:p w:rsidR="006415DB" w:rsidRPr="000C66F6" w:rsidRDefault="006415DB" w:rsidP="006415DB">
      <w:pPr>
        <w:pStyle w:val="NormalHanging12a"/>
      </w:pPr>
      <w:r w:rsidRPr="000C66F6">
        <w:t>Β.</w:t>
      </w:r>
      <w:r w:rsidRPr="000C66F6">
        <w:tab/>
        <w:t>λαμβάνοντας υπόψη ότι η έγκριση του σχεδίου κανονισμού της Επιτροπής θα επιτρέψει να συνεχιστούν εισαγωγές προϊόντων στην Ένωση, τα οποία δεν συμμορφώνονται με τα πρότυπα που ισχύουν για τους αγρότες της Ένωσης·</w:t>
      </w:r>
    </w:p>
    <w:p w:rsidR="006415DB" w:rsidRPr="000C66F6" w:rsidRDefault="006415DB" w:rsidP="006415DB">
      <w:pPr>
        <w:pStyle w:val="NormalHanging12a"/>
      </w:pPr>
      <w:r w:rsidRPr="000C66F6">
        <w:t>Γ.</w:t>
      </w:r>
      <w:r w:rsidRPr="000C66F6">
        <w:tab/>
        <w:t>λαμβάνοντας υπόψη ότι στην περίπτωση αυτή οι γεωργοί της Ένωσης θα βρίσκονται σε μειονεκτική θέση έναντι του ανταγωνισμού·</w:t>
      </w:r>
    </w:p>
    <w:p w:rsidR="006415DB" w:rsidRPr="000C66F6" w:rsidRDefault="006415DB" w:rsidP="006415DB">
      <w:pPr>
        <w:pStyle w:val="NormalHanging12a"/>
      </w:pPr>
      <w:r w:rsidRPr="000C66F6">
        <w:t>Δ.</w:t>
      </w:r>
      <w:r w:rsidRPr="000C66F6">
        <w:tab/>
        <w:t>λαμβάνοντας υπόψη ότι η έγκριση της δραστικής ουσίας «</w:t>
      </w:r>
      <w:proofErr w:type="spellStart"/>
      <w:r w:rsidRPr="000C66F6">
        <w:t>καρβενδαζίμη</w:t>
      </w:r>
      <w:proofErr w:type="spellEnd"/>
      <w:r w:rsidRPr="000C66F6">
        <w:t>» έληξε στις 30 Νοεμβρίου 2014 και δεν υποβλήθηκε αίτηση για την ανανέωσή της·</w:t>
      </w:r>
    </w:p>
    <w:p w:rsidR="006415DB" w:rsidRPr="000C66F6" w:rsidRDefault="006415DB" w:rsidP="006415DB">
      <w:pPr>
        <w:pStyle w:val="NormalHanging12a"/>
      </w:pPr>
      <w:r w:rsidRPr="000C66F6">
        <w:t>Ε.</w:t>
      </w:r>
      <w:r w:rsidRPr="000C66F6">
        <w:tab/>
        <w:t xml:space="preserve">λαμβάνοντας υπόψη ότι η </w:t>
      </w:r>
      <w:proofErr w:type="spellStart"/>
      <w:r w:rsidRPr="000C66F6">
        <w:t>καρβενδαζίμη</w:t>
      </w:r>
      <w:proofErr w:type="spellEnd"/>
      <w:r w:rsidRPr="000C66F6">
        <w:t xml:space="preserve"> πληροί τα κριτήρια για να ταξινομηθεί ως </w:t>
      </w:r>
      <w:proofErr w:type="spellStart"/>
      <w:r w:rsidRPr="000C66F6">
        <w:t>μεταλλαξιογόνος</w:t>
      </w:r>
      <w:proofErr w:type="spellEnd"/>
      <w:r w:rsidRPr="000C66F6">
        <w:t xml:space="preserve"> παράγοντας κατηγορίας 1Β και ως τοξική για την αναπαραγωγή κατηγορίας 1Β σύμφωνα με τον κανονισμό (ΕΚ) αριθ. 1272/2008 του Ευρωπαϊκού Κοινοβουλίου και του Συμβουλίου</w:t>
      </w:r>
      <w:r w:rsidRPr="000C66F6">
        <w:rPr>
          <w:rStyle w:val="FootnoteReference"/>
        </w:rPr>
        <w:footnoteReference w:id="11"/>
      </w:r>
      <w:r w:rsidRPr="000C66F6">
        <w:t xml:space="preserve">, καθώς και δύο από τα κριτήρια για να ταξινομηθεί ως ανθεκτικός, </w:t>
      </w:r>
      <w:proofErr w:type="spellStart"/>
      <w:r w:rsidRPr="000C66F6">
        <w:t>βιοσυσσωρεύσιμος</w:t>
      </w:r>
      <w:proofErr w:type="spellEnd"/>
      <w:r w:rsidRPr="000C66F6">
        <w:t xml:space="preserve"> και τοξικός (ΑΒΤ) παράγοντας (Α και Τ) σύμφωνα με το σημείο 3.7.2 του παραρτήματος II του κανονισμού (ΕΚ) αριθ. 1107/2009·</w:t>
      </w:r>
    </w:p>
    <w:p w:rsidR="006415DB" w:rsidRPr="000C66F6" w:rsidRDefault="006415DB" w:rsidP="006415DB">
      <w:pPr>
        <w:pStyle w:val="NormalHanging12a"/>
      </w:pPr>
      <w:r w:rsidRPr="000C66F6">
        <w:t>ΣΤ.</w:t>
      </w:r>
      <w:r w:rsidRPr="000C66F6">
        <w:tab/>
        <w:t xml:space="preserve">λαμβάνοντας υπόψη ότι, βάσει του κανονισμού (ΕΚ) αριθ. 1272/2008, η </w:t>
      </w:r>
      <w:proofErr w:type="spellStart"/>
      <w:r w:rsidRPr="000C66F6">
        <w:t>καρβενδαζίμη</w:t>
      </w:r>
      <w:proofErr w:type="spellEnd"/>
      <w:r w:rsidRPr="000C66F6">
        <w:t xml:space="preserve"> θεωρείται ιδιαιτέρως τοξική για τους υδρόβιους οργανισμούς με μακροχρόνιες επιπτώσεις και μπορεί να προκαλέσει αλλεργική δερματική αντίδραση·</w:t>
      </w:r>
    </w:p>
    <w:p w:rsidR="006415DB" w:rsidRPr="000C66F6" w:rsidRDefault="006415DB" w:rsidP="006415DB">
      <w:pPr>
        <w:pStyle w:val="NormalHanging12a"/>
      </w:pPr>
      <w:r w:rsidRPr="000C66F6">
        <w:t>Ζ.</w:t>
      </w:r>
      <w:r w:rsidRPr="000C66F6">
        <w:tab/>
        <w:t>λαμβάνοντας υπόψη ότι, επομένως, είναι σκόπιμο να διαγραφούν τα ισχύοντα ανώτατα όρια καταλοίπων (ΑΟΚ) που προβλέπονται για την εν λόγω ουσία στο παράρτημα II του κανονισμού (ΕΚ) αριθ. 396/2005 σύμφωνα με το άρθρο 14 παράγραφος 1 στοιχείο α) και με το άρθρο 17 του ίδιου κανονισμού·</w:t>
      </w:r>
    </w:p>
    <w:p w:rsidR="006415DB" w:rsidRPr="000C66F6" w:rsidRDefault="006415DB" w:rsidP="006415DB">
      <w:pPr>
        <w:pStyle w:val="NormalHanging12a"/>
      </w:pPr>
      <w:r w:rsidRPr="000C66F6">
        <w:t>Η.</w:t>
      </w:r>
      <w:r w:rsidRPr="000C66F6">
        <w:tab/>
        <w:t xml:space="preserve">λαμβάνοντας, ωστόσο, υπόψη ότι στο σχέδιο κανονισμού της η Επιτροπή προτείνει να διατηρηθούν τα ΑΟΚ με βάση τα περιθώρια ανοχής κατά την εισαγωγή για την </w:t>
      </w:r>
      <w:proofErr w:type="spellStart"/>
      <w:r w:rsidRPr="000C66F6">
        <w:t>καρβενδαζίμη</w:t>
      </w:r>
      <w:proofErr w:type="spellEnd"/>
      <w:r w:rsidRPr="000C66F6">
        <w:t xml:space="preserve"> πάνω από το όριο προσδιορισμού στα λεμόνια, τα </w:t>
      </w:r>
      <w:proofErr w:type="spellStart"/>
      <w:r w:rsidRPr="000C66F6">
        <w:t>μοσχολέμονα</w:t>
      </w:r>
      <w:proofErr w:type="spellEnd"/>
      <w:r w:rsidRPr="000C66F6">
        <w:t xml:space="preserve">, τα </w:t>
      </w:r>
      <w:r w:rsidRPr="000C66F6">
        <w:lastRenderedPageBreak/>
        <w:t>μανταρίνια και τις μπάμιες για τις εισαγωγές με βάση την αιτιολογημένη γνωμοδότηση της EFSA της 5ης Ιουλίου 2021·</w:t>
      </w:r>
    </w:p>
    <w:p w:rsidR="006415DB" w:rsidRPr="000C66F6" w:rsidRDefault="006415DB" w:rsidP="006415DB">
      <w:pPr>
        <w:pStyle w:val="NormalHanging12a"/>
      </w:pPr>
      <w:r w:rsidRPr="000C66F6">
        <w:t>Θ.</w:t>
      </w:r>
      <w:r w:rsidRPr="000C66F6">
        <w:tab/>
        <w:t xml:space="preserve">λαμβάνοντας υπόψη ότι, στο σχέδιο κανονισμού της η Επιτροπή προτείνει να διατηρηθούν τα ΑΟΚ με βάση τα περιθώρια ανοχής κατά την εισαγωγή για τα λεμόνια, τα </w:t>
      </w:r>
      <w:proofErr w:type="spellStart"/>
      <w:r w:rsidRPr="000C66F6">
        <w:t>μοσχολέμονα</w:t>
      </w:r>
      <w:proofErr w:type="spellEnd"/>
      <w:r w:rsidRPr="000C66F6">
        <w:t xml:space="preserve"> και τα μανταρίνια στα υφιστάμενα επίπεδα των 0,7 </w:t>
      </w:r>
      <w:proofErr w:type="spellStart"/>
      <w:r w:rsidRPr="000C66F6">
        <w:t>mg</w:t>
      </w:r>
      <w:proofErr w:type="spellEnd"/>
      <w:r w:rsidRPr="000C66F6">
        <w:t>/</w:t>
      </w:r>
      <w:proofErr w:type="spellStart"/>
      <w:r w:rsidRPr="000C66F6">
        <w:t>kg</w:t>
      </w:r>
      <w:proofErr w:type="spellEnd"/>
      <w:r w:rsidRPr="000C66F6">
        <w:t>, και τα ΑΟΚ για τις μπάμιες να υιοθετηθεί η νέα τιμή που καθόρισε η EFSA σε 1,5 </w:t>
      </w:r>
      <w:proofErr w:type="spellStart"/>
      <w:r w:rsidRPr="000C66F6">
        <w:t>mg</w:t>
      </w:r>
      <w:proofErr w:type="spellEnd"/>
      <w:r w:rsidRPr="000C66F6">
        <w:t>/</w:t>
      </w:r>
      <w:proofErr w:type="spellStart"/>
      <w:r w:rsidRPr="000C66F6">
        <w:t>kg</w:t>
      </w:r>
      <w:proofErr w:type="spellEnd"/>
      <w:r w:rsidRPr="000C66F6">
        <w:t xml:space="preserve">· </w:t>
      </w:r>
    </w:p>
    <w:p w:rsidR="006415DB" w:rsidRPr="000C66F6" w:rsidRDefault="006415DB" w:rsidP="006415DB">
      <w:pPr>
        <w:pStyle w:val="NormalHanging12a"/>
      </w:pPr>
      <w:r w:rsidRPr="000C66F6">
        <w:t>Ι.</w:t>
      </w:r>
      <w:r w:rsidRPr="000C66F6">
        <w:tab/>
        <w:t>λαμβάνοντας υπόψη ότι η έγκριση της δραστικής ουσίας «</w:t>
      </w:r>
      <w:proofErr w:type="spellStart"/>
      <w:r w:rsidRPr="000C66F6">
        <w:t>θειοφαινικό</w:t>
      </w:r>
      <w:proofErr w:type="spellEnd"/>
      <w:r w:rsidRPr="000C66F6">
        <w:t xml:space="preserve"> μεθύλιο» δεν ανανεώθηκε στις 15 Οκτωβρίου 2020 μετά την ανάκληση της αίτησης ανανέωσης από τον αιτούντα·</w:t>
      </w:r>
    </w:p>
    <w:p w:rsidR="006415DB" w:rsidRPr="000C66F6" w:rsidRDefault="006415DB" w:rsidP="006415DB">
      <w:pPr>
        <w:pStyle w:val="NormalHanging12a"/>
      </w:pPr>
      <w:r w:rsidRPr="000C66F6">
        <w:t>ΙΑ.</w:t>
      </w:r>
      <w:r w:rsidRPr="000C66F6">
        <w:tab/>
        <w:t xml:space="preserve">λαμβάνοντας υπόψη ότι το </w:t>
      </w:r>
      <w:proofErr w:type="spellStart"/>
      <w:r w:rsidRPr="000C66F6">
        <w:t>θειοφαινικό</w:t>
      </w:r>
      <w:proofErr w:type="spellEnd"/>
      <w:r w:rsidRPr="000C66F6">
        <w:t xml:space="preserve"> μεθύλιο πληροί τα κριτήρια για να ταξινομηθεί ως </w:t>
      </w:r>
      <w:proofErr w:type="spellStart"/>
      <w:r w:rsidRPr="000C66F6">
        <w:t>μεταλλαξιογόνος</w:t>
      </w:r>
      <w:proofErr w:type="spellEnd"/>
      <w:r w:rsidRPr="000C66F6">
        <w:t xml:space="preserve"> παράγοντας κατηγορίας 2 και ως τοξικό για την αναπαραγωγή κατηγορίας 2 σύμφωνα με τον κανονισμό (ΕΚ) αριθ. 1272/2008</w:t>
      </w:r>
      <w:r w:rsidRPr="000C66F6">
        <w:rPr>
          <w:rStyle w:val="FootnoteReference"/>
        </w:rPr>
        <w:footnoteReference w:id="12"/>
      </w:r>
      <w:r w:rsidRPr="000C66F6">
        <w:t>·</w:t>
      </w:r>
    </w:p>
    <w:p w:rsidR="006415DB" w:rsidRPr="000C66F6" w:rsidRDefault="006415DB" w:rsidP="006415DB">
      <w:pPr>
        <w:pStyle w:val="NormalHanging12a"/>
      </w:pPr>
      <w:r w:rsidRPr="000C66F6">
        <w:t>ΙΒ.</w:t>
      </w:r>
      <w:r w:rsidRPr="000C66F6">
        <w:tab/>
        <w:t xml:space="preserve">λαμβάνοντας υπόψη ότι, στην επικαιροποιημένη αιτιολογημένη γνωμοδότησή της, της 10ης Ιανουαρίου 2024, η EFSA χαρακτήρισε το </w:t>
      </w:r>
      <w:proofErr w:type="spellStart"/>
      <w:r w:rsidRPr="000C66F6">
        <w:t>θειοφαινικό</w:t>
      </w:r>
      <w:proofErr w:type="spellEnd"/>
      <w:r w:rsidRPr="000C66F6">
        <w:t xml:space="preserve"> μεθύλιο ως ενδοκρινικό </w:t>
      </w:r>
      <w:proofErr w:type="spellStart"/>
      <w:r w:rsidRPr="000C66F6">
        <w:t>διαταράκτη</w:t>
      </w:r>
      <w:proofErr w:type="spellEnd"/>
      <w:r w:rsidRPr="000C66F6">
        <w:t xml:space="preserve"> (τρόπος T) που έχει σημασία για τον άνθρωπο, σύμφωνα με τα επιστημονικά κριτήρια για τον προσδιορισμό των ιδιοτήτων ενδοκρινικής διαταραχής που ορίζονται στον κανονισμό (ΕΕ) 2018/605 της Επιτροπής</w:t>
      </w:r>
      <w:r w:rsidRPr="000C66F6">
        <w:rPr>
          <w:rStyle w:val="FootnoteReference"/>
        </w:rPr>
        <w:footnoteReference w:id="13"/>
      </w:r>
      <w:r w:rsidRPr="000C66F6">
        <w:t>·</w:t>
      </w:r>
    </w:p>
    <w:p w:rsidR="006415DB" w:rsidRPr="000C66F6" w:rsidRDefault="006415DB" w:rsidP="006415DB">
      <w:pPr>
        <w:pStyle w:val="NormalHanging12a"/>
      </w:pPr>
      <w:r w:rsidRPr="000C66F6">
        <w:t>ΙΓ.</w:t>
      </w:r>
      <w:r w:rsidRPr="000C66F6">
        <w:tab/>
        <w:t xml:space="preserve">λαμβάνοντας υπόψη ότι η </w:t>
      </w:r>
      <w:proofErr w:type="spellStart"/>
      <w:r w:rsidRPr="000C66F6">
        <w:t>καρβενδαζίμη</w:t>
      </w:r>
      <w:proofErr w:type="spellEnd"/>
      <w:r w:rsidRPr="000C66F6">
        <w:t xml:space="preserve"> είναι σημαντικός </w:t>
      </w:r>
      <w:proofErr w:type="spellStart"/>
      <w:r w:rsidRPr="000C66F6">
        <w:t>μεταβολίτης</w:t>
      </w:r>
      <w:proofErr w:type="spellEnd"/>
      <w:r w:rsidRPr="000C66F6">
        <w:t xml:space="preserve"> του </w:t>
      </w:r>
      <w:proofErr w:type="spellStart"/>
      <w:r w:rsidRPr="000C66F6">
        <w:t>θειοφαινικού</w:t>
      </w:r>
      <w:proofErr w:type="spellEnd"/>
      <w:r w:rsidRPr="000C66F6">
        <w:t xml:space="preserve"> μεθυλίου·</w:t>
      </w:r>
    </w:p>
    <w:p w:rsidR="006415DB" w:rsidRPr="000C66F6" w:rsidRDefault="006415DB" w:rsidP="006415DB">
      <w:pPr>
        <w:pStyle w:val="NormalHanging12a"/>
      </w:pPr>
      <w:r w:rsidRPr="000C66F6">
        <w:t>ΙΔ.</w:t>
      </w:r>
      <w:r w:rsidRPr="000C66F6">
        <w:tab/>
        <w:t xml:space="preserve">λαμβάνοντας υπόψη ότι, σύμφωνα με το συμπέρασμα της EFSA σχετικά με την αξιολόγηση από </w:t>
      </w:r>
      <w:proofErr w:type="spellStart"/>
      <w:r w:rsidRPr="000C66F6">
        <w:t>ομοτίμους</w:t>
      </w:r>
      <w:proofErr w:type="spellEnd"/>
      <w:r w:rsidRPr="000C66F6">
        <w:t xml:space="preserve"> για τα φυτοφάρμακα, της 8ης Δεκεμβρίου 2017, δεδομένης της </w:t>
      </w:r>
      <w:proofErr w:type="spellStart"/>
      <w:r w:rsidRPr="000C66F6">
        <w:t>κλαστογόνου</w:t>
      </w:r>
      <w:proofErr w:type="spellEnd"/>
      <w:r w:rsidRPr="000C66F6">
        <w:t xml:space="preserve"> δράσης του </w:t>
      </w:r>
      <w:proofErr w:type="spellStart"/>
      <w:r w:rsidRPr="000C66F6">
        <w:t>θειοφαινικού</w:t>
      </w:r>
      <w:proofErr w:type="spellEnd"/>
      <w:r w:rsidRPr="000C66F6">
        <w:t xml:space="preserve"> μεθυλίου δεν ήταν δυνατόν να καθοριστούν τοξικολογικές τιμές αναφοράς για την εκτίμηση κινδύνου για τους καταναλωτές και τους χειριστές·</w:t>
      </w:r>
    </w:p>
    <w:p w:rsidR="006415DB" w:rsidRPr="000C66F6" w:rsidRDefault="006415DB" w:rsidP="006415DB">
      <w:pPr>
        <w:pStyle w:val="NormalHanging12a"/>
      </w:pPr>
      <w:r w:rsidRPr="000C66F6">
        <w:t>ΙΕ.</w:t>
      </w:r>
      <w:r w:rsidRPr="000C66F6">
        <w:tab/>
        <w:t xml:space="preserve">λαμβάνοντας υπόψη ότι, το 2024, η Επιτροπή μείωσε τα ΑΟΚ για την </w:t>
      </w:r>
      <w:proofErr w:type="spellStart"/>
      <w:r w:rsidRPr="000C66F6">
        <w:t>θειακλοπρίδη</w:t>
      </w:r>
      <w:proofErr w:type="spellEnd"/>
      <w:r w:rsidRPr="000C66F6">
        <w:t>, μια δραστική ουσία που έχει χαρακτηρισθεί ως τοξική για την αναπαραγωγή κατηγορίας 1Β, στο σχετικό όριο προσδιορισμού, υποστηρίζοντας ότι «προκειμένου να ολοκληρωθεί η εν λόγω πρόσθετη εκτίμηση κινδύνου [για τις ενδοκρινικές επιδράσεις] από την Αρχή, και δεδομένων των διαθέσιμων σχετικών πληροφοριών όσον αφορά τις δυνητικά επιβλαβείς επιπτώσεις στην ανθρώπινη υγεία, είναι σκόπιμο να μειωθούν προσωρινά τα ΑΟΚ... [για τα εν λόγω προϊόντα]»</w:t>
      </w:r>
      <w:r w:rsidRPr="000C66F6">
        <w:rPr>
          <w:rStyle w:val="FootnoteReference"/>
        </w:rPr>
        <w:footnoteReference w:id="14"/>
      </w:r>
      <w:r w:rsidRPr="000C66F6">
        <w:t>·</w:t>
      </w:r>
    </w:p>
    <w:p w:rsidR="006415DB" w:rsidRPr="000C66F6" w:rsidRDefault="006415DB" w:rsidP="006415DB">
      <w:pPr>
        <w:pStyle w:val="NormalHanging12a"/>
      </w:pPr>
      <w:r w:rsidRPr="000C66F6">
        <w:t>ΙΣΤ.</w:t>
      </w:r>
      <w:r w:rsidRPr="000C66F6">
        <w:tab/>
        <w:t xml:space="preserve">λαμβάνοντας υπόψη ότι, επομένως, είναι σκόπιμο να διαγραφούν τα ισχύοντα ΑΟΚ </w:t>
      </w:r>
      <w:r w:rsidRPr="000C66F6">
        <w:lastRenderedPageBreak/>
        <w:t>που προβλέπονται για την εν λόγω ουσία στο παράρτημα II του κανονισμού (ΕΚ) αριθ. 396/2005 σύμφωνα με το άρθρο 14 παράγραφος 1 στοιχείο α) και με το άρθρο 17 του ίδιου κανονισμού·</w:t>
      </w:r>
    </w:p>
    <w:p w:rsidR="006415DB" w:rsidRPr="000C66F6" w:rsidRDefault="006415DB" w:rsidP="006415DB">
      <w:pPr>
        <w:pStyle w:val="NormalHanging12a"/>
      </w:pPr>
      <w:r w:rsidRPr="000C66F6">
        <w:t>ΙΖ.</w:t>
      </w:r>
      <w:r w:rsidRPr="000C66F6">
        <w:tab/>
        <w:t xml:space="preserve">λαμβάνοντας, ωστόσο, υπόψη ότι στο σχέδιο κανονισμού της η Επιτροπή προτείνει να διατηρηθούν τα ΑΟΚ με βάση τα περιθώρια ανοχής κατά την εισαγωγή για το </w:t>
      </w:r>
      <w:proofErr w:type="spellStart"/>
      <w:r w:rsidRPr="000C66F6">
        <w:t>θειοφαινικό</w:t>
      </w:r>
      <w:proofErr w:type="spellEnd"/>
      <w:r w:rsidRPr="000C66F6">
        <w:t xml:space="preserve"> μεθύλιο πάνω από το όριο προσδιορισμού στα </w:t>
      </w:r>
      <w:proofErr w:type="spellStart"/>
      <w:r w:rsidRPr="000C66F6">
        <w:t>μοσχολέμονα</w:t>
      </w:r>
      <w:proofErr w:type="spellEnd"/>
      <w:r w:rsidRPr="000C66F6">
        <w:t xml:space="preserve"> και τις μπάμιες για τις εισαγωγές με βάση την αιτιολογημένη γνωμοδότηση της EFSA, της 5ης Ιουλίου 2021· λαμβάνοντας υπόψη ότι το ΑΟΚ για το </w:t>
      </w:r>
      <w:proofErr w:type="spellStart"/>
      <w:r w:rsidRPr="000C66F6">
        <w:t>θειοφαινικό</w:t>
      </w:r>
      <w:proofErr w:type="spellEnd"/>
      <w:r w:rsidRPr="000C66F6">
        <w:t xml:space="preserve"> μεθύλιο στα </w:t>
      </w:r>
      <w:proofErr w:type="spellStart"/>
      <w:r w:rsidRPr="000C66F6">
        <w:t>μοσχολέμονα</w:t>
      </w:r>
      <w:proofErr w:type="spellEnd"/>
      <w:r w:rsidRPr="000C66F6">
        <w:t xml:space="preserve"> έχει οριστεί σε 6 </w:t>
      </w:r>
      <w:proofErr w:type="spellStart"/>
      <w:r w:rsidRPr="000C66F6">
        <w:t>mg</w:t>
      </w:r>
      <w:proofErr w:type="spellEnd"/>
      <w:r w:rsidRPr="000C66F6">
        <w:t>/</w:t>
      </w:r>
      <w:proofErr w:type="spellStart"/>
      <w:r w:rsidRPr="000C66F6">
        <w:t>kg</w:t>
      </w:r>
      <w:proofErr w:type="spellEnd"/>
      <w:r w:rsidRPr="000C66F6">
        <w:t>, ήτοι 600 φορές πολλαπλάσιο του ορίου προσδιορισμού·</w:t>
      </w:r>
    </w:p>
    <w:p w:rsidR="006415DB" w:rsidRPr="000C66F6" w:rsidRDefault="006415DB" w:rsidP="006415DB">
      <w:pPr>
        <w:pStyle w:val="NormalHanging12a"/>
      </w:pPr>
      <w:r w:rsidRPr="000C66F6">
        <w:t>ΙΗ.</w:t>
      </w:r>
      <w:r w:rsidRPr="000C66F6">
        <w:tab/>
        <w:t xml:space="preserve">λαμβάνοντας υπόψη ότι η αιτιολογική σκέψη 5 του κανονισμού (ΕΚ) αριθ. 396/2005 προβλέπει ότι δεν θα πρέπει να υπάρχουν κατάλοιπα σε επίπεδα που παρουσιάζουν απαράδεκτο κίνδυνο για τον άνθρωπο και, κατά περίπτωση, για τα ζώα· </w:t>
      </w:r>
    </w:p>
    <w:p w:rsidR="006415DB" w:rsidRPr="000C66F6" w:rsidRDefault="006415DB" w:rsidP="006415DB">
      <w:pPr>
        <w:pStyle w:val="NormalHanging12a"/>
      </w:pPr>
      <w:r w:rsidRPr="000C66F6">
        <w:t>ΙΘ.</w:t>
      </w:r>
      <w:r w:rsidRPr="000C66F6">
        <w:tab/>
        <w:t xml:space="preserve">λαμβάνοντας υπόψη ότι το άρθρο 4 παράγραφος 2 πρώτο εδάφιο στοιχείο α) του κανονισμού (ΕΚ) αριθ. 1107/2009 προβλέπει ότι τα υπολείμματα των </w:t>
      </w:r>
      <w:proofErr w:type="spellStart"/>
      <w:r w:rsidRPr="000C66F6">
        <w:t>φυτοπροστατευτικών</w:t>
      </w:r>
      <w:proofErr w:type="spellEnd"/>
      <w:r w:rsidRPr="000C66F6">
        <w:t xml:space="preserve"> προϊόντων δεν έχουν επιβλαβείς επιδράσεις στην υγεία των ανθρώπων, συμπεριλαμβανομένων των ευπαθών ομάδων, ή στην υγεία των ζώων, λαμβάνοντας υπόψη γνωστές συσσωρευτικές και </w:t>
      </w:r>
      <w:proofErr w:type="spellStart"/>
      <w:r w:rsidRPr="000C66F6">
        <w:t>συνεργιστικές</w:t>
      </w:r>
      <w:proofErr w:type="spellEnd"/>
      <w:r w:rsidRPr="000C66F6">
        <w:t xml:space="preserve"> επιδράσεις· λαμβάνοντας υπόψη ότι το σημείο 3.6.2 του παραρτήματος II του εν λόγω κανονισμού προβλέπει ότι μια δραστική ουσία που έχει ταξινομηθεί, σύμφωνα με τον κανονισμό (ΕΚ) αριθ. 1272/2008, ως </w:t>
      </w:r>
      <w:proofErr w:type="spellStart"/>
      <w:r w:rsidRPr="000C66F6">
        <w:t>μεταλλαξιογόνος</w:t>
      </w:r>
      <w:proofErr w:type="spellEnd"/>
      <w:r w:rsidRPr="000C66F6">
        <w:t xml:space="preserve"> παράγοντας κατηγορίας 1Α ή 1Β δεν λαμβάνει έγκριση· λαμβάνοντας υπόψη ότι το σημείο 3.6.4 του προαναφερθέντος παραρτήματος προβλέπει ότι μια δραστική ουσία που έχει ταξινομηθεί, σύμφωνα με τον κανονισμό (ΕΚ) αριθ. 1272/2008, ως τοξική για την αναπαραγωγή κατηγορίας 1Α ή 1Β, δεν εγκρίνεται εκτός εάν «τα υπολείμματα της σχετικής δραστικής ουσίας [...] στα τρόφιμα και τις ζωοτροφές δεν υπερβαίνουν την προκαθορισμένη τιμή που καθορίζεται σύμφωνα με το άρθρο 18 παράγραφος 1 στοιχείο β) του κανονισμού (ΕΚ) αριθ. 396/2005»· λαμβάνοντας υπόψη ότι το σημείο 3.6.5 του προαναφερθέντος παραρτήματος προβλέπει ότι μια δραστική ουσία δεν εγκρίνεται εάν έχει ιδιότητες ενδοκρινικού </w:t>
      </w:r>
      <w:proofErr w:type="spellStart"/>
      <w:r w:rsidRPr="000C66F6">
        <w:t>διαταράκτη</w:t>
      </w:r>
      <w:proofErr w:type="spellEnd"/>
      <w:r w:rsidRPr="000C66F6">
        <w:t>, εκτός εάν «τα υπολείμματα της σχετικής δραστικής ουσίας [...] στα τρόφιμα και τις ζωοτροφές δεν υπερβαίνουν την προκαθορισμένη τιμή που καθορίζεται σύμφωνα με το άρθρο 18 παράγραφος 1 στοιχείο β) του κανονισμού (ΕΚ) αριθ. 396/2005»· λαμβάνοντας υπόψη ότι το άρθρο 18 παράγραφος 1 στοιχείο β) του κανονισμού (ΕΚ) αριθ. 396/2005 αναφέρει ως προκαθορισμένη τιμή το 0,01 </w:t>
      </w:r>
      <w:proofErr w:type="spellStart"/>
      <w:r w:rsidRPr="000C66F6">
        <w:t>mg</w:t>
      </w:r>
      <w:proofErr w:type="spellEnd"/>
      <w:r w:rsidRPr="000C66F6">
        <w:t>/</w:t>
      </w:r>
      <w:proofErr w:type="spellStart"/>
      <w:r w:rsidRPr="000C66F6">
        <w:t>kg</w:t>
      </w:r>
      <w:proofErr w:type="spellEnd"/>
      <w:r w:rsidRPr="000C66F6">
        <w:t>·</w:t>
      </w:r>
    </w:p>
    <w:p w:rsidR="006415DB" w:rsidRPr="000C66F6" w:rsidRDefault="006415DB" w:rsidP="006415DB">
      <w:pPr>
        <w:pStyle w:val="NormalHanging12a"/>
      </w:pPr>
      <w:r w:rsidRPr="000C66F6">
        <w:t>Κ.</w:t>
      </w:r>
      <w:r w:rsidRPr="000C66F6">
        <w:tab/>
        <w:t xml:space="preserve">λαμβάνοντας υπόψη ότι το άρθρο 3 παράγραφος 2 στοιχείο ζ) του κανονισμού (ΕΚ) αριθ. 396/2005 προβλέπει ότι τα περιθώρια ανοχής κατά την εισαγωγή αποτελούν καθορισμένα ΑΟΚ για εισαγόμενα προϊόντα «όταν η χρήση της δραστικής ουσίας σε </w:t>
      </w:r>
      <w:proofErr w:type="spellStart"/>
      <w:r w:rsidRPr="000C66F6">
        <w:t>φυτοπροστατευτικό</w:t>
      </w:r>
      <w:proofErr w:type="spellEnd"/>
      <w:r w:rsidRPr="000C66F6">
        <w:t xml:space="preserve"> προϊόν για συγκεκριμένο προϊόν δεν είναι εγκεκριμένη στην Κοινότητα, για λόγους άλλους πλην λόγων δημοσίας υγείας για το συγκεκριμένο προϊόν και τη συγκεκριμένη χρήση»· λαμβάνοντας υπόψη ότι η </w:t>
      </w:r>
      <w:proofErr w:type="spellStart"/>
      <w:r w:rsidRPr="000C66F6">
        <w:t>καρβενδαζίμη</w:t>
      </w:r>
      <w:proofErr w:type="spellEnd"/>
      <w:r w:rsidRPr="000C66F6">
        <w:t xml:space="preserve"> δεν πληροί τα εν λόγω κριτήρια, καθώς δεν μπορεί πλέον να εγκριθεί στην Ένωση λόγω της ταξινόμησής της ως </w:t>
      </w:r>
      <w:proofErr w:type="spellStart"/>
      <w:r w:rsidRPr="000C66F6">
        <w:t>μεταλλαξιογόνου</w:t>
      </w:r>
      <w:proofErr w:type="spellEnd"/>
      <w:r w:rsidRPr="000C66F6">
        <w:t xml:space="preserve"> παράγοντα κατηγορίας 1Β και του χαρακτηρισμού της ως τοξικής για την αναπαραγωγή κατηγορίας 1Β· λαμβάνοντας υπόψη ότι ούτε το </w:t>
      </w:r>
      <w:proofErr w:type="spellStart"/>
      <w:r w:rsidRPr="000C66F6">
        <w:t>θειοφαινικό</w:t>
      </w:r>
      <w:proofErr w:type="spellEnd"/>
      <w:r w:rsidRPr="000C66F6">
        <w:t xml:space="preserve"> μεθύλιο πληροί τα εν λόγω κριτήρια καθώς έχει χαρακτηρισθεί ως ενδοκρινικός </w:t>
      </w:r>
      <w:proofErr w:type="spellStart"/>
      <w:r w:rsidRPr="000C66F6">
        <w:t>διαταράκτης</w:t>
      </w:r>
      <w:proofErr w:type="spellEnd"/>
      <w:r w:rsidRPr="000C66F6">
        <w:t xml:space="preserve"> (τρόπος T) που έχει σημασία για τον άνθρωπο, σύμφωνα με τα επιστημονικά κριτήρια για τον προσδιορισμό των ιδιοτήτων ενδοκρινικής διαταραχής που ορίζονται στον κανονισμό (ΕΕ) 2018/605·</w:t>
      </w:r>
    </w:p>
    <w:p w:rsidR="006415DB" w:rsidRPr="000C66F6" w:rsidRDefault="006415DB" w:rsidP="006415DB">
      <w:pPr>
        <w:pStyle w:val="NormalHanging12a"/>
      </w:pPr>
      <w:r w:rsidRPr="000C66F6">
        <w:lastRenderedPageBreak/>
        <w:t>ΚΑ.</w:t>
      </w:r>
      <w:r w:rsidRPr="000C66F6">
        <w:tab/>
        <w:t>λαμβάνοντας υπόψη ότι το άρθρο 5 παράγραφος 1 του κανονισμού (ΕΚ) αριθ. 178/2002 προβλέπει ότι η νομοθεσία για τα τρόφιμα επιδιώκει έναν ή περισσότερους από τους γενικούς στόχους του υψηλού επιπέδου προστασίας της ζωής και της υγείας του ανθρώπου, αφενός, και της προστασίας των συμφερόντων των καταναλωτών, αφετέρου, συμπεριλαμβανομένων των θεμιτών πρακτικών στο εμπόριο τροφίμων, λαμβάνοντας υπόψη, κατά περίπτωση, την προστασία της υγείας και της καλής μεταχείρισης των ζώων, της υγείας των φυτών και του περιβάλλοντος·</w:t>
      </w:r>
    </w:p>
    <w:p w:rsidR="006415DB" w:rsidRPr="000C66F6" w:rsidRDefault="006415DB" w:rsidP="006415DB">
      <w:pPr>
        <w:pStyle w:val="NormalHanging12a"/>
      </w:pPr>
      <w:r w:rsidRPr="000C66F6">
        <w:t>ΚΒ.</w:t>
      </w:r>
      <w:r w:rsidRPr="000C66F6">
        <w:tab/>
        <w:t>λαμβάνοντας υπόψη ότι η Επιτροπή, στην ανακοίνωσή της, της 20ής Μαΐου 2020, με τίτλο «Από το αγρόκτημα στο πιάτο — Μια στρατηγική για ένα δίκαιο, υγιές και φιλικό προς το περιβάλλον σύστημα τροφίμων»</w:t>
      </w:r>
      <w:r w:rsidRPr="000C66F6">
        <w:rPr>
          <w:vertAlign w:val="superscript"/>
        </w:rPr>
        <w:footnoteReference w:id="15"/>
      </w:r>
      <w:r w:rsidRPr="000C66F6">
        <w:t xml:space="preserve"> ανακοίνωσε ότι «[η] ΕΕ θα στηρίξει σε παγκόσμιο επίπεδο τη μετάβαση σε βιώσιμα συστήματα γεωργικών προϊόντων διατροφής, σύμφωνα με τους στόχους της παρούσας στρατηγικής και τους ΣΒΑ», και ότι «[η] ΕΕ μπορεί να διαδραματίσει καίριο ρόλο στον καθορισμό των προτύπων σε παγκόσμιο επίπεδο με την παρούσα στρατηγική»· λαμβάνοντας υπόψη ότι η Επιτροπή ανέφερε ρητά στη στρατηγική ότι «[ένα] πιο βιώσιμο σύστημα τροφίμων της ΕΕ απαιτεί επίσης ολοένα και πιο βιώσιμες πρακτικές από τους εμπορικούς εταίρους μας. Για να καταστεί δυνατή η σταδιακή μετάβαση προς τη χρήση ασφαλέστερων </w:t>
      </w:r>
      <w:proofErr w:type="spellStart"/>
      <w:r w:rsidRPr="000C66F6">
        <w:t>φυτοπροστατευτικών</w:t>
      </w:r>
      <w:proofErr w:type="spellEnd"/>
      <w:r w:rsidRPr="000C66F6">
        <w:t xml:space="preserve"> προϊόντων, η ΕΕ θα εξετάσει, σύμφωνα με τους κανόνες του ΠΟΕ και βάσει εκτίμησης επικινδυνότητας, το ενδεχόμενο να αναθεωρήσει τα περιθώρια ανοχής κατά την εισαγωγή ουσιών που πληρούν τα “κριτήρια αποκλεισμού” και οι οποίες παρουσιάζουν υψηλό επίπεδο κινδύνου για την ανθρώπινη υγεία»·</w:t>
      </w:r>
    </w:p>
    <w:p w:rsidR="006415DB" w:rsidRPr="000C66F6" w:rsidRDefault="006415DB" w:rsidP="006415DB">
      <w:pPr>
        <w:pStyle w:val="NormalHanging12a"/>
      </w:pPr>
      <w:r w:rsidRPr="000C66F6">
        <w:t>ΚΓ.</w:t>
      </w:r>
      <w:r w:rsidRPr="000C66F6">
        <w:tab/>
        <w:t>λαμβάνοντας υπόψη ότι η Επιτροπή πρέπει να προστατεύει το περιβάλλον και τους Ευρωπαίους πολίτες με βάση τις διαθέσιμες επιστημονικές πληροφορίες, χρησιμοποιώντας τις υποχρεώσεις και τις νομικές δυνατότητες που προβλέπουν ο κανονισμός (ΕΚ) αριθ. 396/2005 και ο κανονισμός (ΕΚ) αριθ. 178/2002 για τη διασφάλιση υψηλού επιπέδου προστασίας της υγείας των ανθρώπων και των ζώων και του περιβάλλοντος·</w:t>
      </w:r>
    </w:p>
    <w:p w:rsidR="006415DB" w:rsidRPr="000C66F6" w:rsidRDefault="006415DB" w:rsidP="006415DB">
      <w:pPr>
        <w:pStyle w:val="NormalHanging12a"/>
      </w:pPr>
      <w:r w:rsidRPr="000C66F6">
        <w:t>ΚΔ.</w:t>
      </w:r>
      <w:r w:rsidRPr="000C66F6">
        <w:tab/>
        <w:t>λαμβάνοντας υπόψη ότι τα προτεινόμενα ΑΟΚ δεν προστατεύουν την υγεία των πολιτών στην Ευρώπη και, επομένως, αντιβαίνουν στους κανονισμούς (ΕΚ) αριθ. 396/2005 και (ΕΚ) αριθ. 178/2002·</w:t>
      </w:r>
    </w:p>
    <w:p w:rsidR="006415DB" w:rsidRPr="000C66F6" w:rsidRDefault="006415DB" w:rsidP="006415DB">
      <w:pPr>
        <w:pStyle w:val="NormalHanging12a"/>
      </w:pPr>
      <w:r w:rsidRPr="000C66F6">
        <w:t xml:space="preserve">ΚΕ. </w:t>
      </w:r>
      <w:r w:rsidRPr="000C66F6">
        <w:tab/>
        <w:t xml:space="preserve">λαμβάνοντας υπόψη ότι δεν θα πρέπει να καθορίζονται ΑΟΚ για δραστικές ουσίες που δεν έχουν εγκριθεί στην Ένωση λόγω ανησυχιών για την υγεία· λαμβάνοντας υπόψη ότι, επομένως, δεν θα πρέπει να καθοριστούν περιθώρια ανοχής κατά την εισαγωγή για το </w:t>
      </w:r>
      <w:proofErr w:type="spellStart"/>
      <w:r w:rsidRPr="000C66F6">
        <w:t>θειοφαινικό</w:t>
      </w:r>
      <w:proofErr w:type="spellEnd"/>
      <w:r w:rsidRPr="000C66F6">
        <w:t xml:space="preserve"> μεθύλιο, δεδομένου ότι έχει χαρακτηρισθεί ως ενδοκρινικός </w:t>
      </w:r>
      <w:proofErr w:type="spellStart"/>
      <w:r w:rsidRPr="000C66F6">
        <w:t>διαταράκτης</w:t>
      </w:r>
      <w:proofErr w:type="spellEnd"/>
      <w:r w:rsidRPr="000C66F6">
        <w:t xml:space="preserve">, ούτε για την </w:t>
      </w:r>
      <w:proofErr w:type="spellStart"/>
      <w:r w:rsidRPr="000C66F6">
        <w:t>καρβενδαζίμη</w:t>
      </w:r>
      <w:proofErr w:type="spellEnd"/>
      <w:r w:rsidRPr="000C66F6">
        <w:t xml:space="preserve">, καθώς ταξινομείται ως </w:t>
      </w:r>
      <w:proofErr w:type="spellStart"/>
      <w:r w:rsidRPr="000C66F6">
        <w:t>μεταλλαξιογόνος</w:t>
      </w:r>
      <w:proofErr w:type="spellEnd"/>
      <w:r w:rsidRPr="000C66F6">
        <w:t xml:space="preserve"> παράγοντας κατηγορίας 1Β και έχει χαρακτηρισθεί ως τοξική για την αναπαραγωγή κατηγορίας 1Β·</w:t>
      </w:r>
    </w:p>
    <w:p w:rsidR="006415DB" w:rsidRPr="000C66F6" w:rsidRDefault="006415DB" w:rsidP="006415DB">
      <w:pPr>
        <w:pStyle w:val="NormalHanging12a"/>
      </w:pPr>
      <w:r w:rsidRPr="000C66F6">
        <w:t>ΚΣΤ.</w:t>
      </w:r>
      <w:r w:rsidRPr="000C66F6">
        <w:tab/>
        <w:t xml:space="preserve">λαμβάνοντας υπόψη ότι η πρακτική του καθορισμού υψηλών ΑΟΚ θέτει σε μειονεκτική θέση τους γεωργούς της Ευρωπαϊκής Ένωσης έναντι των γεωργών σε τρίτες χώρες, δεδομένου ότι οι τελευταίοι μπορούν να συνεχίσουν να παράγουν τα εν λόγω τρόφιμα χρησιμοποιώντας </w:t>
      </w:r>
      <w:proofErr w:type="spellStart"/>
      <w:r w:rsidRPr="000C66F6">
        <w:t>καρβενδαζίμη</w:t>
      </w:r>
      <w:proofErr w:type="spellEnd"/>
      <w:r w:rsidRPr="000C66F6">
        <w:t xml:space="preserve"> και </w:t>
      </w:r>
      <w:proofErr w:type="spellStart"/>
      <w:r w:rsidRPr="000C66F6">
        <w:t>θειοφανικό</w:t>
      </w:r>
      <w:proofErr w:type="spellEnd"/>
      <w:r w:rsidRPr="000C66F6">
        <w:t xml:space="preserve"> μεθύλιο και να τα εξάγουν στην Ένωση· λαμβάνοντας υπόψη επίσης ότι η χρήση των εν λόγω φυτοφαρμάκων θέτει σε κίνδυνο την υγεία των εργαζομένων στον γεωργικό τομέα, την </w:t>
      </w:r>
      <w:r w:rsidRPr="000C66F6">
        <w:lastRenderedPageBreak/>
        <w:t>υγεία του γενικού πληθυσμού και το περιβάλλον στις χώρες παραγωγής·</w:t>
      </w:r>
    </w:p>
    <w:p w:rsidR="006415DB" w:rsidRPr="000C66F6" w:rsidRDefault="006415DB" w:rsidP="006415DB">
      <w:pPr>
        <w:pStyle w:val="NormalHanging12a"/>
      </w:pPr>
      <w:r w:rsidRPr="000C66F6">
        <w:t>1.</w:t>
      </w:r>
      <w:r w:rsidRPr="000C66F6">
        <w:tab/>
        <w:t>αντιτίθεται στην έκδοση του σχεδίου κανονισμού της Επιτροπής·</w:t>
      </w:r>
    </w:p>
    <w:p w:rsidR="006415DB" w:rsidRPr="000C66F6" w:rsidRDefault="006415DB" w:rsidP="006415DB">
      <w:pPr>
        <w:pStyle w:val="NormalHanging12a"/>
      </w:pPr>
      <w:r w:rsidRPr="000C66F6">
        <w:t>2.</w:t>
      </w:r>
      <w:r w:rsidRPr="000C66F6">
        <w:tab/>
        <w:t>θεωρεί ότι το σχέδιο κανονισμού της Επιτροπής δεν συνάδει με τον σκοπό και το περιεχόμενο των κανονισμών (ΕΚ) αριθ. 396/2005 και (ΕΚ) αριθ. 178/2002, καθώς με τον κανονισμό (ΕΚ) αριθ</w:t>
      </w:r>
      <w:r w:rsidR="00961DD7">
        <w:t>.</w:t>
      </w:r>
      <w:bookmarkStart w:id="7" w:name="_GoBack"/>
      <w:bookmarkEnd w:id="7"/>
      <w:r w:rsidRPr="000C66F6">
        <w:t> 1107/2009, συμπεριλαμβανομένων των σημείων 3.6.2, 3.6.4 και 3.6.5 του παραρτήματος II του εν λόγω κανονισμού·</w:t>
      </w:r>
    </w:p>
    <w:p w:rsidR="006415DB" w:rsidRPr="000C66F6" w:rsidRDefault="006415DB" w:rsidP="006415DB">
      <w:pPr>
        <w:pStyle w:val="NormalHanging12a"/>
      </w:pPr>
      <w:r w:rsidRPr="000C66F6">
        <w:t>3.</w:t>
      </w:r>
      <w:r w:rsidRPr="000C66F6">
        <w:tab/>
        <w:t>ζητεί από την Επιτροπή να αποσύρει το σχέδιο κανονισμού της και να υποβάλει νέο σχέδιο στην επιτροπή·</w:t>
      </w:r>
    </w:p>
    <w:p w:rsidR="006415DB" w:rsidRPr="000C66F6" w:rsidRDefault="006415DB" w:rsidP="006415DB">
      <w:pPr>
        <w:pStyle w:val="NormalHanging12a"/>
      </w:pPr>
      <w:r w:rsidRPr="000C66F6">
        <w:t>4.</w:t>
      </w:r>
      <w:r w:rsidRPr="000C66F6">
        <w:tab/>
        <w:t xml:space="preserve">ζητεί από την Επιτροπή να υποβάλει νέο σχέδιο κανονισμού στην επιτροπή, στο οποίο θα γίνεται λόγος για τη μείωση όλων των ΑΟΚ για την </w:t>
      </w:r>
      <w:proofErr w:type="spellStart"/>
      <w:r w:rsidRPr="000C66F6">
        <w:t>καρβενδαζίμη</w:t>
      </w:r>
      <w:proofErr w:type="spellEnd"/>
      <w:r w:rsidRPr="000C66F6">
        <w:t xml:space="preserve"> και το </w:t>
      </w:r>
      <w:proofErr w:type="spellStart"/>
      <w:r w:rsidRPr="000C66F6">
        <w:t>θειοφαινικό</w:t>
      </w:r>
      <w:proofErr w:type="spellEnd"/>
      <w:r w:rsidRPr="000C66F6">
        <w:t xml:space="preserve"> μεθύλιο στο σχετικό όριο προσδιορισμού για όλες τις χρήσεις, και να απορρίψει τυχόν αιτήματα για περιθώρια ανοχής κατά την εισαγωγή·</w:t>
      </w:r>
    </w:p>
    <w:p w:rsidR="006415DB" w:rsidRPr="000C66F6" w:rsidRDefault="006415DB" w:rsidP="006415DB">
      <w:pPr>
        <w:pStyle w:val="NormalHanging12a"/>
      </w:pPr>
      <w:r w:rsidRPr="000C66F6">
        <w:t>5.</w:t>
      </w:r>
      <w:r w:rsidRPr="000C66F6">
        <w:tab/>
        <w:t xml:space="preserve">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 </w:t>
      </w:r>
    </w:p>
    <w:p w:rsidR="00E365E1" w:rsidRPr="000C66F6" w:rsidRDefault="00E365E1" w:rsidP="00845575">
      <w:bookmarkStart w:id="8" w:name="TextBodyEnd"/>
      <w:bookmarkEnd w:id="8"/>
    </w:p>
    <w:sectPr w:rsidR="00E365E1" w:rsidRPr="000C66F6" w:rsidSect="00B95A9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575" w:rsidRPr="00B95A92" w:rsidRDefault="00845575">
      <w:r w:rsidRPr="00B95A92">
        <w:separator/>
      </w:r>
    </w:p>
  </w:endnote>
  <w:endnote w:type="continuationSeparator" w:id="0">
    <w:p w:rsidR="00845575" w:rsidRPr="00B95A92" w:rsidRDefault="00845575">
      <w:r w:rsidRPr="00B95A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5A9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5A9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5A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575" w:rsidRPr="00B95A92" w:rsidRDefault="00845575">
      <w:r w:rsidRPr="00B95A92">
        <w:separator/>
      </w:r>
    </w:p>
  </w:footnote>
  <w:footnote w:type="continuationSeparator" w:id="0">
    <w:p w:rsidR="00845575" w:rsidRPr="00B95A92" w:rsidRDefault="00845575">
      <w:r w:rsidRPr="00B95A92">
        <w:continuationSeparator/>
      </w:r>
    </w:p>
  </w:footnote>
  <w:footnote w:id="1">
    <w:p w:rsidR="006415DB" w:rsidRPr="00B95A92" w:rsidRDefault="006415DB" w:rsidP="00B95A92">
      <w:pPr>
        <w:pStyle w:val="FootnoteText"/>
        <w:ind w:left="567" w:hanging="567"/>
        <w:rPr>
          <w:sz w:val="24"/>
          <w:lang w:val="el-GR"/>
        </w:rPr>
      </w:pPr>
      <w:r w:rsidRPr="00B95A92">
        <w:rPr>
          <w:rStyle w:val="FootnoteReference"/>
          <w:sz w:val="24"/>
          <w:lang w:val="el-GR"/>
        </w:rPr>
        <w:footnoteRef/>
      </w:r>
      <w:r w:rsidR="00B95A92" w:rsidRPr="00B95A92">
        <w:rPr>
          <w:sz w:val="24"/>
          <w:lang w:val="el-GR"/>
        </w:rPr>
        <w:t xml:space="preserve"> </w:t>
      </w:r>
      <w:r w:rsidR="00B95A92" w:rsidRPr="00B95A92">
        <w:rPr>
          <w:sz w:val="24"/>
          <w:lang w:val="el-GR"/>
        </w:rPr>
        <w:tab/>
      </w:r>
      <w:r w:rsidRPr="00B95A92">
        <w:rPr>
          <w:sz w:val="24"/>
          <w:lang w:val="el-GR"/>
        </w:rPr>
        <w:t>ΕΕ L 70 της 16.3.2005, σ. 1.</w:t>
      </w:r>
    </w:p>
  </w:footnote>
  <w:footnote w:id="2">
    <w:p w:rsidR="006415DB" w:rsidRPr="00B95A92" w:rsidRDefault="006415DB" w:rsidP="00B95A92">
      <w:pPr>
        <w:pStyle w:val="FootnoteText"/>
        <w:ind w:left="567" w:hanging="567"/>
        <w:rPr>
          <w:sz w:val="24"/>
          <w:lang w:val="el-GR"/>
        </w:rPr>
      </w:pPr>
      <w:r w:rsidRPr="00B95A92">
        <w:rPr>
          <w:rStyle w:val="FootnoteReference"/>
          <w:sz w:val="24"/>
          <w:lang w:val="el-GR"/>
        </w:rPr>
        <w:footnoteRef/>
      </w:r>
      <w:r w:rsidR="00B95A92" w:rsidRPr="00B95A92">
        <w:rPr>
          <w:sz w:val="24"/>
          <w:lang w:val="el-GR"/>
        </w:rPr>
        <w:t xml:space="preserve"> </w:t>
      </w:r>
      <w:r w:rsidR="00B95A92" w:rsidRPr="00B95A92">
        <w:rPr>
          <w:sz w:val="24"/>
          <w:lang w:val="el-GR"/>
        </w:rPr>
        <w:tab/>
      </w:r>
      <w:r w:rsidRPr="00B95A92">
        <w:rPr>
          <w:sz w:val="24"/>
          <w:lang w:val="el-GR"/>
        </w:rPr>
        <w:t>ΕΕ L 309 της 24.11.2009, σ. 1.</w:t>
      </w:r>
    </w:p>
  </w:footnote>
  <w:footnote w:id="3">
    <w:p w:rsidR="006415DB" w:rsidRPr="00B95A92" w:rsidRDefault="006415DB" w:rsidP="00B95A92">
      <w:pPr>
        <w:pStyle w:val="FootnoteText"/>
        <w:ind w:left="567" w:hanging="567"/>
        <w:rPr>
          <w:sz w:val="24"/>
          <w:lang w:val="el-GR"/>
        </w:rPr>
      </w:pPr>
      <w:r w:rsidRPr="00B95A92">
        <w:rPr>
          <w:rStyle w:val="FootnoteReference"/>
          <w:sz w:val="24"/>
          <w:lang w:val="el-GR"/>
        </w:rPr>
        <w:footnoteRef/>
      </w:r>
      <w:r w:rsidR="00B95A92" w:rsidRPr="00B95A92">
        <w:rPr>
          <w:sz w:val="24"/>
          <w:lang w:val="el-GR"/>
        </w:rPr>
        <w:t xml:space="preserve"> </w:t>
      </w:r>
      <w:r w:rsidR="00B95A92" w:rsidRPr="00B95A92">
        <w:rPr>
          <w:sz w:val="24"/>
          <w:lang w:val="el-GR"/>
        </w:rPr>
        <w:tab/>
      </w:r>
      <w:r w:rsidRPr="00B95A92">
        <w:rPr>
          <w:sz w:val="24"/>
          <w:lang w:val="el-GR"/>
        </w:rPr>
        <w:t>ΕΕ L 31 της 1.2.2002, σ. 1.</w:t>
      </w:r>
    </w:p>
  </w:footnote>
  <w:footnote w:id="4">
    <w:p w:rsidR="006415DB" w:rsidRPr="00B95A92" w:rsidRDefault="006415DB" w:rsidP="00B95A92">
      <w:pPr>
        <w:pStyle w:val="FootnoteText"/>
        <w:ind w:left="567" w:hanging="567"/>
        <w:rPr>
          <w:sz w:val="24"/>
          <w:lang w:val="el-GR"/>
        </w:rPr>
      </w:pPr>
      <w:r w:rsidRPr="00B95A92">
        <w:rPr>
          <w:rStyle w:val="FootnoteReference"/>
          <w:sz w:val="24"/>
          <w:lang w:val="el-GR"/>
        </w:rPr>
        <w:footnoteRef/>
      </w:r>
      <w:r w:rsidR="00B95A92" w:rsidRPr="00B95A92">
        <w:rPr>
          <w:sz w:val="24"/>
          <w:lang w:val="el-GR"/>
        </w:rPr>
        <w:t xml:space="preserve"> </w:t>
      </w:r>
      <w:r w:rsidR="00B95A92" w:rsidRPr="00B95A92">
        <w:rPr>
          <w:sz w:val="24"/>
          <w:lang w:val="el-GR"/>
        </w:rPr>
        <w:tab/>
      </w:r>
      <w:r w:rsidRPr="00B95A92">
        <w:rPr>
          <w:sz w:val="24"/>
          <w:lang w:val="el-GR"/>
        </w:rPr>
        <w:t xml:space="preserve">Αιτιολογημένη γνωμοδότηση της Ευρωπαϊκής Αρχής για την Ασφάλεια των Τροφίμων (EFSA) σχετικά με τις τοξικολογικές ιδιότητες και τα ανώτατα όρια καταλοίπων (ΑΟΚ) για τις ουσίες του </w:t>
      </w:r>
      <w:proofErr w:type="spellStart"/>
      <w:r w:rsidRPr="00B95A92">
        <w:rPr>
          <w:sz w:val="24"/>
          <w:lang w:val="el-GR"/>
        </w:rPr>
        <w:t>βενζιμιδαζολίου</w:t>
      </w:r>
      <w:proofErr w:type="spellEnd"/>
      <w:r w:rsidRPr="00B95A92">
        <w:rPr>
          <w:sz w:val="24"/>
          <w:lang w:val="el-GR"/>
        </w:rPr>
        <w:t xml:space="preserve"> </w:t>
      </w:r>
      <w:proofErr w:type="spellStart"/>
      <w:r w:rsidRPr="00B95A92">
        <w:rPr>
          <w:sz w:val="24"/>
          <w:lang w:val="el-GR"/>
        </w:rPr>
        <w:t>καρβενδαζίμη</w:t>
      </w:r>
      <w:proofErr w:type="spellEnd"/>
      <w:r w:rsidRPr="00B95A92">
        <w:rPr>
          <w:sz w:val="24"/>
          <w:lang w:val="el-GR"/>
        </w:rPr>
        <w:t xml:space="preserve"> και </w:t>
      </w:r>
      <w:proofErr w:type="spellStart"/>
      <w:r w:rsidRPr="00B95A92">
        <w:rPr>
          <w:sz w:val="24"/>
          <w:lang w:val="el-GR"/>
        </w:rPr>
        <w:t>θειοφαινικό</w:t>
      </w:r>
      <w:proofErr w:type="spellEnd"/>
      <w:r w:rsidRPr="00B95A92">
        <w:rPr>
          <w:sz w:val="24"/>
          <w:lang w:val="el-GR"/>
        </w:rPr>
        <w:t xml:space="preserve"> μεθύλιο, </w:t>
      </w:r>
      <w:bookmarkStart w:id="6" w:name="_Hlk168311905"/>
      <w:r w:rsidRPr="00B95A92">
        <w:rPr>
          <w:sz w:val="24"/>
          <w:lang w:val="el-GR"/>
        </w:rPr>
        <w:t>EFSA Journal 2021</w:t>
      </w:r>
      <w:r w:rsidR="007C238F">
        <w:rPr>
          <w:sz w:val="24"/>
          <w:lang w:val="el-GR"/>
        </w:rPr>
        <w:t xml:space="preserve">, </w:t>
      </w:r>
      <w:r w:rsidRPr="00B95A92">
        <w:rPr>
          <w:sz w:val="24"/>
          <w:lang w:val="el-GR"/>
        </w:rPr>
        <w:t>19(8):e06773</w:t>
      </w:r>
      <w:bookmarkEnd w:id="6"/>
      <w:r w:rsidRPr="00B95A92">
        <w:rPr>
          <w:sz w:val="24"/>
          <w:lang w:val="el-GR"/>
        </w:rPr>
        <w:t xml:space="preserve">, </w:t>
      </w:r>
      <w:r w:rsidR="00961DD7">
        <w:fldChar w:fldCharType="begin"/>
      </w:r>
      <w:r w:rsidR="00961DD7" w:rsidRPr="00961DD7">
        <w:rPr>
          <w:lang w:val="el-GR"/>
        </w:rPr>
        <w:instrText xml:space="preserve"> </w:instrText>
      </w:r>
      <w:r w:rsidR="00961DD7">
        <w:instrText>HYPERLINK</w:instrText>
      </w:r>
      <w:r w:rsidR="00961DD7" w:rsidRPr="00961DD7">
        <w:rPr>
          <w:lang w:val="el-GR"/>
        </w:rPr>
        <w:instrText xml:space="preserve"> "</w:instrText>
      </w:r>
      <w:r w:rsidR="00961DD7">
        <w:instrText>https</w:instrText>
      </w:r>
      <w:r w:rsidR="00961DD7" w:rsidRPr="00961DD7">
        <w:rPr>
          <w:lang w:val="el-GR"/>
        </w:rPr>
        <w:instrText>://</w:instrText>
      </w:r>
      <w:r w:rsidR="00961DD7">
        <w:instrText>doi</w:instrText>
      </w:r>
      <w:r w:rsidR="00961DD7" w:rsidRPr="00961DD7">
        <w:rPr>
          <w:lang w:val="el-GR"/>
        </w:rPr>
        <w:instrText>.</w:instrText>
      </w:r>
      <w:r w:rsidR="00961DD7">
        <w:instrText>org</w:instrText>
      </w:r>
      <w:r w:rsidR="00961DD7" w:rsidRPr="00961DD7">
        <w:rPr>
          <w:lang w:val="el-GR"/>
        </w:rPr>
        <w:instrText>/10.2903/</w:instrText>
      </w:r>
      <w:r w:rsidR="00961DD7">
        <w:instrText>j</w:instrText>
      </w:r>
      <w:r w:rsidR="00961DD7" w:rsidRPr="00961DD7">
        <w:rPr>
          <w:lang w:val="el-GR"/>
        </w:rPr>
        <w:instrText>.</w:instrText>
      </w:r>
      <w:r w:rsidR="00961DD7">
        <w:instrText>efsa</w:instrText>
      </w:r>
      <w:r w:rsidR="00961DD7" w:rsidRPr="00961DD7">
        <w:rPr>
          <w:lang w:val="el-GR"/>
        </w:rPr>
        <w:instrText xml:space="preserve">.2021.6773" </w:instrText>
      </w:r>
      <w:r w:rsidR="00961DD7">
        <w:fldChar w:fldCharType="separate"/>
      </w:r>
      <w:r w:rsidRPr="00B95A92">
        <w:rPr>
          <w:rStyle w:val="Hyperlink"/>
          <w:sz w:val="24"/>
          <w:lang w:val="el-GR"/>
        </w:rPr>
        <w:t>https://doi.org/10.2903/j.efsa.2021.6773</w:t>
      </w:r>
      <w:r w:rsidR="00961DD7">
        <w:rPr>
          <w:rStyle w:val="Hyperlink"/>
          <w:sz w:val="24"/>
          <w:lang w:val="el-GR"/>
        </w:rPr>
        <w:fldChar w:fldCharType="end"/>
      </w:r>
      <w:r w:rsidRPr="00B95A92">
        <w:rPr>
          <w:rStyle w:val="Hyperlink"/>
          <w:sz w:val="24"/>
          <w:lang w:val="el-GR"/>
        </w:rPr>
        <w:t>.</w:t>
      </w:r>
      <w:r w:rsidRPr="00B95A92">
        <w:rPr>
          <w:sz w:val="24"/>
          <w:lang w:val="el-GR"/>
        </w:rPr>
        <w:t xml:space="preserve"> </w:t>
      </w:r>
    </w:p>
  </w:footnote>
  <w:footnote w:id="5">
    <w:p w:rsidR="006415DB" w:rsidRPr="00B95A92" w:rsidRDefault="006415DB" w:rsidP="00B95A92">
      <w:pPr>
        <w:pStyle w:val="FootnoteText"/>
        <w:ind w:left="567" w:hanging="567"/>
        <w:rPr>
          <w:sz w:val="24"/>
          <w:lang w:val="el-GR"/>
        </w:rPr>
      </w:pPr>
      <w:r w:rsidRPr="00B95A92">
        <w:rPr>
          <w:rStyle w:val="FootnoteReference"/>
          <w:sz w:val="24"/>
          <w:lang w:val="el-GR"/>
        </w:rPr>
        <w:footnoteRef/>
      </w:r>
      <w:r w:rsidR="00B95A92" w:rsidRPr="00B95A92">
        <w:rPr>
          <w:sz w:val="24"/>
          <w:lang w:val="el-GR"/>
        </w:rPr>
        <w:t xml:space="preserve"> </w:t>
      </w:r>
      <w:r w:rsidR="00B95A92" w:rsidRPr="00B95A92">
        <w:rPr>
          <w:sz w:val="24"/>
          <w:lang w:val="el-GR"/>
        </w:rPr>
        <w:tab/>
      </w:r>
      <w:r w:rsidRPr="00B95A92">
        <w:rPr>
          <w:sz w:val="24"/>
          <w:lang w:val="el-GR"/>
        </w:rPr>
        <w:t xml:space="preserve">Επικαιροποιημένη αιτιολογημένη γνωμοδότηση της Ευρωπαϊκής Αρχής για την Ασφάλεια των Τροφίμων (EFSA) σχετικά με τις τοξικολογικές ιδιότητες και τα ανώτατα όρια καταλοίπων (ΑΟΚ) για τις ουσίες του </w:t>
      </w:r>
      <w:proofErr w:type="spellStart"/>
      <w:r w:rsidRPr="00B95A92">
        <w:rPr>
          <w:sz w:val="24"/>
          <w:lang w:val="el-GR"/>
        </w:rPr>
        <w:t>βενζιμιδαζολίου</w:t>
      </w:r>
      <w:proofErr w:type="spellEnd"/>
      <w:r w:rsidRPr="00B95A92">
        <w:rPr>
          <w:sz w:val="24"/>
          <w:lang w:val="el-GR"/>
        </w:rPr>
        <w:t xml:space="preserve"> </w:t>
      </w:r>
      <w:proofErr w:type="spellStart"/>
      <w:r w:rsidRPr="00B95A92">
        <w:rPr>
          <w:sz w:val="24"/>
          <w:lang w:val="el-GR"/>
        </w:rPr>
        <w:t>καρβενδαζίμη</w:t>
      </w:r>
      <w:proofErr w:type="spellEnd"/>
      <w:r w:rsidRPr="00B95A92">
        <w:rPr>
          <w:sz w:val="24"/>
          <w:lang w:val="el-GR"/>
        </w:rPr>
        <w:t xml:space="preserve"> και </w:t>
      </w:r>
      <w:proofErr w:type="spellStart"/>
      <w:r w:rsidRPr="00B95A92">
        <w:rPr>
          <w:sz w:val="24"/>
          <w:lang w:val="el-GR"/>
        </w:rPr>
        <w:t>θειοφαινικό</w:t>
      </w:r>
      <w:proofErr w:type="spellEnd"/>
      <w:r w:rsidRPr="00B95A92">
        <w:rPr>
          <w:sz w:val="24"/>
          <w:lang w:val="el-GR"/>
        </w:rPr>
        <w:t xml:space="preserve"> μεθύλιο, EFSA Journal 2024</w:t>
      </w:r>
      <w:r w:rsidR="007C238F">
        <w:rPr>
          <w:sz w:val="24"/>
          <w:lang w:val="el-GR"/>
        </w:rPr>
        <w:t xml:space="preserve">, </w:t>
      </w:r>
      <w:r w:rsidRPr="00B95A92">
        <w:rPr>
          <w:sz w:val="24"/>
          <w:lang w:val="el-GR"/>
        </w:rPr>
        <w:t xml:space="preserve">22(2):e8569, </w:t>
      </w:r>
      <w:r w:rsidR="00961DD7">
        <w:fldChar w:fldCharType="begin"/>
      </w:r>
      <w:r w:rsidR="00961DD7" w:rsidRPr="00961DD7">
        <w:rPr>
          <w:lang w:val="el-GR"/>
        </w:rPr>
        <w:instrText xml:space="preserve"> </w:instrText>
      </w:r>
      <w:r w:rsidR="00961DD7">
        <w:instrText>HYPERLINK</w:instrText>
      </w:r>
      <w:r w:rsidR="00961DD7" w:rsidRPr="00961DD7">
        <w:rPr>
          <w:lang w:val="el-GR"/>
        </w:rPr>
        <w:instrText xml:space="preserve"> "</w:instrText>
      </w:r>
      <w:r w:rsidR="00961DD7">
        <w:instrText>https</w:instrText>
      </w:r>
      <w:r w:rsidR="00961DD7" w:rsidRPr="00961DD7">
        <w:rPr>
          <w:lang w:val="el-GR"/>
        </w:rPr>
        <w:instrText>://</w:instrText>
      </w:r>
      <w:r w:rsidR="00961DD7">
        <w:instrText>doi</w:instrText>
      </w:r>
      <w:r w:rsidR="00961DD7" w:rsidRPr="00961DD7">
        <w:rPr>
          <w:lang w:val="el-GR"/>
        </w:rPr>
        <w:instrText>.</w:instrText>
      </w:r>
      <w:r w:rsidR="00961DD7">
        <w:instrText>org</w:instrText>
      </w:r>
      <w:r w:rsidR="00961DD7" w:rsidRPr="00961DD7">
        <w:rPr>
          <w:lang w:val="el-GR"/>
        </w:rPr>
        <w:instrText>/10.2903/</w:instrText>
      </w:r>
      <w:r w:rsidR="00961DD7">
        <w:instrText>j</w:instrText>
      </w:r>
      <w:r w:rsidR="00961DD7" w:rsidRPr="00961DD7">
        <w:rPr>
          <w:lang w:val="el-GR"/>
        </w:rPr>
        <w:instrText>.</w:instrText>
      </w:r>
      <w:r w:rsidR="00961DD7">
        <w:instrText>efsa</w:instrText>
      </w:r>
      <w:r w:rsidR="00961DD7" w:rsidRPr="00961DD7">
        <w:rPr>
          <w:lang w:val="el-GR"/>
        </w:rPr>
        <w:instrText xml:space="preserve">.2024.8569" </w:instrText>
      </w:r>
      <w:r w:rsidR="00961DD7">
        <w:fldChar w:fldCharType="separate"/>
      </w:r>
      <w:r w:rsidRPr="00B95A92">
        <w:rPr>
          <w:rStyle w:val="Hyperlink"/>
          <w:sz w:val="24"/>
          <w:lang w:val="el-GR"/>
        </w:rPr>
        <w:t>https://doi.org/10.2903/j.efsa.2024.8569</w:t>
      </w:r>
      <w:r w:rsidR="00961DD7">
        <w:rPr>
          <w:rStyle w:val="Hyperlink"/>
          <w:sz w:val="24"/>
          <w:lang w:val="el-GR"/>
        </w:rPr>
        <w:fldChar w:fldCharType="end"/>
      </w:r>
      <w:r w:rsidRPr="00B95A92">
        <w:rPr>
          <w:rStyle w:val="Hyperlink"/>
          <w:sz w:val="24"/>
          <w:lang w:val="el-GR"/>
        </w:rPr>
        <w:t>.</w:t>
      </w:r>
      <w:r w:rsidRPr="00B95A92">
        <w:rPr>
          <w:sz w:val="24"/>
          <w:lang w:val="el-GR"/>
        </w:rPr>
        <w:t xml:space="preserve"> </w:t>
      </w:r>
    </w:p>
  </w:footnote>
  <w:footnote w:id="6">
    <w:p w:rsidR="006415DB" w:rsidRPr="00B95A92" w:rsidRDefault="006415DB" w:rsidP="00B95A92">
      <w:pPr>
        <w:pStyle w:val="FootnoteText"/>
        <w:ind w:left="567" w:hanging="567"/>
        <w:rPr>
          <w:sz w:val="24"/>
          <w:lang w:val="el-GR"/>
        </w:rPr>
      </w:pPr>
      <w:r w:rsidRPr="00B95A92">
        <w:rPr>
          <w:rStyle w:val="FootnoteReference"/>
          <w:sz w:val="24"/>
          <w:lang w:val="el-GR"/>
        </w:rPr>
        <w:footnoteRef/>
      </w:r>
      <w:r w:rsidR="00B95A92" w:rsidRPr="00B95A92">
        <w:rPr>
          <w:sz w:val="24"/>
          <w:lang w:val="el-GR"/>
        </w:rPr>
        <w:t xml:space="preserve"> </w:t>
      </w:r>
      <w:r w:rsidR="00B95A92" w:rsidRPr="00B95A92">
        <w:rPr>
          <w:sz w:val="24"/>
          <w:lang w:val="el-GR"/>
        </w:rPr>
        <w:tab/>
      </w:r>
      <w:r w:rsidRPr="00B95A92">
        <w:rPr>
          <w:sz w:val="24"/>
          <w:lang w:val="el-GR"/>
        </w:rPr>
        <w:t xml:space="preserve">Συμπέρασμα της EFSA σχετικά με την αξιολόγηση από </w:t>
      </w:r>
      <w:proofErr w:type="spellStart"/>
      <w:r w:rsidRPr="00B95A92">
        <w:rPr>
          <w:sz w:val="24"/>
          <w:lang w:val="el-GR"/>
        </w:rPr>
        <w:t>ομοτίμους</w:t>
      </w:r>
      <w:proofErr w:type="spellEnd"/>
      <w:r w:rsidRPr="00B95A92">
        <w:rPr>
          <w:sz w:val="24"/>
          <w:lang w:val="el-GR"/>
        </w:rPr>
        <w:t xml:space="preserve"> της εκτίμησης επικινδυνότητας φυτοφαρμάκων όσον αφορά τη δραστική ουσία </w:t>
      </w:r>
      <w:proofErr w:type="spellStart"/>
      <w:r w:rsidRPr="00B95A92">
        <w:rPr>
          <w:sz w:val="24"/>
          <w:lang w:val="el-GR"/>
        </w:rPr>
        <w:t>καρβενδαζίμη</w:t>
      </w:r>
      <w:proofErr w:type="spellEnd"/>
      <w:r w:rsidRPr="00B95A92">
        <w:rPr>
          <w:sz w:val="24"/>
          <w:lang w:val="el-GR"/>
        </w:rPr>
        <w:t>, EFSA Journal 2010</w:t>
      </w:r>
      <w:r w:rsidR="007C238F">
        <w:rPr>
          <w:sz w:val="24"/>
          <w:lang w:val="el-GR"/>
        </w:rPr>
        <w:t xml:space="preserve">, </w:t>
      </w:r>
      <w:r w:rsidRPr="00B95A92">
        <w:rPr>
          <w:sz w:val="24"/>
          <w:lang w:val="el-GR"/>
        </w:rPr>
        <w:t xml:space="preserve">8(5):1598, </w:t>
      </w:r>
      <w:r w:rsidR="00961DD7">
        <w:fldChar w:fldCharType="begin"/>
      </w:r>
      <w:r w:rsidR="00961DD7" w:rsidRPr="00961DD7">
        <w:rPr>
          <w:lang w:val="el-GR"/>
        </w:rPr>
        <w:instrText xml:space="preserve"> </w:instrText>
      </w:r>
      <w:r w:rsidR="00961DD7">
        <w:instrText>HYPERLINK</w:instrText>
      </w:r>
      <w:r w:rsidR="00961DD7" w:rsidRPr="00961DD7">
        <w:rPr>
          <w:lang w:val="el-GR"/>
        </w:rPr>
        <w:instrText xml:space="preserve"> "</w:instrText>
      </w:r>
      <w:r w:rsidR="00961DD7">
        <w:instrText>https</w:instrText>
      </w:r>
      <w:r w:rsidR="00961DD7" w:rsidRPr="00961DD7">
        <w:rPr>
          <w:lang w:val="el-GR"/>
        </w:rPr>
        <w:instrText>://</w:instrText>
      </w:r>
      <w:r w:rsidR="00961DD7">
        <w:instrText>doi</w:instrText>
      </w:r>
      <w:r w:rsidR="00961DD7" w:rsidRPr="00961DD7">
        <w:rPr>
          <w:lang w:val="el-GR"/>
        </w:rPr>
        <w:instrText>.</w:instrText>
      </w:r>
      <w:r w:rsidR="00961DD7">
        <w:instrText>org</w:instrText>
      </w:r>
      <w:r w:rsidR="00961DD7" w:rsidRPr="00961DD7">
        <w:rPr>
          <w:lang w:val="el-GR"/>
        </w:rPr>
        <w:instrText>/10.2903/</w:instrText>
      </w:r>
      <w:r w:rsidR="00961DD7">
        <w:instrText>j</w:instrText>
      </w:r>
      <w:r w:rsidR="00961DD7" w:rsidRPr="00961DD7">
        <w:rPr>
          <w:lang w:val="el-GR"/>
        </w:rPr>
        <w:instrText>.</w:instrText>
      </w:r>
      <w:r w:rsidR="00961DD7">
        <w:instrText>efsa</w:instrText>
      </w:r>
      <w:r w:rsidR="00961DD7" w:rsidRPr="00961DD7">
        <w:rPr>
          <w:lang w:val="el-GR"/>
        </w:rPr>
        <w:instrText xml:space="preserve">.2010.1598" </w:instrText>
      </w:r>
      <w:r w:rsidR="00961DD7">
        <w:fldChar w:fldCharType="separate"/>
      </w:r>
      <w:r w:rsidRPr="00B95A92">
        <w:rPr>
          <w:rStyle w:val="Hyperlink"/>
          <w:sz w:val="24"/>
          <w:lang w:val="el-GR"/>
        </w:rPr>
        <w:t>https://doi.org/10.2903/j.efsa.2010.1598</w:t>
      </w:r>
      <w:r w:rsidR="00961DD7">
        <w:rPr>
          <w:rStyle w:val="Hyperlink"/>
          <w:sz w:val="24"/>
          <w:lang w:val="el-GR"/>
        </w:rPr>
        <w:fldChar w:fldCharType="end"/>
      </w:r>
      <w:r w:rsidRPr="00B95A92">
        <w:rPr>
          <w:sz w:val="24"/>
          <w:lang w:val="el-GR"/>
        </w:rPr>
        <w:t xml:space="preserve">. </w:t>
      </w:r>
    </w:p>
  </w:footnote>
  <w:footnote w:id="7">
    <w:p w:rsidR="006415DB" w:rsidRPr="00B95A92" w:rsidRDefault="006415DB" w:rsidP="00B95A92">
      <w:pPr>
        <w:pStyle w:val="FootnoteText"/>
        <w:ind w:left="567" w:hanging="567"/>
        <w:rPr>
          <w:sz w:val="24"/>
          <w:lang w:val="el-GR"/>
        </w:rPr>
      </w:pPr>
      <w:r w:rsidRPr="00B95A92">
        <w:rPr>
          <w:rStyle w:val="FootnoteReference"/>
          <w:sz w:val="24"/>
          <w:lang w:val="el-GR"/>
        </w:rPr>
        <w:footnoteRef/>
      </w:r>
      <w:r w:rsidR="00B95A92" w:rsidRPr="00B95A92">
        <w:rPr>
          <w:sz w:val="24"/>
          <w:lang w:val="el-GR"/>
        </w:rPr>
        <w:t xml:space="preserve"> </w:t>
      </w:r>
      <w:r w:rsidR="00B95A92" w:rsidRPr="00B95A92">
        <w:rPr>
          <w:sz w:val="24"/>
          <w:lang w:val="el-GR"/>
        </w:rPr>
        <w:tab/>
      </w:r>
      <w:r w:rsidRPr="00B95A92">
        <w:rPr>
          <w:sz w:val="24"/>
          <w:lang w:val="el-GR"/>
        </w:rPr>
        <w:t xml:space="preserve">Συμπέρασμα της EFSA σχετικά με την αξιολόγηση από </w:t>
      </w:r>
      <w:proofErr w:type="spellStart"/>
      <w:r w:rsidRPr="00B95A92">
        <w:rPr>
          <w:sz w:val="24"/>
          <w:lang w:val="el-GR"/>
        </w:rPr>
        <w:t>ομοτίμους</w:t>
      </w:r>
      <w:proofErr w:type="spellEnd"/>
      <w:r w:rsidRPr="00B95A92">
        <w:rPr>
          <w:sz w:val="24"/>
          <w:lang w:val="el-GR"/>
        </w:rPr>
        <w:t xml:space="preserve"> της εκτίμησης επικινδυνότητας φυτοφαρμάκων όσον αφορά τη δραστική ουσία </w:t>
      </w:r>
      <w:proofErr w:type="spellStart"/>
      <w:r w:rsidRPr="00B95A92">
        <w:rPr>
          <w:sz w:val="24"/>
          <w:lang w:val="el-GR"/>
        </w:rPr>
        <w:t>μεσοτριόνη</w:t>
      </w:r>
      <w:proofErr w:type="spellEnd"/>
      <w:r w:rsidRPr="00B95A92">
        <w:rPr>
          <w:sz w:val="24"/>
          <w:lang w:val="el-GR"/>
        </w:rPr>
        <w:t>, EFSA Journal 2018</w:t>
      </w:r>
      <w:r w:rsidR="007C238F">
        <w:rPr>
          <w:sz w:val="24"/>
          <w:lang w:val="el-GR"/>
        </w:rPr>
        <w:t xml:space="preserve">, </w:t>
      </w:r>
      <w:r w:rsidRPr="00B95A92">
        <w:rPr>
          <w:sz w:val="24"/>
          <w:lang w:val="el-GR"/>
        </w:rPr>
        <w:t xml:space="preserve">16(1):e05133, </w:t>
      </w:r>
      <w:r w:rsidR="00961DD7">
        <w:fldChar w:fldCharType="begin"/>
      </w:r>
      <w:r w:rsidR="00961DD7" w:rsidRPr="00961DD7">
        <w:rPr>
          <w:lang w:val="el-GR"/>
        </w:rPr>
        <w:instrText xml:space="preserve"> </w:instrText>
      </w:r>
      <w:r w:rsidR="00961DD7">
        <w:instrText>HYPERLINK</w:instrText>
      </w:r>
      <w:r w:rsidR="00961DD7" w:rsidRPr="00961DD7">
        <w:rPr>
          <w:lang w:val="el-GR"/>
        </w:rPr>
        <w:instrText xml:space="preserve"> "</w:instrText>
      </w:r>
      <w:r w:rsidR="00961DD7">
        <w:instrText>https</w:instrText>
      </w:r>
      <w:r w:rsidR="00961DD7" w:rsidRPr="00961DD7">
        <w:rPr>
          <w:lang w:val="el-GR"/>
        </w:rPr>
        <w:instrText>://</w:instrText>
      </w:r>
      <w:r w:rsidR="00961DD7">
        <w:instrText>doi</w:instrText>
      </w:r>
      <w:r w:rsidR="00961DD7" w:rsidRPr="00961DD7">
        <w:rPr>
          <w:lang w:val="el-GR"/>
        </w:rPr>
        <w:instrText>.</w:instrText>
      </w:r>
      <w:r w:rsidR="00961DD7">
        <w:instrText>org</w:instrText>
      </w:r>
      <w:r w:rsidR="00961DD7" w:rsidRPr="00961DD7">
        <w:rPr>
          <w:lang w:val="el-GR"/>
        </w:rPr>
        <w:instrText>/10.2903/</w:instrText>
      </w:r>
      <w:r w:rsidR="00961DD7">
        <w:instrText>j</w:instrText>
      </w:r>
      <w:r w:rsidR="00961DD7" w:rsidRPr="00961DD7">
        <w:rPr>
          <w:lang w:val="el-GR"/>
        </w:rPr>
        <w:instrText>.</w:instrText>
      </w:r>
      <w:r w:rsidR="00961DD7">
        <w:instrText>efsa</w:instrText>
      </w:r>
      <w:r w:rsidR="00961DD7" w:rsidRPr="00961DD7">
        <w:rPr>
          <w:lang w:val="el-GR"/>
        </w:rPr>
        <w:instrText xml:space="preserve">.2018.5133" </w:instrText>
      </w:r>
      <w:r w:rsidR="00961DD7">
        <w:fldChar w:fldCharType="separate"/>
      </w:r>
      <w:r w:rsidRPr="00B95A92">
        <w:rPr>
          <w:rStyle w:val="Hyperlink"/>
          <w:sz w:val="24"/>
          <w:lang w:val="el-GR"/>
        </w:rPr>
        <w:t>https://doi.org/10.2903/j.efsa.2018.5133</w:t>
      </w:r>
      <w:r w:rsidR="00961DD7">
        <w:rPr>
          <w:rStyle w:val="Hyperlink"/>
          <w:sz w:val="24"/>
          <w:lang w:val="el-GR"/>
        </w:rPr>
        <w:fldChar w:fldCharType="end"/>
      </w:r>
      <w:r w:rsidRPr="00B95A92">
        <w:rPr>
          <w:sz w:val="24"/>
          <w:lang w:val="el-GR"/>
        </w:rPr>
        <w:t xml:space="preserve">. </w:t>
      </w:r>
    </w:p>
  </w:footnote>
  <w:footnote w:id="8">
    <w:p w:rsidR="006415DB" w:rsidRPr="00B95A92" w:rsidRDefault="006415DB" w:rsidP="00B95A92">
      <w:pPr>
        <w:pStyle w:val="FootnoteText"/>
        <w:ind w:left="567" w:hanging="567"/>
        <w:rPr>
          <w:sz w:val="24"/>
          <w:lang w:val="el-GR"/>
        </w:rPr>
      </w:pPr>
      <w:r w:rsidRPr="00B95A92">
        <w:rPr>
          <w:rStyle w:val="FootnoteReference"/>
          <w:sz w:val="24"/>
          <w:lang w:val="el-GR"/>
        </w:rPr>
        <w:footnoteRef/>
      </w:r>
      <w:r w:rsidR="00B95A92" w:rsidRPr="00B95A92">
        <w:rPr>
          <w:sz w:val="24"/>
          <w:lang w:val="el-GR"/>
        </w:rPr>
        <w:t xml:space="preserve"> </w:t>
      </w:r>
      <w:r w:rsidR="00B95A92" w:rsidRPr="00B95A92">
        <w:rPr>
          <w:sz w:val="24"/>
          <w:lang w:val="el-GR"/>
        </w:rPr>
        <w:tab/>
      </w:r>
      <w:r w:rsidRPr="00B95A92">
        <w:rPr>
          <w:sz w:val="24"/>
          <w:lang w:val="el-GR"/>
        </w:rPr>
        <w:t xml:space="preserve">Δήλωση της EFSA σχετικά με την αξιολόγηση της ποιότητας των δεδομένων που έχει στη διάθεσή της η EFSA για να καθορίσει τις τιμές καθοδήγησης βάσει της υγείας για την </w:t>
      </w:r>
      <w:proofErr w:type="spellStart"/>
      <w:r w:rsidRPr="00B95A92">
        <w:rPr>
          <w:sz w:val="24"/>
          <w:lang w:val="el-GR"/>
        </w:rPr>
        <w:t>καρβενδαζίμη</w:t>
      </w:r>
      <w:proofErr w:type="spellEnd"/>
      <w:r w:rsidRPr="00B95A92">
        <w:rPr>
          <w:sz w:val="24"/>
          <w:lang w:val="el-GR"/>
        </w:rPr>
        <w:t>, EFSA Journal 2024</w:t>
      </w:r>
      <w:r w:rsidR="007C238F">
        <w:rPr>
          <w:sz w:val="24"/>
          <w:lang w:val="el-GR"/>
        </w:rPr>
        <w:t xml:space="preserve">, </w:t>
      </w:r>
      <w:r w:rsidRPr="00B95A92">
        <w:rPr>
          <w:sz w:val="24"/>
          <w:lang w:val="el-GR"/>
        </w:rPr>
        <w:t xml:space="preserve">22(5):e8756, </w:t>
      </w:r>
      <w:r w:rsidR="00961DD7">
        <w:fldChar w:fldCharType="begin"/>
      </w:r>
      <w:r w:rsidR="00961DD7" w:rsidRPr="00961DD7">
        <w:rPr>
          <w:lang w:val="el-GR"/>
        </w:rPr>
        <w:instrText xml:space="preserve"> </w:instrText>
      </w:r>
      <w:r w:rsidR="00961DD7">
        <w:instrText>HYPERLINK</w:instrText>
      </w:r>
      <w:r w:rsidR="00961DD7" w:rsidRPr="00961DD7">
        <w:rPr>
          <w:lang w:val="el-GR"/>
        </w:rPr>
        <w:instrText xml:space="preserve"> "</w:instrText>
      </w:r>
      <w:r w:rsidR="00961DD7">
        <w:instrText>https</w:instrText>
      </w:r>
      <w:r w:rsidR="00961DD7" w:rsidRPr="00961DD7">
        <w:rPr>
          <w:lang w:val="el-GR"/>
        </w:rPr>
        <w:instrText>://</w:instrText>
      </w:r>
      <w:r w:rsidR="00961DD7">
        <w:instrText>doi</w:instrText>
      </w:r>
      <w:r w:rsidR="00961DD7" w:rsidRPr="00961DD7">
        <w:rPr>
          <w:lang w:val="el-GR"/>
        </w:rPr>
        <w:instrText>.</w:instrText>
      </w:r>
      <w:r w:rsidR="00961DD7">
        <w:instrText>org</w:instrText>
      </w:r>
      <w:r w:rsidR="00961DD7" w:rsidRPr="00961DD7">
        <w:rPr>
          <w:lang w:val="el-GR"/>
        </w:rPr>
        <w:instrText>/10.2903/</w:instrText>
      </w:r>
      <w:r w:rsidR="00961DD7">
        <w:instrText>j</w:instrText>
      </w:r>
      <w:r w:rsidR="00961DD7" w:rsidRPr="00961DD7">
        <w:rPr>
          <w:lang w:val="el-GR"/>
        </w:rPr>
        <w:instrText>.</w:instrText>
      </w:r>
      <w:r w:rsidR="00961DD7">
        <w:instrText>efsa</w:instrText>
      </w:r>
      <w:r w:rsidR="00961DD7" w:rsidRPr="00961DD7">
        <w:rPr>
          <w:lang w:val="el-GR"/>
        </w:rPr>
        <w:instrText xml:space="preserve">.2024.8756" </w:instrText>
      </w:r>
      <w:r w:rsidR="00961DD7">
        <w:fldChar w:fldCharType="separate"/>
      </w:r>
      <w:r w:rsidRPr="00B95A92">
        <w:rPr>
          <w:rStyle w:val="Hyperlink"/>
          <w:sz w:val="24"/>
          <w:lang w:val="el-GR"/>
        </w:rPr>
        <w:t>https://doi.org/10.2903/j.efsa.2024.8756</w:t>
      </w:r>
      <w:r w:rsidR="00961DD7">
        <w:rPr>
          <w:rStyle w:val="Hyperlink"/>
          <w:sz w:val="24"/>
          <w:lang w:val="el-GR"/>
        </w:rPr>
        <w:fldChar w:fldCharType="end"/>
      </w:r>
      <w:r w:rsidRPr="00B95A92">
        <w:rPr>
          <w:sz w:val="24"/>
          <w:lang w:val="el-GR"/>
        </w:rPr>
        <w:t xml:space="preserve">. </w:t>
      </w:r>
    </w:p>
  </w:footnote>
  <w:footnote w:id="9">
    <w:p w:rsidR="006415DB" w:rsidRPr="00B95A92" w:rsidRDefault="006415DB" w:rsidP="00B95A92">
      <w:pPr>
        <w:pStyle w:val="FootnoteText"/>
        <w:ind w:left="567" w:hanging="567"/>
        <w:rPr>
          <w:sz w:val="24"/>
          <w:lang w:val="el-GR"/>
        </w:rPr>
      </w:pPr>
      <w:r w:rsidRPr="00B95A92">
        <w:rPr>
          <w:rStyle w:val="FootnoteReference"/>
          <w:sz w:val="24"/>
          <w:lang w:val="el-GR"/>
        </w:rPr>
        <w:footnoteRef/>
      </w:r>
      <w:r w:rsidR="00B95A92" w:rsidRPr="00B95A92">
        <w:rPr>
          <w:sz w:val="24"/>
          <w:lang w:val="el-GR"/>
        </w:rPr>
        <w:t xml:space="preserve"> </w:t>
      </w:r>
      <w:r w:rsidR="00B95A92" w:rsidRPr="00B95A92">
        <w:rPr>
          <w:sz w:val="24"/>
          <w:lang w:val="el-GR"/>
        </w:rPr>
        <w:tab/>
      </w:r>
      <w:r w:rsidRPr="00B95A92">
        <w:rPr>
          <w:sz w:val="24"/>
          <w:lang w:val="el-GR"/>
        </w:rPr>
        <w:t xml:space="preserve">Γνωμοδότηση της επιτροπής αξιολόγησης κινδύνων (RAC) που προτείνει εναρμονισμένη ταξινόμηση και επισήμανση σε επίπεδο ΕΕ της </w:t>
      </w:r>
      <w:proofErr w:type="spellStart"/>
      <w:r w:rsidRPr="00B95A92">
        <w:rPr>
          <w:sz w:val="24"/>
          <w:lang w:val="el-GR"/>
        </w:rPr>
        <w:t>καρβενδαζίμης</w:t>
      </w:r>
      <w:proofErr w:type="spellEnd"/>
      <w:r w:rsidRPr="00B95A92">
        <w:rPr>
          <w:sz w:val="24"/>
          <w:lang w:val="el-GR"/>
        </w:rPr>
        <w:t xml:space="preserve"> (ISO)· </w:t>
      </w:r>
      <w:r w:rsidR="00961DD7">
        <w:fldChar w:fldCharType="begin"/>
      </w:r>
      <w:r w:rsidR="00961DD7" w:rsidRPr="00961DD7">
        <w:rPr>
          <w:lang w:val="el-GR"/>
        </w:rPr>
        <w:instrText xml:space="preserve"> </w:instrText>
      </w:r>
      <w:r w:rsidR="00961DD7">
        <w:instrText>HYPERLINK</w:instrText>
      </w:r>
      <w:r w:rsidR="00961DD7" w:rsidRPr="00961DD7">
        <w:rPr>
          <w:lang w:val="el-GR"/>
        </w:rPr>
        <w:instrText xml:space="preserve"> "</w:instrText>
      </w:r>
      <w:r w:rsidR="00961DD7">
        <w:instrText>https</w:instrText>
      </w:r>
      <w:r w:rsidR="00961DD7" w:rsidRPr="00961DD7">
        <w:rPr>
          <w:lang w:val="el-GR"/>
        </w:rPr>
        <w:instrText>://</w:instrText>
      </w:r>
      <w:r w:rsidR="00961DD7">
        <w:instrText>www</w:instrText>
      </w:r>
      <w:r w:rsidR="00961DD7" w:rsidRPr="00961DD7">
        <w:rPr>
          <w:lang w:val="el-GR"/>
        </w:rPr>
        <w:instrText>.</w:instrText>
      </w:r>
      <w:r w:rsidR="00961DD7">
        <w:instrText>echa</w:instrText>
      </w:r>
      <w:r w:rsidR="00961DD7" w:rsidRPr="00961DD7">
        <w:rPr>
          <w:lang w:val="el-GR"/>
        </w:rPr>
        <w:instrText>.</w:instrText>
      </w:r>
      <w:r w:rsidR="00961DD7">
        <w:instrText>europa</w:instrText>
      </w:r>
      <w:r w:rsidR="00961DD7" w:rsidRPr="00961DD7">
        <w:rPr>
          <w:lang w:val="el-GR"/>
        </w:rPr>
        <w:instrText>.</w:instrText>
      </w:r>
      <w:r w:rsidR="00961DD7">
        <w:instrText>eu</w:instrText>
      </w:r>
      <w:r w:rsidR="00961DD7" w:rsidRPr="00961DD7">
        <w:rPr>
          <w:lang w:val="el-GR"/>
        </w:rPr>
        <w:instrText>/</w:instrText>
      </w:r>
      <w:r w:rsidR="00961DD7">
        <w:instrText>documents</w:instrText>
      </w:r>
      <w:r w:rsidR="00961DD7" w:rsidRPr="00961DD7">
        <w:rPr>
          <w:lang w:val="el-GR"/>
        </w:rPr>
        <w:instrText>/10162/5</w:instrText>
      </w:r>
      <w:r w:rsidR="00961DD7">
        <w:instrText>eb</w:instrText>
      </w:r>
      <w:r w:rsidR="00961DD7" w:rsidRPr="00961DD7">
        <w:rPr>
          <w:lang w:val="el-GR"/>
        </w:rPr>
        <w:instrText>9760</w:instrText>
      </w:r>
      <w:r w:rsidR="00961DD7">
        <w:instrText>e</w:instrText>
      </w:r>
      <w:r w:rsidR="00961DD7" w:rsidRPr="00961DD7">
        <w:rPr>
          <w:lang w:val="el-GR"/>
        </w:rPr>
        <w:instrText>-6</w:instrText>
      </w:r>
      <w:r w:rsidR="00961DD7">
        <w:instrText>c</w:instrText>
      </w:r>
      <w:r w:rsidR="00961DD7" w:rsidRPr="00961DD7">
        <w:rPr>
          <w:lang w:val="el-GR"/>
        </w:rPr>
        <w:instrText>73-7</w:instrText>
      </w:r>
      <w:r w:rsidR="00961DD7">
        <w:instrText>f</w:instrText>
      </w:r>
      <w:r w:rsidR="00961DD7" w:rsidRPr="00961DD7">
        <w:rPr>
          <w:lang w:val="el-GR"/>
        </w:rPr>
        <w:instrText>2</w:instrText>
      </w:r>
      <w:r w:rsidR="00961DD7">
        <w:instrText>c</w:instrText>
      </w:r>
      <w:r w:rsidR="00961DD7" w:rsidRPr="00961DD7">
        <w:rPr>
          <w:lang w:val="el-GR"/>
        </w:rPr>
        <w:instrText>-1226-98</w:instrText>
      </w:r>
      <w:r w:rsidR="00961DD7">
        <w:instrText>d</w:instrText>
      </w:r>
      <w:r w:rsidR="00961DD7" w:rsidRPr="00961DD7">
        <w:rPr>
          <w:lang w:val="el-GR"/>
        </w:rPr>
        <w:instrText>92</w:instrText>
      </w:r>
      <w:r w:rsidR="00961DD7">
        <w:instrText>ed</w:instrText>
      </w:r>
      <w:r w:rsidR="00961DD7" w:rsidRPr="00961DD7">
        <w:rPr>
          <w:lang w:val="el-GR"/>
        </w:rPr>
        <w:instrText>847</w:instrText>
      </w:r>
      <w:r w:rsidR="00961DD7">
        <w:instrText>d</w:instrText>
      </w:r>
      <w:r w:rsidR="00961DD7" w:rsidRPr="00961DD7">
        <w:rPr>
          <w:lang w:val="el-GR"/>
        </w:rPr>
        <w:instrText xml:space="preserve">1" </w:instrText>
      </w:r>
      <w:r w:rsidR="00961DD7">
        <w:fldChar w:fldCharType="separate"/>
      </w:r>
      <w:r w:rsidRPr="00B95A92">
        <w:rPr>
          <w:rStyle w:val="Hyperlink"/>
          <w:sz w:val="24"/>
          <w:lang w:val="el-GR"/>
        </w:rPr>
        <w:t>https://www.echa.europa.eu/documents/10162/5eb9760e-6c73-7f2c-1226-98d92ed847d1</w:t>
      </w:r>
      <w:r w:rsidR="00961DD7">
        <w:rPr>
          <w:rStyle w:val="Hyperlink"/>
          <w:sz w:val="24"/>
          <w:lang w:val="el-GR"/>
        </w:rPr>
        <w:fldChar w:fldCharType="end"/>
      </w:r>
    </w:p>
  </w:footnote>
  <w:footnote w:id="10">
    <w:p w:rsidR="006415DB" w:rsidRPr="00B95A92" w:rsidRDefault="006415DB" w:rsidP="00B95A92">
      <w:pPr>
        <w:pStyle w:val="FootnoteText"/>
        <w:ind w:left="567" w:hanging="567"/>
        <w:rPr>
          <w:sz w:val="24"/>
          <w:lang w:val="el-GR"/>
        </w:rPr>
      </w:pPr>
      <w:r w:rsidRPr="00B95A92">
        <w:rPr>
          <w:rStyle w:val="FootnoteReference"/>
          <w:sz w:val="24"/>
          <w:lang w:val="el-GR"/>
        </w:rPr>
        <w:footnoteRef/>
      </w:r>
      <w:r w:rsidR="00B95A92" w:rsidRPr="00B95A92">
        <w:rPr>
          <w:sz w:val="24"/>
          <w:lang w:val="el-GR"/>
        </w:rPr>
        <w:t xml:space="preserve"> </w:t>
      </w:r>
      <w:r w:rsidR="00B95A92" w:rsidRPr="00B95A92">
        <w:rPr>
          <w:sz w:val="24"/>
          <w:lang w:val="el-GR"/>
        </w:rPr>
        <w:tab/>
      </w:r>
      <w:r w:rsidRPr="00B95A92">
        <w:rPr>
          <w:sz w:val="24"/>
          <w:lang w:val="el-GR"/>
        </w:rPr>
        <w:t>ΕΕ L 184 της 17.7.1999, σ. 23.</w:t>
      </w:r>
    </w:p>
  </w:footnote>
  <w:footnote w:id="11">
    <w:p w:rsidR="006415DB" w:rsidRPr="00B95A92" w:rsidRDefault="006415DB" w:rsidP="00B95A92">
      <w:pPr>
        <w:pStyle w:val="FootnoteText"/>
        <w:ind w:left="567" w:hanging="567"/>
        <w:rPr>
          <w:sz w:val="24"/>
          <w:lang w:val="el-GR"/>
        </w:rPr>
      </w:pPr>
      <w:r w:rsidRPr="00B95A92">
        <w:rPr>
          <w:rStyle w:val="FootnoteReference"/>
          <w:sz w:val="24"/>
          <w:lang w:val="el-GR"/>
        </w:rPr>
        <w:footnoteRef/>
      </w:r>
      <w:r w:rsidR="00B95A92" w:rsidRPr="00B95A92">
        <w:rPr>
          <w:sz w:val="24"/>
          <w:lang w:val="el-GR"/>
        </w:rPr>
        <w:t xml:space="preserve"> </w:t>
      </w:r>
      <w:r w:rsidR="00B95A92" w:rsidRPr="00B95A92">
        <w:rPr>
          <w:sz w:val="24"/>
          <w:lang w:val="el-GR"/>
        </w:rPr>
        <w:tab/>
      </w:r>
      <w:r w:rsidRPr="00B95A92">
        <w:rPr>
          <w:sz w:val="24"/>
          <w:lang w:val="el-GR"/>
        </w:rPr>
        <w:t>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67/548/ΕΟΚ και 1999/45/ΕΚ και την τροποποίηση του κανονισμού (ΕΚ) αριθ. 1907/2006 (ΕΕ L 353 της 31.12.2008, σ. 1).</w:t>
      </w:r>
    </w:p>
  </w:footnote>
  <w:footnote w:id="12">
    <w:p w:rsidR="006415DB" w:rsidRPr="00B95A92" w:rsidRDefault="006415DB" w:rsidP="00B95A92">
      <w:pPr>
        <w:pStyle w:val="FootnoteText"/>
        <w:ind w:left="567" w:hanging="567"/>
        <w:rPr>
          <w:sz w:val="24"/>
          <w:lang w:val="el-GR"/>
        </w:rPr>
      </w:pPr>
      <w:r w:rsidRPr="00B95A92">
        <w:rPr>
          <w:rStyle w:val="FootnoteReference"/>
          <w:sz w:val="24"/>
          <w:lang w:val="el-GR"/>
        </w:rPr>
        <w:footnoteRef/>
      </w:r>
      <w:r w:rsidR="00B95A92" w:rsidRPr="00B95A92">
        <w:rPr>
          <w:sz w:val="24"/>
          <w:lang w:val="el-GR"/>
        </w:rPr>
        <w:t xml:space="preserve"> </w:t>
      </w:r>
      <w:r w:rsidR="00B95A92" w:rsidRPr="00B95A92">
        <w:rPr>
          <w:sz w:val="24"/>
          <w:lang w:val="el-GR"/>
        </w:rPr>
        <w:tab/>
      </w:r>
      <w:r w:rsidRPr="00B95A92">
        <w:rPr>
          <w:sz w:val="24"/>
          <w:lang w:val="el-GR"/>
        </w:rPr>
        <w:t>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67/548/ΕΟΚ και 1999/45/ΕΚ και την τροποποίηση του κανονισμού (ΕΚ) αριθ. 1907/2006 (ΕΕ L 353 της 31.12.2008, σ. 1).</w:t>
      </w:r>
    </w:p>
  </w:footnote>
  <w:footnote w:id="13">
    <w:p w:rsidR="006415DB" w:rsidRPr="00B95A92" w:rsidRDefault="006415DB" w:rsidP="00B95A92">
      <w:pPr>
        <w:pStyle w:val="FootnoteText"/>
        <w:ind w:left="567" w:hanging="567"/>
        <w:rPr>
          <w:sz w:val="24"/>
          <w:lang w:val="el-GR"/>
        </w:rPr>
      </w:pPr>
      <w:r w:rsidRPr="00B95A92">
        <w:rPr>
          <w:rStyle w:val="FootnoteReference"/>
          <w:sz w:val="24"/>
          <w:lang w:val="el-GR"/>
        </w:rPr>
        <w:footnoteRef/>
      </w:r>
      <w:r w:rsidR="00B95A92" w:rsidRPr="00B95A92">
        <w:rPr>
          <w:sz w:val="24"/>
          <w:lang w:val="el-GR"/>
        </w:rPr>
        <w:t xml:space="preserve"> </w:t>
      </w:r>
      <w:r w:rsidR="00B95A92" w:rsidRPr="00B95A92">
        <w:rPr>
          <w:sz w:val="24"/>
          <w:lang w:val="el-GR"/>
        </w:rPr>
        <w:tab/>
      </w:r>
      <w:r w:rsidRPr="00B95A92">
        <w:rPr>
          <w:sz w:val="24"/>
          <w:lang w:val="el-GR"/>
        </w:rPr>
        <w:t>Κανονισμός (ΕΕ) 2018/605 της Επιτροπής, της 19ης Απριλίου 2018, για την τροποποίηση του παραρτήματος II του κανονισμού (ΕΚ) αριθ. 1107/2009 με τον καθορισμό επιστημονικών κριτηρίων για τον προσδιορισμό των ιδιοτήτων ενδοκρινικής διαταραχής (ΕΕ L 101 της 20.4.2018, σ. 33).</w:t>
      </w:r>
    </w:p>
  </w:footnote>
  <w:footnote w:id="14">
    <w:p w:rsidR="006415DB" w:rsidRPr="00B95A92" w:rsidRDefault="006415DB" w:rsidP="00B95A92">
      <w:pPr>
        <w:pStyle w:val="FootnoteText"/>
        <w:ind w:left="567" w:hanging="567"/>
        <w:rPr>
          <w:sz w:val="24"/>
          <w:lang w:val="el-GR"/>
        </w:rPr>
      </w:pPr>
      <w:r w:rsidRPr="00B95A92">
        <w:rPr>
          <w:rStyle w:val="FootnoteReference"/>
          <w:sz w:val="24"/>
          <w:lang w:val="el-GR"/>
        </w:rPr>
        <w:footnoteRef/>
      </w:r>
      <w:r w:rsidR="00B95A92" w:rsidRPr="00B95A92">
        <w:rPr>
          <w:rStyle w:val="Hyperlink"/>
          <w:sz w:val="24"/>
          <w:lang w:val="el-GR"/>
        </w:rPr>
        <w:t xml:space="preserve"> </w:t>
      </w:r>
      <w:r w:rsidR="00B95A92" w:rsidRPr="00B95A92">
        <w:rPr>
          <w:rStyle w:val="Hyperlink"/>
          <w:sz w:val="24"/>
          <w:lang w:val="el-GR"/>
        </w:rPr>
        <w:tab/>
      </w:r>
      <w:r w:rsidRPr="00B95A92">
        <w:rPr>
          <w:rStyle w:val="Hyperlink"/>
          <w:sz w:val="24"/>
          <w:lang w:val="el-GR"/>
        </w:rPr>
        <w:t>https://ec.europa.eu/transparency/comitology-register/screen/documents/089880/5/consult?lang=el</w:t>
      </w:r>
    </w:p>
  </w:footnote>
  <w:footnote w:id="15">
    <w:p w:rsidR="006415DB" w:rsidRPr="00B95A92" w:rsidRDefault="006415DB" w:rsidP="00B95A92">
      <w:pPr>
        <w:pStyle w:val="FootnoteText"/>
        <w:ind w:left="567" w:hanging="567"/>
        <w:rPr>
          <w:iCs/>
          <w:sz w:val="24"/>
          <w:lang w:val="el-GR"/>
        </w:rPr>
      </w:pPr>
      <w:r w:rsidRPr="00B95A92">
        <w:rPr>
          <w:iCs/>
          <w:sz w:val="24"/>
          <w:vertAlign w:val="superscript"/>
          <w:lang w:val="el-GR"/>
        </w:rPr>
        <w:footnoteRef/>
      </w:r>
      <w:r w:rsidR="00B95A92" w:rsidRPr="00B95A92">
        <w:rPr>
          <w:sz w:val="24"/>
          <w:lang w:val="el-GR"/>
        </w:rPr>
        <w:t xml:space="preserve"> </w:t>
      </w:r>
      <w:r w:rsidR="00B95A92" w:rsidRPr="00B95A92">
        <w:rPr>
          <w:sz w:val="24"/>
          <w:lang w:val="el-GR"/>
        </w:rPr>
        <w:tab/>
      </w:r>
      <w:r w:rsidRPr="00B95A92">
        <w:rPr>
          <w:sz w:val="24"/>
          <w:lang w:val="el-GR"/>
        </w:rPr>
        <w:t>COM(2020)0381.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5A9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5A9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5A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0/2024"/>
    <w:docVar w:name="dvlangue" w:val="EL"/>
    <w:docVar w:name="dvnumam" w:val="0"/>
    <w:docVar w:name="dvpe" w:val="763.090"/>
    <w:docVar w:name="dvtitre" w:val="Ψήφισμα του Ευρωπαϊκού Κοινοβουλίου σχετικά με το σχέδιο κανονισμού της Επιτροπής για την τροποποίηση των παραρτημάτων II, III και V του κανονισμού (ΕΚ) αριθ. 396/2005 του Ευρωπαϊκού Κοινοβουλίου και του Συμβουλίου όσον αφορά τα ανώτατα όρια καταλοίπων για τις ουσίες benomyl (μπενομύλη), carbendazim (καρβενδαζίμη) και thiophanate‐methyl (θειοφαινικό μεθύλιο) μέσα ή πάνω σε ορισμένα προϊόντα (D089819/05 – 2024/2758(RPS))"/>
  </w:docVars>
  <w:rsids>
    <w:rsidRoot w:val="00845575"/>
    <w:rsid w:val="00002272"/>
    <w:rsid w:val="00064002"/>
    <w:rsid w:val="000677B9"/>
    <w:rsid w:val="000831BA"/>
    <w:rsid w:val="000A42CC"/>
    <w:rsid w:val="000C66F6"/>
    <w:rsid w:val="000E7DD9"/>
    <w:rsid w:val="0010095E"/>
    <w:rsid w:val="00125B37"/>
    <w:rsid w:val="00187494"/>
    <w:rsid w:val="001F32AE"/>
    <w:rsid w:val="002235F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15DB"/>
    <w:rsid w:val="006631B6"/>
    <w:rsid w:val="00680577"/>
    <w:rsid w:val="006F74FA"/>
    <w:rsid w:val="00731ADD"/>
    <w:rsid w:val="00734777"/>
    <w:rsid w:val="00747932"/>
    <w:rsid w:val="00751A4A"/>
    <w:rsid w:val="00756632"/>
    <w:rsid w:val="00762C74"/>
    <w:rsid w:val="00786EC0"/>
    <w:rsid w:val="007C238F"/>
    <w:rsid w:val="007D1690"/>
    <w:rsid w:val="007E22AD"/>
    <w:rsid w:val="00817416"/>
    <w:rsid w:val="00842779"/>
    <w:rsid w:val="00845575"/>
    <w:rsid w:val="00865F67"/>
    <w:rsid w:val="00881A7B"/>
    <w:rsid w:val="008840E5"/>
    <w:rsid w:val="00887B3E"/>
    <w:rsid w:val="008C2AC6"/>
    <w:rsid w:val="00930C23"/>
    <w:rsid w:val="0093193B"/>
    <w:rsid w:val="009509D8"/>
    <w:rsid w:val="00950B64"/>
    <w:rsid w:val="00961DD7"/>
    <w:rsid w:val="00981893"/>
    <w:rsid w:val="00A1687D"/>
    <w:rsid w:val="00A43E52"/>
    <w:rsid w:val="00A4678D"/>
    <w:rsid w:val="00A778C7"/>
    <w:rsid w:val="00AB441E"/>
    <w:rsid w:val="00AB6293"/>
    <w:rsid w:val="00AE0928"/>
    <w:rsid w:val="00AF3B82"/>
    <w:rsid w:val="00B12E95"/>
    <w:rsid w:val="00B22876"/>
    <w:rsid w:val="00B558F0"/>
    <w:rsid w:val="00B95A9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7D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9143F9"/>
  <w15:chartTrackingRefBased/>
  <w15:docId w15:val="{F24C824E-7658-4680-A9CC-7F3153E77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415DB"/>
    <w:pPr>
      <w:spacing w:before="480" w:after="240"/>
    </w:pPr>
  </w:style>
  <w:style w:type="paragraph" w:customStyle="1" w:styleId="NormalHanging12a">
    <w:name w:val="NormalHanging12a"/>
    <w:basedOn w:val="Normal"/>
    <w:rsid w:val="006415DB"/>
    <w:pPr>
      <w:spacing w:after="240"/>
      <w:ind w:left="567" w:hanging="567"/>
    </w:pPr>
  </w:style>
  <w:style w:type="character" w:styleId="Hyperlink">
    <w:name w:val="Hyperlink"/>
    <w:basedOn w:val="DefaultParagraphFont"/>
    <w:uiPriority w:val="99"/>
    <w:rsid w:val="006415DB"/>
    <w:rPr>
      <w:color w:val="0563C1" w:themeColor="hyperlink"/>
      <w:u w:val="single"/>
    </w:rPr>
  </w:style>
  <w:style w:type="paragraph" w:styleId="BalloonText">
    <w:name w:val="Balloon Text"/>
    <w:basedOn w:val="Normal"/>
    <w:link w:val="BalloonTextChar"/>
    <w:rsid w:val="000C66F6"/>
    <w:rPr>
      <w:rFonts w:ascii="Segoe UI" w:hAnsi="Segoe UI" w:cs="Segoe UI"/>
      <w:sz w:val="18"/>
      <w:szCs w:val="18"/>
    </w:rPr>
  </w:style>
  <w:style w:type="character" w:customStyle="1" w:styleId="BalloonTextChar">
    <w:name w:val="Balloon Text Char"/>
    <w:basedOn w:val="DefaultParagraphFont"/>
    <w:link w:val="BalloonText"/>
    <w:rsid w:val="000C66F6"/>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61DC6-636F-47B6-B92C-2ADE6B3BB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2338</Words>
  <Characters>13354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GEORGIOU Despoina</cp:lastModifiedBy>
  <cp:revision>2</cp:revision>
  <cp:lastPrinted>2004-11-19T15:42:00Z</cp:lastPrinted>
  <dcterms:created xsi:type="dcterms:W3CDTF">2024-10-24T09:49:00Z</dcterms:created>
  <dcterms:modified xsi:type="dcterms:W3CDTF">2024-10-24T09:49:00Z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B10-0020/2024</vt:lpwstr>
  </property>
  <property fmtid="{D5CDD505-2E9C-101B-9397-08002B2CF9AE}" pid="4" name="&lt;Type&gt;">
    <vt:lpwstr>RR</vt:lpwstr>
  </property>
</Properties>
</file>