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430666" w:rsidTr="0010095E">
        <w:trPr>
          <w:trHeight w:hRule="exact" w:val="1418"/>
        </w:trPr>
        <w:tc>
          <w:tcPr>
            <w:tcW w:w="6804" w:type="dxa"/>
            <w:shd w:val="clear" w:color="auto" w:fill="auto"/>
            <w:vAlign w:val="center"/>
          </w:tcPr>
          <w:p w:rsidR="00751A4A" w:rsidRPr="00430666" w:rsidRDefault="00FF47E1" w:rsidP="0010095E">
            <w:pPr>
              <w:pStyle w:val="EPName"/>
            </w:pPr>
            <w:r w:rsidRPr="00430666">
              <w:t>Euroopa Parlament</w:t>
            </w:r>
          </w:p>
          <w:p w:rsidR="00751A4A" w:rsidRPr="00430666" w:rsidRDefault="005F1B17" w:rsidP="005F1B17">
            <w:pPr>
              <w:pStyle w:val="EPTerm"/>
              <w:rPr>
                <w:rStyle w:val="HideTWBExt"/>
                <w:noProof w:val="0"/>
                <w:vanish w:val="0"/>
                <w:color w:val="auto"/>
              </w:rPr>
            </w:pPr>
            <w:r w:rsidRPr="00430666">
              <w:t>2024</w:t>
            </w:r>
            <w:r w:rsidR="00817416" w:rsidRPr="00430666">
              <w:t>-202</w:t>
            </w:r>
            <w:r w:rsidRPr="00430666">
              <w:t>9</w:t>
            </w:r>
          </w:p>
        </w:tc>
        <w:tc>
          <w:tcPr>
            <w:tcW w:w="2268" w:type="dxa"/>
            <w:shd w:val="clear" w:color="auto" w:fill="auto"/>
          </w:tcPr>
          <w:p w:rsidR="00751A4A" w:rsidRPr="00430666" w:rsidRDefault="00187494" w:rsidP="0010095E">
            <w:pPr>
              <w:pStyle w:val="EPLogo"/>
            </w:pPr>
            <w:r w:rsidRPr="00430666">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430666" w:rsidRDefault="00D058B8" w:rsidP="004C5D52">
      <w:pPr>
        <w:pStyle w:val="LineTop"/>
      </w:pPr>
    </w:p>
    <w:p w:rsidR="00680577" w:rsidRPr="00430666" w:rsidRDefault="00FF47E1" w:rsidP="00680577">
      <w:pPr>
        <w:pStyle w:val="EPBodyTA1"/>
      </w:pPr>
      <w:r w:rsidRPr="00430666">
        <w:t>VASTUVÕETUD TEKSTID</w:t>
      </w:r>
    </w:p>
    <w:p w:rsidR="00D058B8" w:rsidRPr="00430666" w:rsidRDefault="00D058B8" w:rsidP="00D058B8">
      <w:pPr>
        <w:pStyle w:val="LineBottom"/>
      </w:pPr>
    </w:p>
    <w:p w:rsidR="00FF47E1" w:rsidRPr="00430666" w:rsidRDefault="00FF47E1" w:rsidP="00FF47E1">
      <w:pPr>
        <w:pStyle w:val="ATHeading1"/>
      </w:pPr>
      <w:bookmarkStart w:id="0" w:name="TANumber"/>
      <w:r w:rsidRPr="00430666">
        <w:t>P10_TA(2024)0</w:t>
      </w:r>
      <w:r w:rsidR="00430666" w:rsidRPr="00430666">
        <w:t>006</w:t>
      </w:r>
      <w:bookmarkEnd w:id="0"/>
    </w:p>
    <w:p w:rsidR="00FF47E1" w:rsidRPr="00430666" w:rsidRDefault="00E24D58" w:rsidP="00FF47E1">
      <w:pPr>
        <w:pStyle w:val="ATHeading2"/>
      </w:pPr>
      <w:r w:rsidRPr="00430666">
        <w:t xml:space="preserve">Vastuväide </w:t>
      </w:r>
      <w:r w:rsidR="00F9428B" w:rsidRPr="00430666">
        <w:t>rakendusaktile</w:t>
      </w:r>
      <w:r w:rsidRPr="00430666">
        <w:t xml:space="preserve">: </w:t>
      </w:r>
      <w:proofErr w:type="spellStart"/>
      <w:r w:rsidRPr="00430666">
        <w:t>karbendasiimi</w:t>
      </w:r>
      <w:proofErr w:type="spellEnd"/>
      <w:r w:rsidRPr="00430666">
        <w:t xml:space="preserve"> ja </w:t>
      </w:r>
      <w:proofErr w:type="spellStart"/>
      <w:r w:rsidRPr="00430666">
        <w:t>metüültiofanaadi</w:t>
      </w:r>
      <w:proofErr w:type="spellEnd"/>
      <w:r w:rsidRPr="00430666">
        <w:t xml:space="preserve"> jääkide piirnormid</w:t>
      </w:r>
    </w:p>
    <w:p w:rsidR="00FF47E1" w:rsidRPr="00430666" w:rsidRDefault="00FF47E1" w:rsidP="00FF47E1">
      <w:pPr>
        <w:rPr>
          <w:i/>
          <w:vanish/>
        </w:rPr>
      </w:pPr>
      <w:r w:rsidRPr="00430666">
        <w:rPr>
          <w:i/>
        </w:rPr>
        <w:fldChar w:fldCharType="begin"/>
      </w:r>
      <w:r w:rsidRPr="00430666">
        <w:rPr>
          <w:i/>
        </w:rPr>
        <w:instrText xml:space="preserve"> TC"(</w:instrText>
      </w:r>
      <w:bookmarkStart w:id="1" w:name="DocNumber"/>
      <w:r w:rsidRPr="00430666">
        <w:rPr>
          <w:i/>
        </w:rPr>
        <w:instrText>B10-0020/2024</w:instrText>
      </w:r>
      <w:bookmarkEnd w:id="1"/>
      <w:r w:rsidRPr="00430666">
        <w:rPr>
          <w:i/>
        </w:rPr>
        <w:instrText xml:space="preserve">)"\l3 \n&gt; \* MERGEFORMAT </w:instrText>
      </w:r>
      <w:r w:rsidRPr="00430666">
        <w:rPr>
          <w:i/>
        </w:rPr>
        <w:fldChar w:fldCharType="end"/>
      </w:r>
    </w:p>
    <w:p w:rsidR="00FF47E1" w:rsidRPr="00430666" w:rsidRDefault="00FF47E1" w:rsidP="00FF47E1">
      <w:pPr>
        <w:rPr>
          <w:vanish/>
        </w:rPr>
      </w:pPr>
      <w:bookmarkStart w:id="2" w:name="PE"/>
      <w:r w:rsidRPr="00430666">
        <w:rPr>
          <w:vanish/>
        </w:rPr>
        <w:t>PE763.090</w:t>
      </w:r>
      <w:bookmarkEnd w:id="2"/>
    </w:p>
    <w:p w:rsidR="00FF47E1" w:rsidRPr="00430666" w:rsidRDefault="00595C2D" w:rsidP="00595C2D">
      <w:pPr>
        <w:pStyle w:val="ATHeading3"/>
      </w:pPr>
      <w:bookmarkStart w:id="3" w:name="Sujet"/>
      <w:r w:rsidRPr="00430666">
        <w:t>Euroopa Parlamendi 18</w:t>
      </w:r>
      <w:r w:rsidR="00FF47E1" w:rsidRPr="00430666">
        <w:t>.</w:t>
      </w:r>
      <w:r w:rsidRPr="00430666">
        <w:t> septembri 2024. </w:t>
      </w:r>
      <w:r w:rsidR="00FF47E1" w:rsidRPr="00430666">
        <w:t>aasta resolutsioon komisjoni määruse eelnõu kohta, millega muudetakse Euroopa Par</w:t>
      </w:r>
      <w:r w:rsidRPr="00430666">
        <w:t>lamendi ja nõukogu määruse (EÜ) nr 396/2005 II, III ja V </w:t>
      </w:r>
      <w:r w:rsidR="00FF47E1" w:rsidRPr="00430666">
        <w:t xml:space="preserve">lisa seoses teatavates toodetes või nende pinnal esinevate </w:t>
      </w:r>
      <w:proofErr w:type="spellStart"/>
      <w:r w:rsidR="00FF47E1" w:rsidRPr="00430666">
        <w:t>benomüüli</w:t>
      </w:r>
      <w:proofErr w:type="spellEnd"/>
      <w:r w:rsidR="00FF47E1" w:rsidRPr="00430666">
        <w:t xml:space="preserve">, </w:t>
      </w:r>
      <w:proofErr w:type="spellStart"/>
      <w:r w:rsidR="00FF47E1" w:rsidRPr="00430666">
        <w:t>karbendasiimi</w:t>
      </w:r>
      <w:proofErr w:type="spellEnd"/>
      <w:r w:rsidR="00FF47E1" w:rsidRPr="00430666">
        <w:t xml:space="preserve"> ja </w:t>
      </w:r>
      <w:proofErr w:type="spellStart"/>
      <w:r w:rsidR="00FF47E1" w:rsidRPr="00430666">
        <w:t>metüültiofanaadi</w:t>
      </w:r>
      <w:proofErr w:type="spellEnd"/>
      <w:r w:rsidR="00FF47E1" w:rsidRPr="00430666">
        <w:t xml:space="preserve"> jääkide piirnormidega </w:t>
      </w:r>
      <w:bookmarkStart w:id="4" w:name="References"/>
      <w:bookmarkEnd w:id="3"/>
      <w:r w:rsidR="00FF47E1" w:rsidRPr="00430666">
        <w:t>(D08</w:t>
      </w:r>
      <w:bookmarkStart w:id="5" w:name="_GoBack"/>
      <w:bookmarkEnd w:id="5"/>
      <w:r w:rsidR="00FF47E1" w:rsidRPr="00430666">
        <w:t>9819/05 – 2024/2758(RPS))</w:t>
      </w:r>
      <w:bookmarkEnd w:id="4"/>
    </w:p>
    <w:p w:rsidR="00EF48F1" w:rsidRPr="00430666" w:rsidRDefault="00EF48F1" w:rsidP="00EF48F1">
      <w:pPr>
        <w:pStyle w:val="EPComma"/>
      </w:pPr>
      <w:bookmarkStart w:id="6" w:name="TextBodyBegin"/>
      <w:bookmarkEnd w:id="6"/>
      <w:r w:rsidRPr="00430666">
        <w:rPr>
          <w:i/>
        </w:rPr>
        <w:t>Euroopa Parlament</w:t>
      </w:r>
      <w:r w:rsidRPr="00430666">
        <w:t>,</w:t>
      </w:r>
    </w:p>
    <w:p w:rsidR="00EF48F1" w:rsidRPr="00430666" w:rsidRDefault="00EF48F1" w:rsidP="00EF48F1">
      <w:pPr>
        <w:pStyle w:val="NormalHanging12a"/>
      </w:pPr>
      <w:r w:rsidRPr="00430666">
        <w:t>–</w:t>
      </w:r>
      <w:r w:rsidRPr="00430666">
        <w:tab/>
        <w:t>võttes arvesse komisjoni määruse eelnõu, millega muudetakse Euroopa Parlamendi ja nõ</w:t>
      </w:r>
      <w:r w:rsidR="00595C2D" w:rsidRPr="00430666">
        <w:t>ukogu määruse (EÜ) nr 396/2005 II, III ja V </w:t>
      </w:r>
      <w:r w:rsidRPr="00430666">
        <w:t xml:space="preserve">lisa seoses teatavates toodetes või nende pinnal esinevate </w:t>
      </w:r>
      <w:proofErr w:type="spellStart"/>
      <w:r w:rsidRPr="00430666">
        <w:t>benomüüli</w:t>
      </w:r>
      <w:proofErr w:type="spellEnd"/>
      <w:r w:rsidRPr="00430666">
        <w:t xml:space="preserve">, </w:t>
      </w:r>
      <w:proofErr w:type="spellStart"/>
      <w:r w:rsidRPr="00430666">
        <w:t>karbendasiimi</w:t>
      </w:r>
      <w:proofErr w:type="spellEnd"/>
      <w:r w:rsidRPr="00430666">
        <w:t xml:space="preserve"> ja </w:t>
      </w:r>
      <w:proofErr w:type="spellStart"/>
      <w:r w:rsidRPr="00430666">
        <w:t>metüültiofanaadi</w:t>
      </w:r>
      <w:proofErr w:type="spellEnd"/>
      <w:r w:rsidRPr="00430666">
        <w:t xml:space="preserve"> jääkide piirnormidega (D089819/05),</w:t>
      </w:r>
    </w:p>
    <w:p w:rsidR="00EF48F1" w:rsidRPr="00430666" w:rsidRDefault="00EF48F1" w:rsidP="00EF48F1">
      <w:pPr>
        <w:pStyle w:val="NormalHanging12a"/>
      </w:pPr>
      <w:r w:rsidRPr="00430666">
        <w:t>–</w:t>
      </w:r>
      <w:r w:rsidRPr="00430666">
        <w:tab/>
        <w:t>võttes arvesse Euroopa Parlamendi ja nõukogu 23. veebruari 2005. aasta määrust (EÜ) nr 396/2005 taimses ja loomses toidus ja söödas või nende pinnal esinevate pestitsiidide jääkide piirnormide ja nõukogu direktiivi 91/414/EMÜ muutmise kohta</w:t>
      </w:r>
      <w:r w:rsidRPr="00430666">
        <w:rPr>
          <w:vertAlign w:val="superscript"/>
        </w:rPr>
        <w:footnoteReference w:id="1"/>
      </w:r>
      <w:r w:rsidRPr="00430666">
        <w:t>, eriti selle artikli 14 lõike 1 punkti a,</w:t>
      </w:r>
    </w:p>
    <w:p w:rsidR="00EF48F1" w:rsidRPr="00430666" w:rsidRDefault="00EF48F1" w:rsidP="00EF48F1">
      <w:pPr>
        <w:pStyle w:val="NormalHanging12a"/>
      </w:pPr>
      <w:r w:rsidRPr="00430666">
        <w:t>–</w:t>
      </w:r>
      <w:r w:rsidRPr="00430666">
        <w:tab/>
        <w:t>võttes arvesse Euroopa Parlamendi ja nõukogu 21. oktoobri 2009. aasta määrust (EÜ) nr 1107/2009 taimekaitsevahendite turulel</w:t>
      </w:r>
      <w:r w:rsidR="00595C2D" w:rsidRPr="00430666">
        <w:t xml:space="preserve">askmise ja nõukogu direktiivide 79/117/EMÜ ja </w:t>
      </w:r>
      <w:r w:rsidRPr="00430666">
        <w:t>91/414/EMÜ kehtetuks tunnistamise kohta</w:t>
      </w:r>
      <w:r w:rsidRPr="00430666">
        <w:rPr>
          <w:vertAlign w:val="superscript"/>
        </w:rPr>
        <w:footnoteReference w:id="2"/>
      </w:r>
      <w:r w:rsidR="00595C2D" w:rsidRPr="00430666">
        <w:t>, eriti selle artikli 4 lõiget </w:t>
      </w:r>
      <w:r w:rsidRPr="00430666">
        <w:t xml:space="preserve">1, artikli 4 lõike 2 esimese lõigu punkti a ja II lisa </w:t>
      </w:r>
      <w:r w:rsidR="00595C2D" w:rsidRPr="00430666">
        <w:t>punkte 3.6.2, 3.6.4 ja </w:t>
      </w:r>
      <w:r w:rsidRPr="00430666">
        <w:t>3.6.5,</w:t>
      </w:r>
    </w:p>
    <w:p w:rsidR="00EF48F1" w:rsidRPr="00430666" w:rsidRDefault="00EF48F1" w:rsidP="00EF48F1">
      <w:pPr>
        <w:pStyle w:val="NormalHanging12a"/>
      </w:pPr>
      <w:r w:rsidRPr="00430666">
        <w:t>–</w:t>
      </w:r>
      <w:r w:rsidRPr="00430666">
        <w:tab/>
        <w:t>võttes arvesse Euroopa Parlamendi ja nõukogu 28. jaanuari 2002. aasta määrust (EÜ) nr 178/2002, millega sätestatakse toidualaste õigusnormide üldised põhimõtted ja nõuded, asutatakse Euroopa Toiduohutusamet ja kehtestatakse toidu ohutusega seotud menetlused</w:t>
      </w:r>
      <w:r w:rsidRPr="00430666">
        <w:rPr>
          <w:vertAlign w:val="superscript"/>
        </w:rPr>
        <w:footnoteReference w:id="3"/>
      </w:r>
      <w:r w:rsidRPr="00430666">
        <w:t>, eriti selle artikli 5 lõiget 1,</w:t>
      </w:r>
    </w:p>
    <w:p w:rsidR="00EF48F1" w:rsidRPr="00430666" w:rsidRDefault="00EF48F1" w:rsidP="00EF48F1">
      <w:pPr>
        <w:pStyle w:val="NormalHanging12a"/>
      </w:pPr>
      <w:r w:rsidRPr="00430666">
        <w:t>–</w:t>
      </w:r>
      <w:r w:rsidRPr="00430666">
        <w:tab/>
        <w:t xml:space="preserve">võttes arvesse Euroopa Liidu </w:t>
      </w:r>
      <w:r w:rsidR="00595C2D" w:rsidRPr="00430666">
        <w:t>toimimise lepingu artikleid 11, 13, </w:t>
      </w:r>
      <w:r w:rsidRPr="00430666">
        <w:t>168 ja 191,</w:t>
      </w:r>
    </w:p>
    <w:p w:rsidR="00EF48F1" w:rsidRPr="00430666" w:rsidRDefault="00EF48F1" w:rsidP="00EF48F1">
      <w:pPr>
        <w:pStyle w:val="NormalHanging12a"/>
      </w:pPr>
      <w:r w:rsidRPr="00430666">
        <w:lastRenderedPageBreak/>
        <w:t>–</w:t>
      </w:r>
      <w:r w:rsidRPr="00430666">
        <w:tab/>
        <w:t>võttes arvesse Euroopa To</w:t>
      </w:r>
      <w:r w:rsidR="00595C2D" w:rsidRPr="00430666">
        <w:t xml:space="preserve">iduohutusameti (EFSA) 5. juulil </w:t>
      </w:r>
      <w:r w:rsidRPr="00430666">
        <w:t xml:space="preserve">2021. aastal vastu võetud ja </w:t>
      </w:r>
      <w:r w:rsidR="00595C2D" w:rsidRPr="00430666">
        <w:t xml:space="preserve">23. augustil </w:t>
      </w:r>
      <w:r w:rsidRPr="00430666">
        <w:t>2021. aastal avaldatud põhjendatud arvamust</w:t>
      </w:r>
      <w:r w:rsidRPr="00430666">
        <w:rPr>
          <w:vertAlign w:val="superscript"/>
        </w:rPr>
        <w:footnoteReference w:id="4"/>
      </w:r>
      <w:r w:rsidRPr="00430666">
        <w:t>,</w:t>
      </w:r>
    </w:p>
    <w:p w:rsidR="00EF48F1" w:rsidRPr="00430666" w:rsidRDefault="00EF48F1" w:rsidP="00EF48F1">
      <w:pPr>
        <w:pStyle w:val="NormalHanging12a"/>
      </w:pPr>
      <w:r w:rsidRPr="00430666">
        <w:t>–</w:t>
      </w:r>
      <w:r w:rsidRPr="00430666">
        <w:tab/>
        <w:t>võ</w:t>
      </w:r>
      <w:r w:rsidR="00595C2D" w:rsidRPr="00430666">
        <w:t xml:space="preserve">ttes arvesse EFSA 10. jaanuaril </w:t>
      </w:r>
      <w:r w:rsidRPr="00430666">
        <w:t>2024. aastal vastu võetud ja 20. veebruaril 2024. aastal avaldatud ajakohastatud põhjendatud arvamust</w:t>
      </w:r>
      <w:r w:rsidRPr="00430666">
        <w:rPr>
          <w:rStyle w:val="FootnoteReference"/>
        </w:rPr>
        <w:footnoteReference w:id="5"/>
      </w:r>
      <w:r w:rsidRPr="00430666">
        <w:t>,</w:t>
      </w:r>
    </w:p>
    <w:p w:rsidR="00EF48F1" w:rsidRPr="00430666" w:rsidRDefault="00EF48F1" w:rsidP="00EF48F1">
      <w:pPr>
        <w:pStyle w:val="NormalHanging12a"/>
      </w:pPr>
      <w:r w:rsidRPr="00430666">
        <w:t>–</w:t>
      </w:r>
      <w:r w:rsidRPr="00430666">
        <w:tab/>
        <w:t>võttes arvesse EFSA 30. aprillil 2010. aastal vastu võetud ja 12. mail 2010. aastal avaldatud järeldusi pestitsiide käsitleva vastastikuse eksperdiarvamuse kohta</w:t>
      </w:r>
      <w:r w:rsidRPr="00430666">
        <w:rPr>
          <w:vertAlign w:val="superscript"/>
        </w:rPr>
        <w:footnoteReference w:id="6"/>
      </w:r>
      <w:r w:rsidRPr="00430666">
        <w:t>,</w:t>
      </w:r>
    </w:p>
    <w:p w:rsidR="00EF48F1" w:rsidRPr="00430666" w:rsidRDefault="00EF48F1" w:rsidP="00EF48F1">
      <w:pPr>
        <w:pStyle w:val="NormalHanging12a"/>
      </w:pPr>
      <w:r w:rsidRPr="00430666">
        <w:t>–</w:t>
      </w:r>
      <w:r w:rsidRPr="00430666">
        <w:tab/>
        <w:t>võttes arvesse EFSA 8. detsembril 2017. aastal vastu võetud ja 17. jaanuaril 2018. aastal avaldatud järeldusi pestitsiide käsitleva vastastikuse eksperdiarvamuse kohta</w:t>
      </w:r>
      <w:r w:rsidRPr="00430666">
        <w:rPr>
          <w:vertAlign w:val="superscript"/>
        </w:rPr>
        <w:footnoteReference w:id="7"/>
      </w:r>
      <w:r w:rsidRPr="00430666">
        <w:t>,</w:t>
      </w:r>
    </w:p>
    <w:p w:rsidR="00EF48F1" w:rsidRPr="00430666" w:rsidRDefault="00EF48F1" w:rsidP="00EF48F1">
      <w:pPr>
        <w:pStyle w:val="NormalHanging12a"/>
      </w:pPr>
      <w:r w:rsidRPr="00430666">
        <w:t>–</w:t>
      </w:r>
      <w:r w:rsidRPr="00430666">
        <w:tab/>
      </w:r>
      <w:r w:rsidR="00595C2D" w:rsidRPr="00430666">
        <w:t xml:space="preserve">võttes arvesse EFSA 27. märtsil </w:t>
      </w:r>
      <w:r w:rsidRPr="00430666">
        <w:t>2024. </w:t>
      </w:r>
      <w:r w:rsidR="00595C2D" w:rsidRPr="00430666">
        <w:t xml:space="preserve">aastal vastu võetud ja 13. mail </w:t>
      </w:r>
      <w:r w:rsidRPr="00430666">
        <w:t>2024. aastal avaldatud seisukohta</w:t>
      </w:r>
      <w:r w:rsidRPr="00430666">
        <w:rPr>
          <w:vertAlign w:val="superscript"/>
        </w:rPr>
        <w:footnoteReference w:id="8"/>
      </w:r>
      <w:r w:rsidRPr="00430666">
        <w:t>,</w:t>
      </w:r>
    </w:p>
    <w:p w:rsidR="00EF48F1" w:rsidRPr="00430666" w:rsidRDefault="00EF48F1" w:rsidP="00EF48F1">
      <w:pPr>
        <w:pStyle w:val="NormalHanging12a"/>
      </w:pPr>
      <w:r w:rsidRPr="00430666">
        <w:t>–</w:t>
      </w:r>
      <w:r w:rsidRPr="00430666">
        <w:tab/>
        <w:t>võttes arvesse Euroopa Kemikaaliameti riskihindamise komitee 5. detsembril 2019. aastal vastu võetud arvamust</w:t>
      </w:r>
      <w:r w:rsidRPr="00430666">
        <w:rPr>
          <w:rStyle w:val="FootnoteReference"/>
        </w:rPr>
        <w:footnoteReference w:id="9"/>
      </w:r>
      <w:r w:rsidRPr="00430666">
        <w:t>,</w:t>
      </w:r>
    </w:p>
    <w:p w:rsidR="00EF48F1" w:rsidRPr="00430666" w:rsidRDefault="00EF48F1" w:rsidP="00EF48F1">
      <w:pPr>
        <w:pStyle w:val="NormalHanging12a"/>
      </w:pPr>
      <w:r w:rsidRPr="00430666">
        <w:t>–</w:t>
      </w:r>
      <w:r w:rsidRPr="00430666">
        <w:tab/>
        <w:t>võttes arvesse nõukogu 2</w:t>
      </w:r>
      <w:r w:rsidR="00595C2D" w:rsidRPr="00430666">
        <w:t xml:space="preserve">8. juuni 1999. aasta otsuse </w:t>
      </w:r>
      <w:r w:rsidRPr="00430666">
        <w:t>1999/468/EÜ (millega kehtestatakse komisjoni rakendusvolituste kasutamise menetlused)</w:t>
      </w:r>
      <w:r w:rsidRPr="00430666">
        <w:rPr>
          <w:rStyle w:val="FootnoteReference"/>
        </w:rPr>
        <w:footnoteReference w:id="10"/>
      </w:r>
      <w:r w:rsidRPr="00430666">
        <w:t xml:space="preserve"> artikli 5a lõike 3 punkti b ja artikli 5a lõiget 5,</w:t>
      </w:r>
    </w:p>
    <w:p w:rsidR="00EF48F1" w:rsidRPr="00430666" w:rsidRDefault="00EF48F1" w:rsidP="00EF48F1">
      <w:pPr>
        <w:pStyle w:val="NormalHanging12a"/>
      </w:pPr>
      <w:r w:rsidRPr="00430666">
        <w:lastRenderedPageBreak/>
        <w:t>–</w:t>
      </w:r>
      <w:r w:rsidRPr="00430666">
        <w:tab/>
        <w:t>v</w:t>
      </w:r>
      <w:r w:rsidR="00595C2D" w:rsidRPr="00430666">
        <w:t>õttes arvesse kodukorra artikli 115 lõikeid 2 ja 3 ning lõike 4 punkti </w:t>
      </w:r>
      <w:r w:rsidRPr="00430666">
        <w:t>c,</w:t>
      </w:r>
    </w:p>
    <w:p w:rsidR="00EF48F1" w:rsidRPr="00430666" w:rsidRDefault="00EF48F1" w:rsidP="00EF48F1">
      <w:pPr>
        <w:pStyle w:val="NormalHanging12a"/>
      </w:pPr>
      <w:r w:rsidRPr="00430666">
        <w:t>–</w:t>
      </w:r>
      <w:r w:rsidRPr="00430666">
        <w:tab/>
        <w:t>võttes arvesse keskkonna-, rahvatervise ja toiduohutuse komisjoni resolutsiooni ettepanekut,</w:t>
      </w:r>
    </w:p>
    <w:p w:rsidR="00EF48F1" w:rsidRPr="00430666" w:rsidRDefault="00595C2D" w:rsidP="00EF48F1">
      <w:pPr>
        <w:pStyle w:val="NormalHanging12a"/>
      </w:pPr>
      <w:r w:rsidRPr="00430666">
        <w:t>A.</w:t>
      </w:r>
      <w:r w:rsidRPr="00430666">
        <w:tab/>
        <w:t>arvestades, et 2024. </w:t>
      </w:r>
      <w:r w:rsidR="00EF48F1" w:rsidRPr="00430666">
        <w:t>aasta esimesel poolel toimunud põllumajandustootjate meeleavalduste üheks põhinõudmiseks oli, et kolmandatest riikidest imporditud tooteid koheldaks õiglaselt ja võrdselt ning nad peaksid vastama samadele standarditele kui liidus toodetud tooted;</w:t>
      </w:r>
    </w:p>
    <w:p w:rsidR="00EF48F1" w:rsidRPr="00430666" w:rsidRDefault="00EF48F1" w:rsidP="00EF48F1">
      <w:pPr>
        <w:pStyle w:val="NormalHanging12a"/>
      </w:pPr>
      <w:r w:rsidRPr="00430666">
        <w:t>B.</w:t>
      </w:r>
      <w:r w:rsidRPr="00430666">
        <w:tab/>
        <w:t>arvestades, et komisjoni määruse eelnõu vastuvõtmine võimaldaks jätkata selliste toodete liitu importimist, mis ei vasta standarditele, mida liidu põllumajandustootjad järgivad;</w:t>
      </w:r>
    </w:p>
    <w:p w:rsidR="00EF48F1" w:rsidRPr="00430666" w:rsidRDefault="00EF48F1" w:rsidP="00EF48F1">
      <w:pPr>
        <w:pStyle w:val="NormalHanging12a"/>
      </w:pPr>
      <w:r w:rsidRPr="00430666">
        <w:t>C.</w:t>
      </w:r>
      <w:r w:rsidRPr="00430666">
        <w:tab/>
        <w:t>arvestades, et selline olukord seaks liidu põllumajandustootjad ebasoodsasse konkurentsiolukorda;</w:t>
      </w:r>
    </w:p>
    <w:p w:rsidR="00EF48F1" w:rsidRPr="00430666" w:rsidRDefault="00EF48F1" w:rsidP="00EF48F1">
      <w:pPr>
        <w:pStyle w:val="NormalHanging12a"/>
      </w:pPr>
      <w:r w:rsidRPr="00430666">
        <w:t>D.</w:t>
      </w:r>
      <w:r w:rsidRPr="00430666">
        <w:tab/>
        <w:t xml:space="preserve">arvestades, et toimeainele </w:t>
      </w:r>
      <w:proofErr w:type="spellStart"/>
      <w:r w:rsidRPr="00430666">
        <w:t>karbendasiim</w:t>
      </w:r>
      <w:proofErr w:type="spellEnd"/>
      <w:r w:rsidRPr="00430666">
        <w:t xml:space="preserve"> antu</w:t>
      </w:r>
      <w:r w:rsidR="00F11823" w:rsidRPr="00430666">
        <w:t>d heakskiit aegus 30. novembril </w:t>
      </w:r>
      <w:r w:rsidRPr="00430666">
        <w:t>2014 ja selle pikendamise taotlust ei ole esitatud;</w:t>
      </w:r>
    </w:p>
    <w:p w:rsidR="00EF48F1" w:rsidRPr="00430666" w:rsidRDefault="00EF48F1" w:rsidP="00EF48F1">
      <w:pPr>
        <w:pStyle w:val="NormalHanging12a"/>
      </w:pPr>
      <w:r w:rsidRPr="00430666">
        <w:t>E.</w:t>
      </w:r>
      <w:r w:rsidRPr="00430666">
        <w:tab/>
        <w:t>arvest</w:t>
      </w:r>
      <w:r w:rsidR="00F11823" w:rsidRPr="00430666">
        <w:t xml:space="preserve">ades, et </w:t>
      </w:r>
      <w:proofErr w:type="spellStart"/>
      <w:r w:rsidR="00F11823" w:rsidRPr="00430666">
        <w:t>karbendasiim</w:t>
      </w:r>
      <w:proofErr w:type="spellEnd"/>
      <w:r w:rsidR="00F11823" w:rsidRPr="00430666">
        <w:t xml:space="preserve"> vastab 1B kategooria mutageeniks ja 1B </w:t>
      </w:r>
      <w:r w:rsidRPr="00430666">
        <w:t>kategooria reproduktiivtoksiliseks aineks klassifitseerimise kriteeriumidele kooskõlas Euroopa Parlamendi ja nõukogu määrusega (EÜ) nr 1272/2008</w:t>
      </w:r>
      <w:r w:rsidRPr="00430666">
        <w:rPr>
          <w:rStyle w:val="FootnoteReference"/>
        </w:rPr>
        <w:footnoteReference w:id="11"/>
      </w:r>
      <w:r w:rsidRPr="00430666">
        <w:t xml:space="preserve"> ning kahele püsiva, </w:t>
      </w:r>
      <w:proofErr w:type="spellStart"/>
      <w:r w:rsidRPr="00430666">
        <w:t>bioakumuleeruva</w:t>
      </w:r>
      <w:proofErr w:type="spellEnd"/>
      <w:r w:rsidRPr="00430666">
        <w:t xml:space="preserve"> ja toksilise aine (PBT) kriteeriumile (P ja T) kooskõl</w:t>
      </w:r>
      <w:r w:rsidR="00F11823" w:rsidRPr="00430666">
        <w:t>as määruse (EÜ) nr 1107/2009 II lisa punktiga </w:t>
      </w:r>
      <w:r w:rsidRPr="00430666">
        <w:t>3.7.2;</w:t>
      </w:r>
    </w:p>
    <w:p w:rsidR="00EF48F1" w:rsidRPr="00430666" w:rsidRDefault="00EF48F1" w:rsidP="00EF48F1">
      <w:pPr>
        <w:pStyle w:val="NormalHanging12a"/>
      </w:pPr>
      <w:r w:rsidRPr="00430666">
        <w:t>F.</w:t>
      </w:r>
      <w:r w:rsidRPr="00430666">
        <w:tab/>
        <w:t xml:space="preserve">arvestades, </w:t>
      </w:r>
      <w:r w:rsidR="00F11823" w:rsidRPr="00430666">
        <w:t xml:space="preserve">et </w:t>
      </w:r>
      <w:proofErr w:type="spellStart"/>
      <w:r w:rsidR="00F11823" w:rsidRPr="00430666">
        <w:t>karbendasiim</w:t>
      </w:r>
      <w:proofErr w:type="spellEnd"/>
      <w:r w:rsidR="00F11823" w:rsidRPr="00430666">
        <w:t xml:space="preserve"> on määruse (EÜ) </w:t>
      </w:r>
      <w:r w:rsidRPr="00430666">
        <w:t xml:space="preserve">nr 1272/2008 kohaselt klassifitseeritud ka väga mürgiseks veeorganismidele, on veeorganismidele pikaajalise toimega väga mürgine </w:t>
      </w:r>
      <w:r w:rsidR="00626CD1" w:rsidRPr="00430666">
        <w:t xml:space="preserve">toimeaine </w:t>
      </w:r>
      <w:r w:rsidRPr="00430666">
        <w:t>ja võib põhjustada allergilist nahareaktsiooni;</w:t>
      </w:r>
    </w:p>
    <w:p w:rsidR="00EF48F1" w:rsidRPr="00430666" w:rsidRDefault="00EF48F1" w:rsidP="00EF48F1">
      <w:pPr>
        <w:pStyle w:val="NormalHanging12a"/>
      </w:pPr>
      <w:r w:rsidRPr="00430666">
        <w:t>G.</w:t>
      </w:r>
      <w:r w:rsidRPr="00430666">
        <w:tab/>
        <w:t>arvestades, et see</w:t>
      </w:r>
      <w:r w:rsidR="00F11823" w:rsidRPr="00430666">
        <w:t>tõttu on kooskõlas määruse (EÜ) nr 396/2005 artikli 14 lõike 1 punktiga a ja artikliga </w:t>
      </w:r>
      <w:r w:rsidRPr="00430666">
        <w:t xml:space="preserve">17 asjakohane jätta kõnealuse määruse II lisast välja </w:t>
      </w:r>
      <w:proofErr w:type="spellStart"/>
      <w:r w:rsidRPr="00430666">
        <w:t>karbendasiimi</w:t>
      </w:r>
      <w:proofErr w:type="spellEnd"/>
      <w:r w:rsidRPr="00430666">
        <w:t xml:space="preserve"> kohta kehtestatud jääkide piirnormid;</w:t>
      </w:r>
    </w:p>
    <w:p w:rsidR="00EF48F1" w:rsidRPr="00430666" w:rsidRDefault="00EF48F1" w:rsidP="00EF48F1">
      <w:pPr>
        <w:pStyle w:val="NormalHanging12a"/>
      </w:pPr>
      <w:r w:rsidRPr="00430666">
        <w:t>H.</w:t>
      </w:r>
      <w:r w:rsidRPr="00430666">
        <w:tab/>
        <w:t>arvestades, et komisjoni määruse eelnõ</w:t>
      </w:r>
      <w:r w:rsidR="00F11823" w:rsidRPr="00430666">
        <w:t>us teeb komisjon siiski EFSA 5. juuli 2021. </w:t>
      </w:r>
      <w:r w:rsidRPr="00430666">
        <w:t xml:space="preserve">aasta põhjendatud arvamuse põhjal ettepaneku säilitada </w:t>
      </w:r>
      <w:proofErr w:type="spellStart"/>
      <w:r w:rsidRPr="00430666">
        <w:t>karbendasiimi</w:t>
      </w:r>
      <w:proofErr w:type="spellEnd"/>
      <w:r w:rsidRPr="00430666">
        <w:t xml:space="preserve"> suhtes impordile kehtestatavad jääkide piirnormid kõrgemal tasemel kui määramispiir kasutamiseks impordiks ette nähtud sidrunite, </w:t>
      </w:r>
      <w:proofErr w:type="spellStart"/>
      <w:r w:rsidRPr="00430666">
        <w:t>laimide</w:t>
      </w:r>
      <w:proofErr w:type="spellEnd"/>
      <w:r w:rsidRPr="00430666">
        <w:t xml:space="preserve">, mandariinide ja söödavate </w:t>
      </w:r>
      <w:proofErr w:type="spellStart"/>
      <w:r w:rsidRPr="00430666">
        <w:t>muskushibiskide</w:t>
      </w:r>
      <w:proofErr w:type="spellEnd"/>
      <w:r w:rsidRPr="00430666">
        <w:t xml:space="preserve"> puhul;</w:t>
      </w:r>
    </w:p>
    <w:p w:rsidR="00EF48F1" w:rsidRPr="00430666" w:rsidRDefault="00EF48F1" w:rsidP="00EF48F1">
      <w:pPr>
        <w:pStyle w:val="NormalHanging12a"/>
      </w:pPr>
      <w:r w:rsidRPr="00430666">
        <w:t>I.</w:t>
      </w:r>
      <w:r w:rsidRPr="00430666">
        <w:tab/>
        <w:t xml:space="preserve">arvestades, et komisjoni määruse eelnõus teeb komisjon ettepaneku säilitada impordile kehtestatavad jääkide piirnormid sidrunite, </w:t>
      </w:r>
      <w:proofErr w:type="spellStart"/>
      <w:r w:rsidRPr="00430666">
        <w:t>laimide</w:t>
      </w:r>
      <w:proofErr w:type="spellEnd"/>
      <w:r w:rsidRPr="00430666">
        <w:t xml:space="preserve"> ja mandariinide puhul kehtival tasemel, st 0,7 mg/kg, ja kehtestada söödavate </w:t>
      </w:r>
      <w:proofErr w:type="spellStart"/>
      <w:r w:rsidRPr="00430666">
        <w:t>muskushibiskide</w:t>
      </w:r>
      <w:proofErr w:type="spellEnd"/>
      <w:r w:rsidRPr="00430666">
        <w:t xml:space="preserve"> puhul jääkide piirnorm EFSA kindlaks </w:t>
      </w:r>
      <w:r w:rsidR="00F11823" w:rsidRPr="00430666">
        <w:t>määratud tasemel, st 1,5 mg/kg;</w:t>
      </w:r>
    </w:p>
    <w:p w:rsidR="00EF48F1" w:rsidRPr="00430666" w:rsidRDefault="00EF48F1" w:rsidP="00EF48F1">
      <w:pPr>
        <w:pStyle w:val="NormalHanging12a"/>
      </w:pPr>
      <w:r w:rsidRPr="00430666">
        <w:t>J.</w:t>
      </w:r>
      <w:r w:rsidRPr="00430666">
        <w:tab/>
        <w:t xml:space="preserve">arvestades, et pärast seda, kui taotleja võttis pikendamistaotluse tagasi, toimeainele </w:t>
      </w:r>
      <w:proofErr w:type="spellStart"/>
      <w:r w:rsidRPr="00430666">
        <w:lastRenderedPageBreak/>
        <w:t>metüülti</w:t>
      </w:r>
      <w:r w:rsidR="00F11823" w:rsidRPr="00430666">
        <w:t>ofanaadile</w:t>
      </w:r>
      <w:proofErr w:type="spellEnd"/>
      <w:r w:rsidR="00F11823" w:rsidRPr="00430666">
        <w:t xml:space="preserve"> antud heakskiitu 15. oktoobril </w:t>
      </w:r>
      <w:r w:rsidRPr="00430666">
        <w:t>2020 ei pikendatud;</w:t>
      </w:r>
    </w:p>
    <w:p w:rsidR="00EF48F1" w:rsidRPr="00430666" w:rsidRDefault="00EF48F1" w:rsidP="00EF48F1">
      <w:pPr>
        <w:pStyle w:val="NormalHanging12a"/>
      </w:pPr>
      <w:r w:rsidRPr="00430666">
        <w:t>K.</w:t>
      </w:r>
      <w:r w:rsidRPr="00430666">
        <w:tab/>
        <w:t xml:space="preserve">arvestades, et </w:t>
      </w:r>
      <w:proofErr w:type="spellStart"/>
      <w:r w:rsidRPr="00430666">
        <w:t>metüü</w:t>
      </w:r>
      <w:r w:rsidR="00F11823" w:rsidRPr="00430666">
        <w:t>ltiofanaat</w:t>
      </w:r>
      <w:proofErr w:type="spellEnd"/>
      <w:r w:rsidR="00F11823" w:rsidRPr="00430666">
        <w:t xml:space="preserve"> vastab määruses (EÜ) </w:t>
      </w:r>
      <w:r w:rsidRPr="00430666">
        <w:t>nr 1272/2008</w:t>
      </w:r>
      <w:r w:rsidRPr="00430666">
        <w:rPr>
          <w:rStyle w:val="FootnoteReference"/>
        </w:rPr>
        <w:footnoteReference w:id="12"/>
      </w:r>
      <w:r w:rsidRPr="00430666">
        <w:t xml:space="preserve"> sätestatud 2. kategooria mutageeniks ja 2. kategooria reproduktiivtoksiliseks aineks klassifitseerimise kriteeriumidele;</w:t>
      </w:r>
    </w:p>
    <w:p w:rsidR="00EF48F1" w:rsidRPr="00430666" w:rsidRDefault="00F11823" w:rsidP="00EF48F1">
      <w:pPr>
        <w:pStyle w:val="NormalHanging12a"/>
      </w:pPr>
      <w:r w:rsidRPr="00430666">
        <w:t>L.</w:t>
      </w:r>
      <w:r w:rsidRPr="00430666">
        <w:tab/>
        <w:t>arvestades, et EFSA 10. jaanuari 2024. </w:t>
      </w:r>
      <w:r w:rsidR="00EF48F1" w:rsidRPr="00430666">
        <w:t xml:space="preserve">aasta ajakohastatud põhjendatud arvamuse kohaselt on </w:t>
      </w:r>
      <w:proofErr w:type="spellStart"/>
      <w:r w:rsidR="00EF48F1" w:rsidRPr="00430666">
        <w:t>metüültiofanaat</w:t>
      </w:r>
      <w:proofErr w:type="spellEnd"/>
      <w:r w:rsidR="00EF48F1" w:rsidRPr="00430666">
        <w:t xml:space="preserve"> kilpnääret kahjustavate omaduste tõttu inimese endokriinfunktsiooni kahjustav kemikaal va</w:t>
      </w:r>
      <w:r w:rsidRPr="00430666">
        <w:t>stavalt komisjoni määruses (EL) </w:t>
      </w:r>
      <w:r w:rsidR="00EF48F1" w:rsidRPr="00430666">
        <w:t>2018/605</w:t>
      </w:r>
      <w:r w:rsidR="00EF48F1" w:rsidRPr="00430666">
        <w:rPr>
          <w:rStyle w:val="FootnoteReference"/>
        </w:rPr>
        <w:footnoteReference w:id="13"/>
      </w:r>
      <w:r w:rsidR="00EF48F1" w:rsidRPr="00430666">
        <w:t xml:space="preserve"> sätestatud teaduslikele kriteeriumidele endokriinsüsteemi häireid põhjustavate omaduste kindlakstegemiseks;</w:t>
      </w:r>
    </w:p>
    <w:p w:rsidR="00EF48F1" w:rsidRPr="00430666" w:rsidRDefault="00EF48F1" w:rsidP="00EF48F1">
      <w:pPr>
        <w:pStyle w:val="NormalHanging12a"/>
      </w:pPr>
      <w:r w:rsidRPr="00430666">
        <w:t>M.</w:t>
      </w:r>
      <w:r w:rsidRPr="00430666">
        <w:tab/>
        <w:t xml:space="preserve">arvestades, et </w:t>
      </w:r>
      <w:proofErr w:type="spellStart"/>
      <w:r w:rsidRPr="00430666">
        <w:t>karbendasiim</w:t>
      </w:r>
      <w:proofErr w:type="spellEnd"/>
      <w:r w:rsidRPr="00430666">
        <w:t xml:space="preserve"> on </w:t>
      </w:r>
      <w:proofErr w:type="spellStart"/>
      <w:r w:rsidRPr="00430666">
        <w:t>metüültiofanaadi</w:t>
      </w:r>
      <w:proofErr w:type="spellEnd"/>
      <w:r w:rsidRPr="00430666">
        <w:t xml:space="preserve"> oluline taimne metaboliit;</w:t>
      </w:r>
    </w:p>
    <w:p w:rsidR="00EF48F1" w:rsidRPr="00430666" w:rsidRDefault="00F11823" w:rsidP="00EF48F1">
      <w:pPr>
        <w:pStyle w:val="NormalHanging12a"/>
      </w:pPr>
      <w:r w:rsidRPr="00430666">
        <w:t>N.</w:t>
      </w:r>
      <w:r w:rsidRPr="00430666">
        <w:tab/>
        <w:t>arvestades, et EFSA 8. detsembri 2017. </w:t>
      </w:r>
      <w:r w:rsidR="00EF48F1" w:rsidRPr="00430666">
        <w:t xml:space="preserve">aasta järeldustes pestitsiide käsitleva vastastikuse eksperdiarvamuse kohta jõuti järeldusele, et arvestades </w:t>
      </w:r>
      <w:proofErr w:type="spellStart"/>
      <w:r w:rsidR="00EF48F1" w:rsidRPr="00430666">
        <w:t>metüültiofanaadi</w:t>
      </w:r>
      <w:proofErr w:type="spellEnd"/>
      <w:r w:rsidR="00EF48F1" w:rsidRPr="00430666">
        <w:t xml:space="preserve"> </w:t>
      </w:r>
      <w:proofErr w:type="spellStart"/>
      <w:r w:rsidR="00EF48F1" w:rsidRPr="00430666">
        <w:t>klastogeenset</w:t>
      </w:r>
      <w:proofErr w:type="spellEnd"/>
      <w:r w:rsidR="00EF48F1" w:rsidRPr="00430666">
        <w:t xml:space="preserve"> toimet, ei ole võimalik tuletada tarbijatele ja kasutajatele avalduvate riskide hindamiseks vajalikke toksikoloogilisi kontrollväärtusi;</w:t>
      </w:r>
    </w:p>
    <w:p w:rsidR="00EF48F1" w:rsidRPr="00430666" w:rsidRDefault="00EF48F1" w:rsidP="00EF48F1">
      <w:pPr>
        <w:pStyle w:val="NormalHanging12a"/>
      </w:pPr>
      <w:r w:rsidRPr="00430666">
        <w:t>O.</w:t>
      </w:r>
      <w:r w:rsidRPr="00430666">
        <w:tab/>
        <w:t>arvestades, et 20</w:t>
      </w:r>
      <w:r w:rsidR="00F11823" w:rsidRPr="00430666">
        <w:t>24. aastal vähendas komisjon 1B </w:t>
      </w:r>
      <w:r w:rsidRPr="00430666">
        <w:t xml:space="preserve">kategooria reproduktiivtoksiliseks aineks klassifitseeritud </w:t>
      </w:r>
      <w:proofErr w:type="spellStart"/>
      <w:r w:rsidRPr="00430666">
        <w:t>tiaklopriidi</w:t>
      </w:r>
      <w:proofErr w:type="spellEnd"/>
      <w:r w:rsidRPr="00430666">
        <w:t xml:space="preserve"> jääkide piirnorme asjakohase määramispiiri tasemele, väites, et „kuni ameti selle täiendava riskihindamise [endokriinfunktsiooniga seotud mõju kohta] järelduse tegemiseni ja võttes arvesse kättesaadavat asjakohast teavet võimaliku kahjuliku mõju kohta inimeste tervisele, on asjakohane jääkide piirnorme [nende toodete puhul] ajutiselt vähendada ...“</w:t>
      </w:r>
      <w:r w:rsidRPr="00430666">
        <w:rPr>
          <w:rStyle w:val="FootnoteReference"/>
        </w:rPr>
        <w:footnoteReference w:id="14"/>
      </w:r>
      <w:r w:rsidRPr="00430666">
        <w:t>;</w:t>
      </w:r>
    </w:p>
    <w:p w:rsidR="00EF48F1" w:rsidRPr="00430666" w:rsidRDefault="00EF48F1" w:rsidP="00EF48F1">
      <w:pPr>
        <w:pStyle w:val="NormalHanging12a"/>
      </w:pPr>
      <w:r w:rsidRPr="00430666">
        <w:t>P.</w:t>
      </w:r>
      <w:r w:rsidRPr="00430666">
        <w:tab/>
        <w:t>arvestades, et see</w:t>
      </w:r>
      <w:r w:rsidR="00F11823" w:rsidRPr="00430666">
        <w:t>tõttu on kooskõlas määruse (EÜ) nr 396/2005 artikli 14 lõike 1 punktiga a ja artikliga </w:t>
      </w:r>
      <w:r w:rsidRPr="00430666">
        <w:t xml:space="preserve">17 asjakohane jätta kõnealuse määruse II lisast välja </w:t>
      </w:r>
      <w:proofErr w:type="spellStart"/>
      <w:r w:rsidRPr="00430666">
        <w:t>metüültiofanaadi</w:t>
      </w:r>
      <w:proofErr w:type="spellEnd"/>
      <w:r w:rsidRPr="00430666">
        <w:t xml:space="preserve"> kohta kehtestatud jääkide piirnormid;</w:t>
      </w:r>
    </w:p>
    <w:p w:rsidR="00EF48F1" w:rsidRPr="00430666" w:rsidRDefault="00EF48F1" w:rsidP="00EF48F1">
      <w:pPr>
        <w:pStyle w:val="NormalHanging12a"/>
      </w:pPr>
      <w:r w:rsidRPr="00430666">
        <w:t>Q.</w:t>
      </w:r>
      <w:r w:rsidRPr="00430666">
        <w:tab/>
        <w:t>arvestades, et komisjoni määruse eelnõ</w:t>
      </w:r>
      <w:r w:rsidR="00F11823" w:rsidRPr="00430666">
        <w:t>us teeb komisjon siiski EFSA 5. juuli 2021. </w:t>
      </w:r>
      <w:r w:rsidRPr="00430666">
        <w:t xml:space="preserve">aasta põhjendatud arvamuse põhjal ettepaneku säilitada </w:t>
      </w:r>
      <w:proofErr w:type="spellStart"/>
      <w:r w:rsidRPr="00430666">
        <w:t>metüültiofanaadi</w:t>
      </w:r>
      <w:proofErr w:type="spellEnd"/>
      <w:r w:rsidRPr="00430666">
        <w:t xml:space="preserve"> suhtes impordile kehtestatavad jääkide piirnormid kõrgemal tasemel kui määramispiir kasutamiseks impordiks ette nähtud </w:t>
      </w:r>
      <w:proofErr w:type="spellStart"/>
      <w:r w:rsidRPr="00430666">
        <w:t>laimide</w:t>
      </w:r>
      <w:proofErr w:type="spellEnd"/>
      <w:r w:rsidRPr="00430666">
        <w:t xml:space="preserve"> ja söödavate </w:t>
      </w:r>
      <w:proofErr w:type="spellStart"/>
      <w:r w:rsidRPr="00430666">
        <w:t>muskushibiskide</w:t>
      </w:r>
      <w:proofErr w:type="spellEnd"/>
      <w:r w:rsidRPr="00430666">
        <w:t xml:space="preserve"> puhul; arvestades, et </w:t>
      </w:r>
      <w:proofErr w:type="spellStart"/>
      <w:r w:rsidRPr="00430666">
        <w:t>laimide</w:t>
      </w:r>
      <w:proofErr w:type="spellEnd"/>
      <w:r w:rsidRPr="00430666">
        <w:t xml:space="preserve"> puhul on </w:t>
      </w:r>
      <w:proofErr w:type="spellStart"/>
      <w:r w:rsidRPr="00430666">
        <w:t>metüültiofanaadi</w:t>
      </w:r>
      <w:proofErr w:type="spellEnd"/>
      <w:r w:rsidRPr="00430666">
        <w:t xml:space="preserve"> jääkide piirnormiks </w:t>
      </w:r>
      <w:r w:rsidR="00F11823" w:rsidRPr="00430666">
        <w:t>kehtestatud 6 mg/kg, mis on 600 </w:t>
      </w:r>
      <w:r w:rsidRPr="00430666">
        <w:t>korda kõrgem kui määramispiir;</w:t>
      </w:r>
    </w:p>
    <w:p w:rsidR="00EF48F1" w:rsidRPr="00430666" w:rsidRDefault="00F11823" w:rsidP="00EF48F1">
      <w:pPr>
        <w:pStyle w:val="NormalHanging12a"/>
      </w:pPr>
      <w:r w:rsidRPr="00430666">
        <w:t>R.</w:t>
      </w:r>
      <w:r w:rsidRPr="00430666">
        <w:tab/>
        <w:t>arvestades, et määruse (EÜ) </w:t>
      </w:r>
      <w:r w:rsidR="00EF48F1" w:rsidRPr="00430666">
        <w:t>n</w:t>
      </w:r>
      <w:r w:rsidRPr="00430666">
        <w:t>r 396/2005 põhjenduses </w:t>
      </w:r>
      <w:r w:rsidR="00EF48F1" w:rsidRPr="00430666">
        <w:t xml:space="preserve">5 nähakse ette, et jääke ei tohiks esineda tasemel, mis kujutab endast vastuvõetamatut riski inimestele </w:t>
      </w:r>
      <w:r w:rsidRPr="00430666">
        <w:t>ja asjakohasel juhul loomadele;</w:t>
      </w:r>
    </w:p>
    <w:p w:rsidR="00EF48F1" w:rsidRPr="00430666" w:rsidRDefault="00F11823" w:rsidP="00EF48F1">
      <w:pPr>
        <w:pStyle w:val="NormalHanging12a"/>
      </w:pPr>
      <w:r w:rsidRPr="00430666">
        <w:t>S.</w:t>
      </w:r>
      <w:r w:rsidRPr="00430666">
        <w:tab/>
        <w:t>arvestades, et määruse (EÜ) </w:t>
      </w:r>
      <w:r w:rsidR="00EF48F1" w:rsidRPr="00430666">
        <w:t xml:space="preserve">nr 1107/2009 artikli 4 lõike 2 esimese lõigu punktis a on sätestatud, et taimekaitsevahendite jääkidel ei tohi olla mingit kahjulikku mõju inimeste, sealhulgas vähekaitstud elanikkonnarühmade ega loomade tervisele, võttes arvesse teadaolevaid kumulatiivseid ja </w:t>
      </w:r>
      <w:proofErr w:type="spellStart"/>
      <w:r w:rsidR="00EF48F1" w:rsidRPr="00430666">
        <w:t>koostoimelisi</w:t>
      </w:r>
      <w:proofErr w:type="spellEnd"/>
      <w:r w:rsidR="00EF48F1" w:rsidRPr="00430666">
        <w:t xml:space="preserve"> mõjusid; arve</w:t>
      </w:r>
      <w:r w:rsidRPr="00430666">
        <w:t>stades, et kõnealuse määruse II </w:t>
      </w:r>
      <w:r w:rsidR="00EF48F1" w:rsidRPr="00430666">
        <w:t>l</w:t>
      </w:r>
      <w:r w:rsidRPr="00430666">
        <w:t>isa punktis </w:t>
      </w:r>
      <w:r w:rsidR="00EF48F1" w:rsidRPr="00430666">
        <w:t>3.6.2</w:t>
      </w:r>
      <w:r w:rsidRPr="00430666">
        <w:t xml:space="preserve"> on sätestatud, et määruse (EÜ) nr 1272/2008 kohaselt 1A või </w:t>
      </w:r>
      <w:r w:rsidR="00EF48F1" w:rsidRPr="00430666">
        <w:t xml:space="preserve">1B kategooria mutageeniks klassifitseeritud toimeainet ei kiideta heaks; arvestades, et kõnealuse lisa punktis 3.6.4 on sätestatud, et toimeaine, mis on määruse (EÜ) nr 1272/2008 kohaselt klassifitseeritud 1A või 1B kategooria reproduktiivtoksiliseks aineks, kiidetakse heaks üksnes juhul, kui „asjaomase toimeaine […] jäägid toidul või söödal ei ületa vaikimisi väärtust, mis on kehtestatud määruse (EÜ) nr 396/2005 artikli 18 lõike 1 punkti b kohaselt“; arvestades, et kõnealuse lisa punktis 3.6.5 on sätestatud, et toimeainet ei kiideta heaks, kui sellel on endokriinseid häireid põhjustavad omadused, välja arvatud juhul, kui „asjaomase toimeaine […] jäägid toidul või söödal ei ületa vaikimisi väärtust, </w:t>
      </w:r>
      <w:r w:rsidRPr="00430666">
        <w:t>mis on kehtestatud määruse (EÜ) </w:t>
      </w:r>
      <w:r w:rsidR="00EF48F1" w:rsidRPr="00430666">
        <w:t>nr 396/2005 artikli 18 lõike 1 punkti b kohasel</w:t>
      </w:r>
      <w:r w:rsidRPr="00430666">
        <w:t>t“; arvestades, et määruse (EÜ) </w:t>
      </w:r>
      <w:r w:rsidR="00EF48F1" w:rsidRPr="00430666">
        <w:t>nr 396/2005 artikli 18 lõike 1 punktis b on sätestatud vaikeväärtus 0,01 mg/kg;</w:t>
      </w:r>
    </w:p>
    <w:p w:rsidR="00EF48F1" w:rsidRPr="00430666" w:rsidRDefault="00F11823" w:rsidP="00EF48F1">
      <w:pPr>
        <w:pStyle w:val="NormalHanging12a"/>
      </w:pPr>
      <w:r w:rsidRPr="00430666">
        <w:t>T.</w:t>
      </w:r>
      <w:r w:rsidRPr="00430666">
        <w:tab/>
        <w:t>arvestades, et määruse (EÜ) </w:t>
      </w:r>
      <w:r w:rsidR="00EF48F1" w:rsidRPr="00430666">
        <w:t xml:space="preserve">nr 396/2005 artikli 3 lõike 2 punktis g on sätestatud, et impordile kehtestatav jääkide piirnorm on imporditavatele toodetele kehtestatav jääkide piirnorm juhul, kui „toote pinnal kasutatavas taimekaitsevahendis sisalduva toimeaine kasutamine ei ole konkreetse toote ja kasutusotstarbe korral ühenduses lubatud muudel põhjustel kui rahvatervis“; arvestades, et </w:t>
      </w:r>
      <w:proofErr w:type="spellStart"/>
      <w:r w:rsidR="00EF48F1" w:rsidRPr="00430666">
        <w:t>karbendasiim</w:t>
      </w:r>
      <w:proofErr w:type="spellEnd"/>
      <w:r w:rsidR="00EF48F1" w:rsidRPr="00430666">
        <w:t xml:space="preserve"> ei vasta nendele kriteeriumidele, sest seda ei saa enam liidus heaks kiita, k</w:t>
      </w:r>
      <w:r w:rsidRPr="00430666">
        <w:t>una see on klassifitseeritud 1B kategooria mutageenseks ja 1B </w:t>
      </w:r>
      <w:r w:rsidR="00EF48F1" w:rsidRPr="00430666">
        <w:t xml:space="preserve">kategooria reproduktiivtoksiliseks aineks; arvestades, et </w:t>
      </w:r>
      <w:proofErr w:type="spellStart"/>
      <w:r w:rsidR="00EF48F1" w:rsidRPr="00430666">
        <w:t>metüültiofanaat</w:t>
      </w:r>
      <w:proofErr w:type="spellEnd"/>
      <w:r w:rsidR="00EF48F1" w:rsidRPr="00430666">
        <w:t xml:space="preserve"> ei vasta samuti nendele krit</w:t>
      </w:r>
      <w:r w:rsidRPr="00430666">
        <w:t>eeriumidele, sest määruses (EL) </w:t>
      </w:r>
      <w:r w:rsidR="00EF48F1" w:rsidRPr="00430666">
        <w:t>2018/605 sätestatud endokriinseid häireid põhjustavate omaduste kindlaksmääramise teaduslike kriteeriumide kohaselt on see kilpnääret kahjustavate omaduste tõttu inimese endokriinfunktsiooni kahjustav kemikaal;</w:t>
      </w:r>
    </w:p>
    <w:p w:rsidR="00EF48F1" w:rsidRPr="00430666" w:rsidRDefault="00F11823" w:rsidP="00EF48F1">
      <w:pPr>
        <w:pStyle w:val="NormalHanging12a"/>
      </w:pPr>
      <w:r w:rsidRPr="00430666">
        <w:t>U.</w:t>
      </w:r>
      <w:r w:rsidRPr="00430666">
        <w:tab/>
        <w:t>arvestades, et määruse (EÜ) </w:t>
      </w:r>
      <w:r w:rsidR="00EF48F1" w:rsidRPr="00430666">
        <w:t>nr 178/2002 artikli 5 lõikes 1 on sätestatud, et toidualaste õigusnormidega tuleb taotleda üht või mitut üldeesmärki, milleks on inimeste elu ja tervise kõrgetasemeline kaitse ning tarbijate huvide kaitsmine, sealhulgas õiglased tavad toidukaubanduses, võttes asjakohasel juhul arvesse loomade tervise ja heaolu, taimetervise ja keskkonna kaitset;</w:t>
      </w:r>
    </w:p>
    <w:p w:rsidR="00EF48F1" w:rsidRPr="00430666" w:rsidRDefault="00EF48F1" w:rsidP="00EF48F1">
      <w:pPr>
        <w:pStyle w:val="NormalHanging12a"/>
      </w:pPr>
      <w:r w:rsidRPr="00430666">
        <w:t>V.</w:t>
      </w:r>
      <w:r w:rsidRPr="00430666">
        <w:tab/>
        <w:t>arvestades, et komisjon teatas oma 20. mai 2020. aasta teatises „Strateegia „Talust taldrikule“ õiglase, tervisliku ja keskkonnahoidliku toidusüsteemi edendamiseks“</w:t>
      </w:r>
      <w:r w:rsidRPr="00430666">
        <w:rPr>
          <w:vertAlign w:val="superscript"/>
        </w:rPr>
        <w:footnoteReference w:id="15"/>
      </w:r>
      <w:r w:rsidRPr="00430666">
        <w:t>, et „EL toetab ülemaailmset üleminekut kestlikele põllumajandusliku toidutööstuse süsteemidele kooskõlas käesoleva strateegia ja kestliku arengu eesmärkidega“ ning et „ELil võib seda strateegiat rakendades olla keskne roll ülemaailmsete standardite kehtestamisel“; arvestades, et komisjon märkis strateegias sõnaselgelt, et „ELi kestlikum toidusüsteem nõuab ka meie kaubanduspartneritelt üha kestlikumaid tavasid. Selleks et edendada järkjärgulist liikumist ohutumate taimekaitsevahendite kasutamise suunas, soovib EL kooskõlas WTO eeskirjadega ja pärast riskihindamist vaadata läbi selliste ainete impordile kehtestatud jääkide piirnormid, mis vastavad piirkriteeriumidele, kuid kujutavad endast suurt ohtu inimeste tervisele“;</w:t>
      </w:r>
    </w:p>
    <w:p w:rsidR="00EF48F1" w:rsidRPr="00430666" w:rsidRDefault="00EF48F1" w:rsidP="00EF48F1">
      <w:pPr>
        <w:pStyle w:val="NormalHanging12a"/>
      </w:pPr>
      <w:r w:rsidRPr="00430666">
        <w:t>W.</w:t>
      </w:r>
      <w:r w:rsidRPr="00430666">
        <w:tab/>
        <w:t xml:space="preserve">arvestades, et komisjon peab kättesaadava teadusliku teabe alusel kaitsma keskkonda ja Euroopa kodanikke, kasutades kohustusi ja õiguslikke võimalusi, mis on sätestatud määrustes </w:t>
      </w:r>
      <w:r w:rsidR="00F11823" w:rsidRPr="00430666">
        <w:t>(EÜ) nr 396/2005 ja (EÜ) </w:t>
      </w:r>
      <w:r w:rsidRPr="00430666">
        <w:t>nr 178/2002, et tagada inimeste ja loomade tervise ning keskkonna kaitse kõrge tase;</w:t>
      </w:r>
    </w:p>
    <w:p w:rsidR="00EF48F1" w:rsidRPr="00430666" w:rsidRDefault="00EF48F1" w:rsidP="00EF48F1">
      <w:pPr>
        <w:pStyle w:val="NormalHanging12a"/>
      </w:pPr>
      <w:r w:rsidRPr="00430666">
        <w:t>X.</w:t>
      </w:r>
      <w:r w:rsidRPr="00430666">
        <w:tab/>
        <w:t>arvestades, et kavandatud jääkide piirnormid ei kaitse Euroopa kodanike tervist ning on seetõttu vastuolus määr</w:t>
      </w:r>
      <w:r w:rsidR="00F11823" w:rsidRPr="00430666">
        <w:t>ustega (EÜ) nr 396/2005 ja (EÜ) </w:t>
      </w:r>
      <w:r w:rsidRPr="00430666">
        <w:t>nr 178/2002;</w:t>
      </w:r>
    </w:p>
    <w:p w:rsidR="00EF48F1" w:rsidRPr="00430666" w:rsidRDefault="00F11823" w:rsidP="00EF48F1">
      <w:pPr>
        <w:pStyle w:val="NormalHanging12a"/>
      </w:pPr>
      <w:r w:rsidRPr="00430666">
        <w:t>Y.</w:t>
      </w:r>
      <w:r w:rsidR="00EF48F1" w:rsidRPr="00430666">
        <w:tab/>
        <w:t xml:space="preserve">arvestades, et jääkide piirnorme ei tohiks kehtestada toimeainetele, mis ei ole tervise kaalutluste tõttu liidus heaks kiidetud; arvestades, et seetõttu ei tohiks kehtestada </w:t>
      </w:r>
      <w:proofErr w:type="spellStart"/>
      <w:r w:rsidR="00EF48F1" w:rsidRPr="00430666">
        <w:t>metüültiofanaadi</w:t>
      </w:r>
      <w:proofErr w:type="spellEnd"/>
      <w:r w:rsidR="00EF48F1" w:rsidRPr="00430666">
        <w:t xml:space="preserve"> suhtes impordile kehtestatavaid jääkide piirnorme, kuna on kindlaks tehtud, et see on endokriinfunktsiooni kahjustav kemikaal, ega </w:t>
      </w:r>
      <w:proofErr w:type="spellStart"/>
      <w:r w:rsidR="00EF48F1" w:rsidRPr="00430666">
        <w:t>karbendasiimi</w:t>
      </w:r>
      <w:proofErr w:type="spellEnd"/>
      <w:r w:rsidR="00EF48F1" w:rsidRPr="00430666">
        <w:t xml:space="preserve"> suhtes, kuna see on klassifitseeritud 1</w:t>
      </w:r>
      <w:r w:rsidRPr="00430666">
        <w:t>B kategooria mutageenseks ja 1B </w:t>
      </w:r>
      <w:r w:rsidR="00EF48F1" w:rsidRPr="00430666">
        <w:t>kategooria reproduktiivtoksiliseks aineks;</w:t>
      </w:r>
    </w:p>
    <w:p w:rsidR="00EF48F1" w:rsidRPr="00430666" w:rsidRDefault="00EF48F1" w:rsidP="00EF48F1">
      <w:pPr>
        <w:pStyle w:val="NormalHanging12a"/>
      </w:pPr>
      <w:r w:rsidRPr="00430666">
        <w:t>Z.</w:t>
      </w:r>
      <w:r w:rsidRPr="00430666">
        <w:tab/>
        <w:t xml:space="preserve">arvestades, et jääkide piirnormide kehtestamine kõrgel tasemel soodustab eri standardite kohaldamist liidu põllumajandustootjate ja kolmandate riikide põllumajandustootjate suhtes, kuna viimased võivad kasutada ka edaspidi asjakohaste toiduainete tootmisel </w:t>
      </w:r>
      <w:proofErr w:type="spellStart"/>
      <w:r w:rsidRPr="00430666">
        <w:t>karbendasiimi</w:t>
      </w:r>
      <w:proofErr w:type="spellEnd"/>
      <w:r w:rsidRPr="00430666">
        <w:t xml:space="preserve"> ja </w:t>
      </w:r>
      <w:proofErr w:type="spellStart"/>
      <w:r w:rsidRPr="00430666">
        <w:t>metüültiofanaa</w:t>
      </w:r>
      <w:r w:rsidR="00626CD1" w:rsidRPr="00430666">
        <w:t>t</w:t>
      </w:r>
      <w:r w:rsidRPr="00430666">
        <w:t>i</w:t>
      </w:r>
      <w:proofErr w:type="spellEnd"/>
      <w:r w:rsidRPr="00430666">
        <w:t xml:space="preserve"> ning eksportida neid toiduaineid liitu, mis seab liidu põllumajandustootjad ebasoodsasse konkurentsiolukorda; arvestades, et teisest küljest ohustab nende pestitsiidide kasutamine tootjariikides põllumajandustöötajate tervist, elanikkonna tervist ja keskkonda;</w:t>
      </w:r>
    </w:p>
    <w:p w:rsidR="00EF48F1" w:rsidRPr="00430666" w:rsidRDefault="00EF48F1" w:rsidP="00EF48F1">
      <w:pPr>
        <w:pStyle w:val="NormalHanging12a"/>
      </w:pPr>
      <w:r w:rsidRPr="00430666">
        <w:t>1.</w:t>
      </w:r>
      <w:r w:rsidRPr="00430666">
        <w:tab/>
        <w:t>on vastu komisjoni määruse eelnõu vastuvõtmisele;</w:t>
      </w:r>
    </w:p>
    <w:p w:rsidR="00EF48F1" w:rsidRPr="00430666" w:rsidRDefault="00EF48F1" w:rsidP="00EF48F1">
      <w:pPr>
        <w:pStyle w:val="NormalHanging12a"/>
      </w:pPr>
      <w:r w:rsidRPr="00430666">
        <w:t>2.</w:t>
      </w:r>
      <w:r w:rsidRPr="00430666">
        <w:tab/>
        <w:t>on seisukohal, et komisjoni määruse eelnõu ei ole kooskõlas mä</w:t>
      </w:r>
      <w:r w:rsidR="00F11823" w:rsidRPr="00430666">
        <w:t>äruste (EÜ) nr 396/2005 ja (EÜ) </w:t>
      </w:r>
      <w:r w:rsidRPr="00430666">
        <w:t>nr 178/2002 eesmärgi eg</w:t>
      </w:r>
      <w:r w:rsidR="00F11823" w:rsidRPr="00430666">
        <w:t>a sisuga, samuti määrusega (EÜ) </w:t>
      </w:r>
      <w:r w:rsidRPr="00430666">
        <w:t>nr 1107/2009, sealhulgas selle II lisa punktidega 3.6</w:t>
      </w:r>
      <w:r w:rsidR="00F11823" w:rsidRPr="00430666">
        <w:t>.2, 3.6.4 ja </w:t>
      </w:r>
      <w:r w:rsidRPr="00430666">
        <w:t>3.6.5;</w:t>
      </w:r>
    </w:p>
    <w:p w:rsidR="00EF48F1" w:rsidRPr="00430666" w:rsidRDefault="00EF48F1" w:rsidP="00EF48F1">
      <w:pPr>
        <w:pStyle w:val="NormalHanging12a"/>
      </w:pPr>
      <w:r w:rsidRPr="00430666">
        <w:t>3.</w:t>
      </w:r>
      <w:r w:rsidRPr="00430666">
        <w:tab/>
        <w:t>palub komisjonil määruse eelnõu tagasi võtta ja esitada komiteele uue eelnõu;</w:t>
      </w:r>
    </w:p>
    <w:p w:rsidR="00EF48F1" w:rsidRPr="00430666" w:rsidRDefault="00EF48F1" w:rsidP="00EF48F1">
      <w:pPr>
        <w:pStyle w:val="NormalHanging12a"/>
      </w:pPr>
      <w:r w:rsidRPr="00430666">
        <w:t>4.</w:t>
      </w:r>
      <w:r w:rsidRPr="00430666">
        <w:tab/>
        <w:t xml:space="preserve">palub komisjonil esitada komiteele uue määruse eelnõu, milles on vähendatud </w:t>
      </w:r>
      <w:proofErr w:type="spellStart"/>
      <w:r w:rsidRPr="00430666">
        <w:t>karbendasiimi</w:t>
      </w:r>
      <w:proofErr w:type="spellEnd"/>
      <w:r w:rsidRPr="00430666">
        <w:t xml:space="preserve"> ja </w:t>
      </w:r>
      <w:proofErr w:type="spellStart"/>
      <w:r w:rsidRPr="00430666">
        <w:t>metüültiofanaadi</w:t>
      </w:r>
      <w:proofErr w:type="spellEnd"/>
      <w:r w:rsidRPr="00430666">
        <w:t xml:space="preserve"> jääkide piirnorme kõigi kasutusviiside puhul asjakohase määramispiiri tasemele, ning lükata tagasi kõik impordile kehtestatavate jääkide piirnormide taotlused;</w:t>
      </w:r>
    </w:p>
    <w:p w:rsidR="00E365E1" w:rsidRPr="00430666" w:rsidRDefault="00EF48F1" w:rsidP="00595C2D">
      <w:pPr>
        <w:pStyle w:val="NormalHanging12a"/>
      </w:pPr>
      <w:r w:rsidRPr="00430666">
        <w:t>5.</w:t>
      </w:r>
      <w:r w:rsidRPr="00430666">
        <w:tab/>
        <w:t>teeb presidendile ülesandeks edastada käesolev resolutsioon nõukogule ja komisjonile ning liikmesriikide valitsustele ja parlamentidele.</w:t>
      </w:r>
      <w:bookmarkStart w:id="8" w:name="TextBodyEnd"/>
      <w:bookmarkEnd w:id="8"/>
    </w:p>
    <w:sectPr w:rsidR="00E365E1" w:rsidRPr="00430666" w:rsidSect="00CB141C">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F47E1" w:rsidRPr="00CB141C" w:rsidRDefault="00FF47E1">
      <w:r w:rsidRPr="00CB141C">
        <w:separator/>
      </w:r>
    </w:p>
  </w:endnote>
  <w:endnote w:type="continuationSeparator" w:id="0">
    <w:p w:rsidR="00FF47E1" w:rsidRPr="00CB141C" w:rsidRDefault="00FF47E1">
      <w:r w:rsidRPr="00CB141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00000000"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B141C"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B141C"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B141C"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F47E1" w:rsidRPr="00CB141C" w:rsidRDefault="00FF47E1">
      <w:r w:rsidRPr="00CB141C">
        <w:separator/>
      </w:r>
    </w:p>
  </w:footnote>
  <w:footnote w:type="continuationSeparator" w:id="0">
    <w:p w:rsidR="00FF47E1" w:rsidRPr="00CB141C" w:rsidRDefault="00FF47E1">
      <w:r w:rsidRPr="00CB141C">
        <w:continuationSeparator/>
      </w:r>
    </w:p>
  </w:footnote>
  <w:footnote w:id="1">
    <w:p w:rsidR="00EF48F1" w:rsidRPr="00CB141C" w:rsidRDefault="00EF48F1" w:rsidP="00CB141C">
      <w:pPr>
        <w:pStyle w:val="FootnoteText"/>
        <w:ind w:left="567" w:hanging="567"/>
        <w:rPr>
          <w:sz w:val="24"/>
          <w:lang w:val="et-EE"/>
        </w:rPr>
      </w:pPr>
      <w:r w:rsidRPr="00CB141C">
        <w:rPr>
          <w:rStyle w:val="FootnoteReference"/>
          <w:sz w:val="24"/>
          <w:lang w:val="et-EE"/>
        </w:rPr>
        <w:footnoteRef/>
      </w:r>
      <w:r w:rsidR="00CB141C" w:rsidRPr="00CB141C">
        <w:rPr>
          <w:sz w:val="24"/>
          <w:lang w:val="et-EE"/>
        </w:rPr>
        <w:tab/>
      </w:r>
      <w:r w:rsidRPr="00CB141C">
        <w:rPr>
          <w:sz w:val="24"/>
          <w:lang w:val="et-EE"/>
        </w:rPr>
        <w:t>ELT L 70, 16.3.2005, lk 1.</w:t>
      </w:r>
    </w:p>
  </w:footnote>
  <w:footnote w:id="2">
    <w:p w:rsidR="00EF48F1" w:rsidRPr="00CB141C" w:rsidRDefault="00EF48F1" w:rsidP="00CB141C">
      <w:pPr>
        <w:pStyle w:val="FootnoteText"/>
        <w:ind w:left="567" w:hanging="567"/>
        <w:rPr>
          <w:sz w:val="24"/>
          <w:lang w:val="et-EE"/>
        </w:rPr>
      </w:pPr>
      <w:r w:rsidRPr="00CB141C">
        <w:rPr>
          <w:rStyle w:val="FootnoteReference"/>
          <w:sz w:val="24"/>
          <w:lang w:val="et-EE"/>
        </w:rPr>
        <w:footnoteRef/>
      </w:r>
      <w:r w:rsidR="00CB141C" w:rsidRPr="00CB141C">
        <w:rPr>
          <w:sz w:val="24"/>
          <w:lang w:val="et-EE"/>
        </w:rPr>
        <w:tab/>
      </w:r>
      <w:r w:rsidR="00595C2D">
        <w:rPr>
          <w:sz w:val="24"/>
          <w:lang w:val="et-EE"/>
        </w:rPr>
        <w:t>ELT L 309, 24.11.2009, lk </w:t>
      </w:r>
      <w:r w:rsidRPr="00CB141C">
        <w:rPr>
          <w:sz w:val="24"/>
          <w:lang w:val="et-EE"/>
        </w:rPr>
        <w:t>1.</w:t>
      </w:r>
    </w:p>
  </w:footnote>
  <w:footnote w:id="3">
    <w:p w:rsidR="00EF48F1" w:rsidRPr="00CB141C" w:rsidRDefault="00EF48F1" w:rsidP="00CB141C">
      <w:pPr>
        <w:pStyle w:val="FootnoteText"/>
        <w:ind w:left="567" w:hanging="567"/>
        <w:rPr>
          <w:sz w:val="24"/>
          <w:lang w:val="et-EE"/>
        </w:rPr>
      </w:pPr>
      <w:r w:rsidRPr="00CB141C">
        <w:rPr>
          <w:rStyle w:val="FootnoteReference"/>
          <w:sz w:val="24"/>
          <w:lang w:val="et-EE"/>
        </w:rPr>
        <w:footnoteRef/>
      </w:r>
      <w:r w:rsidR="00CB141C" w:rsidRPr="00CB141C">
        <w:rPr>
          <w:sz w:val="24"/>
          <w:lang w:val="et-EE"/>
        </w:rPr>
        <w:tab/>
      </w:r>
      <w:r w:rsidRPr="00CB141C">
        <w:rPr>
          <w:sz w:val="24"/>
          <w:lang w:val="et-EE"/>
        </w:rPr>
        <w:t>EÜT L 31, 1.2.2002, lk 1.</w:t>
      </w:r>
    </w:p>
  </w:footnote>
  <w:footnote w:id="4">
    <w:p w:rsidR="00EF48F1" w:rsidRPr="00CB141C" w:rsidRDefault="00EF48F1" w:rsidP="00CB141C">
      <w:pPr>
        <w:pStyle w:val="FootnoteText"/>
        <w:ind w:left="567" w:hanging="567"/>
        <w:rPr>
          <w:sz w:val="24"/>
          <w:lang w:val="et-EE"/>
        </w:rPr>
      </w:pPr>
      <w:r w:rsidRPr="00CB141C">
        <w:rPr>
          <w:rStyle w:val="FootnoteReference"/>
          <w:sz w:val="24"/>
          <w:lang w:val="et-EE"/>
        </w:rPr>
        <w:footnoteRef/>
      </w:r>
      <w:r w:rsidR="00CB141C" w:rsidRPr="00CB141C">
        <w:rPr>
          <w:sz w:val="24"/>
          <w:lang w:val="et-EE"/>
        </w:rPr>
        <w:tab/>
      </w:r>
      <w:r w:rsidRPr="00CB141C">
        <w:rPr>
          <w:sz w:val="24"/>
          <w:lang w:val="et-EE"/>
        </w:rPr>
        <w:t xml:space="preserve">„EFSA </w:t>
      </w:r>
      <w:proofErr w:type="spellStart"/>
      <w:r w:rsidRPr="00CB141C">
        <w:rPr>
          <w:sz w:val="24"/>
          <w:lang w:val="et-EE"/>
        </w:rPr>
        <w:t>reasoned</w:t>
      </w:r>
      <w:proofErr w:type="spellEnd"/>
      <w:r w:rsidRPr="00CB141C">
        <w:rPr>
          <w:sz w:val="24"/>
          <w:lang w:val="et-EE"/>
        </w:rPr>
        <w:t xml:space="preserve"> </w:t>
      </w:r>
      <w:proofErr w:type="spellStart"/>
      <w:r w:rsidRPr="00CB141C">
        <w:rPr>
          <w:sz w:val="24"/>
          <w:lang w:val="et-EE"/>
        </w:rPr>
        <w:t>opinion</w:t>
      </w:r>
      <w:proofErr w:type="spellEnd"/>
      <w:r w:rsidRPr="00CB141C">
        <w:rPr>
          <w:sz w:val="24"/>
          <w:lang w:val="et-EE"/>
        </w:rPr>
        <w:t xml:space="preserve"> on </w:t>
      </w:r>
      <w:proofErr w:type="spellStart"/>
      <w:r w:rsidRPr="00CB141C">
        <w:rPr>
          <w:sz w:val="24"/>
          <w:lang w:val="et-EE"/>
        </w:rPr>
        <w:t>the</w:t>
      </w:r>
      <w:proofErr w:type="spellEnd"/>
      <w:r w:rsidRPr="00CB141C">
        <w:rPr>
          <w:sz w:val="24"/>
          <w:lang w:val="et-EE"/>
        </w:rPr>
        <w:t xml:space="preserve"> </w:t>
      </w:r>
      <w:proofErr w:type="spellStart"/>
      <w:r w:rsidRPr="00CB141C">
        <w:rPr>
          <w:sz w:val="24"/>
          <w:lang w:val="et-EE"/>
        </w:rPr>
        <w:t>toxicological</w:t>
      </w:r>
      <w:proofErr w:type="spellEnd"/>
      <w:r w:rsidRPr="00CB141C">
        <w:rPr>
          <w:sz w:val="24"/>
          <w:lang w:val="et-EE"/>
        </w:rPr>
        <w:t xml:space="preserve"> </w:t>
      </w:r>
      <w:proofErr w:type="spellStart"/>
      <w:r w:rsidRPr="00CB141C">
        <w:rPr>
          <w:sz w:val="24"/>
          <w:lang w:val="et-EE"/>
        </w:rPr>
        <w:t>properties</w:t>
      </w:r>
      <w:proofErr w:type="spellEnd"/>
      <w:r w:rsidRPr="00CB141C">
        <w:rPr>
          <w:sz w:val="24"/>
          <w:lang w:val="et-EE"/>
        </w:rPr>
        <w:t xml:space="preserve"> and </w:t>
      </w:r>
      <w:proofErr w:type="spellStart"/>
      <w:r w:rsidRPr="00CB141C">
        <w:rPr>
          <w:sz w:val="24"/>
          <w:lang w:val="et-EE"/>
        </w:rPr>
        <w:t>maximum</w:t>
      </w:r>
      <w:proofErr w:type="spellEnd"/>
      <w:r w:rsidRPr="00CB141C">
        <w:rPr>
          <w:sz w:val="24"/>
          <w:lang w:val="et-EE"/>
        </w:rPr>
        <w:t xml:space="preserve"> </w:t>
      </w:r>
      <w:proofErr w:type="spellStart"/>
      <w:r w:rsidRPr="00CB141C">
        <w:rPr>
          <w:sz w:val="24"/>
          <w:lang w:val="et-EE"/>
        </w:rPr>
        <w:t>residue</w:t>
      </w:r>
      <w:proofErr w:type="spellEnd"/>
      <w:r w:rsidRPr="00CB141C">
        <w:rPr>
          <w:sz w:val="24"/>
          <w:lang w:val="et-EE"/>
        </w:rPr>
        <w:t xml:space="preserve"> </w:t>
      </w:r>
      <w:proofErr w:type="spellStart"/>
      <w:r w:rsidRPr="00CB141C">
        <w:rPr>
          <w:sz w:val="24"/>
          <w:lang w:val="et-EE"/>
        </w:rPr>
        <w:t>levels</w:t>
      </w:r>
      <w:proofErr w:type="spellEnd"/>
      <w:r w:rsidRPr="00CB141C">
        <w:rPr>
          <w:sz w:val="24"/>
          <w:lang w:val="et-EE"/>
        </w:rPr>
        <w:t xml:space="preserve"> (</w:t>
      </w:r>
      <w:proofErr w:type="spellStart"/>
      <w:r w:rsidRPr="00CB141C">
        <w:rPr>
          <w:sz w:val="24"/>
          <w:lang w:val="et-EE"/>
        </w:rPr>
        <w:t>MRLs</w:t>
      </w:r>
      <w:proofErr w:type="spellEnd"/>
      <w:r w:rsidRPr="00CB141C">
        <w:rPr>
          <w:sz w:val="24"/>
          <w:lang w:val="et-EE"/>
        </w:rPr>
        <w:t xml:space="preserve">) </w:t>
      </w:r>
      <w:proofErr w:type="spellStart"/>
      <w:r w:rsidRPr="00CB141C">
        <w:rPr>
          <w:sz w:val="24"/>
          <w:lang w:val="et-EE"/>
        </w:rPr>
        <w:t>for</w:t>
      </w:r>
      <w:proofErr w:type="spellEnd"/>
      <w:r w:rsidRPr="00CB141C">
        <w:rPr>
          <w:sz w:val="24"/>
          <w:lang w:val="et-EE"/>
        </w:rPr>
        <w:t xml:space="preserve"> </w:t>
      </w:r>
      <w:proofErr w:type="spellStart"/>
      <w:r w:rsidRPr="00CB141C">
        <w:rPr>
          <w:sz w:val="24"/>
          <w:lang w:val="et-EE"/>
        </w:rPr>
        <w:t>the</w:t>
      </w:r>
      <w:proofErr w:type="spellEnd"/>
      <w:r w:rsidRPr="00CB141C">
        <w:rPr>
          <w:sz w:val="24"/>
          <w:lang w:val="et-EE"/>
        </w:rPr>
        <w:t xml:space="preserve"> </w:t>
      </w:r>
      <w:proofErr w:type="spellStart"/>
      <w:r w:rsidRPr="00CB141C">
        <w:rPr>
          <w:sz w:val="24"/>
          <w:lang w:val="et-EE"/>
        </w:rPr>
        <w:t>benzimidazole</w:t>
      </w:r>
      <w:proofErr w:type="spellEnd"/>
      <w:r w:rsidRPr="00CB141C">
        <w:rPr>
          <w:sz w:val="24"/>
          <w:lang w:val="et-EE"/>
        </w:rPr>
        <w:t xml:space="preserve"> </w:t>
      </w:r>
      <w:proofErr w:type="spellStart"/>
      <w:r w:rsidRPr="00CB141C">
        <w:rPr>
          <w:sz w:val="24"/>
          <w:lang w:val="et-EE"/>
        </w:rPr>
        <w:t>substances</w:t>
      </w:r>
      <w:proofErr w:type="spellEnd"/>
      <w:r w:rsidRPr="00CB141C">
        <w:rPr>
          <w:sz w:val="24"/>
          <w:lang w:val="et-EE"/>
        </w:rPr>
        <w:t xml:space="preserve"> </w:t>
      </w:r>
      <w:proofErr w:type="spellStart"/>
      <w:r w:rsidRPr="00CB141C">
        <w:rPr>
          <w:sz w:val="24"/>
          <w:lang w:val="et-EE"/>
        </w:rPr>
        <w:t>carbendazim</w:t>
      </w:r>
      <w:proofErr w:type="spellEnd"/>
      <w:r w:rsidRPr="00CB141C">
        <w:rPr>
          <w:sz w:val="24"/>
          <w:lang w:val="et-EE"/>
        </w:rPr>
        <w:t xml:space="preserve"> and </w:t>
      </w:r>
      <w:proofErr w:type="spellStart"/>
      <w:r w:rsidRPr="00CB141C">
        <w:rPr>
          <w:sz w:val="24"/>
          <w:lang w:val="et-EE"/>
        </w:rPr>
        <w:t>thiophanate-methyl</w:t>
      </w:r>
      <w:proofErr w:type="spellEnd"/>
      <w:r w:rsidRPr="00CB141C">
        <w:rPr>
          <w:sz w:val="24"/>
          <w:lang w:val="et-EE"/>
        </w:rPr>
        <w:t xml:space="preserve">“ (EFSA põhjendatud arvamus </w:t>
      </w:r>
      <w:proofErr w:type="spellStart"/>
      <w:r w:rsidRPr="00CB141C">
        <w:rPr>
          <w:sz w:val="24"/>
          <w:lang w:val="et-EE"/>
        </w:rPr>
        <w:t>bensimidasoolide</w:t>
      </w:r>
      <w:proofErr w:type="spellEnd"/>
      <w:r w:rsidRPr="00CB141C">
        <w:rPr>
          <w:sz w:val="24"/>
          <w:lang w:val="et-EE"/>
        </w:rPr>
        <w:t xml:space="preserve"> </w:t>
      </w:r>
      <w:proofErr w:type="spellStart"/>
      <w:r w:rsidRPr="00CB141C">
        <w:rPr>
          <w:sz w:val="24"/>
          <w:lang w:val="et-EE"/>
        </w:rPr>
        <w:t>karbendasiimi</w:t>
      </w:r>
      <w:proofErr w:type="spellEnd"/>
      <w:r w:rsidRPr="00CB141C">
        <w:rPr>
          <w:sz w:val="24"/>
          <w:lang w:val="et-EE"/>
        </w:rPr>
        <w:t xml:space="preserve"> ja </w:t>
      </w:r>
      <w:proofErr w:type="spellStart"/>
      <w:r w:rsidRPr="00CB141C">
        <w:rPr>
          <w:sz w:val="24"/>
          <w:lang w:val="et-EE"/>
        </w:rPr>
        <w:t>metüültiofanaadi</w:t>
      </w:r>
      <w:proofErr w:type="spellEnd"/>
      <w:r w:rsidRPr="00CB141C">
        <w:rPr>
          <w:sz w:val="24"/>
          <w:lang w:val="et-EE"/>
        </w:rPr>
        <w:t xml:space="preserve"> toksikoloogiliste omaduste ja jääkide piirnormide kohta), </w:t>
      </w:r>
      <w:bookmarkStart w:id="7" w:name="_Hlk168311905"/>
      <w:r w:rsidRPr="00CB141C">
        <w:rPr>
          <w:sz w:val="24"/>
          <w:lang w:val="et-EE"/>
        </w:rPr>
        <w:t xml:space="preserve">EFSA </w:t>
      </w:r>
      <w:proofErr w:type="spellStart"/>
      <w:r w:rsidRPr="00CB141C">
        <w:rPr>
          <w:sz w:val="24"/>
          <w:lang w:val="et-EE"/>
        </w:rPr>
        <w:t>Journal</w:t>
      </w:r>
      <w:proofErr w:type="spellEnd"/>
      <w:r w:rsidRPr="00CB141C">
        <w:rPr>
          <w:sz w:val="24"/>
          <w:lang w:val="et-EE"/>
        </w:rPr>
        <w:t xml:space="preserve"> 2021;19(8):e06773</w:t>
      </w:r>
      <w:bookmarkEnd w:id="7"/>
      <w:r w:rsidRPr="00CB141C">
        <w:rPr>
          <w:sz w:val="24"/>
          <w:lang w:val="et-EE"/>
        </w:rPr>
        <w:t xml:space="preserve">, </w:t>
      </w:r>
      <w:r w:rsidR="00430666">
        <w:fldChar w:fldCharType="begin"/>
      </w:r>
      <w:r w:rsidR="00430666" w:rsidRPr="00383692">
        <w:rPr>
          <w:lang w:val="et-EE"/>
        </w:rPr>
        <w:instrText xml:space="preserve"> HYPERLINK "https://doi.org/10.2903/j.efsa.2021.6773" </w:instrText>
      </w:r>
      <w:r w:rsidR="00430666">
        <w:fldChar w:fldCharType="separate"/>
      </w:r>
      <w:r w:rsidRPr="00CB141C">
        <w:rPr>
          <w:rStyle w:val="Hyperlink"/>
          <w:sz w:val="24"/>
          <w:lang w:val="et-EE"/>
        </w:rPr>
        <w:t>https://doi.org/10.2903/j.efsa.2021.6773</w:t>
      </w:r>
      <w:r w:rsidR="00430666">
        <w:rPr>
          <w:rStyle w:val="Hyperlink"/>
          <w:sz w:val="24"/>
          <w:lang w:val="et-EE"/>
        </w:rPr>
        <w:fldChar w:fldCharType="end"/>
      </w:r>
      <w:r w:rsidR="00595C2D">
        <w:rPr>
          <w:sz w:val="24"/>
          <w:lang w:val="et-EE"/>
        </w:rPr>
        <w:t>.</w:t>
      </w:r>
    </w:p>
  </w:footnote>
  <w:footnote w:id="5">
    <w:p w:rsidR="00EF48F1" w:rsidRPr="00CB141C" w:rsidRDefault="00EF48F1" w:rsidP="00CB141C">
      <w:pPr>
        <w:pStyle w:val="FootnoteText"/>
        <w:ind w:left="567" w:hanging="567"/>
        <w:rPr>
          <w:sz w:val="24"/>
          <w:lang w:val="et-EE"/>
        </w:rPr>
      </w:pPr>
      <w:r w:rsidRPr="00CB141C">
        <w:rPr>
          <w:rStyle w:val="FootnoteReference"/>
          <w:sz w:val="24"/>
          <w:lang w:val="et-EE"/>
        </w:rPr>
        <w:footnoteRef/>
      </w:r>
      <w:r w:rsidR="00CB141C" w:rsidRPr="00CB141C">
        <w:rPr>
          <w:sz w:val="24"/>
          <w:lang w:val="et-EE"/>
        </w:rPr>
        <w:tab/>
      </w:r>
      <w:r w:rsidRPr="00CB141C">
        <w:rPr>
          <w:sz w:val="24"/>
          <w:lang w:val="et-EE"/>
        </w:rPr>
        <w:t xml:space="preserve">„EFSA </w:t>
      </w:r>
      <w:proofErr w:type="spellStart"/>
      <w:r w:rsidRPr="00CB141C">
        <w:rPr>
          <w:sz w:val="24"/>
          <w:lang w:val="et-EE"/>
        </w:rPr>
        <w:t>updated</w:t>
      </w:r>
      <w:proofErr w:type="spellEnd"/>
      <w:r w:rsidRPr="00CB141C">
        <w:rPr>
          <w:sz w:val="24"/>
          <w:lang w:val="et-EE"/>
        </w:rPr>
        <w:t xml:space="preserve"> </w:t>
      </w:r>
      <w:proofErr w:type="spellStart"/>
      <w:r w:rsidRPr="00CB141C">
        <w:rPr>
          <w:sz w:val="24"/>
          <w:lang w:val="et-EE"/>
        </w:rPr>
        <w:t>reasoned</w:t>
      </w:r>
      <w:proofErr w:type="spellEnd"/>
      <w:r w:rsidRPr="00CB141C">
        <w:rPr>
          <w:sz w:val="24"/>
          <w:lang w:val="et-EE"/>
        </w:rPr>
        <w:t xml:space="preserve"> </w:t>
      </w:r>
      <w:proofErr w:type="spellStart"/>
      <w:r w:rsidRPr="00CB141C">
        <w:rPr>
          <w:sz w:val="24"/>
          <w:lang w:val="et-EE"/>
        </w:rPr>
        <w:t>opinion</w:t>
      </w:r>
      <w:proofErr w:type="spellEnd"/>
      <w:r w:rsidRPr="00CB141C">
        <w:rPr>
          <w:sz w:val="24"/>
          <w:lang w:val="et-EE"/>
        </w:rPr>
        <w:t xml:space="preserve"> on </w:t>
      </w:r>
      <w:proofErr w:type="spellStart"/>
      <w:r w:rsidRPr="00CB141C">
        <w:rPr>
          <w:sz w:val="24"/>
          <w:lang w:val="et-EE"/>
        </w:rPr>
        <w:t>the</w:t>
      </w:r>
      <w:proofErr w:type="spellEnd"/>
      <w:r w:rsidRPr="00CB141C">
        <w:rPr>
          <w:sz w:val="24"/>
          <w:lang w:val="et-EE"/>
        </w:rPr>
        <w:t xml:space="preserve"> </w:t>
      </w:r>
      <w:proofErr w:type="spellStart"/>
      <w:r w:rsidRPr="00CB141C">
        <w:rPr>
          <w:sz w:val="24"/>
          <w:lang w:val="et-EE"/>
        </w:rPr>
        <w:t>toxicological</w:t>
      </w:r>
      <w:proofErr w:type="spellEnd"/>
      <w:r w:rsidRPr="00CB141C">
        <w:rPr>
          <w:sz w:val="24"/>
          <w:lang w:val="et-EE"/>
        </w:rPr>
        <w:t xml:space="preserve"> </w:t>
      </w:r>
      <w:proofErr w:type="spellStart"/>
      <w:r w:rsidRPr="00CB141C">
        <w:rPr>
          <w:sz w:val="24"/>
          <w:lang w:val="et-EE"/>
        </w:rPr>
        <w:t>properties</w:t>
      </w:r>
      <w:proofErr w:type="spellEnd"/>
      <w:r w:rsidRPr="00CB141C">
        <w:rPr>
          <w:sz w:val="24"/>
          <w:lang w:val="et-EE"/>
        </w:rPr>
        <w:t xml:space="preserve"> and </w:t>
      </w:r>
      <w:proofErr w:type="spellStart"/>
      <w:r w:rsidRPr="00CB141C">
        <w:rPr>
          <w:sz w:val="24"/>
          <w:lang w:val="et-EE"/>
        </w:rPr>
        <w:t>maximum</w:t>
      </w:r>
      <w:proofErr w:type="spellEnd"/>
      <w:r w:rsidRPr="00CB141C">
        <w:rPr>
          <w:sz w:val="24"/>
          <w:lang w:val="et-EE"/>
        </w:rPr>
        <w:t xml:space="preserve"> </w:t>
      </w:r>
      <w:proofErr w:type="spellStart"/>
      <w:r w:rsidRPr="00CB141C">
        <w:rPr>
          <w:sz w:val="24"/>
          <w:lang w:val="et-EE"/>
        </w:rPr>
        <w:t>residue</w:t>
      </w:r>
      <w:proofErr w:type="spellEnd"/>
      <w:r w:rsidRPr="00CB141C">
        <w:rPr>
          <w:sz w:val="24"/>
          <w:lang w:val="et-EE"/>
        </w:rPr>
        <w:t xml:space="preserve"> </w:t>
      </w:r>
      <w:proofErr w:type="spellStart"/>
      <w:r w:rsidRPr="00CB141C">
        <w:rPr>
          <w:sz w:val="24"/>
          <w:lang w:val="et-EE"/>
        </w:rPr>
        <w:t>levels</w:t>
      </w:r>
      <w:proofErr w:type="spellEnd"/>
      <w:r w:rsidRPr="00CB141C">
        <w:rPr>
          <w:sz w:val="24"/>
          <w:lang w:val="et-EE"/>
        </w:rPr>
        <w:t xml:space="preserve"> (</w:t>
      </w:r>
      <w:proofErr w:type="spellStart"/>
      <w:r w:rsidRPr="00CB141C">
        <w:rPr>
          <w:sz w:val="24"/>
          <w:lang w:val="et-EE"/>
        </w:rPr>
        <w:t>MRLs</w:t>
      </w:r>
      <w:proofErr w:type="spellEnd"/>
      <w:r w:rsidRPr="00CB141C">
        <w:rPr>
          <w:sz w:val="24"/>
          <w:lang w:val="et-EE"/>
        </w:rPr>
        <w:t xml:space="preserve">) </w:t>
      </w:r>
      <w:proofErr w:type="spellStart"/>
      <w:r w:rsidRPr="00CB141C">
        <w:rPr>
          <w:sz w:val="24"/>
          <w:lang w:val="et-EE"/>
        </w:rPr>
        <w:t>for</w:t>
      </w:r>
      <w:proofErr w:type="spellEnd"/>
      <w:r w:rsidRPr="00CB141C">
        <w:rPr>
          <w:sz w:val="24"/>
          <w:lang w:val="et-EE"/>
        </w:rPr>
        <w:t xml:space="preserve"> </w:t>
      </w:r>
      <w:proofErr w:type="spellStart"/>
      <w:r w:rsidRPr="00CB141C">
        <w:rPr>
          <w:sz w:val="24"/>
          <w:lang w:val="et-EE"/>
        </w:rPr>
        <w:t>the</w:t>
      </w:r>
      <w:proofErr w:type="spellEnd"/>
      <w:r w:rsidRPr="00CB141C">
        <w:rPr>
          <w:sz w:val="24"/>
          <w:lang w:val="et-EE"/>
        </w:rPr>
        <w:t xml:space="preserve"> </w:t>
      </w:r>
      <w:proofErr w:type="spellStart"/>
      <w:r w:rsidRPr="00CB141C">
        <w:rPr>
          <w:sz w:val="24"/>
          <w:lang w:val="et-EE"/>
        </w:rPr>
        <w:t>benzimidazole</w:t>
      </w:r>
      <w:proofErr w:type="spellEnd"/>
      <w:r w:rsidRPr="00CB141C">
        <w:rPr>
          <w:sz w:val="24"/>
          <w:lang w:val="et-EE"/>
        </w:rPr>
        <w:t xml:space="preserve"> </w:t>
      </w:r>
      <w:proofErr w:type="spellStart"/>
      <w:r w:rsidRPr="00CB141C">
        <w:rPr>
          <w:sz w:val="24"/>
          <w:lang w:val="et-EE"/>
        </w:rPr>
        <w:t>substances</w:t>
      </w:r>
      <w:proofErr w:type="spellEnd"/>
      <w:r w:rsidRPr="00CB141C">
        <w:rPr>
          <w:sz w:val="24"/>
          <w:lang w:val="et-EE"/>
        </w:rPr>
        <w:t xml:space="preserve"> </w:t>
      </w:r>
      <w:proofErr w:type="spellStart"/>
      <w:r w:rsidRPr="00CB141C">
        <w:rPr>
          <w:sz w:val="24"/>
          <w:lang w:val="et-EE"/>
        </w:rPr>
        <w:t>carbendazim</w:t>
      </w:r>
      <w:proofErr w:type="spellEnd"/>
      <w:r w:rsidRPr="00CB141C">
        <w:rPr>
          <w:sz w:val="24"/>
          <w:lang w:val="et-EE"/>
        </w:rPr>
        <w:t xml:space="preserve"> and </w:t>
      </w:r>
      <w:proofErr w:type="spellStart"/>
      <w:r w:rsidRPr="00CB141C">
        <w:rPr>
          <w:sz w:val="24"/>
          <w:lang w:val="et-EE"/>
        </w:rPr>
        <w:t>thiophanate-methyl</w:t>
      </w:r>
      <w:proofErr w:type="spellEnd"/>
      <w:r w:rsidRPr="00CB141C">
        <w:rPr>
          <w:sz w:val="24"/>
          <w:lang w:val="et-EE"/>
        </w:rPr>
        <w:t xml:space="preserve">“ (EFSA ajakohastatud põhjendatud arvamus </w:t>
      </w:r>
      <w:proofErr w:type="spellStart"/>
      <w:r w:rsidRPr="00CB141C">
        <w:rPr>
          <w:sz w:val="24"/>
          <w:lang w:val="et-EE"/>
        </w:rPr>
        <w:t>bensimidasoolide</w:t>
      </w:r>
      <w:proofErr w:type="spellEnd"/>
      <w:r w:rsidRPr="00CB141C">
        <w:rPr>
          <w:sz w:val="24"/>
          <w:lang w:val="et-EE"/>
        </w:rPr>
        <w:t xml:space="preserve"> </w:t>
      </w:r>
      <w:proofErr w:type="spellStart"/>
      <w:r w:rsidRPr="00CB141C">
        <w:rPr>
          <w:sz w:val="24"/>
          <w:lang w:val="et-EE"/>
        </w:rPr>
        <w:t>karbendasiimi</w:t>
      </w:r>
      <w:proofErr w:type="spellEnd"/>
      <w:r w:rsidRPr="00CB141C">
        <w:rPr>
          <w:sz w:val="24"/>
          <w:lang w:val="et-EE"/>
        </w:rPr>
        <w:t xml:space="preserve"> ja </w:t>
      </w:r>
      <w:proofErr w:type="spellStart"/>
      <w:r w:rsidRPr="00CB141C">
        <w:rPr>
          <w:sz w:val="24"/>
          <w:lang w:val="et-EE"/>
        </w:rPr>
        <w:t>metüültiofanaadi</w:t>
      </w:r>
      <w:proofErr w:type="spellEnd"/>
      <w:r w:rsidRPr="00CB141C">
        <w:rPr>
          <w:sz w:val="24"/>
          <w:lang w:val="et-EE"/>
        </w:rPr>
        <w:t xml:space="preserve"> toksikoloogiliste omaduste ja jääkide piirnormide kohta), EFSA </w:t>
      </w:r>
      <w:proofErr w:type="spellStart"/>
      <w:r w:rsidRPr="00CB141C">
        <w:rPr>
          <w:sz w:val="24"/>
          <w:lang w:val="et-EE"/>
        </w:rPr>
        <w:t>Journal</w:t>
      </w:r>
      <w:proofErr w:type="spellEnd"/>
      <w:r w:rsidRPr="00CB141C">
        <w:rPr>
          <w:sz w:val="24"/>
          <w:lang w:val="et-EE"/>
        </w:rPr>
        <w:t xml:space="preserve"> 2024;22(2):e8569, </w:t>
      </w:r>
      <w:r w:rsidR="00430666">
        <w:fldChar w:fldCharType="begin"/>
      </w:r>
      <w:r w:rsidR="00430666" w:rsidRPr="00383692">
        <w:rPr>
          <w:lang w:val="et-EE"/>
        </w:rPr>
        <w:instrText xml:space="preserve"> HYPERLINK "https://doi.org/10.2903/j.efsa.2024.8569"</w:instrText>
      </w:r>
      <w:r w:rsidR="00430666" w:rsidRPr="00383692">
        <w:rPr>
          <w:lang w:val="et-EE"/>
        </w:rPr>
        <w:instrText xml:space="preserve"> </w:instrText>
      </w:r>
      <w:r w:rsidR="00430666">
        <w:fldChar w:fldCharType="separate"/>
      </w:r>
      <w:r w:rsidRPr="00CB141C">
        <w:rPr>
          <w:rStyle w:val="Hyperlink"/>
          <w:sz w:val="24"/>
          <w:lang w:val="et-EE"/>
        </w:rPr>
        <w:t>https://doi.org/10.2903/j.efsa.2024.8569</w:t>
      </w:r>
      <w:r w:rsidR="00430666">
        <w:rPr>
          <w:rStyle w:val="Hyperlink"/>
          <w:sz w:val="24"/>
          <w:lang w:val="et-EE"/>
        </w:rPr>
        <w:fldChar w:fldCharType="end"/>
      </w:r>
      <w:r w:rsidR="00595C2D">
        <w:rPr>
          <w:sz w:val="24"/>
          <w:lang w:val="et-EE"/>
        </w:rPr>
        <w:t>.</w:t>
      </w:r>
    </w:p>
  </w:footnote>
  <w:footnote w:id="6">
    <w:p w:rsidR="00EF48F1" w:rsidRPr="00CB141C" w:rsidRDefault="00EF48F1" w:rsidP="00CB141C">
      <w:pPr>
        <w:pStyle w:val="FootnoteText"/>
        <w:ind w:left="567" w:hanging="567"/>
        <w:rPr>
          <w:sz w:val="24"/>
          <w:lang w:val="et-EE"/>
        </w:rPr>
      </w:pPr>
      <w:r w:rsidRPr="00CB141C">
        <w:rPr>
          <w:rStyle w:val="FootnoteReference"/>
          <w:sz w:val="24"/>
          <w:lang w:val="et-EE"/>
        </w:rPr>
        <w:footnoteRef/>
      </w:r>
      <w:r w:rsidR="00CB141C" w:rsidRPr="00CB141C">
        <w:rPr>
          <w:sz w:val="24"/>
          <w:lang w:val="et-EE"/>
        </w:rPr>
        <w:tab/>
      </w:r>
      <w:r w:rsidRPr="00CB141C">
        <w:rPr>
          <w:sz w:val="24"/>
          <w:lang w:val="et-EE"/>
        </w:rPr>
        <w:t xml:space="preserve">„EFSA </w:t>
      </w:r>
      <w:proofErr w:type="spellStart"/>
      <w:r w:rsidRPr="00CB141C">
        <w:rPr>
          <w:sz w:val="24"/>
          <w:lang w:val="et-EE"/>
        </w:rPr>
        <w:t>conclusion</w:t>
      </w:r>
      <w:proofErr w:type="spellEnd"/>
      <w:r w:rsidRPr="00CB141C">
        <w:rPr>
          <w:sz w:val="24"/>
          <w:lang w:val="et-EE"/>
        </w:rPr>
        <w:t xml:space="preserve"> on </w:t>
      </w:r>
      <w:proofErr w:type="spellStart"/>
      <w:r w:rsidRPr="00CB141C">
        <w:rPr>
          <w:sz w:val="24"/>
          <w:lang w:val="et-EE"/>
        </w:rPr>
        <w:t>the</w:t>
      </w:r>
      <w:proofErr w:type="spellEnd"/>
      <w:r w:rsidRPr="00CB141C">
        <w:rPr>
          <w:sz w:val="24"/>
          <w:lang w:val="et-EE"/>
        </w:rPr>
        <w:t xml:space="preserve"> peer </w:t>
      </w:r>
      <w:proofErr w:type="spellStart"/>
      <w:r w:rsidRPr="00CB141C">
        <w:rPr>
          <w:sz w:val="24"/>
          <w:lang w:val="et-EE"/>
        </w:rPr>
        <w:t>review</w:t>
      </w:r>
      <w:proofErr w:type="spellEnd"/>
      <w:r w:rsidRPr="00CB141C">
        <w:rPr>
          <w:sz w:val="24"/>
          <w:lang w:val="et-EE"/>
        </w:rPr>
        <w:t xml:space="preserve"> of </w:t>
      </w:r>
      <w:proofErr w:type="spellStart"/>
      <w:r w:rsidRPr="00CB141C">
        <w:rPr>
          <w:sz w:val="24"/>
          <w:lang w:val="et-EE"/>
        </w:rPr>
        <w:t>the</w:t>
      </w:r>
      <w:proofErr w:type="spellEnd"/>
      <w:r w:rsidRPr="00CB141C">
        <w:rPr>
          <w:sz w:val="24"/>
          <w:lang w:val="et-EE"/>
        </w:rPr>
        <w:t xml:space="preserve"> </w:t>
      </w:r>
      <w:proofErr w:type="spellStart"/>
      <w:r w:rsidRPr="00CB141C">
        <w:rPr>
          <w:sz w:val="24"/>
          <w:lang w:val="et-EE"/>
        </w:rPr>
        <w:t>pesticide</w:t>
      </w:r>
      <w:proofErr w:type="spellEnd"/>
      <w:r w:rsidRPr="00CB141C">
        <w:rPr>
          <w:sz w:val="24"/>
          <w:lang w:val="et-EE"/>
        </w:rPr>
        <w:t xml:space="preserve"> risk </w:t>
      </w:r>
      <w:proofErr w:type="spellStart"/>
      <w:r w:rsidRPr="00CB141C">
        <w:rPr>
          <w:sz w:val="24"/>
          <w:lang w:val="et-EE"/>
        </w:rPr>
        <w:t>assessment</w:t>
      </w:r>
      <w:proofErr w:type="spellEnd"/>
      <w:r w:rsidRPr="00CB141C">
        <w:rPr>
          <w:sz w:val="24"/>
          <w:lang w:val="et-EE"/>
        </w:rPr>
        <w:t xml:space="preserve"> of </w:t>
      </w:r>
      <w:proofErr w:type="spellStart"/>
      <w:r w:rsidRPr="00CB141C">
        <w:rPr>
          <w:sz w:val="24"/>
          <w:lang w:val="et-EE"/>
        </w:rPr>
        <w:t>the</w:t>
      </w:r>
      <w:proofErr w:type="spellEnd"/>
      <w:r w:rsidRPr="00CB141C">
        <w:rPr>
          <w:sz w:val="24"/>
          <w:lang w:val="et-EE"/>
        </w:rPr>
        <w:t xml:space="preserve"> </w:t>
      </w:r>
      <w:proofErr w:type="spellStart"/>
      <w:r w:rsidRPr="00CB141C">
        <w:rPr>
          <w:sz w:val="24"/>
          <w:lang w:val="et-EE"/>
        </w:rPr>
        <w:t>active</w:t>
      </w:r>
      <w:proofErr w:type="spellEnd"/>
      <w:r w:rsidRPr="00CB141C">
        <w:rPr>
          <w:sz w:val="24"/>
          <w:lang w:val="et-EE"/>
        </w:rPr>
        <w:t xml:space="preserve"> </w:t>
      </w:r>
      <w:proofErr w:type="spellStart"/>
      <w:r w:rsidRPr="00CB141C">
        <w:rPr>
          <w:sz w:val="24"/>
          <w:lang w:val="et-EE"/>
        </w:rPr>
        <w:t>substance</w:t>
      </w:r>
      <w:proofErr w:type="spellEnd"/>
      <w:r w:rsidRPr="00CB141C">
        <w:rPr>
          <w:sz w:val="24"/>
          <w:lang w:val="et-EE"/>
        </w:rPr>
        <w:t xml:space="preserve"> </w:t>
      </w:r>
      <w:proofErr w:type="spellStart"/>
      <w:r w:rsidRPr="00CB141C">
        <w:rPr>
          <w:sz w:val="24"/>
          <w:lang w:val="et-EE"/>
        </w:rPr>
        <w:t>carbendazim</w:t>
      </w:r>
      <w:proofErr w:type="spellEnd"/>
      <w:r w:rsidRPr="00CB141C">
        <w:rPr>
          <w:sz w:val="24"/>
          <w:lang w:val="et-EE"/>
        </w:rPr>
        <w:t xml:space="preserve">“ (EFSA järeldused toimeaine </w:t>
      </w:r>
      <w:proofErr w:type="spellStart"/>
      <w:r w:rsidRPr="00CB141C">
        <w:rPr>
          <w:sz w:val="24"/>
          <w:lang w:val="et-EE"/>
        </w:rPr>
        <w:t>karbendasiimi</w:t>
      </w:r>
      <w:proofErr w:type="spellEnd"/>
      <w:r w:rsidRPr="00CB141C">
        <w:rPr>
          <w:sz w:val="24"/>
          <w:lang w:val="et-EE"/>
        </w:rPr>
        <w:t xml:space="preserve"> pestitsiidina kasutamise riskihindamist käsitleva vastastikuse eksperdiarvamuse kohta), EFSA </w:t>
      </w:r>
      <w:proofErr w:type="spellStart"/>
      <w:r w:rsidRPr="00CB141C">
        <w:rPr>
          <w:sz w:val="24"/>
          <w:lang w:val="et-EE"/>
        </w:rPr>
        <w:t>Journal</w:t>
      </w:r>
      <w:proofErr w:type="spellEnd"/>
      <w:r w:rsidRPr="00CB141C">
        <w:rPr>
          <w:sz w:val="24"/>
          <w:lang w:val="et-EE"/>
        </w:rPr>
        <w:t xml:space="preserve"> 2010;8(5):1598, </w:t>
      </w:r>
      <w:r w:rsidR="00430666">
        <w:fldChar w:fldCharType="begin"/>
      </w:r>
      <w:r w:rsidR="00430666" w:rsidRPr="00383692">
        <w:rPr>
          <w:lang w:val="et-EE"/>
        </w:rPr>
        <w:instrText xml:space="preserve"> HYPERLINK "https://doi.org/10.2903/j.efsa.2010.1598" </w:instrText>
      </w:r>
      <w:r w:rsidR="00430666">
        <w:fldChar w:fldCharType="separate"/>
      </w:r>
      <w:r w:rsidRPr="00CB141C">
        <w:rPr>
          <w:rStyle w:val="Hyperlink"/>
          <w:sz w:val="24"/>
          <w:lang w:val="et-EE"/>
        </w:rPr>
        <w:t>https://doi.org/10.2903/j.efsa.2010.1598</w:t>
      </w:r>
      <w:r w:rsidR="00430666">
        <w:rPr>
          <w:rStyle w:val="Hyperlink"/>
          <w:sz w:val="24"/>
          <w:lang w:val="et-EE"/>
        </w:rPr>
        <w:fldChar w:fldCharType="end"/>
      </w:r>
      <w:r w:rsidR="00595C2D">
        <w:rPr>
          <w:sz w:val="24"/>
          <w:lang w:val="et-EE"/>
        </w:rPr>
        <w:t>.</w:t>
      </w:r>
    </w:p>
  </w:footnote>
  <w:footnote w:id="7">
    <w:p w:rsidR="00EF48F1" w:rsidRPr="00CB141C" w:rsidRDefault="00EF48F1" w:rsidP="00CB141C">
      <w:pPr>
        <w:pStyle w:val="FootnoteText"/>
        <w:ind w:left="567" w:hanging="567"/>
        <w:rPr>
          <w:sz w:val="24"/>
          <w:lang w:val="et-EE"/>
        </w:rPr>
      </w:pPr>
      <w:r w:rsidRPr="00CB141C">
        <w:rPr>
          <w:rStyle w:val="FootnoteReference"/>
          <w:sz w:val="24"/>
          <w:lang w:val="et-EE"/>
        </w:rPr>
        <w:footnoteRef/>
      </w:r>
      <w:r w:rsidR="00CB141C" w:rsidRPr="00CB141C">
        <w:rPr>
          <w:sz w:val="24"/>
          <w:lang w:val="et-EE"/>
        </w:rPr>
        <w:tab/>
      </w:r>
      <w:r w:rsidRPr="00CB141C">
        <w:rPr>
          <w:sz w:val="24"/>
          <w:lang w:val="et-EE"/>
        </w:rPr>
        <w:t xml:space="preserve">„EFSA </w:t>
      </w:r>
      <w:proofErr w:type="spellStart"/>
      <w:r w:rsidRPr="00CB141C">
        <w:rPr>
          <w:sz w:val="24"/>
          <w:lang w:val="et-EE"/>
        </w:rPr>
        <w:t>conclusion</w:t>
      </w:r>
      <w:proofErr w:type="spellEnd"/>
      <w:r w:rsidRPr="00CB141C">
        <w:rPr>
          <w:sz w:val="24"/>
          <w:lang w:val="et-EE"/>
        </w:rPr>
        <w:t xml:space="preserve"> on </w:t>
      </w:r>
      <w:proofErr w:type="spellStart"/>
      <w:r w:rsidRPr="00CB141C">
        <w:rPr>
          <w:sz w:val="24"/>
          <w:lang w:val="et-EE"/>
        </w:rPr>
        <w:t>the</w:t>
      </w:r>
      <w:proofErr w:type="spellEnd"/>
      <w:r w:rsidRPr="00CB141C">
        <w:rPr>
          <w:sz w:val="24"/>
          <w:lang w:val="et-EE"/>
        </w:rPr>
        <w:t xml:space="preserve"> peer </w:t>
      </w:r>
      <w:proofErr w:type="spellStart"/>
      <w:r w:rsidRPr="00CB141C">
        <w:rPr>
          <w:sz w:val="24"/>
          <w:lang w:val="et-EE"/>
        </w:rPr>
        <w:t>review</w:t>
      </w:r>
      <w:proofErr w:type="spellEnd"/>
      <w:r w:rsidRPr="00CB141C">
        <w:rPr>
          <w:sz w:val="24"/>
          <w:lang w:val="et-EE"/>
        </w:rPr>
        <w:t xml:space="preserve"> of </w:t>
      </w:r>
      <w:proofErr w:type="spellStart"/>
      <w:r w:rsidRPr="00CB141C">
        <w:rPr>
          <w:sz w:val="24"/>
          <w:lang w:val="et-EE"/>
        </w:rPr>
        <w:t>the</w:t>
      </w:r>
      <w:proofErr w:type="spellEnd"/>
      <w:r w:rsidRPr="00CB141C">
        <w:rPr>
          <w:sz w:val="24"/>
          <w:lang w:val="et-EE"/>
        </w:rPr>
        <w:t xml:space="preserve"> </w:t>
      </w:r>
      <w:proofErr w:type="spellStart"/>
      <w:r w:rsidRPr="00CB141C">
        <w:rPr>
          <w:sz w:val="24"/>
          <w:lang w:val="et-EE"/>
        </w:rPr>
        <w:t>pesticide</w:t>
      </w:r>
      <w:proofErr w:type="spellEnd"/>
      <w:r w:rsidRPr="00CB141C">
        <w:rPr>
          <w:sz w:val="24"/>
          <w:lang w:val="et-EE"/>
        </w:rPr>
        <w:t xml:space="preserve"> risk </w:t>
      </w:r>
      <w:proofErr w:type="spellStart"/>
      <w:r w:rsidRPr="00CB141C">
        <w:rPr>
          <w:sz w:val="24"/>
          <w:lang w:val="et-EE"/>
        </w:rPr>
        <w:t>assessment</w:t>
      </w:r>
      <w:proofErr w:type="spellEnd"/>
      <w:r w:rsidRPr="00CB141C">
        <w:rPr>
          <w:sz w:val="24"/>
          <w:lang w:val="et-EE"/>
        </w:rPr>
        <w:t xml:space="preserve"> of </w:t>
      </w:r>
      <w:proofErr w:type="spellStart"/>
      <w:r w:rsidRPr="00CB141C">
        <w:rPr>
          <w:sz w:val="24"/>
          <w:lang w:val="et-EE"/>
        </w:rPr>
        <w:t>the</w:t>
      </w:r>
      <w:proofErr w:type="spellEnd"/>
      <w:r w:rsidRPr="00CB141C">
        <w:rPr>
          <w:sz w:val="24"/>
          <w:lang w:val="et-EE"/>
        </w:rPr>
        <w:t xml:space="preserve"> </w:t>
      </w:r>
      <w:proofErr w:type="spellStart"/>
      <w:r w:rsidRPr="00CB141C">
        <w:rPr>
          <w:sz w:val="24"/>
          <w:lang w:val="et-EE"/>
        </w:rPr>
        <w:t>active</w:t>
      </w:r>
      <w:proofErr w:type="spellEnd"/>
      <w:r w:rsidRPr="00CB141C">
        <w:rPr>
          <w:sz w:val="24"/>
          <w:lang w:val="et-EE"/>
        </w:rPr>
        <w:t xml:space="preserve"> </w:t>
      </w:r>
      <w:proofErr w:type="spellStart"/>
      <w:r w:rsidRPr="00CB141C">
        <w:rPr>
          <w:sz w:val="24"/>
          <w:lang w:val="et-EE"/>
        </w:rPr>
        <w:t>substance</w:t>
      </w:r>
      <w:proofErr w:type="spellEnd"/>
      <w:r w:rsidRPr="00CB141C">
        <w:rPr>
          <w:sz w:val="24"/>
          <w:lang w:val="et-EE"/>
        </w:rPr>
        <w:t xml:space="preserve"> </w:t>
      </w:r>
      <w:proofErr w:type="spellStart"/>
      <w:r w:rsidRPr="00CB141C">
        <w:rPr>
          <w:sz w:val="24"/>
          <w:lang w:val="et-EE"/>
        </w:rPr>
        <w:t>thiophanate-methyl</w:t>
      </w:r>
      <w:proofErr w:type="spellEnd"/>
      <w:r w:rsidRPr="00CB141C">
        <w:rPr>
          <w:sz w:val="24"/>
          <w:lang w:val="et-EE"/>
        </w:rPr>
        <w:t xml:space="preserve">“ (EFSA järeldused toimeaine </w:t>
      </w:r>
      <w:proofErr w:type="spellStart"/>
      <w:r w:rsidRPr="00CB141C">
        <w:rPr>
          <w:sz w:val="24"/>
          <w:lang w:val="et-EE"/>
        </w:rPr>
        <w:t>metüültiofanaadi</w:t>
      </w:r>
      <w:proofErr w:type="spellEnd"/>
      <w:r w:rsidRPr="00CB141C">
        <w:rPr>
          <w:sz w:val="24"/>
          <w:lang w:val="et-EE"/>
        </w:rPr>
        <w:t xml:space="preserve"> pestitsiidina kasutamise riskihindamist käsitleva vastastikuse eksperdiarvamuse kohta), EFSA </w:t>
      </w:r>
      <w:proofErr w:type="spellStart"/>
      <w:r w:rsidRPr="00CB141C">
        <w:rPr>
          <w:sz w:val="24"/>
          <w:lang w:val="et-EE"/>
        </w:rPr>
        <w:t>Journal</w:t>
      </w:r>
      <w:proofErr w:type="spellEnd"/>
      <w:r w:rsidRPr="00CB141C">
        <w:rPr>
          <w:sz w:val="24"/>
          <w:lang w:val="et-EE"/>
        </w:rPr>
        <w:t xml:space="preserve"> 2018;16(1):e05133, </w:t>
      </w:r>
      <w:r w:rsidR="00430666">
        <w:fldChar w:fldCharType="begin"/>
      </w:r>
      <w:r w:rsidR="00430666" w:rsidRPr="00383692">
        <w:rPr>
          <w:lang w:val="et-EE"/>
        </w:rPr>
        <w:instrText xml:space="preserve"> HYPERLINK "https://doi.org/10.2903/j.efsa.2018.5133" </w:instrText>
      </w:r>
      <w:r w:rsidR="00430666">
        <w:fldChar w:fldCharType="separate"/>
      </w:r>
      <w:r w:rsidRPr="00CB141C">
        <w:rPr>
          <w:rStyle w:val="Hyperlink"/>
          <w:sz w:val="24"/>
          <w:lang w:val="et-EE"/>
        </w:rPr>
        <w:t>https://doi.org/10.2903/j.efsa.2018.5133</w:t>
      </w:r>
      <w:r w:rsidR="00430666">
        <w:rPr>
          <w:rStyle w:val="Hyperlink"/>
          <w:sz w:val="24"/>
          <w:lang w:val="et-EE"/>
        </w:rPr>
        <w:fldChar w:fldCharType="end"/>
      </w:r>
      <w:r w:rsidR="00595C2D">
        <w:rPr>
          <w:sz w:val="24"/>
          <w:lang w:val="et-EE"/>
        </w:rPr>
        <w:t>.</w:t>
      </w:r>
    </w:p>
  </w:footnote>
  <w:footnote w:id="8">
    <w:p w:rsidR="00EF48F1" w:rsidRPr="00CB141C" w:rsidRDefault="00EF48F1" w:rsidP="00CB141C">
      <w:pPr>
        <w:pStyle w:val="FootnoteText"/>
        <w:ind w:left="567" w:hanging="567"/>
        <w:rPr>
          <w:sz w:val="24"/>
          <w:lang w:val="et-EE"/>
        </w:rPr>
      </w:pPr>
      <w:r w:rsidRPr="00CB141C">
        <w:rPr>
          <w:rStyle w:val="FootnoteReference"/>
          <w:sz w:val="24"/>
          <w:lang w:val="et-EE"/>
        </w:rPr>
        <w:footnoteRef/>
      </w:r>
      <w:r w:rsidR="00CB141C" w:rsidRPr="00CB141C">
        <w:rPr>
          <w:sz w:val="24"/>
          <w:lang w:val="et-EE"/>
        </w:rPr>
        <w:tab/>
      </w:r>
      <w:r w:rsidRPr="00CB141C">
        <w:rPr>
          <w:sz w:val="24"/>
          <w:lang w:val="et-EE"/>
        </w:rPr>
        <w:t xml:space="preserve">„EFSA </w:t>
      </w:r>
      <w:proofErr w:type="spellStart"/>
      <w:r w:rsidRPr="00CB141C">
        <w:rPr>
          <w:sz w:val="24"/>
          <w:lang w:val="et-EE"/>
        </w:rPr>
        <w:t>statement</w:t>
      </w:r>
      <w:proofErr w:type="spellEnd"/>
      <w:r w:rsidRPr="00CB141C">
        <w:rPr>
          <w:sz w:val="24"/>
          <w:lang w:val="et-EE"/>
        </w:rPr>
        <w:t xml:space="preserve"> on </w:t>
      </w:r>
      <w:proofErr w:type="spellStart"/>
      <w:r w:rsidRPr="00CB141C">
        <w:rPr>
          <w:sz w:val="24"/>
          <w:lang w:val="et-EE"/>
        </w:rPr>
        <w:t>the</w:t>
      </w:r>
      <w:proofErr w:type="spellEnd"/>
      <w:r w:rsidRPr="00CB141C">
        <w:rPr>
          <w:sz w:val="24"/>
          <w:lang w:val="et-EE"/>
        </w:rPr>
        <w:t xml:space="preserve"> </w:t>
      </w:r>
      <w:proofErr w:type="spellStart"/>
      <w:r w:rsidRPr="00CB141C">
        <w:rPr>
          <w:sz w:val="24"/>
          <w:lang w:val="et-EE"/>
        </w:rPr>
        <w:t>assessment</w:t>
      </w:r>
      <w:proofErr w:type="spellEnd"/>
      <w:r w:rsidRPr="00CB141C">
        <w:rPr>
          <w:sz w:val="24"/>
          <w:lang w:val="et-EE"/>
        </w:rPr>
        <w:t xml:space="preserve"> of </w:t>
      </w:r>
      <w:proofErr w:type="spellStart"/>
      <w:r w:rsidRPr="00CB141C">
        <w:rPr>
          <w:sz w:val="24"/>
          <w:lang w:val="et-EE"/>
        </w:rPr>
        <w:t>quality</w:t>
      </w:r>
      <w:proofErr w:type="spellEnd"/>
      <w:r w:rsidRPr="00CB141C">
        <w:rPr>
          <w:sz w:val="24"/>
          <w:lang w:val="et-EE"/>
        </w:rPr>
        <w:t xml:space="preserve"> of </w:t>
      </w:r>
      <w:proofErr w:type="spellStart"/>
      <w:r w:rsidRPr="00CB141C">
        <w:rPr>
          <w:sz w:val="24"/>
          <w:lang w:val="et-EE"/>
        </w:rPr>
        <w:t>data</w:t>
      </w:r>
      <w:proofErr w:type="spellEnd"/>
      <w:r w:rsidRPr="00CB141C">
        <w:rPr>
          <w:sz w:val="24"/>
          <w:lang w:val="et-EE"/>
        </w:rPr>
        <w:t xml:space="preserve"> </w:t>
      </w:r>
      <w:proofErr w:type="spellStart"/>
      <w:r w:rsidRPr="00CB141C">
        <w:rPr>
          <w:sz w:val="24"/>
          <w:lang w:val="et-EE"/>
        </w:rPr>
        <w:t>available</w:t>
      </w:r>
      <w:proofErr w:type="spellEnd"/>
      <w:r w:rsidRPr="00CB141C">
        <w:rPr>
          <w:sz w:val="24"/>
          <w:lang w:val="et-EE"/>
        </w:rPr>
        <w:t xml:space="preserve"> </w:t>
      </w:r>
      <w:proofErr w:type="spellStart"/>
      <w:r w:rsidRPr="00CB141C">
        <w:rPr>
          <w:sz w:val="24"/>
          <w:lang w:val="et-EE"/>
        </w:rPr>
        <w:t>to</w:t>
      </w:r>
      <w:proofErr w:type="spellEnd"/>
      <w:r w:rsidRPr="00CB141C">
        <w:rPr>
          <w:sz w:val="24"/>
          <w:lang w:val="et-EE"/>
        </w:rPr>
        <w:t xml:space="preserve"> EFSA </w:t>
      </w:r>
      <w:proofErr w:type="spellStart"/>
      <w:r w:rsidRPr="00CB141C">
        <w:rPr>
          <w:sz w:val="24"/>
          <w:lang w:val="et-EE"/>
        </w:rPr>
        <w:t>to</w:t>
      </w:r>
      <w:proofErr w:type="spellEnd"/>
      <w:r w:rsidRPr="00CB141C">
        <w:rPr>
          <w:sz w:val="24"/>
          <w:lang w:val="et-EE"/>
        </w:rPr>
        <w:t xml:space="preserve"> </w:t>
      </w:r>
      <w:proofErr w:type="spellStart"/>
      <w:r w:rsidRPr="00CB141C">
        <w:rPr>
          <w:sz w:val="24"/>
          <w:lang w:val="et-EE"/>
        </w:rPr>
        <w:t>derive</w:t>
      </w:r>
      <w:proofErr w:type="spellEnd"/>
      <w:r w:rsidRPr="00CB141C">
        <w:rPr>
          <w:sz w:val="24"/>
          <w:lang w:val="et-EE"/>
        </w:rPr>
        <w:t xml:space="preserve"> </w:t>
      </w:r>
      <w:proofErr w:type="spellStart"/>
      <w:r w:rsidRPr="00CB141C">
        <w:rPr>
          <w:sz w:val="24"/>
          <w:lang w:val="et-EE"/>
        </w:rPr>
        <w:t>the</w:t>
      </w:r>
      <w:proofErr w:type="spellEnd"/>
      <w:r w:rsidRPr="00CB141C">
        <w:rPr>
          <w:sz w:val="24"/>
          <w:lang w:val="et-EE"/>
        </w:rPr>
        <w:t xml:space="preserve"> </w:t>
      </w:r>
      <w:proofErr w:type="spellStart"/>
      <w:r w:rsidRPr="00CB141C">
        <w:rPr>
          <w:sz w:val="24"/>
          <w:lang w:val="et-EE"/>
        </w:rPr>
        <w:t>health‐based</w:t>
      </w:r>
      <w:proofErr w:type="spellEnd"/>
      <w:r w:rsidRPr="00CB141C">
        <w:rPr>
          <w:sz w:val="24"/>
          <w:lang w:val="et-EE"/>
        </w:rPr>
        <w:t xml:space="preserve"> </w:t>
      </w:r>
      <w:proofErr w:type="spellStart"/>
      <w:r w:rsidRPr="00CB141C">
        <w:rPr>
          <w:sz w:val="24"/>
          <w:lang w:val="et-EE"/>
        </w:rPr>
        <w:t>guidance</w:t>
      </w:r>
      <w:proofErr w:type="spellEnd"/>
      <w:r w:rsidRPr="00CB141C">
        <w:rPr>
          <w:sz w:val="24"/>
          <w:lang w:val="et-EE"/>
        </w:rPr>
        <w:t xml:space="preserve"> </w:t>
      </w:r>
      <w:proofErr w:type="spellStart"/>
      <w:r w:rsidRPr="00CB141C">
        <w:rPr>
          <w:sz w:val="24"/>
          <w:lang w:val="et-EE"/>
        </w:rPr>
        <w:t>values</w:t>
      </w:r>
      <w:proofErr w:type="spellEnd"/>
      <w:r w:rsidRPr="00CB141C">
        <w:rPr>
          <w:sz w:val="24"/>
          <w:lang w:val="et-EE"/>
        </w:rPr>
        <w:t xml:space="preserve"> </w:t>
      </w:r>
      <w:proofErr w:type="spellStart"/>
      <w:r w:rsidRPr="00CB141C">
        <w:rPr>
          <w:sz w:val="24"/>
          <w:lang w:val="et-EE"/>
        </w:rPr>
        <w:t>for</w:t>
      </w:r>
      <w:proofErr w:type="spellEnd"/>
      <w:r w:rsidRPr="00CB141C">
        <w:rPr>
          <w:sz w:val="24"/>
          <w:lang w:val="et-EE"/>
        </w:rPr>
        <w:t xml:space="preserve"> </w:t>
      </w:r>
      <w:proofErr w:type="spellStart"/>
      <w:r w:rsidRPr="00CB141C">
        <w:rPr>
          <w:sz w:val="24"/>
          <w:lang w:val="et-EE"/>
        </w:rPr>
        <w:t>carbendazim</w:t>
      </w:r>
      <w:proofErr w:type="spellEnd"/>
      <w:r w:rsidRPr="00CB141C">
        <w:rPr>
          <w:sz w:val="24"/>
          <w:lang w:val="et-EE"/>
        </w:rPr>
        <w:t xml:space="preserve">“ (EFSA seisukoht talle </w:t>
      </w:r>
      <w:proofErr w:type="spellStart"/>
      <w:r w:rsidRPr="00CB141C">
        <w:rPr>
          <w:sz w:val="24"/>
          <w:lang w:val="et-EE"/>
        </w:rPr>
        <w:t>karbendasiimi</w:t>
      </w:r>
      <w:proofErr w:type="spellEnd"/>
      <w:r w:rsidRPr="00CB141C">
        <w:rPr>
          <w:sz w:val="24"/>
          <w:lang w:val="et-EE"/>
        </w:rPr>
        <w:t xml:space="preserve"> tervisepõhiste suunisväärtuste tuletamiseks kättesaadavate andmete kvaliteedi hindamise kohta), EFSA </w:t>
      </w:r>
      <w:proofErr w:type="spellStart"/>
      <w:r w:rsidRPr="00CB141C">
        <w:rPr>
          <w:sz w:val="24"/>
          <w:lang w:val="et-EE"/>
        </w:rPr>
        <w:t>Journal</w:t>
      </w:r>
      <w:proofErr w:type="spellEnd"/>
      <w:r w:rsidRPr="00CB141C">
        <w:rPr>
          <w:sz w:val="24"/>
          <w:lang w:val="et-EE"/>
        </w:rPr>
        <w:t xml:space="preserve"> 2024;22(5):e8756, </w:t>
      </w:r>
      <w:r w:rsidR="00430666">
        <w:fldChar w:fldCharType="begin"/>
      </w:r>
      <w:r w:rsidR="00430666" w:rsidRPr="00383692">
        <w:rPr>
          <w:lang w:val="et-EE"/>
        </w:rPr>
        <w:instrText xml:space="preserve"> HYPERLINK "https://doi.org/10.2903/j.efsa.2024.8756" </w:instrText>
      </w:r>
      <w:r w:rsidR="00430666">
        <w:fldChar w:fldCharType="separate"/>
      </w:r>
      <w:r w:rsidRPr="00CB141C">
        <w:rPr>
          <w:rStyle w:val="Hyperlink"/>
          <w:sz w:val="24"/>
          <w:lang w:val="et-EE"/>
        </w:rPr>
        <w:t>https://doi.org/10.2903/j.efsa.2024.8756</w:t>
      </w:r>
      <w:r w:rsidR="00430666">
        <w:rPr>
          <w:rStyle w:val="Hyperlink"/>
          <w:sz w:val="24"/>
          <w:lang w:val="et-EE"/>
        </w:rPr>
        <w:fldChar w:fldCharType="end"/>
      </w:r>
      <w:r w:rsidR="00595C2D">
        <w:rPr>
          <w:sz w:val="24"/>
          <w:lang w:val="et-EE"/>
        </w:rPr>
        <w:t>.</w:t>
      </w:r>
    </w:p>
  </w:footnote>
  <w:footnote w:id="9">
    <w:p w:rsidR="00EF48F1" w:rsidRPr="00CB141C" w:rsidRDefault="00EF48F1" w:rsidP="00CB141C">
      <w:pPr>
        <w:pStyle w:val="FootnoteText"/>
        <w:ind w:left="567" w:hanging="567"/>
        <w:rPr>
          <w:sz w:val="24"/>
          <w:lang w:val="et-EE"/>
        </w:rPr>
      </w:pPr>
      <w:r w:rsidRPr="00CB141C">
        <w:rPr>
          <w:rStyle w:val="FootnoteReference"/>
          <w:sz w:val="24"/>
          <w:lang w:val="et-EE"/>
        </w:rPr>
        <w:footnoteRef/>
      </w:r>
      <w:r w:rsidR="00CB141C" w:rsidRPr="00CB141C">
        <w:rPr>
          <w:sz w:val="24"/>
          <w:lang w:val="et-EE"/>
        </w:rPr>
        <w:tab/>
      </w:r>
      <w:r w:rsidRPr="00CB141C">
        <w:rPr>
          <w:sz w:val="24"/>
          <w:lang w:val="et-EE"/>
        </w:rPr>
        <w:t xml:space="preserve">„RAC </w:t>
      </w:r>
      <w:proofErr w:type="spellStart"/>
      <w:r w:rsidRPr="00CB141C">
        <w:rPr>
          <w:sz w:val="24"/>
          <w:lang w:val="et-EE"/>
        </w:rPr>
        <w:t>opinion</w:t>
      </w:r>
      <w:proofErr w:type="spellEnd"/>
      <w:r w:rsidRPr="00CB141C">
        <w:rPr>
          <w:sz w:val="24"/>
          <w:lang w:val="et-EE"/>
        </w:rPr>
        <w:t xml:space="preserve"> </w:t>
      </w:r>
      <w:proofErr w:type="spellStart"/>
      <w:r w:rsidRPr="00CB141C">
        <w:rPr>
          <w:sz w:val="24"/>
          <w:lang w:val="et-EE"/>
        </w:rPr>
        <w:t>proposing</w:t>
      </w:r>
      <w:proofErr w:type="spellEnd"/>
      <w:r w:rsidRPr="00CB141C">
        <w:rPr>
          <w:sz w:val="24"/>
          <w:lang w:val="et-EE"/>
        </w:rPr>
        <w:t xml:space="preserve"> </w:t>
      </w:r>
      <w:proofErr w:type="spellStart"/>
      <w:r w:rsidRPr="00CB141C">
        <w:rPr>
          <w:sz w:val="24"/>
          <w:lang w:val="et-EE"/>
        </w:rPr>
        <w:t>harmonised</w:t>
      </w:r>
      <w:proofErr w:type="spellEnd"/>
      <w:r w:rsidRPr="00CB141C">
        <w:rPr>
          <w:sz w:val="24"/>
          <w:lang w:val="et-EE"/>
        </w:rPr>
        <w:t xml:space="preserve"> </w:t>
      </w:r>
      <w:proofErr w:type="spellStart"/>
      <w:r w:rsidRPr="00CB141C">
        <w:rPr>
          <w:sz w:val="24"/>
          <w:lang w:val="et-EE"/>
        </w:rPr>
        <w:t>classification</w:t>
      </w:r>
      <w:proofErr w:type="spellEnd"/>
      <w:r w:rsidRPr="00CB141C">
        <w:rPr>
          <w:sz w:val="24"/>
          <w:lang w:val="et-EE"/>
        </w:rPr>
        <w:t xml:space="preserve"> and </w:t>
      </w:r>
      <w:proofErr w:type="spellStart"/>
      <w:r w:rsidRPr="00CB141C">
        <w:rPr>
          <w:sz w:val="24"/>
          <w:lang w:val="et-EE"/>
        </w:rPr>
        <w:t>labelling</w:t>
      </w:r>
      <w:proofErr w:type="spellEnd"/>
      <w:r w:rsidRPr="00CB141C">
        <w:rPr>
          <w:sz w:val="24"/>
          <w:lang w:val="et-EE"/>
        </w:rPr>
        <w:t xml:space="preserve"> at EU </w:t>
      </w:r>
      <w:proofErr w:type="spellStart"/>
      <w:r w:rsidRPr="00CB141C">
        <w:rPr>
          <w:sz w:val="24"/>
          <w:lang w:val="et-EE"/>
        </w:rPr>
        <w:t>level</w:t>
      </w:r>
      <w:proofErr w:type="spellEnd"/>
      <w:r w:rsidRPr="00CB141C">
        <w:rPr>
          <w:sz w:val="24"/>
          <w:lang w:val="et-EE"/>
        </w:rPr>
        <w:t xml:space="preserve"> of </w:t>
      </w:r>
      <w:proofErr w:type="spellStart"/>
      <w:r w:rsidRPr="00CB141C">
        <w:rPr>
          <w:sz w:val="24"/>
          <w:lang w:val="et-EE"/>
        </w:rPr>
        <w:t>carbendazim</w:t>
      </w:r>
      <w:proofErr w:type="spellEnd"/>
      <w:r w:rsidRPr="00CB141C">
        <w:rPr>
          <w:sz w:val="24"/>
          <w:lang w:val="et-EE"/>
        </w:rPr>
        <w:t xml:space="preserve"> (ISO); </w:t>
      </w:r>
      <w:proofErr w:type="spellStart"/>
      <w:r w:rsidRPr="00CB141C">
        <w:rPr>
          <w:sz w:val="24"/>
          <w:lang w:val="et-EE"/>
        </w:rPr>
        <w:t>methyl</w:t>
      </w:r>
      <w:proofErr w:type="spellEnd"/>
      <w:r w:rsidRPr="00CB141C">
        <w:rPr>
          <w:sz w:val="24"/>
          <w:lang w:val="et-EE"/>
        </w:rPr>
        <w:t xml:space="preserve"> benzimidazol-2-ylcarbamate“ (Riskihindamise komitee arvamus, milles tehakse ettepanek </w:t>
      </w:r>
      <w:proofErr w:type="spellStart"/>
      <w:r w:rsidRPr="00CB141C">
        <w:rPr>
          <w:sz w:val="24"/>
          <w:lang w:val="et-EE"/>
        </w:rPr>
        <w:t>karbendasiimi</w:t>
      </w:r>
      <w:proofErr w:type="spellEnd"/>
      <w:r w:rsidRPr="00CB141C">
        <w:rPr>
          <w:sz w:val="24"/>
          <w:lang w:val="et-EE"/>
        </w:rPr>
        <w:t xml:space="preserve"> (ISO), metüülbensimidasool-2-üülkarbamaadi ühtlustatud klassifitseerimise ja märgistamise kohta ELi tasandil); </w:t>
      </w:r>
      <w:r w:rsidR="00430666">
        <w:fldChar w:fldCharType="begin"/>
      </w:r>
      <w:r w:rsidR="00430666" w:rsidRPr="00383692">
        <w:rPr>
          <w:lang w:val="et-EE"/>
        </w:rPr>
        <w:instrText xml:space="preserve"> HYPERLINK "https://www.echa.europa</w:instrText>
      </w:r>
      <w:r w:rsidR="00430666" w:rsidRPr="00383692">
        <w:rPr>
          <w:lang w:val="et-EE"/>
        </w:rPr>
        <w:instrText xml:space="preserve">.eu/documents/10162/5eb9760e-6c73-7f2c-1226-98d92ed847d1" </w:instrText>
      </w:r>
      <w:r w:rsidR="00430666">
        <w:fldChar w:fldCharType="separate"/>
      </w:r>
      <w:r w:rsidRPr="00CB141C">
        <w:rPr>
          <w:rStyle w:val="Hyperlink"/>
          <w:sz w:val="24"/>
          <w:lang w:val="et-EE"/>
        </w:rPr>
        <w:t>https://www.echa.europa.eu/documents/10162/5eb9760e-6c73-7f2c-1226-98d92ed847d1</w:t>
      </w:r>
      <w:r w:rsidR="00430666">
        <w:rPr>
          <w:rStyle w:val="Hyperlink"/>
          <w:sz w:val="24"/>
          <w:lang w:val="et-EE"/>
        </w:rPr>
        <w:fldChar w:fldCharType="end"/>
      </w:r>
      <w:r w:rsidRPr="00CB141C">
        <w:rPr>
          <w:sz w:val="24"/>
          <w:lang w:val="et-EE"/>
        </w:rPr>
        <w:t>.</w:t>
      </w:r>
    </w:p>
  </w:footnote>
  <w:footnote w:id="10">
    <w:p w:rsidR="00EF48F1" w:rsidRPr="00CB141C" w:rsidRDefault="00EF48F1" w:rsidP="00CB141C">
      <w:pPr>
        <w:pStyle w:val="FootnoteText"/>
        <w:ind w:left="567" w:hanging="567"/>
        <w:rPr>
          <w:sz w:val="24"/>
          <w:lang w:val="et-EE"/>
        </w:rPr>
      </w:pPr>
      <w:r w:rsidRPr="00CB141C">
        <w:rPr>
          <w:rStyle w:val="FootnoteReference"/>
          <w:sz w:val="24"/>
          <w:lang w:val="et-EE"/>
        </w:rPr>
        <w:footnoteRef/>
      </w:r>
      <w:r w:rsidR="00CB141C" w:rsidRPr="00CB141C">
        <w:rPr>
          <w:sz w:val="24"/>
          <w:lang w:val="et-EE"/>
        </w:rPr>
        <w:tab/>
      </w:r>
      <w:r w:rsidR="00595C2D">
        <w:rPr>
          <w:sz w:val="24"/>
          <w:lang w:val="et-EE"/>
        </w:rPr>
        <w:t>EÜT L 184, 17.7.1999, lk </w:t>
      </w:r>
      <w:r w:rsidRPr="00CB141C">
        <w:rPr>
          <w:sz w:val="24"/>
          <w:lang w:val="et-EE"/>
        </w:rPr>
        <w:t>23.</w:t>
      </w:r>
    </w:p>
  </w:footnote>
  <w:footnote w:id="11">
    <w:p w:rsidR="00EF48F1" w:rsidRPr="00CB141C" w:rsidRDefault="00EF48F1" w:rsidP="00CB141C">
      <w:pPr>
        <w:pStyle w:val="FootnoteText"/>
        <w:ind w:left="567" w:hanging="567"/>
        <w:rPr>
          <w:sz w:val="24"/>
          <w:lang w:val="et-EE"/>
        </w:rPr>
      </w:pPr>
      <w:r w:rsidRPr="00CB141C">
        <w:rPr>
          <w:rStyle w:val="FootnoteReference"/>
          <w:sz w:val="24"/>
          <w:lang w:val="et-EE"/>
        </w:rPr>
        <w:footnoteRef/>
      </w:r>
      <w:r w:rsidR="00CB141C" w:rsidRPr="00CB141C">
        <w:rPr>
          <w:sz w:val="24"/>
          <w:lang w:val="et-EE"/>
        </w:rPr>
        <w:tab/>
      </w:r>
      <w:r w:rsidR="00F11823">
        <w:rPr>
          <w:sz w:val="24"/>
          <w:lang w:val="et-EE"/>
        </w:rPr>
        <w:t xml:space="preserve">Euroopa </w:t>
      </w:r>
      <w:r w:rsidRPr="00CB141C">
        <w:rPr>
          <w:sz w:val="24"/>
          <w:lang w:val="et-EE"/>
        </w:rPr>
        <w:t>Parlamendi ja nõukogu 16. detsembri 2008. aasta määrus (EÜ) nr 1272/2008, mis käsitleb ainete ja segude klassifitseerimist, märgistamist ja pakendamist ning millega muudetakse di</w:t>
      </w:r>
      <w:r w:rsidR="00F11823">
        <w:rPr>
          <w:sz w:val="24"/>
          <w:lang w:val="et-EE"/>
        </w:rPr>
        <w:t xml:space="preserve">rektiive 67/548/EMÜ ja </w:t>
      </w:r>
      <w:r w:rsidRPr="00CB141C">
        <w:rPr>
          <w:sz w:val="24"/>
          <w:lang w:val="et-EE"/>
        </w:rPr>
        <w:t>1999/45/EÜ ja tunnistatakse need kehtetuks ning muudetakse</w:t>
      </w:r>
      <w:r w:rsidR="00F11823">
        <w:rPr>
          <w:sz w:val="24"/>
          <w:lang w:val="et-EE"/>
        </w:rPr>
        <w:t xml:space="preserve"> määrust (EÜ) nr 1907/2006 (ELT </w:t>
      </w:r>
      <w:r w:rsidRPr="00CB141C">
        <w:rPr>
          <w:sz w:val="24"/>
          <w:lang w:val="et-EE"/>
        </w:rPr>
        <w:t>L 353, 31.12.2008, lk 1).</w:t>
      </w:r>
    </w:p>
  </w:footnote>
  <w:footnote w:id="12">
    <w:p w:rsidR="00EF48F1" w:rsidRPr="00CB141C" w:rsidRDefault="00EF48F1" w:rsidP="00CB141C">
      <w:pPr>
        <w:pStyle w:val="FootnoteText"/>
        <w:ind w:left="567" w:hanging="567"/>
        <w:rPr>
          <w:sz w:val="24"/>
          <w:lang w:val="et-EE"/>
        </w:rPr>
      </w:pPr>
      <w:r w:rsidRPr="00CB141C">
        <w:rPr>
          <w:rStyle w:val="FootnoteReference"/>
          <w:sz w:val="24"/>
          <w:lang w:val="et-EE"/>
        </w:rPr>
        <w:footnoteRef/>
      </w:r>
      <w:r w:rsidR="00CB141C" w:rsidRPr="00CB141C">
        <w:rPr>
          <w:sz w:val="24"/>
          <w:lang w:val="et-EE"/>
        </w:rPr>
        <w:tab/>
      </w:r>
      <w:r w:rsidRPr="00CB141C">
        <w:rPr>
          <w:sz w:val="24"/>
          <w:lang w:val="et-EE"/>
        </w:rPr>
        <w:t>Euroopa Parlamendi ja nõukogu 16. detsembri 2008. aasta määrus (EÜ) nr 1272/2008, mis käsitleb ainete ja segude klassifitseerimist, märgistamist ja pakendamist ning millega muudetakse direktiive 67/548/EMÜ ja 1999/45/EÜ ja tunnistatakse need kehtetuks ning muudetakse määrust (EÜ) nr 1907/2006 (ELT L 353, 31.12.2008, lk 1).</w:t>
      </w:r>
    </w:p>
  </w:footnote>
  <w:footnote w:id="13">
    <w:p w:rsidR="00EF48F1" w:rsidRPr="00CB141C" w:rsidRDefault="00EF48F1" w:rsidP="00CB141C">
      <w:pPr>
        <w:pStyle w:val="FootnoteText"/>
        <w:ind w:left="567" w:hanging="567"/>
        <w:rPr>
          <w:sz w:val="24"/>
          <w:lang w:val="et-EE"/>
        </w:rPr>
      </w:pPr>
      <w:r w:rsidRPr="00CB141C">
        <w:rPr>
          <w:rStyle w:val="FootnoteReference"/>
          <w:sz w:val="24"/>
          <w:lang w:val="et-EE"/>
        </w:rPr>
        <w:footnoteRef/>
      </w:r>
      <w:r w:rsidR="00CB141C" w:rsidRPr="00CB141C">
        <w:rPr>
          <w:sz w:val="24"/>
          <w:lang w:val="et-EE"/>
        </w:rPr>
        <w:tab/>
      </w:r>
      <w:r w:rsidRPr="00CB141C">
        <w:rPr>
          <w:sz w:val="24"/>
          <w:lang w:val="et-EE"/>
        </w:rPr>
        <w:t xml:space="preserve">Komisjoni 19. aprilli 2018. aasta määrus (EL) 2018/605, </w:t>
      </w:r>
      <w:r w:rsidR="00F11823">
        <w:rPr>
          <w:sz w:val="24"/>
          <w:lang w:val="et-EE"/>
        </w:rPr>
        <w:t>millega muudetakse määruse (EÜ) </w:t>
      </w:r>
      <w:r w:rsidRPr="00CB141C">
        <w:rPr>
          <w:sz w:val="24"/>
          <w:lang w:val="et-EE"/>
        </w:rPr>
        <w:t>nr 1107/2009 II lisa ja sätestatakse teaduslikud kriteeriumid endokriinsüsteemi häireid põhjustavate omaduste kindlakstegemiseks (ELT L 101, 20.4.2018, lk 33).</w:t>
      </w:r>
    </w:p>
  </w:footnote>
  <w:footnote w:id="14">
    <w:p w:rsidR="00EF48F1" w:rsidRPr="00CB141C" w:rsidRDefault="00EF48F1" w:rsidP="00CB141C">
      <w:pPr>
        <w:pStyle w:val="FootnoteText"/>
        <w:ind w:left="567" w:hanging="567"/>
        <w:rPr>
          <w:sz w:val="24"/>
          <w:lang w:val="et-EE"/>
        </w:rPr>
      </w:pPr>
      <w:r w:rsidRPr="00CB141C">
        <w:rPr>
          <w:rStyle w:val="FootnoteReference"/>
          <w:sz w:val="24"/>
          <w:lang w:val="et-EE"/>
        </w:rPr>
        <w:footnoteRef/>
      </w:r>
      <w:r w:rsidR="00CB141C" w:rsidRPr="00F11823">
        <w:rPr>
          <w:rStyle w:val="Hyperlink"/>
          <w:sz w:val="24"/>
          <w:u w:val="none"/>
          <w:lang w:val="et-EE"/>
        </w:rPr>
        <w:tab/>
      </w:r>
      <w:r w:rsidRPr="00CB141C">
        <w:rPr>
          <w:rStyle w:val="Hyperlink"/>
          <w:sz w:val="24"/>
          <w:lang w:val="et-EE"/>
        </w:rPr>
        <w:t>https://ec.europa.eu/transparency/comitology-register/screen/documents/089880/5/consult?lang=et</w:t>
      </w:r>
    </w:p>
  </w:footnote>
  <w:footnote w:id="15">
    <w:p w:rsidR="00EF48F1" w:rsidRPr="00CB141C" w:rsidRDefault="00EF48F1" w:rsidP="00CB141C">
      <w:pPr>
        <w:pStyle w:val="FootnoteText"/>
        <w:ind w:left="567" w:hanging="567"/>
        <w:rPr>
          <w:iCs/>
          <w:sz w:val="24"/>
          <w:lang w:val="et-EE"/>
        </w:rPr>
      </w:pPr>
      <w:r w:rsidRPr="00CB141C">
        <w:rPr>
          <w:iCs/>
          <w:sz w:val="24"/>
          <w:vertAlign w:val="superscript"/>
          <w:lang w:val="et-EE"/>
        </w:rPr>
        <w:footnoteRef/>
      </w:r>
      <w:r w:rsidR="00CB141C" w:rsidRPr="00CB141C">
        <w:rPr>
          <w:sz w:val="24"/>
          <w:lang w:val="et-EE"/>
        </w:rPr>
        <w:tab/>
      </w:r>
      <w:r w:rsidRPr="00CB141C">
        <w:rPr>
          <w:sz w:val="24"/>
          <w:lang w:val="et-EE"/>
        </w:rPr>
        <w:t>COM(2020)0381.</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B141C"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B141C"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B141C"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020/2024"/>
    <w:docVar w:name="dvlangue" w:val="ET"/>
    <w:docVar w:name="dvnumam" w:val="0"/>
    <w:docVar w:name="dvpe" w:val="763.090"/>
    <w:docVar w:name="dvtitre" w:val="Euroopa Parlamendi .... 2024. aasta resolutsioon komisjoni määruse eelnõu kohta, millega muudetakse Euroopa Parlamendi ja nõukogu määruse (EÜ) nr 396/2005 II, III ja V lisa seoses teatavates toodetes või nende pinnal esinevate benomüüli, karbendasiimi ja metüültiofanaadi jääkide piirnormidega (D089819/05 – 2024/2758(RPS))"/>
  </w:docVars>
  <w:rsids>
    <w:rsidRoot w:val="00FF47E1"/>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83692"/>
    <w:rsid w:val="00395FA1"/>
    <w:rsid w:val="003E15D4"/>
    <w:rsid w:val="00411CCE"/>
    <w:rsid w:val="0041666E"/>
    <w:rsid w:val="00421060"/>
    <w:rsid w:val="00430666"/>
    <w:rsid w:val="00471C19"/>
    <w:rsid w:val="004867E3"/>
    <w:rsid w:val="00494A28"/>
    <w:rsid w:val="004C0004"/>
    <w:rsid w:val="004C5D52"/>
    <w:rsid w:val="0050519A"/>
    <w:rsid w:val="005072A1"/>
    <w:rsid w:val="00514517"/>
    <w:rsid w:val="00545827"/>
    <w:rsid w:val="00560270"/>
    <w:rsid w:val="00595C2D"/>
    <w:rsid w:val="005C2568"/>
    <w:rsid w:val="005F1B17"/>
    <w:rsid w:val="006037C0"/>
    <w:rsid w:val="00626CD1"/>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D2336"/>
    <w:rsid w:val="00AE0928"/>
    <w:rsid w:val="00AF3B82"/>
    <w:rsid w:val="00B12E95"/>
    <w:rsid w:val="00B22876"/>
    <w:rsid w:val="00B558F0"/>
    <w:rsid w:val="00BD48FE"/>
    <w:rsid w:val="00BD7BD8"/>
    <w:rsid w:val="00BE6ADC"/>
    <w:rsid w:val="00C05BFE"/>
    <w:rsid w:val="00C23CD4"/>
    <w:rsid w:val="00C61C0C"/>
    <w:rsid w:val="00C941CB"/>
    <w:rsid w:val="00CB141C"/>
    <w:rsid w:val="00CC2357"/>
    <w:rsid w:val="00CF071A"/>
    <w:rsid w:val="00D058B8"/>
    <w:rsid w:val="00D56C11"/>
    <w:rsid w:val="00D834A0"/>
    <w:rsid w:val="00D872DF"/>
    <w:rsid w:val="00D91E21"/>
    <w:rsid w:val="00DA7FCD"/>
    <w:rsid w:val="00E24D58"/>
    <w:rsid w:val="00E365E1"/>
    <w:rsid w:val="00E820A4"/>
    <w:rsid w:val="00EB006A"/>
    <w:rsid w:val="00EB099E"/>
    <w:rsid w:val="00EB4772"/>
    <w:rsid w:val="00ED169E"/>
    <w:rsid w:val="00ED4235"/>
    <w:rsid w:val="00EF48F1"/>
    <w:rsid w:val="00F04346"/>
    <w:rsid w:val="00F075DC"/>
    <w:rsid w:val="00F11823"/>
    <w:rsid w:val="00F149E9"/>
    <w:rsid w:val="00F5134D"/>
    <w:rsid w:val="00F74202"/>
    <w:rsid w:val="00F87713"/>
    <w:rsid w:val="00F9428B"/>
    <w:rsid w:val="00FB4360"/>
    <w:rsid w:val="00FD0C70"/>
    <w:rsid w:val="00FF47E1"/>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8C6FED3"/>
  <w15:chartTrackingRefBased/>
  <w15:docId w15:val="{5A807F09-C8DF-4CE4-A3D7-FDF7938D6E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t-E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EF48F1"/>
    <w:pPr>
      <w:spacing w:before="480" w:after="240"/>
    </w:pPr>
  </w:style>
  <w:style w:type="paragraph" w:customStyle="1" w:styleId="NormalHanging12a">
    <w:name w:val="NormalHanging12a"/>
    <w:basedOn w:val="Normal"/>
    <w:rsid w:val="00EF48F1"/>
    <w:pPr>
      <w:spacing w:after="240"/>
      <w:ind w:left="567" w:hanging="567"/>
    </w:pPr>
  </w:style>
  <w:style w:type="character" w:styleId="Hyperlink">
    <w:name w:val="Hyperlink"/>
    <w:basedOn w:val="DefaultParagraphFont"/>
    <w:uiPriority w:val="99"/>
    <w:rsid w:val="00EF48F1"/>
    <w:rPr>
      <w:color w:val="0563C1" w:themeColor="hyperlink"/>
      <w:u w:val="single"/>
    </w:rPr>
  </w:style>
  <w:style w:type="paragraph" w:styleId="BalloonText">
    <w:name w:val="Balloon Text"/>
    <w:basedOn w:val="Normal"/>
    <w:link w:val="BalloonTextChar"/>
    <w:rsid w:val="00F11823"/>
    <w:rPr>
      <w:rFonts w:ascii="Segoe UI" w:hAnsi="Segoe UI" w:cs="Segoe UI"/>
      <w:sz w:val="18"/>
      <w:szCs w:val="18"/>
    </w:rPr>
  </w:style>
  <w:style w:type="character" w:customStyle="1" w:styleId="BalloonTextChar">
    <w:name w:val="Balloon Text Char"/>
    <w:basedOn w:val="DefaultParagraphFont"/>
    <w:link w:val="BalloonText"/>
    <w:rsid w:val="00F11823"/>
    <w:rPr>
      <w:rFonts w:ascii="Segoe UI" w:hAnsi="Segoe UI" w:cs="Segoe UI"/>
      <w:sz w:val="18"/>
      <w:szCs w:val="18"/>
      <w:lang w:val="et-EE"/>
    </w:rPr>
  </w:style>
  <w:style w:type="character" w:styleId="FollowedHyperlink">
    <w:name w:val="FollowedHyperlink"/>
    <w:basedOn w:val="DefaultParagraphFont"/>
    <w:rsid w:val="00626CD1"/>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95421">
      <w:bodyDiv w:val="1"/>
      <w:marLeft w:val="0"/>
      <w:marRight w:val="0"/>
      <w:marTop w:val="0"/>
      <w:marBottom w:val="0"/>
      <w:divBdr>
        <w:top w:val="none" w:sz="0" w:space="0" w:color="auto"/>
        <w:left w:val="none" w:sz="0" w:space="0" w:color="auto"/>
        <w:bottom w:val="none" w:sz="0" w:space="0" w:color="auto"/>
        <w:right w:val="none" w:sz="0" w:space="0" w:color="auto"/>
      </w:divBdr>
    </w:div>
    <w:div w:id="7287272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6CE8A96-9D8C-4714-B232-20EC529ED7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Pages>
  <Words>1667</Words>
  <Characters>11659</Characters>
  <Application>Microsoft Office Word</Application>
  <DocSecurity>0</DocSecurity>
  <Lines>97</Lines>
  <Paragraphs>26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13300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LEPLER Laura</dc:creator>
  <cp:keywords/>
  <cp:lastModifiedBy>HIRV Joel</cp:lastModifiedBy>
  <cp:revision>2</cp:revision>
  <cp:lastPrinted>2004-11-19T15:42:00Z</cp:lastPrinted>
  <dcterms:created xsi:type="dcterms:W3CDTF">2024-09-18T12:48:00Z</dcterms:created>
  <dcterms:modified xsi:type="dcterms:W3CDTF">2024-09-18T12:48:00Z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B10-0020/2024</vt:lpwstr>
  </property>
  <property fmtid="{D5CDD505-2E9C-101B-9397-08002B2CF9AE}" pid="4" name="&lt;Type&gt;">
    <vt:lpwstr>RR</vt:lpwstr>
  </property>
</Properties>
</file>