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4C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4C9B" w:rsidRDefault="00DB4F53" w:rsidP="0010095E">
            <w:pPr>
              <w:pStyle w:val="EPName"/>
            </w:pPr>
            <w:bookmarkStart w:id="0" w:name="_GoBack"/>
            <w:bookmarkEnd w:id="0"/>
            <w:r w:rsidRPr="00014C9B">
              <w:t>Europski parlament</w:t>
            </w:r>
          </w:p>
          <w:p w:rsidR="00751A4A" w:rsidRPr="00014C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4C9B">
              <w:t>2024</w:t>
            </w:r>
            <w:r w:rsidR="00817416" w:rsidRPr="00014C9B">
              <w:t>-202</w:t>
            </w:r>
            <w:r w:rsidRPr="00014C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4C9B" w:rsidRDefault="00187494" w:rsidP="0010095E">
            <w:pPr>
              <w:pStyle w:val="EPLogo"/>
            </w:pPr>
            <w:r w:rsidRPr="00014C9B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4C9B" w:rsidRDefault="00D058B8" w:rsidP="004C5D52">
      <w:pPr>
        <w:pStyle w:val="LineTop"/>
      </w:pPr>
    </w:p>
    <w:p w:rsidR="00680577" w:rsidRPr="00014C9B" w:rsidRDefault="00DB4F53" w:rsidP="00680577">
      <w:pPr>
        <w:pStyle w:val="EPBodyTA1"/>
      </w:pPr>
      <w:r w:rsidRPr="00014C9B">
        <w:t>USVOJENI TEKSTOVI</w:t>
      </w:r>
    </w:p>
    <w:p w:rsidR="00D058B8" w:rsidRPr="00014C9B" w:rsidRDefault="00D058B8" w:rsidP="00D058B8">
      <w:pPr>
        <w:pStyle w:val="LineBottom"/>
      </w:pPr>
    </w:p>
    <w:p w:rsidR="00DB4F53" w:rsidRPr="00014C9B" w:rsidRDefault="00DB4F53" w:rsidP="00DB4F53">
      <w:pPr>
        <w:pStyle w:val="ATHeading1"/>
      </w:pPr>
      <w:bookmarkStart w:id="1" w:name="TANumber"/>
      <w:r w:rsidRPr="00014C9B">
        <w:t>P10_TA(2024)000</w:t>
      </w:r>
      <w:r w:rsidR="00EB3FDC">
        <w:t>6</w:t>
      </w:r>
      <w:bookmarkEnd w:id="1"/>
    </w:p>
    <w:p w:rsidR="00DB4F53" w:rsidRPr="00014C9B" w:rsidRDefault="00DB4F53" w:rsidP="00DB4F53">
      <w:pPr>
        <w:pStyle w:val="ATHeading2"/>
      </w:pPr>
      <w:bookmarkStart w:id="2" w:name="title"/>
      <w:r w:rsidRPr="00014C9B">
        <w:t xml:space="preserve">Prigovor </w:t>
      </w:r>
      <w:r w:rsidR="009111CD">
        <w:t>na provedbeni akt</w:t>
      </w:r>
      <w:r w:rsidRPr="00014C9B">
        <w:t xml:space="preserve">: maksimalne razine ostataka za </w:t>
      </w:r>
      <w:proofErr w:type="spellStart"/>
      <w:r w:rsidRPr="00014C9B">
        <w:t>karbendazim</w:t>
      </w:r>
      <w:proofErr w:type="spellEnd"/>
      <w:r w:rsidRPr="00014C9B">
        <w:t xml:space="preserve"> i </w:t>
      </w:r>
      <w:proofErr w:type="spellStart"/>
      <w:r w:rsidRPr="00014C9B">
        <w:t>tiofanat</w:t>
      </w:r>
      <w:proofErr w:type="spellEnd"/>
      <w:r w:rsidRPr="00014C9B">
        <w:t>-metil</w:t>
      </w:r>
      <w:bookmarkEnd w:id="2"/>
    </w:p>
    <w:p w:rsidR="00DB4F53" w:rsidRPr="00014C9B" w:rsidRDefault="00DB4F53" w:rsidP="00DB4F53">
      <w:pPr>
        <w:rPr>
          <w:i/>
          <w:vanish/>
        </w:rPr>
      </w:pPr>
      <w:r w:rsidRPr="00014C9B">
        <w:rPr>
          <w:i/>
        </w:rPr>
        <w:fldChar w:fldCharType="begin"/>
      </w:r>
      <w:r w:rsidRPr="00014C9B">
        <w:rPr>
          <w:i/>
        </w:rPr>
        <w:instrText xml:space="preserve"> TC"(</w:instrText>
      </w:r>
      <w:bookmarkStart w:id="3" w:name="DocNumber"/>
      <w:r w:rsidRPr="00014C9B">
        <w:rPr>
          <w:i/>
        </w:rPr>
        <w:instrText>B10-0020/2024</w:instrText>
      </w:r>
      <w:bookmarkEnd w:id="3"/>
      <w:r w:rsidRPr="00014C9B">
        <w:rPr>
          <w:i/>
        </w:rPr>
        <w:instrText xml:space="preserve">)"\l3 \n&gt; \* MERGEFORMAT </w:instrText>
      </w:r>
      <w:r w:rsidRPr="00014C9B">
        <w:rPr>
          <w:i/>
        </w:rPr>
        <w:fldChar w:fldCharType="end"/>
      </w:r>
    </w:p>
    <w:p w:rsidR="00DB4F53" w:rsidRPr="00014C9B" w:rsidRDefault="00DB4F53" w:rsidP="00DB4F53">
      <w:pPr>
        <w:rPr>
          <w:vanish/>
        </w:rPr>
      </w:pPr>
      <w:bookmarkStart w:id="4" w:name="PE"/>
      <w:r w:rsidRPr="00014C9B">
        <w:rPr>
          <w:vanish/>
        </w:rPr>
        <w:t>PE763.090</w:t>
      </w:r>
      <w:bookmarkEnd w:id="4"/>
    </w:p>
    <w:p w:rsidR="00DB4F53" w:rsidRPr="00014C9B" w:rsidRDefault="00DB4F53" w:rsidP="00DB4F53">
      <w:pPr>
        <w:pStyle w:val="ATHeading3"/>
      </w:pPr>
      <w:bookmarkStart w:id="5" w:name="Sujet"/>
      <w:r w:rsidRPr="00014C9B">
        <w:t>Rezolu</w:t>
      </w:r>
      <w:r w:rsidR="00014C9B">
        <w:t>cija Europskog parlamenta od 18</w:t>
      </w:r>
      <w:r w:rsidRPr="00014C9B">
        <w:t xml:space="preserve">. </w:t>
      </w:r>
      <w:r w:rsidR="00014C9B">
        <w:t xml:space="preserve">rujna </w:t>
      </w:r>
      <w:r w:rsidRPr="00014C9B">
        <w:t xml:space="preserve">2024. o Nacrtu uredbe Komisije o izmjeni priloga II., III. i V. Uredbi (EZ) br. 396/2005 Europskog parlamenta i Vijeća u pogledu maksimalnih razina ostataka za </w:t>
      </w:r>
      <w:proofErr w:type="spellStart"/>
      <w:r w:rsidRPr="00014C9B">
        <w:t>benomil</w:t>
      </w:r>
      <w:proofErr w:type="spellEnd"/>
      <w:r w:rsidRPr="00014C9B">
        <w:t xml:space="preserve">, </w:t>
      </w:r>
      <w:proofErr w:type="spellStart"/>
      <w:r w:rsidRPr="00014C9B">
        <w:t>karbendazim</w:t>
      </w:r>
      <w:proofErr w:type="spellEnd"/>
      <w:r w:rsidRPr="00014C9B">
        <w:t xml:space="preserve"> i </w:t>
      </w:r>
      <w:proofErr w:type="spellStart"/>
      <w:r w:rsidRPr="00014C9B">
        <w:t>tiofanat</w:t>
      </w:r>
      <w:proofErr w:type="spellEnd"/>
      <w:r w:rsidRPr="00014C9B">
        <w:t xml:space="preserve">-metil u ili na određenim proizvodima </w:t>
      </w:r>
      <w:bookmarkStart w:id="6" w:name="References"/>
      <w:bookmarkEnd w:id="5"/>
      <w:r w:rsidRPr="00014C9B">
        <w:t>(D089819/05 – 2024/2758(RPS))</w:t>
      </w:r>
      <w:bookmarkEnd w:id="6"/>
    </w:p>
    <w:p w:rsidR="00A84619" w:rsidRPr="00014C9B" w:rsidRDefault="00A84619" w:rsidP="00A84619">
      <w:pPr>
        <w:pStyle w:val="EPComma"/>
      </w:pPr>
      <w:bookmarkStart w:id="7" w:name="TextBodyBegin"/>
      <w:bookmarkEnd w:id="7"/>
      <w:r w:rsidRPr="00014C9B">
        <w:rPr>
          <w:i/>
          <w:iCs/>
        </w:rPr>
        <w:t>Europski parlament</w:t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 xml:space="preserve">uzimajući u obzir Nacrt uredbe Komisije o izmjeni priloga II., III. i V. Uredbi (EZ) br. 396/2005 Europskog parlamenta i Vijeća u pogledu maksimalnih razina ostataka za </w:t>
      </w:r>
      <w:proofErr w:type="spellStart"/>
      <w:r w:rsidRPr="00014C9B">
        <w:t>benomil</w:t>
      </w:r>
      <w:proofErr w:type="spellEnd"/>
      <w:r w:rsidRPr="00014C9B">
        <w:t xml:space="preserve">, </w:t>
      </w:r>
      <w:proofErr w:type="spellStart"/>
      <w:r w:rsidRPr="00014C9B">
        <w:t>karbendazim</w:t>
      </w:r>
      <w:proofErr w:type="spellEnd"/>
      <w:r w:rsidRPr="00014C9B">
        <w:t xml:space="preserve"> i </w:t>
      </w:r>
      <w:proofErr w:type="spellStart"/>
      <w:r w:rsidRPr="00014C9B">
        <w:t>tiofanat</w:t>
      </w:r>
      <w:proofErr w:type="spellEnd"/>
      <w:r w:rsidRPr="00014C9B">
        <w:t>-metil u ili na određenim proizvodima (D089819/05),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Uredbu (EZ) br. 396/2005 Europskog parlamenta i Vijeća od 23. veljače 2005. o maksimalnim razinama ostataka pesticida u ili na hrani i hrani za životinje biljnog i životinjskog podrijetla i o izmjeni Direktive Vijeća 91/414/EEZ</w:t>
      </w:r>
      <w:r w:rsidRPr="00014C9B">
        <w:rPr>
          <w:vertAlign w:val="superscript"/>
        </w:rPr>
        <w:footnoteReference w:id="1"/>
      </w:r>
      <w:r w:rsidRPr="00014C9B">
        <w:t>, a posebno njezin članak 14. stavak 1. točku (a),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Uredbu (EZ) br. 1107/2009 Europskog parlamenta i Vijeća od 21. listopada 2009. o stavljanju na tržište sredstava za zaštitu bilja i stavljanju izvan snage direktiva Vijeća 79/117/EEZ i 91/414/EEZ</w:t>
      </w:r>
      <w:r w:rsidRPr="00014C9B">
        <w:rPr>
          <w:vertAlign w:val="superscript"/>
        </w:rPr>
        <w:footnoteReference w:id="2"/>
      </w:r>
      <w:r w:rsidRPr="00014C9B">
        <w:t>, a posebno njezin članak 4. stavak 1., članak 4. stavak 2. prvi podstavak točku (a) i točke 3.6.2., 3.6.4 i 3.6.5 Priloga II.,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Uredbu (EZ) br. 178/2002 Europskog parlamenta i Vijeća od 28. siječnja 2002. o utvrđivanju općih načela i uvjeta zakona o hrani, osnivanju Europske agencije za sigurnost hrane te utvrđivanju postupaka u područjima sigurnosti hrane</w:t>
      </w:r>
      <w:r w:rsidRPr="00014C9B">
        <w:rPr>
          <w:vertAlign w:val="superscript"/>
        </w:rPr>
        <w:footnoteReference w:id="3"/>
      </w:r>
      <w:r w:rsidRPr="00014C9B">
        <w:t>, a posebno njezin članak 5. stavak 1.,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članke 11., 13., 168. i 191. Ugovora o funkcioniranju Europske unije,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 xml:space="preserve">uzimajući u obzir obrazloženo mišljenje Europske agencije za sigurnost hrane (EFSA) </w:t>
      </w:r>
      <w:r w:rsidRPr="00014C9B">
        <w:lastRenderedPageBreak/>
        <w:t>usvojeno 5. srpnja 2021. i objavljeno 23. kolovoza 2021.</w:t>
      </w:r>
      <w:r w:rsidRPr="00014C9B">
        <w:rPr>
          <w:vertAlign w:val="superscript"/>
        </w:rPr>
        <w:footnoteReference w:id="4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ažurirano obrazloženo mišljenje EFSA-e, usvojeno 10. siječnja 2024. i objavljeno 20. veljače 2024.</w:t>
      </w:r>
      <w:r w:rsidRPr="00014C9B">
        <w:rPr>
          <w:rStyle w:val="FootnoteReference"/>
        </w:rPr>
        <w:footnoteReference w:id="5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zaključak stručne recenzije koji je EFSA usvojila 30. travnja 2010. i koji je objavljen 12. svibnja 2010.</w:t>
      </w:r>
      <w:r w:rsidRPr="00014C9B">
        <w:rPr>
          <w:vertAlign w:val="superscript"/>
        </w:rPr>
        <w:footnoteReference w:id="6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zaključak stručne recenzije koji je EFSA usvojila 8. prosinca 2017. i koji je objavljen 17. siječnja 2018.</w:t>
      </w:r>
      <w:r w:rsidRPr="00014C9B">
        <w:rPr>
          <w:vertAlign w:val="superscript"/>
        </w:rPr>
        <w:footnoteReference w:id="7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izjavu koju je EFSA usvojila 27. ožujka 2024., objavljenu 13. svibnja 2024.</w:t>
      </w:r>
      <w:r w:rsidRPr="00014C9B">
        <w:rPr>
          <w:vertAlign w:val="superscript"/>
        </w:rPr>
        <w:footnoteReference w:id="8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mišljenje koje je Odbor za procjenu rizika (RAC) pri Europskoj agenciji za kemikalije usvojio 5. prosinca 2019.</w:t>
      </w:r>
      <w:r w:rsidRPr="00014C9B">
        <w:rPr>
          <w:rStyle w:val="FootnoteReference"/>
        </w:rPr>
        <w:footnoteReference w:id="9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članak 5.a stavak 3. točku (b) i članak 5.a stavak 5. Odluke Vijeća 1999/468/EZ od 28. lipnja 1999. o utvrđivanju postupaka za izvršavanje provedbenih ovlasti dodijeljenih Komisiji</w:t>
      </w:r>
      <w:r w:rsidRPr="00014C9B">
        <w:rPr>
          <w:rStyle w:val="FootnoteReference"/>
        </w:rPr>
        <w:footnoteReference w:id="10"/>
      </w:r>
      <w:r w:rsidRPr="00014C9B">
        <w:t>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članak 115. stavke 2. i 3. te stavak 4. točku (c) Poslovnika,</w:t>
      </w:r>
    </w:p>
    <w:p w:rsidR="00A84619" w:rsidRPr="00014C9B" w:rsidRDefault="00A84619" w:rsidP="00A84619">
      <w:pPr>
        <w:pStyle w:val="NormalHanging12a"/>
      </w:pPr>
      <w:r w:rsidRPr="00014C9B">
        <w:t>–</w:t>
      </w:r>
      <w:r w:rsidRPr="00014C9B">
        <w:tab/>
        <w:t>uzimajući u obzir prijedlog rezolucije Odbora za okoliš, javno zdravlje i sigurnost hrane,</w:t>
      </w:r>
    </w:p>
    <w:p w:rsidR="00A84619" w:rsidRPr="00014C9B" w:rsidRDefault="00A84619" w:rsidP="00A84619">
      <w:pPr>
        <w:pStyle w:val="NormalHanging12a"/>
      </w:pPr>
      <w:r w:rsidRPr="00014C9B">
        <w:t>A.</w:t>
      </w:r>
      <w:r w:rsidRPr="00014C9B">
        <w:tab/>
        <w:t>budući da je jedan od temeljnih zahtjeva prosvjeda poljoprivrednika koji su se održali u prvoj polovici 2024. bilo pravedno i jednako postupanje s obzirom na proizvode uvezene iz trećih zemalja, za koje bi trebali vrijediti isti standardi kao i za proizvode proizvedene u Uniji;</w:t>
      </w:r>
    </w:p>
    <w:p w:rsidR="00A84619" w:rsidRPr="00014C9B" w:rsidRDefault="00A84619" w:rsidP="00A84619">
      <w:pPr>
        <w:pStyle w:val="NormalHanging12a"/>
      </w:pPr>
      <w:r w:rsidRPr="00014C9B">
        <w:t>B.</w:t>
      </w:r>
      <w:r w:rsidRPr="00014C9B">
        <w:tab/>
        <w:t xml:space="preserve">budući da bi donošenje Nacrta uredbe Komisije omogućilo nastavak uvoza u Uniju koji </w:t>
      </w:r>
      <w:r w:rsidRPr="00014C9B">
        <w:lastRenderedPageBreak/>
        <w:t>nije u skladu sa standardima koje poljoprivrednici Unije poštuju;</w:t>
      </w:r>
    </w:p>
    <w:p w:rsidR="00A84619" w:rsidRPr="00014C9B" w:rsidRDefault="00A84619" w:rsidP="00A84619">
      <w:pPr>
        <w:pStyle w:val="NormalHanging12a"/>
      </w:pPr>
      <w:r w:rsidRPr="00014C9B">
        <w:t>C.</w:t>
      </w:r>
      <w:r w:rsidRPr="00014C9B">
        <w:tab/>
        <w:t>budući da bi takva situacija poljoprivrednike Unije stavila u nepovoljan položaj u odnosu na konkurenciju;</w:t>
      </w:r>
    </w:p>
    <w:p w:rsidR="00A84619" w:rsidRPr="00014C9B" w:rsidRDefault="00A84619" w:rsidP="00A84619">
      <w:pPr>
        <w:pStyle w:val="NormalHanging12a"/>
      </w:pPr>
      <w:r w:rsidRPr="00014C9B">
        <w:t>D.</w:t>
      </w:r>
      <w:r w:rsidRPr="00014C9B">
        <w:tab/>
        <w:t xml:space="preserve">budući da je odobrenje za aktivnu tvar </w:t>
      </w:r>
      <w:proofErr w:type="spellStart"/>
      <w:r w:rsidRPr="00014C9B">
        <w:t>karbendazim</w:t>
      </w:r>
      <w:proofErr w:type="spellEnd"/>
      <w:r w:rsidRPr="00014C9B">
        <w:t xml:space="preserve"> isteklo 30. studenoga 2014. te da nije podnesen zahtjev za produljenje odobrenja;</w:t>
      </w:r>
    </w:p>
    <w:p w:rsidR="00A84619" w:rsidRPr="00014C9B" w:rsidRDefault="00A84619" w:rsidP="00A84619">
      <w:pPr>
        <w:pStyle w:val="NormalHanging12a"/>
      </w:pPr>
      <w:r w:rsidRPr="00014C9B">
        <w:t>E.</w:t>
      </w:r>
      <w:r w:rsidRPr="00014C9B">
        <w:tab/>
        <w:t xml:space="preserve">budući da </w:t>
      </w:r>
      <w:proofErr w:type="spellStart"/>
      <w:r w:rsidRPr="00014C9B">
        <w:t>karbendazim</w:t>
      </w:r>
      <w:proofErr w:type="spellEnd"/>
      <w:r w:rsidRPr="00014C9B">
        <w:t xml:space="preserve"> ispunjava kriterije za razvrstavanje kao </w:t>
      </w:r>
      <w:proofErr w:type="spellStart"/>
      <w:r w:rsidRPr="00014C9B">
        <w:t>mutagena</w:t>
      </w:r>
      <w:proofErr w:type="spellEnd"/>
      <w:r w:rsidRPr="00014C9B">
        <w:t xml:space="preserve"> tvar kategorije 1B i reproduktivno toksična tvar kategorije 1B u skladu s Uredbom (EZ) br. 1272/2008 Europskog parlamenta i Vijeća</w:t>
      </w:r>
      <w:r w:rsidRPr="00014C9B">
        <w:rPr>
          <w:rStyle w:val="FootnoteReference"/>
        </w:rPr>
        <w:footnoteReference w:id="11"/>
      </w:r>
      <w:r w:rsidRPr="00014C9B">
        <w:t xml:space="preserve"> i dva mjerila (P i T) dugotrajnosti, biološke </w:t>
      </w:r>
      <w:proofErr w:type="spellStart"/>
      <w:r w:rsidRPr="00014C9B">
        <w:t>kumulativnosti</w:t>
      </w:r>
      <w:proofErr w:type="spellEnd"/>
      <w:r w:rsidRPr="00014C9B">
        <w:t xml:space="preserve"> i toksičnosti (PBT) u skladu s točkom 3.7.2. Priloga II. Uredbi (EZ) br. 1107/2009;</w:t>
      </w:r>
    </w:p>
    <w:p w:rsidR="00A84619" w:rsidRPr="00014C9B" w:rsidRDefault="00A84619" w:rsidP="00A84619">
      <w:pPr>
        <w:pStyle w:val="NormalHanging12a"/>
      </w:pPr>
      <w:r w:rsidRPr="00014C9B">
        <w:t>F.</w:t>
      </w:r>
      <w:r w:rsidRPr="00014C9B">
        <w:tab/>
        <w:t xml:space="preserve">budući da je </w:t>
      </w:r>
      <w:proofErr w:type="spellStart"/>
      <w:r w:rsidRPr="00014C9B">
        <w:t>karbendazim</w:t>
      </w:r>
      <w:proofErr w:type="spellEnd"/>
      <w:r w:rsidRPr="00014C9B">
        <w:t xml:space="preserve"> također razvrstan u skladu s Uredbom (EZ) br. 1272/2008 kao vrlo otrovan za vodeni okoliš, da jest vrlo otrovan za vodeni okoliš s dugotrajnim učincima te da može uzrokovati alergijsku reakciju na koži;</w:t>
      </w:r>
    </w:p>
    <w:p w:rsidR="00A84619" w:rsidRPr="00014C9B" w:rsidRDefault="00A84619" w:rsidP="00A84619">
      <w:pPr>
        <w:pStyle w:val="NormalHanging12a"/>
      </w:pPr>
      <w:r w:rsidRPr="00014C9B">
        <w:t>G.</w:t>
      </w:r>
      <w:r w:rsidRPr="00014C9B">
        <w:tab/>
        <w:t xml:space="preserve">budući da je stoga, u skladu s člankom 14. stavkom 1. točkom (a) i člankom 17. Uredbe (EZ) br. 396/2005 primjereno izbrisati postojeće maksimalne razine ostataka (MRO) utvrđene za </w:t>
      </w:r>
      <w:proofErr w:type="spellStart"/>
      <w:r w:rsidRPr="00014C9B">
        <w:t>karbendazim</w:t>
      </w:r>
      <w:proofErr w:type="spellEnd"/>
      <w:r w:rsidRPr="00014C9B">
        <w:t xml:space="preserve"> u Prilogu II. toj uredbi;</w:t>
      </w:r>
    </w:p>
    <w:p w:rsidR="00A84619" w:rsidRPr="00014C9B" w:rsidRDefault="00A84619" w:rsidP="00A84619">
      <w:pPr>
        <w:pStyle w:val="NormalHanging12a"/>
      </w:pPr>
      <w:r w:rsidRPr="00014C9B">
        <w:t>H.</w:t>
      </w:r>
      <w:r w:rsidRPr="00014C9B">
        <w:tab/>
        <w:t xml:space="preserve">budući da Komisija u svojem Nacrtu uredbe ipak predlaže zadržavanje maksimalne razine ostataka utemeljenih na uvoznim </w:t>
      </w:r>
      <w:proofErr w:type="spellStart"/>
      <w:r w:rsidRPr="00014C9B">
        <w:t>tolerancama</w:t>
      </w:r>
      <w:proofErr w:type="spellEnd"/>
      <w:r w:rsidRPr="00014C9B">
        <w:t xml:space="preserve"> za </w:t>
      </w:r>
      <w:proofErr w:type="spellStart"/>
      <w:r w:rsidRPr="00014C9B">
        <w:t>karbendazim</w:t>
      </w:r>
      <w:proofErr w:type="spellEnd"/>
      <w:r w:rsidRPr="00014C9B">
        <w:t xml:space="preserve"> iznad granice određivanja za uporabu u limunima, </w:t>
      </w:r>
      <w:proofErr w:type="spellStart"/>
      <w:r w:rsidRPr="00014C9B">
        <w:t>limetama</w:t>
      </w:r>
      <w:proofErr w:type="spellEnd"/>
      <w:r w:rsidRPr="00014C9B">
        <w:t>, mandarinama i bamijama za potrebe uvoza na temelju obrazloženog mišljenja EFSA-e od 5. srpnja 2021.;</w:t>
      </w:r>
    </w:p>
    <w:p w:rsidR="00A84619" w:rsidRPr="00014C9B" w:rsidRDefault="00A84619" w:rsidP="00A84619">
      <w:pPr>
        <w:pStyle w:val="NormalHanging12a"/>
      </w:pPr>
      <w:r w:rsidRPr="00014C9B">
        <w:t>I.</w:t>
      </w:r>
      <w:r w:rsidRPr="00014C9B">
        <w:tab/>
        <w:t xml:space="preserve">budući da Komisija u svojem Nacrtu uredbe predlaže zadržavanje maksimalne razine ostataka utemeljenih na uvoznim </w:t>
      </w:r>
      <w:proofErr w:type="spellStart"/>
      <w:r w:rsidRPr="00014C9B">
        <w:t>tolerancama</w:t>
      </w:r>
      <w:proofErr w:type="spellEnd"/>
      <w:r w:rsidRPr="00014C9B">
        <w:t xml:space="preserve"> za limune, </w:t>
      </w:r>
      <w:proofErr w:type="spellStart"/>
      <w:r w:rsidRPr="00014C9B">
        <w:t>limete</w:t>
      </w:r>
      <w:proofErr w:type="spellEnd"/>
      <w:r w:rsidRPr="00014C9B">
        <w:t xml:space="preserve"> i mandarine na postojećim razinama od 0,7 mg/kg te utvrđivanje maksimalne razine ostataka za bamije na novoj razini od 1,5 mg/kg koju je odredila EFSA; </w:t>
      </w:r>
    </w:p>
    <w:p w:rsidR="00A84619" w:rsidRPr="00014C9B" w:rsidRDefault="00A84619" w:rsidP="00A84619">
      <w:pPr>
        <w:pStyle w:val="NormalHanging12a"/>
      </w:pPr>
      <w:r w:rsidRPr="00014C9B">
        <w:t>J.</w:t>
      </w:r>
      <w:r w:rsidRPr="00014C9B">
        <w:tab/>
        <w:t xml:space="preserve">budući da odobrenje za aktivnu tvar </w:t>
      </w:r>
      <w:proofErr w:type="spellStart"/>
      <w:r w:rsidRPr="00014C9B">
        <w:t>tiofanat</w:t>
      </w:r>
      <w:proofErr w:type="spellEnd"/>
      <w:r w:rsidRPr="00014C9B">
        <w:t>-metil nije produljeno 15. listopada 2020. nakon što je podnositelj zahtjeva povukao zahtjev za produljenje;</w:t>
      </w:r>
    </w:p>
    <w:p w:rsidR="00A84619" w:rsidRPr="00014C9B" w:rsidRDefault="00A84619" w:rsidP="00A84619">
      <w:pPr>
        <w:pStyle w:val="NormalHanging12a"/>
      </w:pPr>
      <w:r w:rsidRPr="00014C9B">
        <w:t>K.</w:t>
      </w:r>
      <w:r w:rsidRPr="00014C9B">
        <w:tab/>
        <w:t xml:space="preserve">budući da </w:t>
      </w:r>
      <w:proofErr w:type="spellStart"/>
      <w:r w:rsidRPr="00014C9B">
        <w:t>tiofanat</w:t>
      </w:r>
      <w:proofErr w:type="spellEnd"/>
      <w:r w:rsidRPr="00014C9B">
        <w:t xml:space="preserve">-metil ispunjava kriterije za razvrstavanje tvari kao </w:t>
      </w:r>
      <w:proofErr w:type="spellStart"/>
      <w:r w:rsidRPr="00014C9B">
        <w:t>mutagena</w:t>
      </w:r>
      <w:proofErr w:type="spellEnd"/>
      <w:r w:rsidRPr="00014C9B">
        <w:t xml:space="preserve"> tvar 2. kategorije i reproduktivno toksična tvar 2. kategorije u skladu s Uredbom (EZ) br. 1272/2008</w:t>
      </w:r>
      <w:r w:rsidRPr="00014C9B">
        <w:rPr>
          <w:rStyle w:val="FootnoteReference"/>
        </w:rPr>
        <w:footnoteReference w:id="12"/>
      </w:r>
      <w:r w:rsidRPr="00014C9B">
        <w:t>;</w:t>
      </w:r>
    </w:p>
    <w:p w:rsidR="00A84619" w:rsidRPr="00014C9B" w:rsidRDefault="00A84619" w:rsidP="00A84619">
      <w:pPr>
        <w:pStyle w:val="NormalHanging12a"/>
      </w:pPr>
      <w:r w:rsidRPr="00014C9B">
        <w:t>L.</w:t>
      </w:r>
      <w:r w:rsidRPr="00014C9B">
        <w:tab/>
        <w:t xml:space="preserve">budući da je EFSA u svojem ažuriranom obrazloženom mišljenju od 10. siječnja 2024. utvrdila da je </w:t>
      </w:r>
      <w:proofErr w:type="spellStart"/>
      <w:r w:rsidRPr="00014C9B">
        <w:t>tiofanat</w:t>
      </w:r>
      <w:proofErr w:type="spellEnd"/>
      <w:r w:rsidRPr="00014C9B">
        <w:t xml:space="preserve">-metil endokrini </w:t>
      </w:r>
      <w:proofErr w:type="spellStart"/>
      <w:r w:rsidRPr="00014C9B">
        <w:t>disruptor</w:t>
      </w:r>
      <w:proofErr w:type="spellEnd"/>
      <w:r w:rsidRPr="00014C9B">
        <w:t xml:space="preserve"> (T modalitet) relevantan za ljude u skladu sa znanstvenim kriterijima za određivanje svojstava endokrine </w:t>
      </w:r>
      <w:proofErr w:type="spellStart"/>
      <w:r w:rsidRPr="00014C9B">
        <w:t>disrupcije</w:t>
      </w:r>
      <w:proofErr w:type="spellEnd"/>
      <w:r w:rsidRPr="00014C9B">
        <w:t xml:space="preserve"> </w:t>
      </w:r>
      <w:r w:rsidRPr="00014C9B">
        <w:lastRenderedPageBreak/>
        <w:t>utvrđenima u Uredbi Komisije (EU) 2018/605</w:t>
      </w:r>
      <w:r w:rsidRPr="00014C9B">
        <w:rPr>
          <w:rStyle w:val="FootnoteReference"/>
        </w:rPr>
        <w:footnoteReference w:id="13"/>
      </w:r>
      <w:r w:rsidRPr="00014C9B">
        <w:t>;</w:t>
      </w:r>
    </w:p>
    <w:p w:rsidR="00A84619" w:rsidRPr="00014C9B" w:rsidRDefault="00A84619" w:rsidP="00A84619">
      <w:pPr>
        <w:pStyle w:val="NormalHanging12a"/>
      </w:pPr>
      <w:r w:rsidRPr="00014C9B">
        <w:t>M.</w:t>
      </w:r>
      <w:r w:rsidRPr="00014C9B">
        <w:tab/>
        <w:t xml:space="preserve">budući da je </w:t>
      </w:r>
      <w:proofErr w:type="spellStart"/>
      <w:r w:rsidRPr="00014C9B">
        <w:t>karbendazim</w:t>
      </w:r>
      <w:proofErr w:type="spellEnd"/>
      <w:r w:rsidRPr="00014C9B">
        <w:t xml:space="preserve"> važan biljni metabolit </w:t>
      </w:r>
      <w:proofErr w:type="spellStart"/>
      <w:r w:rsidRPr="00014C9B">
        <w:t>tiofanat</w:t>
      </w:r>
      <w:proofErr w:type="spellEnd"/>
      <w:r w:rsidRPr="00014C9B">
        <w:t>-metila;</w:t>
      </w:r>
    </w:p>
    <w:p w:rsidR="00A84619" w:rsidRPr="00014C9B" w:rsidRDefault="00A84619" w:rsidP="00A84619">
      <w:pPr>
        <w:pStyle w:val="NormalHanging12a"/>
      </w:pPr>
      <w:r w:rsidRPr="00014C9B">
        <w:t>N.</w:t>
      </w:r>
      <w:r w:rsidRPr="00014C9B">
        <w:tab/>
        <w:t xml:space="preserve">budući da u zaključku EFSA-e o stručnoj recenziji o pesticidima od 8. prosinca 2017. stoji da se, s obzirom na </w:t>
      </w:r>
      <w:proofErr w:type="spellStart"/>
      <w:r w:rsidRPr="00014C9B">
        <w:t>klastogeni</w:t>
      </w:r>
      <w:proofErr w:type="spellEnd"/>
      <w:r w:rsidRPr="00014C9B">
        <w:t xml:space="preserve"> potencijal </w:t>
      </w:r>
      <w:proofErr w:type="spellStart"/>
      <w:r w:rsidRPr="00014C9B">
        <w:t>tiofanat</w:t>
      </w:r>
      <w:proofErr w:type="spellEnd"/>
      <w:r w:rsidRPr="00014C9B">
        <w:noBreakHyphen/>
        <w:t>metila, ne mogu izvesti toksikološke referentne vrijednosti za procjenu rizika za potrošača i radnika;</w:t>
      </w:r>
    </w:p>
    <w:p w:rsidR="00A84619" w:rsidRPr="00014C9B" w:rsidRDefault="00A84619" w:rsidP="00A84619">
      <w:pPr>
        <w:pStyle w:val="NormalHanging12a"/>
      </w:pPr>
      <w:r w:rsidRPr="00014C9B">
        <w:t>O.</w:t>
      </w:r>
      <w:r w:rsidRPr="00014C9B">
        <w:tab/>
        <w:t xml:space="preserve">budući da je Komisija 2024. snizila maksimalne razine ostataka za </w:t>
      </w:r>
      <w:proofErr w:type="spellStart"/>
      <w:r w:rsidRPr="00014C9B">
        <w:t>tiakloprid</w:t>
      </w:r>
      <w:proofErr w:type="spellEnd"/>
      <w:r w:rsidRPr="00014C9B">
        <w:t>, aktivnu tvar razvrstanu kao reproduktivno toksična tvar 1B kategorije, na relevantnu granicu određivanja tvrdeći da je „dok Agencija ne završi tu dodatnu procjenu rizika [o učincima povezanima s endokrinim sustavom] i s obzirom na dostupne relevantne informacije o potencijalno štetnim učincima na zdravlje ljudi, primjereno [...] privremeno smanjiti maksimalnu razinu ostataka... [za te proizvode]”</w:t>
      </w:r>
      <w:r w:rsidRPr="00014C9B">
        <w:rPr>
          <w:rStyle w:val="FootnoteReference"/>
        </w:rPr>
        <w:footnoteReference w:id="14"/>
      </w:r>
      <w:r w:rsidRPr="00014C9B">
        <w:t>;</w:t>
      </w:r>
    </w:p>
    <w:p w:rsidR="00A84619" w:rsidRPr="00014C9B" w:rsidRDefault="00A84619" w:rsidP="00A84619">
      <w:pPr>
        <w:pStyle w:val="NormalHanging12a"/>
      </w:pPr>
      <w:r w:rsidRPr="00014C9B">
        <w:t>P.</w:t>
      </w:r>
      <w:r w:rsidRPr="00014C9B">
        <w:tab/>
        <w:t xml:space="preserve">budući da je stoga, u skladu s člankom 14. stavkom 1. točkom (a) i člankom 17. Uredbe (EZ) br. 396/2005 primjereno izbrisati postojeće maksimalne razine ostataka utvrđene za </w:t>
      </w:r>
      <w:proofErr w:type="spellStart"/>
      <w:r w:rsidRPr="00014C9B">
        <w:t>tiofanat</w:t>
      </w:r>
      <w:proofErr w:type="spellEnd"/>
      <w:r w:rsidRPr="00014C9B">
        <w:t>-metil u Prilogu II. te uredbe;</w:t>
      </w:r>
    </w:p>
    <w:p w:rsidR="00A84619" w:rsidRPr="00014C9B" w:rsidRDefault="00A84619" w:rsidP="00A84619">
      <w:pPr>
        <w:pStyle w:val="NormalHanging12a"/>
      </w:pPr>
      <w:r w:rsidRPr="00014C9B">
        <w:t>Q.</w:t>
      </w:r>
      <w:r w:rsidRPr="00014C9B">
        <w:tab/>
        <w:t xml:space="preserve">budući da Komisija u Nacrtu uredbe ipak predlaže zadržavanje maksimalne razine ostataka utemeljenih na uvoznim </w:t>
      </w:r>
      <w:proofErr w:type="spellStart"/>
      <w:r w:rsidRPr="00014C9B">
        <w:t>tolerancama</w:t>
      </w:r>
      <w:proofErr w:type="spellEnd"/>
      <w:r w:rsidRPr="00014C9B">
        <w:t xml:space="preserve"> za </w:t>
      </w:r>
      <w:proofErr w:type="spellStart"/>
      <w:r w:rsidRPr="00014C9B">
        <w:t>tiofanat</w:t>
      </w:r>
      <w:proofErr w:type="spellEnd"/>
      <w:r w:rsidRPr="00014C9B">
        <w:t xml:space="preserve">-metil iznad granice određivanja za uporabu u </w:t>
      </w:r>
      <w:proofErr w:type="spellStart"/>
      <w:r w:rsidRPr="00014C9B">
        <w:t>limetama</w:t>
      </w:r>
      <w:proofErr w:type="spellEnd"/>
      <w:r w:rsidRPr="00014C9B">
        <w:t xml:space="preserve"> i bamijama za potrebe uvoza na temelju obrazloženog mišljenja EFSA-e od 5. srpnja 2021.; budući da je maksimalna razina ostataka za </w:t>
      </w:r>
      <w:proofErr w:type="spellStart"/>
      <w:r w:rsidRPr="00014C9B">
        <w:t>tiofanat</w:t>
      </w:r>
      <w:proofErr w:type="spellEnd"/>
      <w:r w:rsidRPr="00014C9B">
        <w:t xml:space="preserve">-metil na </w:t>
      </w:r>
      <w:proofErr w:type="spellStart"/>
      <w:r w:rsidRPr="00014C9B">
        <w:t>limetama</w:t>
      </w:r>
      <w:proofErr w:type="spellEnd"/>
      <w:r w:rsidRPr="00014C9B">
        <w:t xml:space="preserve"> utvrđena na razini od 6 mg/kg, što je 600 puta više od granice određivanja;</w:t>
      </w:r>
    </w:p>
    <w:p w:rsidR="00A84619" w:rsidRPr="00014C9B" w:rsidRDefault="00A84619" w:rsidP="00A84619">
      <w:pPr>
        <w:pStyle w:val="NormalHanging12a"/>
      </w:pPr>
      <w:r w:rsidRPr="00014C9B">
        <w:t>R.</w:t>
      </w:r>
      <w:r w:rsidRPr="00014C9B">
        <w:tab/>
        <w:t xml:space="preserve">budući da se u uvodnoj izjavi 5. Uredbe (EZ) br. 396/2005 predviđa da ostaci ne bi trebali biti prisutni na razinama koje predstavljaju neprihvatljiv rizik za ljude i, prema potrebi, životinje; </w:t>
      </w:r>
    </w:p>
    <w:p w:rsidR="00A84619" w:rsidRPr="00014C9B" w:rsidRDefault="00A84619" w:rsidP="00A84619">
      <w:pPr>
        <w:pStyle w:val="NormalHanging12a"/>
      </w:pPr>
      <w:r w:rsidRPr="00014C9B">
        <w:t>S.</w:t>
      </w:r>
      <w:r w:rsidRPr="00014C9B">
        <w:tab/>
        <w:t xml:space="preserve">budući da se člankom 4. stavkom 2. drugim podstavkom točkom (a) Uredbe (EZ) br. 1107/2009 predviđa da ostaci sredstava za zaštitu bilja ne smiju imati štetne učinke na zdravlje ljudi, uključujući ranjive skupine, ili zdravlje životinja, uzimajući u obzir poznate kumulativne i sinergijske učinke; budući da se točkom 3.6.2. Priloga II. toj Uredbi predviđa da se aktivna tvar neće odobriti ako je u skladu s Uredbom (EZ) br. 1272/2008 razvrstana kao </w:t>
      </w:r>
      <w:proofErr w:type="spellStart"/>
      <w:r w:rsidRPr="00014C9B">
        <w:t>mutagen</w:t>
      </w:r>
      <w:proofErr w:type="spellEnd"/>
      <w:r w:rsidRPr="00014C9B">
        <w:t xml:space="preserve"> kategorije 1A ili 1B; budući da je točkom 3.6.4. tog priloga predviđeno da se aktivna tvar razvrstana u skladu s Uredbom (EZ) br. 1272/2008 kao reproduktivno toksična tvar kategorije 1A ili 1B odobrava samo ako „ostaci dotične aktivne tvari [...] u hrani i hrani za životinje ne prelaze standardne vrijednosti utvrđene prema točki (b) članka 18. stavka 1. Uredbe (EZ) br. 396/2005”; budući da je točkom 3.6.5. tog priloga predviđeno da aktivna tvar neće odobriti ako ima </w:t>
      </w:r>
      <w:proofErr w:type="spellStart"/>
      <w:r w:rsidRPr="00014C9B">
        <w:t>endoktrino</w:t>
      </w:r>
      <w:proofErr w:type="spellEnd"/>
      <w:r w:rsidRPr="00014C9B">
        <w:t xml:space="preserve"> </w:t>
      </w:r>
      <w:proofErr w:type="spellStart"/>
      <w:r w:rsidRPr="00014C9B">
        <w:t>disruptivna</w:t>
      </w:r>
      <w:proofErr w:type="spellEnd"/>
      <w:r w:rsidRPr="00014C9B">
        <w:t xml:space="preserve"> svojstva, osim ako „ostaci dotične aktivne tvari [...] u hrani i hrani za životinje ne prelaze standardne vrijednosti utvrđene prema točki (b) članka 18. stavka 1. Uredbe (EZ) br. 396/2005”; budući da je člankom 18. stavkom 1. točkom (b) Uredbe (EZ) br. 396/2005 utvrđena standardna vrijednost od 0,01 mg/kg;</w:t>
      </w:r>
    </w:p>
    <w:p w:rsidR="00A84619" w:rsidRPr="00014C9B" w:rsidRDefault="00A84619" w:rsidP="00A84619">
      <w:pPr>
        <w:pStyle w:val="NormalHanging12a"/>
      </w:pPr>
      <w:r w:rsidRPr="00014C9B">
        <w:lastRenderedPageBreak/>
        <w:t>T.</w:t>
      </w:r>
      <w:r w:rsidRPr="00014C9B">
        <w:tab/>
        <w:t xml:space="preserve">budući da se člankom 3. stavkom 2. točkom (g) Uredbe (EZ) br. 396/2005 predviđa da je uvozna </w:t>
      </w:r>
      <w:proofErr w:type="spellStart"/>
      <w:r w:rsidRPr="00014C9B">
        <w:t>toleranca</w:t>
      </w:r>
      <w:proofErr w:type="spellEnd"/>
      <w:r w:rsidRPr="00014C9B">
        <w:t xml:space="preserve"> maksimalna razina ostataka utvrđena za uvezene proizvode ako „uporaba aktivnih tvari u sredstvu za zaštitu bilja na određenom proizvodu nije odobrena u Zajednici iz razloga koji su drugačiji od razloga javnog zdravlja za određeni proizvod i određenu uporabu”; budući da </w:t>
      </w:r>
      <w:proofErr w:type="spellStart"/>
      <w:r w:rsidRPr="00014C9B">
        <w:t>karbendazim</w:t>
      </w:r>
      <w:proofErr w:type="spellEnd"/>
      <w:r w:rsidRPr="00014C9B">
        <w:t xml:space="preserve"> ne ispunjava te kriterije jer više ne može biti odobren u Uniji zbog njegove klasifikacije kao </w:t>
      </w:r>
      <w:proofErr w:type="spellStart"/>
      <w:r w:rsidRPr="00014C9B">
        <w:t>mutagene</w:t>
      </w:r>
      <w:proofErr w:type="spellEnd"/>
      <w:r w:rsidRPr="00014C9B">
        <w:t xml:space="preserve"> tvari kategorije 1B i reproduktivno toksične tvari kategorije 1B; budući da </w:t>
      </w:r>
      <w:proofErr w:type="spellStart"/>
      <w:r w:rsidRPr="00014C9B">
        <w:t>tiofanat</w:t>
      </w:r>
      <w:proofErr w:type="spellEnd"/>
      <w:r w:rsidRPr="00014C9B">
        <w:t xml:space="preserve">-metil također ne ispunjava te kriterije jer je utvrđen kao endokrini </w:t>
      </w:r>
      <w:proofErr w:type="spellStart"/>
      <w:r w:rsidRPr="00014C9B">
        <w:t>disruptor</w:t>
      </w:r>
      <w:proofErr w:type="spellEnd"/>
      <w:r w:rsidRPr="00014C9B">
        <w:t xml:space="preserve"> (T modalitet) relevantan za ljude u skladu sa znanstvenim kriterijima za određivanje svojstava endokrine </w:t>
      </w:r>
      <w:proofErr w:type="spellStart"/>
      <w:r w:rsidRPr="00014C9B">
        <w:t>disrupcije</w:t>
      </w:r>
      <w:proofErr w:type="spellEnd"/>
      <w:r w:rsidRPr="00014C9B">
        <w:t xml:space="preserve"> utvrđenima u Uredbi (EU) 2018/605;</w:t>
      </w:r>
    </w:p>
    <w:p w:rsidR="00A84619" w:rsidRPr="00014C9B" w:rsidRDefault="00A84619" w:rsidP="00A84619">
      <w:pPr>
        <w:pStyle w:val="NormalHanging12a"/>
      </w:pPr>
      <w:r w:rsidRPr="00014C9B">
        <w:t>U.</w:t>
      </w:r>
      <w:r w:rsidRPr="00014C9B">
        <w:tab/>
        <w:t>budući da se člankom 5. stavkom 1. Uredbe (EZ) br. 178/2002 određuje da se propisima o hrani ostvaruju jedan ili više općih ciljeva visoke razine zaštite života i zdravlja ljudi te zaštite interesa potrošača, uključujući pravednu praksu u trgovini hranom, uzimajući u obzir, tamo gdje je to moguće, zaštitu zdravlja i dobrobit životinja, zdravlje biljaka i okoliš;</w:t>
      </w:r>
    </w:p>
    <w:p w:rsidR="00A84619" w:rsidRPr="00014C9B" w:rsidRDefault="00A84619" w:rsidP="00A84619">
      <w:pPr>
        <w:pStyle w:val="NormalHanging12a"/>
      </w:pPr>
      <w:r w:rsidRPr="00014C9B">
        <w:t>V.</w:t>
      </w:r>
      <w:r w:rsidRPr="00014C9B">
        <w:tab/>
        <w:t>budući da je Komisija u svojoj komunikaciji od 20. svibnja 2020. naslovljenoj „Strategija „od polja do stola” za pravedan, zdrav i ekološki prihvatljiv prehrambeni sustav”</w:t>
      </w:r>
      <w:r w:rsidRPr="00014C9B">
        <w:rPr>
          <w:vertAlign w:val="superscript"/>
        </w:rPr>
        <w:footnoteReference w:id="15"/>
      </w:r>
      <w:r w:rsidRPr="00014C9B">
        <w:t xml:space="preserve"> objavila da će „EU u skladu s ciljevima ove strategije i ciljevima održivog razvoja podupirati globalni prelazak na održive poljoprivredno-prehrambene sustave” i da „EU može imati ključnu ulogu u utvrđivanju globalnih standarda”; budući da je Komisija u strategiji izričito navela kako „[da] bi se povećala održivost </w:t>
      </w:r>
      <w:proofErr w:type="spellStart"/>
      <w:r w:rsidRPr="00014C9B">
        <w:t>Unijina</w:t>
      </w:r>
      <w:proofErr w:type="spellEnd"/>
      <w:r w:rsidRPr="00014C9B">
        <w:t xml:space="preserve"> prehrambenog sustava, i prakse naših trgovinskih partnera moraju postajati sve održivije. U cilju promicanja postupnog prelaska na upotrebu sigurnijih sredstava za zaštitu bilja, EU će razmotriti, u skladu s pravilima WTO-a i nakon procjene rizika, preispitivanje uvoznih </w:t>
      </w:r>
      <w:proofErr w:type="spellStart"/>
      <w:r w:rsidRPr="00014C9B">
        <w:t>toleranci</w:t>
      </w:r>
      <w:proofErr w:type="spellEnd"/>
      <w:r w:rsidRPr="00014C9B">
        <w:t xml:space="preserve"> za tvari koje ispunjavaju „granične kriterije” i predstavljaju visok stupanj rizika za ljudsko zdravlje”;</w:t>
      </w:r>
    </w:p>
    <w:p w:rsidR="00A84619" w:rsidRPr="00014C9B" w:rsidRDefault="00A84619" w:rsidP="00A84619">
      <w:pPr>
        <w:pStyle w:val="NormalHanging12a"/>
      </w:pPr>
      <w:r w:rsidRPr="00014C9B">
        <w:t>W.</w:t>
      </w:r>
      <w:r w:rsidRPr="00014C9B">
        <w:tab/>
        <w:t>budući da Komisija mora zaštititi okoliš i europske građane na temelju dostupnih znanstvenih informacija, koristeći se obvezama i pravnim mogućnostima koje su predviđene Uredbom (EZ) br. 396/2005 i Uredbom (EZ) br. 178/2002 kako bi se osigurala visoka razina zaštite zdravlja ljudi i životinja te okoliša;</w:t>
      </w:r>
    </w:p>
    <w:p w:rsidR="00A84619" w:rsidRPr="00014C9B" w:rsidRDefault="00A84619" w:rsidP="00A84619">
      <w:pPr>
        <w:pStyle w:val="NormalHanging12a"/>
      </w:pPr>
      <w:r w:rsidRPr="00014C9B">
        <w:t>X.</w:t>
      </w:r>
      <w:r w:rsidRPr="00014C9B">
        <w:tab/>
        <w:t>budući da predložene maksimalne razine ostataka ne štite zdravlje europskih građana te su stoga u suprotnosti s Uredbom (EZ) br. 396/2005 i Uredbom (EZ) br. 178/2002;</w:t>
      </w:r>
    </w:p>
    <w:p w:rsidR="00A84619" w:rsidRPr="00014C9B" w:rsidRDefault="00A84619" w:rsidP="00A84619">
      <w:pPr>
        <w:pStyle w:val="NormalHanging12a"/>
      </w:pPr>
      <w:r w:rsidRPr="00014C9B">
        <w:t xml:space="preserve">Y. </w:t>
      </w:r>
      <w:r w:rsidRPr="00014C9B">
        <w:tab/>
        <w:t xml:space="preserve">budući da ne bi trebalo određivati maksimalne razine ostataka za aktivne tvari koje nisu odobrene u Uniji zbog zdravstvenih pitanja; budući da stoga ne bi trebalo utvrditi uvozne </w:t>
      </w:r>
      <w:proofErr w:type="spellStart"/>
      <w:r w:rsidRPr="00014C9B">
        <w:t>tolerance</w:t>
      </w:r>
      <w:proofErr w:type="spellEnd"/>
      <w:r w:rsidRPr="00014C9B">
        <w:t xml:space="preserve"> za </w:t>
      </w:r>
      <w:proofErr w:type="spellStart"/>
      <w:r w:rsidRPr="00014C9B">
        <w:t>tiofanat</w:t>
      </w:r>
      <w:proofErr w:type="spellEnd"/>
      <w:r w:rsidRPr="00014C9B">
        <w:t xml:space="preserve">-metil jer je utvrđen kao </w:t>
      </w:r>
      <w:proofErr w:type="spellStart"/>
      <w:r w:rsidRPr="00014C9B">
        <w:t>endoktrini</w:t>
      </w:r>
      <w:proofErr w:type="spellEnd"/>
      <w:r w:rsidRPr="00014C9B">
        <w:t xml:space="preserve"> </w:t>
      </w:r>
      <w:proofErr w:type="spellStart"/>
      <w:r w:rsidRPr="00014C9B">
        <w:t>disruptor</w:t>
      </w:r>
      <w:proofErr w:type="spellEnd"/>
      <w:r w:rsidRPr="00014C9B">
        <w:t xml:space="preserve"> ili za </w:t>
      </w:r>
      <w:proofErr w:type="spellStart"/>
      <w:r w:rsidRPr="00014C9B">
        <w:t>karbendazim</w:t>
      </w:r>
      <w:proofErr w:type="spellEnd"/>
      <w:r w:rsidRPr="00014C9B">
        <w:t xml:space="preserve"> jer je razvrstan kao </w:t>
      </w:r>
      <w:proofErr w:type="spellStart"/>
      <w:r w:rsidRPr="00014C9B">
        <w:t>mutagena</w:t>
      </w:r>
      <w:proofErr w:type="spellEnd"/>
      <w:r w:rsidRPr="00014C9B">
        <w:t xml:space="preserve"> tvar kategorije 1B i kao reproduktivno toksična tvar kategorije 1B</w:t>
      </w:r>
      <w:r w:rsidR="009111CD">
        <w:t>;</w:t>
      </w:r>
    </w:p>
    <w:p w:rsidR="00A84619" w:rsidRPr="00014C9B" w:rsidRDefault="00A84619" w:rsidP="00A84619">
      <w:pPr>
        <w:pStyle w:val="NormalHanging12a"/>
      </w:pPr>
      <w:r w:rsidRPr="00014C9B">
        <w:t>Z.</w:t>
      </w:r>
      <w:r w:rsidRPr="00014C9B">
        <w:tab/>
        <w:t xml:space="preserve">budući da se praksom utvrđivanja visokih maksimalnih razina ostataka promiče dvostruki standard koji se primjenjuje na poljoprivrednike iz Unije i poljoprivrednike iz trećih zemlja jer poljoprivrednici izvan Unije mogu nastaviti proizvoditi predmetnu hranu upotrebom </w:t>
      </w:r>
      <w:proofErr w:type="spellStart"/>
      <w:r w:rsidRPr="00014C9B">
        <w:t>karbendazima</w:t>
      </w:r>
      <w:proofErr w:type="spellEnd"/>
      <w:r w:rsidRPr="00014C9B">
        <w:t xml:space="preserve"> i </w:t>
      </w:r>
      <w:proofErr w:type="spellStart"/>
      <w:r w:rsidRPr="00014C9B">
        <w:t>tiofanat</w:t>
      </w:r>
      <w:proofErr w:type="spellEnd"/>
      <w:r w:rsidRPr="00014C9B">
        <w:t xml:space="preserve">-metila te ih izvoziti u Uniju, što poljoprivrednike iz Unije stavlja u nepovoljan položaj u odnosu na konkurenciju; budući da, s druge strane, upotreba tih pesticida ugrožava zdravlje poljoprivrednih </w:t>
      </w:r>
      <w:r w:rsidRPr="00014C9B">
        <w:lastRenderedPageBreak/>
        <w:t>radnika, zdravlje opće populacije i okoliš u zemljama proizvođačima;</w:t>
      </w:r>
    </w:p>
    <w:p w:rsidR="00A84619" w:rsidRPr="00014C9B" w:rsidRDefault="00A84619" w:rsidP="00A84619">
      <w:pPr>
        <w:pStyle w:val="NormalHanging12a"/>
      </w:pPr>
      <w:r w:rsidRPr="00014C9B">
        <w:t>1.</w:t>
      </w:r>
      <w:r w:rsidRPr="00014C9B">
        <w:tab/>
        <w:t>protivi se prihvaćanju Nacrta uredbe Komisije;</w:t>
      </w:r>
    </w:p>
    <w:p w:rsidR="00A84619" w:rsidRPr="00014C9B" w:rsidRDefault="00A84619" w:rsidP="00A84619">
      <w:pPr>
        <w:pStyle w:val="NormalHanging12a"/>
      </w:pPr>
      <w:r w:rsidRPr="00014C9B">
        <w:t>2.</w:t>
      </w:r>
      <w:r w:rsidRPr="00014C9B">
        <w:tab/>
        <w:t>smatra da Komisijin Nacrt uredbe nije u skladu s ciljem i sadržajem Uredbe (EZ) br. 396/2005 i Uredbe (EZ) br. 178/2002, kao i s Uredbom (EZ) br. 1107/2009, uključujući točke 3.6.2., 3.6.4. i 3.6.5. njezina Priloga II.;</w:t>
      </w:r>
    </w:p>
    <w:p w:rsidR="00A84619" w:rsidRPr="00014C9B" w:rsidRDefault="00A84619" w:rsidP="00A84619">
      <w:pPr>
        <w:pStyle w:val="NormalHanging12a"/>
      </w:pPr>
      <w:r w:rsidRPr="00014C9B">
        <w:t>3.</w:t>
      </w:r>
      <w:r w:rsidRPr="00014C9B">
        <w:tab/>
        <w:t>traži od Komisije da povuče Nacrt uredbe i odboru podnese novi;</w:t>
      </w:r>
    </w:p>
    <w:p w:rsidR="00A84619" w:rsidRPr="00014C9B" w:rsidRDefault="00A84619" w:rsidP="00A84619">
      <w:pPr>
        <w:pStyle w:val="NormalHanging12a"/>
      </w:pPr>
      <w:r w:rsidRPr="00014C9B">
        <w:t>4.</w:t>
      </w:r>
      <w:r w:rsidRPr="00014C9B">
        <w:tab/>
        <w:t xml:space="preserve">poziva Komisiju da Odboru podnese novi nacrt uredbe u kojem se sve maksimalne razine ostataka za </w:t>
      </w:r>
      <w:proofErr w:type="spellStart"/>
      <w:r w:rsidRPr="00014C9B">
        <w:t>karbendazim</w:t>
      </w:r>
      <w:proofErr w:type="spellEnd"/>
      <w:r w:rsidRPr="00014C9B">
        <w:t xml:space="preserve"> i </w:t>
      </w:r>
      <w:proofErr w:type="spellStart"/>
      <w:r w:rsidRPr="00014C9B">
        <w:t>tiofanat</w:t>
      </w:r>
      <w:proofErr w:type="spellEnd"/>
      <w:r w:rsidRPr="00014C9B">
        <w:t xml:space="preserve">-metil snižavaju do relevantne granice određivanja za sve uporabe te da odbije sve zahtjeve za uvozne </w:t>
      </w:r>
      <w:proofErr w:type="spellStart"/>
      <w:r w:rsidRPr="00014C9B">
        <w:t>tolerance</w:t>
      </w:r>
      <w:proofErr w:type="spellEnd"/>
      <w:r w:rsidRPr="00014C9B">
        <w:t>;</w:t>
      </w:r>
    </w:p>
    <w:p w:rsidR="00A84619" w:rsidRPr="00014C9B" w:rsidRDefault="00A84619" w:rsidP="00014C9B">
      <w:pPr>
        <w:spacing w:after="240"/>
        <w:ind w:left="567" w:hanging="567"/>
      </w:pPr>
      <w:r w:rsidRPr="00014C9B">
        <w:t>5.</w:t>
      </w:r>
      <w:r w:rsidRPr="00014C9B">
        <w:tab/>
        <w:t>nalaže svojoj predsjednici da ovu Rezoluciju proslijedi Vijeću i Komisiji te vladama i parlamentima država članica.</w:t>
      </w:r>
    </w:p>
    <w:sectPr w:rsidR="00A84619" w:rsidRPr="00014C9B" w:rsidSect="00B02E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F53" w:rsidRPr="00B02ECB" w:rsidRDefault="00DB4F53">
      <w:r w:rsidRPr="00B02ECB">
        <w:separator/>
      </w:r>
    </w:p>
  </w:endnote>
  <w:endnote w:type="continuationSeparator" w:id="0">
    <w:p w:rsidR="00DB4F53" w:rsidRPr="00B02ECB" w:rsidRDefault="00DB4F53">
      <w:r w:rsidRPr="00B02E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F53" w:rsidRPr="00B02ECB" w:rsidRDefault="00DB4F53">
      <w:r w:rsidRPr="00B02ECB">
        <w:separator/>
      </w:r>
    </w:p>
  </w:footnote>
  <w:footnote w:type="continuationSeparator" w:id="0">
    <w:p w:rsidR="00DB4F53" w:rsidRPr="00B02ECB" w:rsidRDefault="00DB4F53">
      <w:r w:rsidRPr="00B02ECB">
        <w:continuationSeparator/>
      </w:r>
    </w:p>
  </w:footnote>
  <w:footnote w:id="1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SL L 70, 16.3.2005., str. 1.</w:t>
      </w:r>
    </w:p>
  </w:footnote>
  <w:footnote w:id="2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SL L 309, 24.11.2009., str. 1.</w:t>
      </w:r>
    </w:p>
  </w:footnote>
  <w:footnote w:id="3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SL L 31, 1.2.2002., str. 1.</w:t>
      </w:r>
    </w:p>
  </w:footnote>
  <w:footnote w:id="4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Obrazloženo mišljenje EFSA-e o toksikološkim svojstvima i maksimalnim razinama ostataka (MRO-ovi) za </w:t>
      </w:r>
      <w:proofErr w:type="spellStart"/>
      <w:r w:rsidRPr="00B02ECB">
        <w:rPr>
          <w:sz w:val="24"/>
          <w:lang w:val="hr-HR"/>
        </w:rPr>
        <w:t>benzimidazolne</w:t>
      </w:r>
      <w:proofErr w:type="spellEnd"/>
      <w:r w:rsidRPr="00B02ECB">
        <w:rPr>
          <w:sz w:val="24"/>
          <w:lang w:val="hr-HR"/>
        </w:rPr>
        <w:t xml:space="preserve"> tvari </w:t>
      </w:r>
      <w:proofErr w:type="spellStart"/>
      <w:r w:rsidRPr="00B02ECB">
        <w:rPr>
          <w:sz w:val="24"/>
          <w:lang w:val="hr-HR"/>
        </w:rPr>
        <w:t>karbendazim</w:t>
      </w:r>
      <w:proofErr w:type="spellEnd"/>
      <w:r w:rsidRPr="00B02ECB">
        <w:rPr>
          <w:sz w:val="24"/>
          <w:lang w:val="hr-HR"/>
        </w:rPr>
        <w:t xml:space="preserve"> i </w:t>
      </w:r>
      <w:proofErr w:type="spellStart"/>
      <w:r w:rsidRPr="00B02ECB">
        <w:rPr>
          <w:sz w:val="24"/>
          <w:lang w:val="hr-HR"/>
        </w:rPr>
        <w:t>tiofanat</w:t>
      </w:r>
      <w:proofErr w:type="spellEnd"/>
      <w:r w:rsidRPr="00B02ECB">
        <w:rPr>
          <w:sz w:val="24"/>
          <w:lang w:val="hr-HR"/>
        </w:rPr>
        <w:t xml:space="preserve">-metil, </w:t>
      </w:r>
      <w:bookmarkStart w:id="8" w:name="_Hlk168311905"/>
      <w:r w:rsidRPr="00B02ECB">
        <w:rPr>
          <w:sz w:val="24"/>
          <w:lang w:val="hr-HR"/>
        </w:rPr>
        <w:t>EFSA Journal 2021.;19(8):e06773</w:t>
      </w:r>
      <w:bookmarkEnd w:id="8"/>
      <w:r w:rsidRPr="00B02ECB">
        <w:rPr>
          <w:sz w:val="24"/>
          <w:lang w:val="hr-HR"/>
        </w:rPr>
        <w:t xml:space="preserve">, </w:t>
      </w:r>
      <w:hyperlink r:id="rId1" w:history="1">
        <w:r w:rsidRPr="00B02ECB">
          <w:rPr>
            <w:rStyle w:val="Hyperlink"/>
            <w:sz w:val="24"/>
            <w:lang w:val="hr-HR"/>
          </w:rPr>
          <w:t>https://doi.org/10.2903/j.efsa.2021.6773</w:t>
        </w:r>
      </w:hyperlink>
      <w:r w:rsidRPr="00B02ECB">
        <w:rPr>
          <w:rStyle w:val="Hyperlink"/>
          <w:sz w:val="24"/>
          <w:lang w:val="hr-HR"/>
        </w:rPr>
        <w:t>.</w:t>
      </w:r>
      <w:r w:rsidRPr="00B02ECB">
        <w:rPr>
          <w:sz w:val="24"/>
          <w:lang w:val="hr-HR"/>
        </w:rPr>
        <w:t xml:space="preserve"> </w:t>
      </w:r>
    </w:p>
  </w:footnote>
  <w:footnote w:id="5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Ažurirano obrazloženo mišljenje EFSA-e o toksikološkim svojstvima i maksimalnim razinama ostataka (MRO-ovi) za </w:t>
      </w:r>
      <w:proofErr w:type="spellStart"/>
      <w:r w:rsidRPr="00B02ECB">
        <w:rPr>
          <w:sz w:val="24"/>
          <w:lang w:val="hr-HR"/>
        </w:rPr>
        <w:t>benzimidazolne</w:t>
      </w:r>
      <w:proofErr w:type="spellEnd"/>
      <w:r w:rsidRPr="00B02ECB">
        <w:rPr>
          <w:sz w:val="24"/>
          <w:lang w:val="hr-HR"/>
        </w:rPr>
        <w:t xml:space="preserve"> tvari </w:t>
      </w:r>
      <w:proofErr w:type="spellStart"/>
      <w:r w:rsidRPr="00B02ECB">
        <w:rPr>
          <w:sz w:val="24"/>
          <w:lang w:val="hr-HR"/>
        </w:rPr>
        <w:t>karbendazim</w:t>
      </w:r>
      <w:proofErr w:type="spellEnd"/>
      <w:r w:rsidRPr="00B02ECB">
        <w:rPr>
          <w:sz w:val="24"/>
          <w:lang w:val="hr-HR"/>
        </w:rPr>
        <w:t xml:space="preserve"> i </w:t>
      </w:r>
      <w:proofErr w:type="spellStart"/>
      <w:r w:rsidRPr="00B02ECB">
        <w:rPr>
          <w:sz w:val="24"/>
          <w:lang w:val="hr-HR"/>
        </w:rPr>
        <w:t>tiofanat</w:t>
      </w:r>
      <w:proofErr w:type="spellEnd"/>
      <w:r w:rsidRPr="00B02ECB">
        <w:rPr>
          <w:sz w:val="24"/>
          <w:lang w:val="hr-HR"/>
        </w:rPr>
        <w:t xml:space="preserve">-metil, EFSA Journal 2024.;22(2):e8569, </w:t>
      </w:r>
      <w:hyperlink r:id="rId2" w:history="1">
        <w:r w:rsidRPr="00B02ECB">
          <w:rPr>
            <w:rStyle w:val="Hyperlink"/>
            <w:sz w:val="24"/>
            <w:lang w:val="hr-HR"/>
          </w:rPr>
          <w:t>https://doi.org/10.2903/j.efsa.2024.8569</w:t>
        </w:r>
      </w:hyperlink>
      <w:r w:rsidRPr="00B02ECB">
        <w:rPr>
          <w:rStyle w:val="Hyperlink"/>
          <w:sz w:val="24"/>
          <w:lang w:val="hr-HR"/>
        </w:rPr>
        <w:t>.</w:t>
      </w:r>
      <w:r w:rsidRPr="00B02ECB">
        <w:rPr>
          <w:sz w:val="24"/>
          <w:lang w:val="hr-HR"/>
        </w:rPr>
        <w:t xml:space="preserve"> </w:t>
      </w:r>
    </w:p>
  </w:footnote>
  <w:footnote w:id="6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Zaključak EFSA-e o stručnoj recenziji procjene rizika od pesticida koji sadržavaju aktivnu tvar </w:t>
      </w:r>
      <w:proofErr w:type="spellStart"/>
      <w:r w:rsidRPr="00B02ECB">
        <w:rPr>
          <w:sz w:val="24"/>
          <w:lang w:val="hr-HR"/>
        </w:rPr>
        <w:t>karbendazim</w:t>
      </w:r>
      <w:proofErr w:type="spellEnd"/>
      <w:r w:rsidRPr="00B02ECB">
        <w:rPr>
          <w:sz w:val="24"/>
          <w:lang w:val="hr-HR"/>
        </w:rPr>
        <w:t xml:space="preserve">, EFSA Journal 2010.;8(5):1598, </w:t>
      </w:r>
      <w:hyperlink r:id="rId3" w:history="1">
        <w:r w:rsidRPr="00B02ECB">
          <w:rPr>
            <w:rStyle w:val="Hyperlink"/>
            <w:sz w:val="24"/>
            <w:lang w:val="hr-HR"/>
          </w:rPr>
          <w:t>https://doi.org/10.2903/j.efsa.2019.5595.</w:t>
        </w:r>
      </w:hyperlink>
      <w:r w:rsidRPr="00B02ECB">
        <w:rPr>
          <w:sz w:val="24"/>
          <w:lang w:val="hr-HR"/>
        </w:rPr>
        <w:t xml:space="preserve">. </w:t>
      </w:r>
    </w:p>
  </w:footnote>
  <w:footnote w:id="7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Zaključak EFSA-e o stručnoj recenziji procjene rizika od pesticida koji sadržavaju aktivnu tvar </w:t>
      </w:r>
      <w:proofErr w:type="spellStart"/>
      <w:r w:rsidRPr="00B02ECB">
        <w:rPr>
          <w:sz w:val="24"/>
          <w:lang w:val="hr-HR"/>
        </w:rPr>
        <w:t>triofanat</w:t>
      </w:r>
      <w:proofErr w:type="spellEnd"/>
      <w:r w:rsidRPr="00B02ECB">
        <w:rPr>
          <w:sz w:val="24"/>
          <w:lang w:val="hr-HR"/>
        </w:rPr>
        <w:t xml:space="preserve">-metil; EFSA Journal 2018;16(1):e05133, </w:t>
      </w:r>
      <w:hyperlink r:id="rId4" w:history="1">
        <w:r w:rsidRPr="00B02ECB">
          <w:rPr>
            <w:rStyle w:val="Hyperlink"/>
            <w:sz w:val="24"/>
            <w:lang w:val="hr-HR"/>
          </w:rPr>
          <w:t>https://doi.org/10.2903/j.efsa.2018.5133</w:t>
        </w:r>
      </w:hyperlink>
      <w:r w:rsidRPr="00B02ECB">
        <w:rPr>
          <w:sz w:val="24"/>
          <w:lang w:val="hr-HR"/>
        </w:rPr>
        <w:t xml:space="preserve">. </w:t>
      </w:r>
    </w:p>
  </w:footnote>
  <w:footnote w:id="8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Izjava EFSA-e o procjeni kvalitete podataka koji su joj dostupni radi dobivanja orijentacijskih vrijednosti koje se temelje na utjecaju </w:t>
      </w:r>
      <w:proofErr w:type="spellStart"/>
      <w:r w:rsidRPr="00B02ECB">
        <w:rPr>
          <w:sz w:val="24"/>
          <w:lang w:val="hr-HR"/>
        </w:rPr>
        <w:t>karbendazima</w:t>
      </w:r>
      <w:proofErr w:type="spellEnd"/>
      <w:r w:rsidRPr="00B02ECB">
        <w:rPr>
          <w:sz w:val="24"/>
          <w:lang w:val="hr-HR"/>
        </w:rPr>
        <w:t xml:space="preserve"> na zdravlje, EFSA Journal 2024.;22(5):e8756, </w:t>
      </w:r>
      <w:hyperlink r:id="rId5" w:history="1">
        <w:r w:rsidRPr="00B02ECB">
          <w:rPr>
            <w:rStyle w:val="Hyperlink"/>
            <w:sz w:val="24"/>
            <w:lang w:val="hr-HR"/>
          </w:rPr>
          <w:t>https://doi.org/10.2903/j.efsa.2024.8756</w:t>
        </w:r>
      </w:hyperlink>
      <w:r w:rsidRPr="00B02ECB">
        <w:rPr>
          <w:sz w:val="24"/>
          <w:lang w:val="hr-HR"/>
        </w:rPr>
        <w:t xml:space="preserve">. </w:t>
      </w:r>
    </w:p>
  </w:footnote>
  <w:footnote w:id="9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Mišljenje RAC-a u kojem se predlaže usklađeno razvrstavanje i označivanje na razini EU-a </w:t>
      </w:r>
      <w:proofErr w:type="spellStart"/>
      <w:r w:rsidRPr="00B02ECB">
        <w:rPr>
          <w:sz w:val="24"/>
          <w:lang w:val="hr-HR"/>
        </w:rPr>
        <w:t>karbendazima</w:t>
      </w:r>
      <w:proofErr w:type="spellEnd"/>
      <w:r w:rsidRPr="00B02ECB">
        <w:rPr>
          <w:sz w:val="24"/>
          <w:lang w:val="hr-HR"/>
        </w:rPr>
        <w:t xml:space="preserve"> (ISO); metil benzimidazol-2-ilkarbamata; </w:t>
      </w:r>
      <w:hyperlink r:id="rId6" w:history="1">
        <w:r w:rsidRPr="00B02ECB">
          <w:rPr>
            <w:rStyle w:val="Hyperlink"/>
            <w:sz w:val="24"/>
            <w:lang w:val="hr-HR"/>
          </w:rPr>
          <w:t>https://www.echa.europa.eu/documents/10162/5eb9760e-6c73-7f2c-1226-98d92ed847d1</w:t>
        </w:r>
      </w:hyperlink>
    </w:p>
  </w:footnote>
  <w:footnote w:id="10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SL L 184, 17.7.1999., str. 23.</w:t>
      </w:r>
    </w:p>
  </w:footnote>
  <w:footnote w:id="11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Uredba (EZ) br. 1272/2008 Europskog parlamenta i Vijeća od 16. prosinca 2008. o razvrstavanju, označivanju i pakiranju tvari i smjesa, o izmjeni i stavljanju izvan snage Direktive 67/548/EEZ i Direktive 1999/45/EZ i o izmjeni Uredbe (EZ) br. 1907/2006 (SL L 353, 31.12.2008., str. 1.).</w:t>
      </w:r>
    </w:p>
  </w:footnote>
  <w:footnote w:id="12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Uredba (EZ) br. 1272/2008 Europskog parlamenta i Vijeća od 16. prosinca 2008. o razvrstavanju, označivanju i pakiranju tvari i smjesa, o izmjeni i stavljanju izvan snage Direktive 67/548/EEZ i Direktive 1999/45/EZ i o izmjeni Uredbe (EZ) br. 1907/2006 (SL L 353, 31.12.2008., str. 1.).</w:t>
      </w:r>
    </w:p>
  </w:footnote>
  <w:footnote w:id="13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 xml:space="preserve">Uredba Komisije (EU) 2018/605 </w:t>
      </w:r>
      <w:proofErr w:type="spellStart"/>
      <w:r w:rsidRPr="00B02ECB">
        <w:rPr>
          <w:sz w:val="24"/>
          <w:lang w:val="hr-HR"/>
        </w:rPr>
        <w:t>оd</w:t>
      </w:r>
      <w:proofErr w:type="spellEnd"/>
      <w:r w:rsidRPr="00B02ECB">
        <w:rPr>
          <w:sz w:val="24"/>
          <w:lang w:val="hr-HR"/>
        </w:rPr>
        <w:t xml:space="preserve"> 19. travnja 2018. o izmjeni Priloga II. Uredbi (EZ) br. 1107/2009 utvrđivanjem znanstvenih kriterija za određivanje svojstava endokrine </w:t>
      </w:r>
      <w:proofErr w:type="spellStart"/>
      <w:r w:rsidRPr="00B02ECB">
        <w:rPr>
          <w:sz w:val="24"/>
          <w:lang w:val="hr-HR"/>
        </w:rPr>
        <w:t>disrupcije</w:t>
      </w:r>
      <w:proofErr w:type="spellEnd"/>
      <w:r w:rsidRPr="00B02ECB">
        <w:rPr>
          <w:sz w:val="24"/>
          <w:lang w:val="hr-HR"/>
        </w:rPr>
        <w:t xml:space="preserve"> (SL L 101, 20.4.2018., str. 33.).</w:t>
      </w:r>
    </w:p>
  </w:footnote>
  <w:footnote w:id="14">
    <w:p w:rsidR="00A84619" w:rsidRPr="00B02ECB" w:rsidRDefault="00A84619" w:rsidP="00B02ECB">
      <w:pPr>
        <w:pStyle w:val="FootnoteText"/>
        <w:ind w:left="567" w:hanging="567"/>
        <w:rPr>
          <w:sz w:val="24"/>
          <w:lang w:val="hr-HR"/>
        </w:rPr>
      </w:pPr>
      <w:r w:rsidRPr="00B02ECB">
        <w:rPr>
          <w:rStyle w:val="FootnoteReference"/>
          <w:sz w:val="24"/>
          <w:lang w:val="hr-HR"/>
        </w:rPr>
        <w:footnoteRef/>
      </w:r>
      <w:r w:rsidR="00B02ECB" w:rsidRPr="00B02ECB">
        <w:rPr>
          <w:rStyle w:val="Hyperlink"/>
          <w:sz w:val="24"/>
          <w:lang w:val="hr-HR"/>
        </w:rPr>
        <w:t xml:space="preserve"> </w:t>
      </w:r>
      <w:r w:rsidR="00B02ECB" w:rsidRPr="00B02ECB">
        <w:rPr>
          <w:rStyle w:val="Hyperlink"/>
          <w:sz w:val="24"/>
          <w:lang w:val="hr-HR"/>
        </w:rPr>
        <w:tab/>
      </w:r>
      <w:r w:rsidRPr="00B02ECB">
        <w:rPr>
          <w:rStyle w:val="Hyperlink"/>
          <w:sz w:val="24"/>
          <w:lang w:val="hr-HR"/>
        </w:rPr>
        <w:t>https://ec.europa.eu/transparency/comitology-register/screen/documents/089880/5/consult?lang=en.</w:t>
      </w:r>
    </w:p>
  </w:footnote>
  <w:footnote w:id="15">
    <w:p w:rsidR="00A84619" w:rsidRPr="00B02ECB" w:rsidRDefault="00A84619" w:rsidP="00B02ECB">
      <w:pPr>
        <w:pStyle w:val="FootnoteText"/>
        <w:ind w:left="567" w:hanging="567"/>
        <w:rPr>
          <w:iCs/>
          <w:sz w:val="24"/>
          <w:lang w:val="hr-HR"/>
        </w:rPr>
      </w:pPr>
      <w:r w:rsidRPr="00B02ECB">
        <w:rPr>
          <w:iCs/>
          <w:sz w:val="24"/>
          <w:vertAlign w:val="superscript"/>
          <w:lang w:val="hr-HR"/>
        </w:rPr>
        <w:footnoteRef/>
      </w:r>
      <w:r w:rsidR="00B02ECB" w:rsidRPr="00B02ECB">
        <w:rPr>
          <w:sz w:val="24"/>
          <w:lang w:val="hr-HR"/>
        </w:rPr>
        <w:t xml:space="preserve"> </w:t>
      </w:r>
      <w:r w:rsidR="00B02ECB" w:rsidRPr="00B02ECB">
        <w:rPr>
          <w:sz w:val="24"/>
          <w:lang w:val="hr-HR"/>
        </w:rPr>
        <w:tab/>
      </w:r>
      <w:r w:rsidRPr="00B02ECB">
        <w:rPr>
          <w:sz w:val="24"/>
          <w:lang w:val="hr-HR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2E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0/2024"/>
    <w:docVar w:name="dvlangue" w:val="HR"/>
    <w:docVar w:name="dvnumam" w:val="0"/>
    <w:docVar w:name="dvpe" w:val="763.090"/>
    <w:docVar w:name="dvtitre" w:val="Rezolucija Europskog parlamenta od .... 2024. o Nacrtu uredbe Komisije o izmjeni priloga II., III. i V. Uredbi (EZ) br. 396/2005 Europskog parlamenta i Vijeća u pogledu maksimalnih razina ostataka za benomil, karbendazim i tiofanat-metil u ili na određenim proizvodima (D089819/05 – 2024/2758(RPS))"/>
  </w:docVars>
  <w:rsids>
    <w:rsidRoot w:val="00DB4F53"/>
    <w:rsid w:val="00002272"/>
    <w:rsid w:val="00014C9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1C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619"/>
    <w:rsid w:val="00AB441E"/>
    <w:rsid w:val="00AB6293"/>
    <w:rsid w:val="00AE0928"/>
    <w:rsid w:val="00AF3B82"/>
    <w:rsid w:val="00B02EC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F53"/>
    <w:rsid w:val="00E31C1D"/>
    <w:rsid w:val="00E365E1"/>
    <w:rsid w:val="00E820A4"/>
    <w:rsid w:val="00EB006A"/>
    <w:rsid w:val="00EB3FD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B2839-96BC-413B-90DA-9EAFF730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4619"/>
    <w:pPr>
      <w:spacing w:before="480" w:after="240"/>
    </w:pPr>
  </w:style>
  <w:style w:type="paragraph" w:customStyle="1" w:styleId="NormalHanging12a">
    <w:name w:val="NormalHanging12a"/>
    <w:basedOn w:val="Normal"/>
    <w:rsid w:val="00A8461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8461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B3F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3FD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10.1598" TargetMode="External"/><Relationship Id="rId2" Type="http://schemas.openxmlformats.org/officeDocument/2006/relationships/hyperlink" Target="https://doi.org/10.2903/j.efsa.2024.8569" TargetMode="External"/><Relationship Id="rId1" Type="http://schemas.openxmlformats.org/officeDocument/2006/relationships/hyperlink" Target="https://doi.org/10.2903/j.efsa.2021.6773" TargetMode="External"/><Relationship Id="rId6" Type="http://schemas.openxmlformats.org/officeDocument/2006/relationships/hyperlink" Target="https://www.echa.europa.eu/documents/10162/5eb9760e-6c73-7f2c-1226-98d92ed847d1" TargetMode="External"/><Relationship Id="rId5" Type="http://schemas.openxmlformats.org/officeDocument/2006/relationships/hyperlink" Target="https://doi.org/10.2903/j.efsa.2024.8756" TargetMode="External"/><Relationship Id="rId4" Type="http://schemas.openxmlformats.org/officeDocument/2006/relationships/hyperlink" Target="https://doi.org/10.2903/j.efsa.2018.51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9F408-64C9-4504-A92B-F3067000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1912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2024-09-18T11:48:00Z</dcterms:created>
  <dcterms:modified xsi:type="dcterms:W3CDTF">2024-09-18T11:48:00Z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B10-0020/2024</vt:lpwstr>
  </property>
  <property fmtid="{D5CDD505-2E9C-101B-9397-08002B2CF9AE}" pid="4" name="&lt;Type&gt;">
    <vt:lpwstr>RR</vt:lpwstr>
  </property>
</Properties>
</file>