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1527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1527C" w:rsidRDefault="00A36FF4" w:rsidP="0010095E">
            <w:pPr>
              <w:pStyle w:val="EPName"/>
            </w:pPr>
            <w:r w:rsidRPr="0041527C">
              <w:t>Parlament Ewropew</w:t>
            </w:r>
          </w:p>
          <w:p w:rsidR="00751A4A" w:rsidRPr="0041527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1527C">
              <w:t>2024</w:t>
            </w:r>
            <w:r w:rsidR="00817416" w:rsidRPr="0041527C">
              <w:t>-202</w:t>
            </w:r>
            <w:r w:rsidRPr="0041527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1527C" w:rsidRDefault="00187494" w:rsidP="0010095E">
            <w:pPr>
              <w:pStyle w:val="EPLogo"/>
            </w:pPr>
            <w:r w:rsidRPr="0041527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1527C" w:rsidRDefault="00D058B8" w:rsidP="004C5D52">
      <w:pPr>
        <w:pStyle w:val="LineTop"/>
      </w:pPr>
    </w:p>
    <w:p w:rsidR="00680577" w:rsidRPr="0041527C" w:rsidRDefault="00A36FF4" w:rsidP="00680577">
      <w:pPr>
        <w:pStyle w:val="EPBodyTA1"/>
      </w:pPr>
      <w:r w:rsidRPr="0041527C">
        <w:t>TESTI ADOTTATI</w:t>
      </w:r>
    </w:p>
    <w:p w:rsidR="00D058B8" w:rsidRPr="0041527C" w:rsidRDefault="00D058B8" w:rsidP="00D058B8">
      <w:pPr>
        <w:pStyle w:val="LineBottom"/>
      </w:pPr>
    </w:p>
    <w:p w:rsidR="00A36FF4" w:rsidRPr="0041527C" w:rsidRDefault="00A36FF4" w:rsidP="00A36FF4">
      <w:pPr>
        <w:pStyle w:val="ATHeading1"/>
      </w:pPr>
      <w:bookmarkStart w:id="0" w:name="TANumber"/>
      <w:r w:rsidRPr="0041527C">
        <w:t>P10_TA(2024)000</w:t>
      </w:r>
      <w:r w:rsidR="00380A3F">
        <w:t>6</w:t>
      </w:r>
      <w:bookmarkStart w:id="1" w:name="_GoBack"/>
      <w:bookmarkEnd w:id="0"/>
      <w:bookmarkEnd w:id="1"/>
    </w:p>
    <w:p w:rsidR="00A36FF4" w:rsidRPr="0041527C" w:rsidRDefault="00A36FF4" w:rsidP="00A36FF4">
      <w:pPr>
        <w:pStyle w:val="ATHeading2"/>
      </w:pPr>
      <w:bookmarkStart w:id="2" w:name="title"/>
      <w:r w:rsidRPr="0041527C">
        <w:t xml:space="preserve">Oġġezzjoni skont l-Artikolu 115(2) u (3), u (4)(c) tar-Regoli ta’ Proċedura: Il-livelli massimi ta’ residwi </w:t>
      </w:r>
      <w:proofErr w:type="spellStart"/>
      <w:r w:rsidRPr="0041527C">
        <w:t>għall-karbendażim</w:t>
      </w:r>
      <w:proofErr w:type="spellEnd"/>
      <w:r w:rsidRPr="0041527C">
        <w:t xml:space="preserve"> u għat-</w:t>
      </w:r>
      <w:proofErr w:type="spellStart"/>
      <w:r w:rsidRPr="0041527C">
        <w:t>tijofanat</w:t>
      </w:r>
      <w:proofErr w:type="spellEnd"/>
      <w:r w:rsidRPr="0041527C">
        <w:t>-</w:t>
      </w:r>
      <w:proofErr w:type="spellStart"/>
      <w:r w:rsidRPr="0041527C">
        <w:t>metil</w:t>
      </w:r>
      <w:bookmarkEnd w:id="2"/>
      <w:proofErr w:type="spellEnd"/>
    </w:p>
    <w:p w:rsidR="00A36FF4" w:rsidRPr="0041527C" w:rsidRDefault="00A36FF4" w:rsidP="00A36FF4">
      <w:pPr>
        <w:rPr>
          <w:i/>
          <w:vanish/>
        </w:rPr>
      </w:pPr>
      <w:r w:rsidRPr="0041527C">
        <w:rPr>
          <w:i/>
        </w:rPr>
        <w:fldChar w:fldCharType="begin"/>
      </w:r>
      <w:r w:rsidRPr="0041527C">
        <w:rPr>
          <w:i/>
        </w:rPr>
        <w:instrText xml:space="preserve"> TC"(</w:instrText>
      </w:r>
      <w:bookmarkStart w:id="3" w:name="DocNumber"/>
      <w:r w:rsidRPr="0041527C">
        <w:rPr>
          <w:i/>
        </w:rPr>
        <w:instrText>B10-0020/2024</w:instrText>
      </w:r>
      <w:bookmarkEnd w:id="3"/>
      <w:r w:rsidRPr="0041527C">
        <w:rPr>
          <w:i/>
        </w:rPr>
        <w:instrText xml:space="preserve">)"\l3 \n&gt; \* MERGEFORMAT </w:instrText>
      </w:r>
      <w:r w:rsidRPr="0041527C">
        <w:rPr>
          <w:i/>
        </w:rPr>
        <w:fldChar w:fldCharType="end"/>
      </w:r>
    </w:p>
    <w:p w:rsidR="00A36FF4" w:rsidRPr="0041527C" w:rsidRDefault="00A36FF4" w:rsidP="00A36FF4">
      <w:pPr>
        <w:rPr>
          <w:vanish/>
        </w:rPr>
      </w:pPr>
      <w:bookmarkStart w:id="4" w:name="PE"/>
      <w:r w:rsidRPr="0041527C">
        <w:rPr>
          <w:vanish/>
        </w:rPr>
        <w:t>PE763.090</w:t>
      </w:r>
      <w:bookmarkEnd w:id="4"/>
    </w:p>
    <w:p w:rsidR="00A36FF4" w:rsidRPr="0041527C" w:rsidRDefault="00A36FF4" w:rsidP="00A36FF4">
      <w:pPr>
        <w:pStyle w:val="ATHeading3"/>
      </w:pPr>
      <w:bookmarkStart w:id="5" w:name="Sujet"/>
      <w:r w:rsidRPr="0041527C">
        <w:t>Riżoluzzjoni tal-Parlament Ewropew tat-18 ta' Settembru 2024 dwar l-abbozz ta’ regolament tal-Kummissjoni li jemenda l-</w:t>
      </w:r>
      <w:proofErr w:type="spellStart"/>
      <w:r w:rsidRPr="0041527C">
        <w:t>Annessi</w:t>
      </w:r>
      <w:proofErr w:type="spellEnd"/>
      <w:r w:rsidRPr="0041527C">
        <w:t xml:space="preserve"> II, III u V tar-Regolament (KE) Nru 396/2005 tal-Parlament Ewropew u tal-Kunsill dwar il-livelli massimi ta’ residwi </w:t>
      </w:r>
      <w:proofErr w:type="spellStart"/>
      <w:r w:rsidRPr="0041527C">
        <w:t>għall-benomil</w:t>
      </w:r>
      <w:proofErr w:type="spellEnd"/>
      <w:r w:rsidRPr="0041527C">
        <w:t xml:space="preserve">, </w:t>
      </w:r>
      <w:proofErr w:type="spellStart"/>
      <w:r w:rsidRPr="0041527C">
        <w:t>għall-karbendażim</w:t>
      </w:r>
      <w:proofErr w:type="spellEnd"/>
      <w:r w:rsidRPr="0041527C">
        <w:t xml:space="preserve"> u għat-</w:t>
      </w:r>
      <w:proofErr w:type="spellStart"/>
      <w:r w:rsidRPr="0041527C">
        <w:t>tijofanat</w:t>
      </w:r>
      <w:proofErr w:type="spellEnd"/>
      <w:r w:rsidRPr="0041527C">
        <w:t>-</w:t>
      </w:r>
      <w:proofErr w:type="spellStart"/>
      <w:r w:rsidRPr="0041527C">
        <w:t>metil</w:t>
      </w:r>
      <w:proofErr w:type="spellEnd"/>
      <w:r w:rsidRPr="0041527C">
        <w:t xml:space="preserve"> f’ċerti prodotti jew fuqhom </w:t>
      </w:r>
      <w:bookmarkStart w:id="6" w:name="References"/>
      <w:bookmarkEnd w:id="5"/>
      <w:r w:rsidRPr="0041527C">
        <w:t>(D089819/05 – 2024/2758(RPS))</w:t>
      </w:r>
      <w:bookmarkEnd w:id="6"/>
    </w:p>
    <w:p w:rsidR="00237020" w:rsidRPr="0041527C" w:rsidRDefault="00237020" w:rsidP="00237020">
      <w:pPr>
        <w:pStyle w:val="EPComma"/>
      </w:pPr>
      <w:bookmarkStart w:id="7" w:name="TextBodyBegin"/>
      <w:bookmarkEnd w:id="7"/>
      <w:r w:rsidRPr="0041527C">
        <w:rPr>
          <w:i/>
          <w:iCs/>
        </w:rPr>
        <w:t>Il-Parlament Ewropew,</w:t>
      </w:r>
    </w:p>
    <w:p w:rsidR="00237020" w:rsidRPr="0041527C" w:rsidRDefault="00237020" w:rsidP="00237020">
      <w:pPr>
        <w:pStyle w:val="NormalHanging12a"/>
      </w:pPr>
      <w:r w:rsidRPr="0041527C">
        <w:t>–</w:t>
      </w:r>
      <w:r w:rsidRPr="0041527C">
        <w:tab/>
        <w:t xml:space="preserve">wara li </w:t>
      </w:r>
      <w:proofErr w:type="spellStart"/>
      <w:r w:rsidRPr="0041527C">
        <w:t>kkunsidra</w:t>
      </w:r>
      <w:proofErr w:type="spellEnd"/>
      <w:r w:rsidRPr="0041527C">
        <w:t xml:space="preserve"> l-abbozz ta’ regolament tal-Kummissjoni li jemenda l-</w:t>
      </w:r>
      <w:proofErr w:type="spellStart"/>
      <w:r w:rsidRPr="0041527C">
        <w:t>Annessi</w:t>
      </w:r>
      <w:proofErr w:type="spellEnd"/>
      <w:r w:rsidRPr="0041527C">
        <w:t xml:space="preserve"> II, III u V tar-Regolament (KE) Nru 396/2005 tal-Parlament Ewropew u tal-Kunsill dwar il-livelli massimi ta’ residwi </w:t>
      </w:r>
      <w:proofErr w:type="spellStart"/>
      <w:r w:rsidRPr="0041527C">
        <w:t>għall-benomil</w:t>
      </w:r>
      <w:proofErr w:type="spellEnd"/>
      <w:r w:rsidRPr="0041527C">
        <w:t xml:space="preserve">, </w:t>
      </w:r>
      <w:proofErr w:type="spellStart"/>
      <w:r w:rsidRPr="0041527C">
        <w:t>għall-karbendażim</w:t>
      </w:r>
      <w:proofErr w:type="spellEnd"/>
      <w:r w:rsidRPr="0041527C">
        <w:t xml:space="preserve"> u għat-</w:t>
      </w:r>
      <w:proofErr w:type="spellStart"/>
      <w:r w:rsidRPr="0041527C">
        <w:t>tijofanat</w:t>
      </w:r>
      <w:proofErr w:type="spellEnd"/>
      <w:r w:rsidRPr="0041527C">
        <w:t>-</w:t>
      </w:r>
      <w:proofErr w:type="spellStart"/>
      <w:r w:rsidRPr="0041527C">
        <w:t>metil</w:t>
      </w:r>
      <w:proofErr w:type="spellEnd"/>
      <w:r w:rsidRPr="0041527C">
        <w:t xml:space="preserve"> f’ċerti prodotti jew fuqhom (D089819/05),</w:t>
      </w:r>
    </w:p>
    <w:p w:rsidR="00237020" w:rsidRPr="0041527C" w:rsidRDefault="00237020" w:rsidP="00237020">
      <w:pPr>
        <w:pStyle w:val="NormalHanging12a"/>
      </w:pPr>
      <w:r w:rsidRPr="0041527C">
        <w:t>–</w:t>
      </w:r>
      <w:r w:rsidRPr="0041527C">
        <w:tab/>
        <w:t xml:space="preserve">wara li </w:t>
      </w:r>
      <w:proofErr w:type="spellStart"/>
      <w:r w:rsidRPr="0041527C">
        <w:t>kkunsidra</w:t>
      </w:r>
      <w:proofErr w:type="spellEnd"/>
      <w:r w:rsidRPr="0041527C">
        <w:t xml:space="preserve"> r-Regolament (KE) Nru 396/2005 tal-Parlament Ewropew u tal-Kunsill tat-23 ta’ Frar 2005 dwar il-livelli massimi ta’ </w:t>
      </w:r>
      <w:proofErr w:type="spellStart"/>
      <w:r w:rsidRPr="0041527C">
        <w:t>residwu</w:t>
      </w:r>
      <w:proofErr w:type="spellEnd"/>
      <w:r w:rsidRPr="0041527C">
        <w:t xml:space="preserve"> ta’ pestiċidi fi jew fuq ikel u għalf li joriġina minn pjanti u annimali u jemenda d-Direttiva tal-Kunsill 91/414/KEE</w:t>
      </w:r>
      <w:r w:rsidRPr="0041527C">
        <w:rPr>
          <w:vertAlign w:val="superscript"/>
        </w:rPr>
        <w:footnoteReference w:id="1"/>
      </w:r>
      <w:r w:rsidRPr="0041527C">
        <w:t>, u b’mod partikolari l-Artikolu 14(1), il-punt (a), tiegħu,</w:t>
      </w:r>
    </w:p>
    <w:p w:rsidR="00237020" w:rsidRPr="0041527C" w:rsidRDefault="00237020" w:rsidP="00237020">
      <w:pPr>
        <w:pStyle w:val="NormalHanging12a"/>
      </w:pPr>
      <w:r w:rsidRPr="0041527C">
        <w:t>–</w:t>
      </w:r>
      <w:r w:rsidRPr="0041527C">
        <w:tab/>
        <w:t xml:space="preserve">wara li </w:t>
      </w:r>
      <w:proofErr w:type="spellStart"/>
      <w:r w:rsidRPr="0041527C">
        <w:t>kkunsidra</w:t>
      </w:r>
      <w:proofErr w:type="spellEnd"/>
      <w:r w:rsidRPr="0041527C">
        <w:t xml:space="preserve"> r-Regolament (KE) Nru 1107/2009 tal-Parlament Ewropew u tal-Kunsill tal-21 ta’ Ottubru 2009 dwar it-tqegħid fis-suq ta’ prodotti għall-protezzjoni tal-pjanti u li jħassar id-Direttivi tal-Kunsill 79/117/KEE u 91/414/KEE</w:t>
      </w:r>
      <w:r w:rsidRPr="0041527C">
        <w:rPr>
          <w:vertAlign w:val="superscript"/>
        </w:rPr>
        <w:footnoteReference w:id="2"/>
      </w:r>
      <w:r w:rsidRPr="0041527C">
        <w:t xml:space="preserve">, u b’mod partikolari l-Artikolu (4)(1) u l-Artikolu 4(2), l-ewwel </w:t>
      </w:r>
      <w:proofErr w:type="spellStart"/>
      <w:r w:rsidRPr="0041527C">
        <w:t>subparagrafu</w:t>
      </w:r>
      <w:proofErr w:type="spellEnd"/>
      <w:r w:rsidRPr="0041527C">
        <w:t>, il-punt (a) u l-punti 3.6.2, 3.6.4 u 3.6.5 tal-Anness II,</w:t>
      </w:r>
    </w:p>
    <w:p w:rsidR="00237020" w:rsidRPr="0041527C" w:rsidRDefault="00237020" w:rsidP="00237020">
      <w:pPr>
        <w:pStyle w:val="NormalHanging12a"/>
      </w:pPr>
      <w:r w:rsidRPr="0041527C">
        <w:t>–</w:t>
      </w:r>
      <w:r w:rsidRPr="0041527C">
        <w:tab/>
        <w:t xml:space="preserve">wara li </w:t>
      </w:r>
      <w:proofErr w:type="spellStart"/>
      <w:r w:rsidRPr="0041527C">
        <w:t>kkunsidra</w:t>
      </w:r>
      <w:proofErr w:type="spellEnd"/>
      <w:r w:rsidRPr="0041527C">
        <w:t xml:space="preserve"> r-Regolament (KE) Nru 178/2002 tal-Parlament Ewropew u tal-Kunsill tat-28 ta’ Jannar 2002 li jistabbilixxi l-prinċipji ġenerali u l-ħtiġijiet tal-liġi dwar l-ikel, li jistabbilixxi l-Awtorità Ewropea dwar is-Sigurtà fl-Ikel u jistabbilixxi l-proċeduri fi kwistjonijiet ta’ sigurtà tal-ikel</w:t>
      </w:r>
      <w:r w:rsidRPr="0041527C">
        <w:rPr>
          <w:vertAlign w:val="superscript"/>
        </w:rPr>
        <w:footnoteReference w:id="3"/>
      </w:r>
      <w:r w:rsidRPr="0041527C">
        <w:t>, u b’mod partikolari l-Artikolu 5(1) tiegħu,</w:t>
      </w:r>
    </w:p>
    <w:p w:rsidR="00237020" w:rsidRPr="0041527C" w:rsidRDefault="00237020" w:rsidP="00237020">
      <w:pPr>
        <w:pStyle w:val="NormalHanging12a"/>
      </w:pPr>
      <w:r w:rsidRPr="0041527C">
        <w:t>–</w:t>
      </w:r>
      <w:r w:rsidRPr="0041527C">
        <w:tab/>
        <w:t xml:space="preserve">wara li </w:t>
      </w:r>
      <w:proofErr w:type="spellStart"/>
      <w:r w:rsidRPr="0041527C">
        <w:t>kkunsidra</w:t>
      </w:r>
      <w:proofErr w:type="spellEnd"/>
      <w:r w:rsidRPr="0041527C">
        <w:t xml:space="preserve"> l-Artikoli 11, 13, 168 u 191 tat-Trattat dwar il-Funzjonament tal-Unjoni Ewropea,</w:t>
      </w:r>
    </w:p>
    <w:p w:rsidR="00237020" w:rsidRPr="0041527C" w:rsidRDefault="00237020" w:rsidP="00237020">
      <w:pPr>
        <w:pStyle w:val="NormalHanging12a"/>
      </w:pPr>
      <w:r w:rsidRPr="0041527C">
        <w:t>–</w:t>
      </w:r>
      <w:r w:rsidRPr="0041527C">
        <w:tab/>
        <w:t xml:space="preserve">wara li </w:t>
      </w:r>
      <w:proofErr w:type="spellStart"/>
      <w:r w:rsidRPr="0041527C">
        <w:t>kkunsidra</w:t>
      </w:r>
      <w:proofErr w:type="spellEnd"/>
      <w:r w:rsidRPr="0041527C">
        <w:t xml:space="preserve"> l-opinjoni motivata adottata mill-Awtorità Ewropea dwar is-Sigurtà </w:t>
      </w:r>
      <w:r w:rsidRPr="0041527C">
        <w:lastRenderedPageBreak/>
        <w:t>fl-Ikel (EFSA) fil-5 ta’ Lulju 2021, u ppubblikata fit-23 ta’ Awwissu 2021</w:t>
      </w:r>
      <w:r w:rsidRPr="0041527C">
        <w:rPr>
          <w:vertAlign w:val="superscript"/>
        </w:rPr>
        <w:footnoteReference w:id="4"/>
      </w:r>
      <w:r w:rsidRPr="0041527C">
        <w:t>,</w:t>
      </w:r>
    </w:p>
    <w:p w:rsidR="00237020" w:rsidRPr="0041527C" w:rsidRDefault="00237020" w:rsidP="00237020">
      <w:pPr>
        <w:pStyle w:val="NormalHanging12a"/>
      </w:pPr>
      <w:r w:rsidRPr="0041527C">
        <w:t>–</w:t>
      </w:r>
      <w:r w:rsidRPr="0041527C">
        <w:tab/>
        <w:t xml:space="preserve">wara li </w:t>
      </w:r>
      <w:proofErr w:type="spellStart"/>
      <w:r w:rsidRPr="0041527C">
        <w:t>kkunsidra</w:t>
      </w:r>
      <w:proofErr w:type="spellEnd"/>
      <w:r w:rsidRPr="0041527C">
        <w:t xml:space="preserve"> l-opinjoni motivata aġġornata adottata mill-EFSA fl-10 ta’ Jannar 2024, u ppubblikata fl-20 ta’ Frar 2024</w:t>
      </w:r>
      <w:r w:rsidRPr="0041527C">
        <w:rPr>
          <w:rStyle w:val="FootnoteReference"/>
        </w:rPr>
        <w:footnoteReference w:id="5"/>
      </w:r>
      <w:r w:rsidRPr="0041527C">
        <w:t>,</w:t>
      </w:r>
    </w:p>
    <w:p w:rsidR="00237020" w:rsidRPr="0041527C" w:rsidRDefault="00237020" w:rsidP="00237020">
      <w:pPr>
        <w:pStyle w:val="NormalHanging12a"/>
      </w:pPr>
      <w:r w:rsidRPr="0041527C">
        <w:t>–</w:t>
      </w:r>
      <w:r w:rsidRPr="0041527C">
        <w:tab/>
        <w:t xml:space="preserve">wara li </w:t>
      </w:r>
      <w:proofErr w:type="spellStart"/>
      <w:r w:rsidRPr="0041527C">
        <w:t>kkunsidra</w:t>
      </w:r>
      <w:proofErr w:type="spellEnd"/>
      <w:r w:rsidRPr="0041527C">
        <w:t xml:space="preserve"> l-konklużjoni dwar </w:t>
      </w:r>
      <w:proofErr w:type="spellStart"/>
      <w:r w:rsidRPr="0041527C">
        <w:t>ir-rieżami</w:t>
      </w:r>
      <w:proofErr w:type="spellEnd"/>
      <w:r w:rsidRPr="0041527C">
        <w:t xml:space="preserve"> bejn il-pari tal-pestiċidi adottata mill-EFSA fit-30 ta’ April 2010, u ppubblikata fit-12 ta’ Mejju 2010</w:t>
      </w:r>
      <w:r w:rsidRPr="0041527C">
        <w:rPr>
          <w:vertAlign w:val="superscript"/>
        </w:rPr>
        <w:footnoteReference w:id="6"/>
      </w:r>
      <w:r w:rsidRPr="0041527C">
        <w:t>,</w:t>
      </w:r>
    </w:p>
    <w:p w:rsidR="00237020" w:rsidRPr="0041527C" w:rsidRDefault="00237020" w:rsidP="00237020">
      <w:pPr>
        <w:pStyle w:val="NormalHanging12a"/>
      </w:pPr>
      <w:r w:rsidRPr="0041527C">
        <w:t>–</w:t>
      </w:r>
      <w:r w:rsidRPr="0041527C">
        <w:tab/>
        <w:t xml:space="preserve">wara li </w:t>
      </w:r>
      <w:proofErr w:type="spellStart"/>
      <w:r w:rsidRPr="0041527C">
        <w:t>kkunsidra</w:t>
      </w:r>
      <w:proofErr w:type="spellEnd"/>
      <w:r w:rsidRPr="0041527C">
        <w:t xml:space="preserve"> l-konklużjoni dwar </w:t>
      </w:r>
      <w:proofErr w:type="spellStart"/>
      <w:r w:rsidRPr="0041527C">
        <w:t>ir-rieżami</w:t>
      </w:r>
      <w:proofErr w:type="spellEnd"/>
      <w:r w:rsidRPr="0041527C">
        <w:t xml:space="preserve"> bejn il-pari tal-pestiċidi adottata mill-EFSA fit-8 ta’ Diċembru 2017, u ppubblikata fis-17 ta’ Jannar 2018</w:t>
      </w:r>
      <w:r w:rsidRPr="0041527C">
        <w:rPr>
          <w:vertAlign w:val="superscript"/>
        </w:rPr>
        <w:footnoteReference w:id="7"/>
      </w:r>
      <w:r w:rsidRPr="0041527C">
        <w:t>,</w:t>
      </w:r>
    </w:p>
    <w:p w:rsidR="00237020" w:rsidRPr="0041527C" w:rsidRDefault="00237020" w:rsidP="00237020">
      <w:pPr>
        <w:pStyle w:val="NormalHanging12a"/>
      </w:pPr>
      <w:r w:rsidRPr="0041527C">
        <w:t>–</w:t>
      </w:r>
      <w:r w:rsidRPr="0041527C">
        <w:tab/>
        <w:t xml:space="preserve">wara li </w:t>
      </w:r>
      <w:proofErr w:type="spellStart"/>
      <w:r w:rsidRPr="0041527C">
        <w:t>kkunsidra</w:t>
      </w:r>
      <w:proofErr w:type="spellEnd"/>
      <w:r w:rsidRPr="0041527C">
        <w:t xml:space="preserve"> d-dikjarazzjoni adottata mill-EFSA fis-27 ta’ Marzu 2024, u ppubblikata fit-13 ta’ Mejju 2024</w:t>
      </w:r>
      <w:r w:rsidRPr="0041527C">
        <w:rPr>
          <w:vertAlign w:val="superscript"/>
        </w:rPr>
        <w:footnoteReference w:id="8"/>
      </w:r>
      <w:r w:rsidRPr="0041527C">
        <w:t>,</w:t>
      </w:r>
    </w:p>
    <w:p w:rsidR="00237020" w:rsidRPr="0041527C" w:rsidRDefault="00237020" w:rsidP="00237020">
      <w:pPr>
        <w:pStyle w:val="NormalHanging12a"/>
      </w:pPr>
      <w:r w:rsidRPr="0041527C">
        <w:t>–</w:t>
      </w:r>
      <w:r w:rsidRPr="0041527C">
        <w:tab/>
        <w:t xml:space="preserve">wara li </w:t>
      </w:r>
      <w:proofErr w:type="spellStart"/>
      <w:r w:rsidRPr="0041527C">
        <w:t>kkunsidra</w:t>
      </w:r>
      <w:proofErr w:type="spellEnd"/>
      <w:r w:rsidRPr="0041527C">
        <w:t xml:space="preserve"> l-opinjoni adottata mill-Kumitat għall-Istima tar-Riskji (RAC) tal-Aġenzija Ewropea għas-Sustanzi Kimiċi fil-5 ta’ Diċembru 2019</w:t>
      </w:r>
      <w:r w:rsidRPr="0041527C">
        <w:rPr>
          <w:rStyle w:val="FootnoteReference"/>
        </w:rPr>
        <w:footnoteReference w:id="9"/>
      </w:r>
      <w:r w:rsidRPr="0041527C">
        <w:t>,</w:t>
      </w:r>
    </w:p>
    <w:p w:rsidR="00237020" w:rsidRPr="0041527C" w:rsidRDefault="00237020" w:rsidP="00237020">
      <w:pPr>
        <w:pStyle w:val="NormalHanging12a"/>
      </w:pPr>
      <w:r w:rsidRPr="0041527C">
        <w:t>–</w:t>
      </w:r>
      <w:r w:rsidRPr="0041527C">
        <w:tab/>
        <w:t xml:space="preserve">wara li </w:t>
      </w:r>
      <w:proofErr w:type="spellStart"/>
      <w:r w:rsidRPr="0041527C">
        <w:t>kkunsidra</w:t>
      </w:r>
      <w:proofErr w:type="spellEnd"/>
      <w:r w:rsidRPr="0041527C">
        <w:t xml:space="preserve"> l-Artikolu 5a(3), il-punt (b), u l-Artikolu 5a(5) tad-Deċiżjoni tal-Kunsill 1999/468/KE tat-28 ta’ Ġunju 1999 li tipprovdi l-proċeduri għall-eżerċizzju tas-setgħat tal-implimentazzjoni </w:t>
      </w:r>
      <w:proofErr w:type="spellStart"/>
      <w:r w:rsidRPr="0041527C">
        <w:t>konferiti</w:t>
      </w:r>
      <w:proofErr w:type="spellEnd"/>
      <w:r w:rsidRPr="0041527C">
        <w:t xml:space="preserve"> fuq il-Kummissjoni</w:t>
      </w:r>
      <w:r w:rsidRPr="0041527C">
        <w:rPr>
          <w:rStyle w:val="FootnoteReference"/>
        </w:rPr>
        <w:footnoteReference w:id="10"/>
      </w:r>
      <w:r w:rsidRPr="0041527C">
        <w:t>,</w:t>
      </w:r>
    </w:p>
    <w:p w:rsidR="00237020" w:rsidRPr="0041527C" w:rsidRDefault="00237020" w:rsidP="00237020">
      <w:pPr>
        <w:pStyle w:val="NormalHanging12a"/>
      </w:pPr>
      <w:r w:rsidRPr="0041527C">
        <w:t>–</w:t>
      </w:r>
      <w:r w:rsidRPr="0041527C">
        <w:tab/>
        <w:t xml:space="preserve">wara li </w:t>
      </w:r>
      <w:proofErr w:type="spellStart"/>
      <w:r w:rsidRPr="0041527C">
        <w:t>kkunsidra</w:t>
      </w:r>
      <w:proofErr w:type="spellEnd"/>
      <w:r w:rsidRPr="0041527C">
        <w:t xml:space="preserve"> l-Artikolu 115(2), (3) u (4)(c) tar-Regoli ta’ Proċedura tiegħu,</w:t>
      </w:r>
    </w:p>
    <w:p w:rsidR="00237020" w:rsidRPr="0041527C" w:rsidRDefault="00237020" w:rsidP="00237020">
      <w:pPr>
        <w:pStyle w:val="NormalHanging12a"/>
      </w:pPr>
      <w:r w:rsidRPr="0041527C">
        <w:t>–</w:t>
      </w:r>
      <w:r w:rsidRPr="0041527C">
        <w:tab/>
        <w:t xml:space="preserve">wara li </w:t>
      </w:r>
      <w:proofErr w:type="spellStart"/>
      <w:r w:rsidRPr="0041527C">
        <w:t>kkunsidra</w:t>
      </w:r>
      <w:proofErr w:type="spellEnd"/>
      <w:r w:rsidRPr="0041527C">
        <w:t xml:space="preserve"> l-mozzjoni għal riżoluzzjoni tal-Kumitat għall-Ambjent, is-Saħħa Pubblika u s-Sikurezza tal-Ikel,</w:t>
      </w:r>
    </w:p>
    <w:p w:rsidR="00237020" w:rsidRPr="0041527C" w:rsidRDefault="00237020" w:rsidP="00237020">
      <w:pPr>
        <w:pStyle w:val="NormalHanging12a"/>
      </w:pPr>
      <w:r w:rsidRPr="0041527C">
        <w:t>A.</w:t>
      </w:r>
      <w:r w:rsidRPr="0041527C">
        <w:tab/>
        <w:t>billi l-protesti tal-bdiewa li seħħew fl-ewwel nofs tal-2024 kellhom bħala waħda mit-talbiet ewlenin tagħhom trattament ġust u ugwali għall-prodotti importati minn pajjiżi terzi, li għandu jsegwi l-istess standards bħall-prodotti manifatturati fl-Unjoni;</w:t>
      </w:r>
    </w:p>
    <w:p w:rsidR="00237020" w:rsidRPr="0041527C" w:rsidRDefault="00237020" w:rsidP="00237020">
      <w:pPr>
        <w:pStyle w:val="NormalHanging12a"/>
      </w:pPr>
      <w:r w:rsidRPr="0041527C">
        <w:t>B.</w:t>
      </w:r>
      <w:r w:rsidRPr="0041527C">
        <w:tab/>
        <w:t xml:space="preserve">billi l-adozzjoni tal-abbozz ta’ regolament tal-Kummissjoni tippermetti li jibqgħu għaddejjin fl-Unjoni importazzjonijiet li ma </w:t>
      </w:r>
      <w:proofErr w:type="spellStart"/>
      <w:r w:rsidRPr="0041527C">
        <w:t>jikkonformawx</w:t>
      </w:r>
      <w:proofErr w:type="spellEnd"/>
      <w:r w:rsidRPr="0041527C">
        <w:t xml:space="preserve"> mal-istandards li </w:t>
      </w:r>
      <w:r w:rsidRPr="0041527C">
        <w:lastRenderedPageBreak/>
        <w:t>jirrispettaw il-bdiewa tal-Unjoni;</w:t>
      </w:r>
    </w:p>
    <w:p w:rsidR="00237020" w:rsidRPr="0041527C" w:rsidRDefault="00237020" w:rsidP="00237020">
      <w:pPr>
        <w:pStyle w:val="NormalHanging12a"/>
      </w:pPr>
      <w:r w:rsidRPr="0041527C">
        <w:t>C.</w:t>
      </w:r>
      <w:r w:rsidRPr="0041527C">
        <w:tab/>
        <w:t>billi tali sitwazzjoni tpoġġi lill-bdiewa tal-Unjoni fi żvantaġġ kompetittiv;</w:t>
      </w:r>
    </w:p>
    <w:p w:rsidR="00237020" w:rsidRPr="0041527C" w:rsidRDefault="00237020" w:rsidP="00237020">
      <w:pPr>
        <w:pStyle w:val="NormalHanging12a"/>
      </w:pPr>
      <w:r w:rsidRPr="0041527C">
        <w:t>D.</w:t>
      </w:r>
      <w:r w:rsidRPr="0041527C">
        <w:tab/>
        <w:t xml:space="preserve">billi l-approvazzjoni tas-sustanza attiva </w:t>
      </w:r>
      <w:proofErr w:type="spellStart"/>
      <w:r w:rsidRPr="0041527C">
        <w:t>karbendażim</w:t>
      </w:r>
      <w:proofErr w:type="spellEnd"/>
      <w:r w:rsidRPr="0041527C">
        <w:t xml:space="preserve"> skadiet fit-30 ta’ Novembru 2014 u ma ġiet preżentata l-ebda applikazzjoni għat-tiġdid tagħha;</w:t>
      </w:r>
    </w:p>
    <w:p w:rsidR="00237020" w:rsidRPr="0041527C" w:rsidRDefault="00237020" w:rsidP="00237020">
      <w:pPr>
        <w:pStyle w:val="NormalHanging12a"/>
      </w:pPr>
      <w:r w:rsidRPr="0041527C">
        <w:t>E.</w:t>
      </w:r>
      <w:r w:rsidRPr="0041527C">
        <w:tab/>
        <w:t>billi l-</w:t>
      </w:r>
      <w:proofErr w:type="spellStart"/>
      <w:r w:rsidRPr="0041527C">
        <w:t>karbendażim</w:t>
      </w:r>
      <w:proofErr w:type="spellEnd"/>
      <w:r w:rsidRPr="0041527C">
        <w:t xml:space="preserve"> jissodisfa l-kriterji għall-klassifikazzjoni bħala </w:t>
      </w:r>
      <w:proofErr w:type="spellStart"/>
      <w:r w:rsidRPr="0041527C">
        <w:t>mutaġenu</w:t>
      </w:r>
      <w:proofErr w:type="spellEnd"/>
      <w:r w:rsidRPr="0041527C">
        <w:t xml:space="preserve"> tal-kategorija 1B u </w:t>
      </w:r>
      <w:proofErr w:type="spellStart"/>
      <w:r w:rsidRPr="0041527C">
        <w:t>tossiku</w:t>
      </w:r>
      <w:proofErr w:type="spellEnd"/>
      <w:r w:rsidRPr="0041527C">
        <w:t xml:space="preserve"> għar-riproduzzjoni tal-kategorija 1B skont ir-Regolament (KE) Nru 1272/2008 tal-Parlament Ewropew u tal-Kunsill</w:t>
      </w:r>
      <w:r w:rsidRPr="0041527C">
        <w:rPr>
          <w:rStyle w:val="FootnoteReference"/>
        </w:rPr>
        <w:footnoteReference w:id="11"/>
      </w:r>
      <w:r w:rsidRPr="0041527C">
        <w:t xml:space="preserve"> u tnejn mill-kriterji persistenti, </w:t>
      </w:r>
      <w:proofErr w:type="spellStart"/>
      <w:r w:rsidRPr="0041527C">
        <w:t>bijoakkumulattivi</w:t>
      </w:r>
      <w:proofErr w:type="spellEnd"/>
      <w:r w:rsidRPr="0041527C">
        <w:t xml:space="preserve"> u tossiċi (PBT) (P u T) skont il-punt 3.7.2 tal-Anness II tar-Regolament (KE) Nru 1107/2009;</w:t>
      </w:r>
    </w:p>
    <w:p w:rsidR="00237020" w:rsidRPr="0041527C" w:rsidRDefault="00237020" w:rsidP="00237020">
      <w:pPr>
        <w:pStyle w:val="NormalHanging12a"/>
      </w:pPr>
      <w:r w:rsidRPr="0041527C">
        <w:t>F.</w:t>
      </w:r>
      <w:r w:rsidRPr="0041527C">
        <w:tab/>
        <w:t>billi l-</w:t>
      </w:r>
      <w:proofErr w:type="spellStart"/>
      <w:r w:rsidRPr="0041527C">
        <w:t>karbendażim</w:t>
      </w:r>
      <w:proofErr w:type="spellEnd"/>
      <w:r w:rsidRPr="0041527C">
        <w:t xml:space="preserve"> huwa klassifikat ukoll, skont ir-Regolament (KE) Nru 1272/2008, bħala </w:t>
      </w:r>
      <w:proofErr w:type="spellStart"/>
      <w:r w:rsidRPr="0041527C">
        <w:t>tossiku</w:t>
      </w:r>
      <w:proofErr w:type="spellEnd"/>
      <w:r w:rsidRPr="0041527C">
        <w:t xml:space="preserve"> ħafna għall-organiżmi </w:t>
      </w:r>
      <w:proofErr w:type="spellStart"/>
      <w:r w:rsidRPr="0041527C">
        <w:t>akkwatiċi</w:t>
      </w:r>
      <w:proofErr w:type="spellEnd"/>
      <w:r w:rsidRPr="0041527C">
        <w:t xml:space="preserve">, huwa </w:t>
      </w:r>
      <w:proofErr w:type="spellStart"/>
      <w:r w:rsidRPr="0041527C">
        <w:t>tossiku</w:t>
      </w:r>
      <w:proofErr w:type="spellEnd"/>
      <w:r w:rsidRPr="0041527C">
        <w:t xml:space="preserve"> ħafna għall-organiżmi </w:t>
      </w:r>
      <w:proofErr w:type="spellStart"/>
      <w:r w:rsidRPr="0041527C">
        <w:t>akkwatiċi</w:t>
      </w:r>
      <w:proofErr w:type="spellEnd"/>
      <w:r w:rsidRPr="0041527C">
        <w:t xml:space="preserve"> b’effetti dejjiema u jista’ jikkawża reazzjoni </w:t>
      </w:r>
      <w:proofErr w:type="spellStart"/>
      <w:r w:rsidRPr="0041527C">
        <w:t>allerġika</w:t>
      </w:r>
      <w:proofErr w:type="spellEnd"/>
      <w:r w:rsidRPr="0041527C">
        <w:t xml:space="preserve"> tal-ġilda;</w:t>
      </w:r>
    </w:p>
    <w:p w:rsidR="00237020" w:rsidRPr="0041527C" w:rsidRDefault="00237020" w:rsidP="00237020">
      <w:pPr>
        <w:pStyle w:val="NormalHanging12a"/>
      </w:pPr>
      <w:r w:rsidRPr="0041527C">
        <w:t>G.</w:t>
      </w:r>
      <w:r w:rsidRPr="0041527C">
        <w:tab/>
        <w:t>billi għalhekk huwa xieraq li jitħassru l-livelli massimi ta’ residwi (</w:t>
      </w:r>
      <w:proofErr w:type="spellStart"/>
      <w:r w:rsidRPr="0041527C">
        <w:t>MRLs</w:t>
      </w:r>
      <w:proofErr w:type="spellEnd"/>
      <w:r w:rsidRPr="0041527C">
        <w:t xml:space="preserve">) eżistenti stabbiliti </w:t>
      </w:r>
      <w:proofErr w:type="spellStart"/>
      <w:r w:rsidRPr="0041527C">
        <w:t>għall-karbendażim</w:t>
      </w:r>
      <w:proofErr w:type="spellEnd"/>
      <w:r w:rsidRPr="0041527C">
        <w:t xml:space="preserve"> fl-Anness II tar-Regolament (KE) Nru 396/2005 f’</w:t>
      </w:r>
      <w:proofErr w:type="spellStart"/>
      <w:r w:rsidRPr="0041527C">
        <w:t>konformità</w:t>
      </w:r>
      <w:proofErr w:type="spellEnd"/>
      <w:r w:rsidRPr="0041527C">
        <w:t xml:space="preserve"> mal-Artikolu 14(1), il-punt (a), u l-Artikolu 17 ta’ dak ir-Regolament;</w:t>
      </w:r>
    </w:p>
    <w:p w:rsidR="00237020" w:rsidRPr="0041527C" w:rsidRDefault="00237020" w:rsidP="00237020">
      <w:pPr>
        <w:pStyle w:val="NormalHanging12a"/>
      </w:pPr>
      <w:r w:rsidRPr="0041527C">
        <w:t>H.</w:t>
      </w:r>
      <w:r w:rsidRPr="0041527C">
        <w:tab/>
        <w:t>billi, fl-abbozz ta’ regolament tal-Kummissjoni, il-Kummissjoni, madankollu, qed tipproponi li żżomm l-</w:t>
      </w:r>
      <w:proofErr w:type="spellStart"/>
      <w:r w:rsidRPr="0041527C">
        <w:t>MRLs</w:t>
      </w:r>
      <w:proofErr w:type="spellEnd"/>
      <w:r w:rsidRPr="0041527C">
        <w:t xml:space="preserve"> ibbażati fuq </w:t>
      </w:r>
      <w:proofErr w:type="spellStart"/>
      <w:r w:rsidRPr="0041527C">
        <w:t>it-tolleranzi</w:t>
      </w:r>
      <w:proofErr w:type="spellEnd"/>
      <w:r w:rsidRPr="0041527C">
        <w:t xml:space="preserve"> tal-importazzjoni </w:t>
      </w:r>
      <w:proofErr w:type="spellStart"/>
      <w:r w:rsidRPr="0041527C">
        <w:t>għall-karbendazim</w:t>
      </w:r>
      <w:proofErr w:type="spellEnd"/>
      <w:r w:rsidRPr="0041527C">
        <w:t xml:space="preserve"> ’il fuq mil-limitu ta’ determinazzjoni għall-użu fil-lumi, fil-</w:t>
      </w:r>
      <w:proofErr w:type="spellStart"/>
      <w:r w:rsidRPr="0041527C">
        <w:t>lajm</w:t>
      </w:r>
      <w:proofErr w:type="spellEnd"/>
      <w:r w:rsidRPr="0041527C">
        <w:t>, fil-</w:t>
      </w:r>
      <w:proofErr w:type="spellStart"/>
      <w:r w:rsidRPr="0041527C">
        <w:t>mandolin</w:t>
      </w:r>
      <w:proofErr w:type="spellEnd"/>
      <w:r w:rsidRPr="0041527C">
        <w:t>, u fil-</w:t>
      </w:r>
      <w:proofErr w:type="spellStart"/>
      <w:r w:rsidRPr="0041527C">
        <w:t>bamja</w:t>
      </w:r>
      <w:proofErr w:type="spellEnd"/>
      <w:r w:rsidRPr="0041527C">
        <w:t xml:space="preserve"> għal skopijiet ta’ importazzjoni abbażi tal-opinjoni motivata tal-EFSA tal-5 ta’ Lulju 2021;</w:t>
      </w:r>
    </w:p>
    <w:p w:rsidR="00237020" w:rsidRPr="0041527C" w:rsidRDefault="00237020" w:rsidP="00237020">
      <w:pPr>
        <w:pStyle w:val="NormalHanging12a"/>
      </w:pPr>
      <w:r w:rsidRPr="0041527C">
        <w:t>I.</w:t>
      </w:r>
      <w:r w:rsidRPr="0041527C">
        <w:tab/>
        <w:t>billi, fl-abbozz ta’ regolament tal-Kummissjoni, il-Kummissjoni tipproponi li l-</w:t>
      </w:r>
      <w:proofErr w:type="spellStart"/>
      <w:r w:rsidRPr="0041527C">
        <w:t>MRLs</w:t>
      </w:r>
      <w:proofErr w:type="spellEnd"/>
      <w:r w:rsidRPr="0041527C">
        <w:t xml:space="preserve"> ibbażati fuq </w:t>
      </w:r>
      <w:proofErr w:type="spellStart"/>
      <w:r w:rsidRPr="0041527C">
        <w:t>it-tolleranzi</w:t>
      </w:r>
      <w:proofErr w:type="spellEnd"/>
      <w:r w:rsidRPr="0041527C">
        <w:t xml:space="preserve"> tal-importazzjoni għal-lumi, il-</w:t>
      </w:r>
      <w:proofErr w:type="spellStart"/>
      <w:r w:rsidRPr="0041527C">
        <w:t>lajm</w:t>
      </w:r>
      <w:proofErr w:type="spellEnd"/>
      <w:r w:rsidRPr="0041527C">
        <w:t xml:space="preserve"> u l-</w:t>
      </w:r>
      <w:proofErr w:type="spellStart"/>
      <w:r w:rsidRPr="0041527C">
        <w:t>mandolin</w:t>
      </w:r>
      <w:proofErr w:type="spellEnd"/>
      <w:r w:rsidRPr="0041527C">
        <w:t xml:space="preserve"> jinżammu fil-livelli eżistenti ta’ 0,7 </w:t>
      </w:r>
      <w:proofErr w:type="spellStart"/>
      <w:r w:rsidRPr="0041527C">
        <w:t>mg</w:t>
      </w:r>
      <w:proofErr w:type="spellEnd"/>
      <w:r w:rsidRPr="0041527C">
        <w:t>/</w:t>
      </w:r>
      <w:proofErr w:type="spellStart"/>
      <w:r w:rsidRPr="0041527C">
        <w:t>kg</w:t>
      </w:r>
      <w:proofErr w:type="spellEnd"/>
      <w:r w:rsidRPr="0041527C">
        <w:t>, u li jiġu stabbiliti l-</w:t>
      </w:r>
      <w:proofErr w:type="spellStart"/>
      <w:r w:rsidRPr="0041527C">
        <w:t>MRLs</w:t>
      </w:r>
      <w:proofErr w:type="spellEnd"/>
      <w:r w:rsidRPr="0041527C">
        <w:t xml:space="preserve"> </w:t>
      </w:r>
      <w:proofErr w:type="spellStart"/>
      <w:r w:rsidRPr="0041527C">
        <w:t>għall-bamja</w:t>
      </w:r>
      <w:proofErr w:type="spellEnd"/>
      <w:r w:rsidRPr="0041527C">
        <w:t xml:space="preserve"> f’livell ġdid ta’ 1,5 </w:t>
      </w:r>
      <w:proofErr w:type="spellStart"/>
      <w:r w:rsidRPr="0041527C">
        <w:t>mg</w:t>
      </w:r>
      <w:proofErr w:type="spellEnd"/>
      <w:r w:rsidRPr="0041527C">
        <w:t>/</w:t>
      </w:r>
      <w:proofErr w:type="spellStart"/>
      <w:r w:rsidRPr="0041527C">
        <w:t>kg</w:t>
      </w:r>
      <w:proofErr w:type="spellEnd"/>
      <w:r w:rsidRPr="0041527C">
        <w:t xml:space="preserve"> stabbilit mill-EFSA; </w:t>
      </w:r>
    </w:p>
    <w:p w:rsidR="00237020" w:rsidRPr="0041527C" w:rsidRDefault="00237020" w:rsidP="00237020">
      <w:pPr>
        <w:pStyle w:val="NormalHanging12a"/>
      </w:pPr>
      <w:r w:rsidRPr="0041527C">
        <w:t>J.</w:t>
      </w:r>
      <w:r w:rsidRPr="0041527C">
        <w:tab/>
        <w:t xml:space="preserve">billi l-approvazzjoni tas-sustanza attiva </w:t>
      </w:r>
      <w:proofErr w:type="spellStart"/>
      <w:r w:rsidRPr="0041527C">
        <w:t>tijofanat-metil</w:t>
      </w:r>
      <w:proofErr w:type="spellEnd"/>
      <w:r w:rsidRPr="0041527C">
        <w:t xml:space="preserve"> ma ġietx imġedda fil-15 ta’ Ottubru 2020 wara li l-applikazzjoni għat-tiġdid ġiet irtirata mill-applikant;</w:t>
      </w:r>
    </w:p>
    <w:p w:rsidR="00237020" w:rsidRPr="0041527C" w:rsidRDefault="00237020" w:rsidP="00237020">
      <w:pPr>
        <w:pStyle w:val="NormalHanging12a"/>
      </w:pPr>
      <w:r w:rsidRPr="0041527C">
        <w:t>K.</w:t>
      </w:r>
      <w:r w:rsidRPr="0041527C">
        <w:tab/>
        <w:t>billi t-</w:t>
      </w:r>
      <w:proofErr w:type="spellStart"/>
      <w:r w:rsidRPr="0041527C">
        <w:t>tijofanat</w:t>
      </w:r>
      <w:proofErr w:type="spellEnd"/>
      <w:r w:rsidRPr="0041527C">
        <w:t>-</w:t>
      </w:r>
      <w:proofErr w:type="spellStart"/>
      <w:r w:rsidRPr="0041527C">
        <w:t>metil</w:t>
      </w:r>
      <w:proofErr w:type="spellEnd"/>
      <w:r w:rsidRPr="0041527C">
        <w:t xml:space="preserve"> jissodisfa l-kriterji għall-klassifikazzjoni bħala </w:t>
      </w:r>
      <w:proofErr w:type="spellStart"/>
      <w:r w:rsidRPr="0041527C">
        <w:t>mutaġenu</w:t>
      </w:r>
      <w:proofErr w:type="spellEnd"/>
      <w:r w:rsidRPr="0041527C">
        <w:t xml:space="preserve"> tal-kategorija 2 u </w:t>
      </w:r>
      <w:proofErr w:type="spellStart"/>
      <w:r w:rsidRPr="0041527C">
        <w:t>tossiku</w:t>
      </w:r>
      <w:proofErr w:type="spellEnd"/>
      <w:r w:rsidRPr="0041527C">
        <w:t xml:space="preserve"> għar-riproduzzjoni tal-kategorija 2 skont ir-Regolament (KE) Nru 1272/2008</w:t>
      </w:r>
      <w:r w:rsidRPr="0041527C">
        <w:rPr>
          <w:rStyle w:val="FootnoteReference"/>
        </w:rPr>
        <w:footnoteReference w:id="12"/>
      </w:r>
      <w:r w:rsidRPr="0041527C">
        <w:t>;</w:t>
      </w:r>
    </w:p>
    <w:p w:rsidR="00237020" w:rsidRPr="0041527C" w:rsidRDefault="00237020" w:rsidP="00237020">
      <w:pPr>
        <w:pStyle w:val="NormalHanging12a"/>
      </w:pPr>
      <w:r w:rsidRPr="0041527C">
        <w:t>L.</w:t>
      </w:r>
      <w:r w:rsidRPr="0041527C">
        <w:tab/>
        <w:t xml:space="preserve">billi fl-opinjoni motivata aġġornata tagħha tal-10 ta’ Jannar 2024, l-EFSA identifikat </w:t>
      </w:r>
      <w:proofErr w:type="spellStart"/>
      <w:r w:rsidRPr="0041527C">
        <w:t>it-tijofanat-metil</w:t>
      </w:r>
      <w:proofErr w:type="spellEnd"/>
      <w:r w:rsidRPr="0041527C">
        <w:t xml:space="preserve"> bħala </w:t>
      </w:r>
      <w:proofErr w:type="spellStart"/>
      <w:r w:rsidRPr="0041527C">
        <w:t>interferent</w:t>
      </w:r>
      <w:proofErr w:type="spellEnd"/>
      <w:r w:rsidRPr="0041527C">
        <w:t xml:space="preserve"> </w:t>
      </w:r>
      <w:proofErr w:type="spellStart"/>
      <w:r w:rsidRPr="0041527C">
        <w:t>endokrinali</w:t>
      </w:r>
      <w:proofErr w:type="spellEnd"/>
      <w:r w:rsidRPr="0041527C">
        <w:t xml:space="preserve"> (</w:t>
      </w:r>
      <w:proofErr w:type="spellStart"/>
      <w:r w:rsidRPr="0041527C">
        <w:t>modalità</w:t>
      </w:r>
      <w:proofErr w:type="spellEnd"/>
      <w:r w:rsidRPr="0041527C">
        <w:t xml:space="preserve"> T) ta’ rilevanza għall-bnedmin skont il-kriterji xjentifiċi biex jiġu </w:t>
      </w:r>
      <w:proofErr w:type="spellStart"/>
      <w:r w:rsidRPr="0041527C">
        <w:t>ddeterminati</w:t>
      </w:r>
      <w:proofErr w:type="spellEnd"/>
      <w:r w:rsidRPr="0041527C">
        <w:t xml:space="preserve"> l-proprjetajiet li jfixklu s-sistema </w:t>
      </w:r>
      <w:proofErr w:type="spellStart"/>
      <w:r w:rsidRPr="0041527C">
        <w:lastRenderedPageBreak/>
        <w:t>endokrinali</w:t>
      </w:r>
      <w:proofErr w:type="spellEnd"/>
      <w:r w:rsidRPr="0041527C">
        <w:t xml:space="preserve"> stabbiliti fir-Regolament tal-Kummissjoni (UE) 2018/605</w:t>
      </w:r>
      <w:r w:rsidRPr="0041527C">
        <w:rPr>
          <w:rStyle w:val="FootnoteReference"/>
        </w:rPr>
        <w:footnoteReference w:id="13"/>
      </w:r>
      <w:r w:rsidRPr="0041527C">
        <w:t>;</w:t>
      </w:r>
    </w:p>
    <w:p w:rsidR="00237020" w:rsidRPr="0041527C" w:rsidRDefault="00237020" w:rsidP="00237020">
      <w:pPr>
        <w:pStyle w:val="NormalHanging12a"/>
      </w:pPr>
      <w:r w:rsidRPr="0041527C">
        <w:t>M.</w:t>
      </w:r>
      <w:r w:rsidRPr="0041527C">
        <w:tab/>
        <w:t>billi l-</w:t>
      </w:r>
      <w:proofErr w:type="spellStart"/>
      <w:r w:rsidRPr="0041527C">
        <w:t>karbendażim</w:t>
      </w:r>
      <w:proofErr w:type="spellEnd"/>
      <w:r w:rsidRPr="0041527C">
        <w:t xml:space="preserve"> huwa </w:t>
      </w:r>
      <w:proofErr w:type="spellStart"/>
      <w:r w:rsidRPr="0041527C">
        <w:t>metabolit</w:t>
      </w:r>
      <w:proofErr w:type="spellEnd"/>
      <w:r w:rsidRPr="0041527C">
        <w:t xml:space="preserve"> ewlieni tal-pjanti tat-</w:t>
      </w:r>
      <w:proofErr w:type="spellStart"/>
      <w:r w:rsidRPr="0041527C">
        <w:t>tijofanat</w:t>
      </w:r>
      <w:proofErr w:type="spellEnd"/>
      <w:r w:rsidRPr="0041527C">
        <w:t>-</w:t>
      </w:r>
      <w:proofErr w:type="spellStart"/>
      <w:r w:rsidRPr="0041527C">
        <w:t>metil</w:t>
      </w:r>
      <w:proofErr w:type="spellEnd"/>
      <w:r w:rsidRPr="0041527C">
        <w:t>;</w:t>
      </w:r>
    </w:p>
    <w:p w:rsidR="00237020" w:rsidRPr="0041527C" w:rsidRDefault="00237020" w:rsidP="00237020">
      <w:pPr>
        <w:pStyle w:val="NormalHanging12a"/>
      </w:pPr>
      <w:r w:rsidRPr="0041527C">
        <w:t>N.</w:t>
      </w:r>
      <w:r w:rsidRPr="0041527C">
        <w:tab/>
        <w:t xml:space="preserve">billi l-konklużjoni tal-EFSA dwar </w:t>
      </w:r>
      <w:proofErr w:type="spellStart"/>
      <w:r w:rsidRPr="0041527C">
        <w:t>ir-rieżami</w:t>
      </w:r>
      <w:proofErr w:type="spellEnd"/>
      <w:r w:rsidRPr="0041527C">
        <w:t xml:space="preserve"> bejn il-pari dwar il-pestiċidi tat-8 ta’ Diċembru 2017 </w:t>
      </w:r>
      <w:proofErr w:type="spellStart"/>
      <w:r w:rsidRPr="0041527C">
        <w:t>ikkonkludiet</w:t>
      </w:r>
      <w:proofErr w:type="spellEnd"/>
      <w:r w:rsidRPr="0041527C">
        <w:t xml:space="preserve"> li, minħabba l-potenzjal </w:t>
      </w:r>
      <w:proofErr w:type="spellStart"/>
      <w:r w:rsidRPr="0041527C">
        <w:t>klastoġeniku</w:t>
      </w:r>
      <w:proofErr w:type="spellEnd"/>
      <w:r w:rsidRPr="0041527C">
        <w:t xml:space="preserve"> tat-</w:t>
      </w:r>
      <w:proofErr w:type="spellStart"/>
      <w:r w:rsidRPr="0041527C">
        <w:t>tijofanat</w:t>
      </w:r>
      <w:proofErr w:type="spellEnd"/>
      <w:r w:rsidRPr="0041527C">
        <w:noBreakHyphen/>
      </w:r>
      <w:proofErr w:type="spellStart"/>
      <w:r w:rsidRPr="0041527C">
        <w:t>metil</w:t>
      </w:r>
      <w:proofErr w:type="spellEnd"/>
      <w:r w:rsidRPr="0041527C">
        <w:t>, il-valuri ta’ referenza tossikoloġiċi għall-valutazzjoni tar-riskju tal-konsumatur u tal-operatur ma setgħux jiġu derivati;</w:t>
      </w:r>
    </w:p>
    <w:p w:rsidR="00237020" w:rsidRPr="0041527C" w:rsidRDefault="00237020" w:rsidP="00237020">
      <w:pPr>
        <w:pStyle w:val="NormalHanging12a"/>
      </w:pPr>
      <w:r w:rsidRPr="0041527C">
        <w:t>O.</w:t>
      </w:r>
      <w:r w:rsidRPr="0041527C">
        <w:tab/>
        <w:t>billi, fl-2024, il-Kummissjoni naqqset l-</w:t>
      </w:r>
      <w:proofErr w:type="spellStart"/>
      <w:r w:rsidRPr="0041527C">
        <w:t>MRLs</w:t>
      </w:r>
      <w:proofErr w:type="spellEnd"/>
      <w:r w:rsidRPr="0041527C">
        <w:t xml:space="preserve"> għat-</w:t>
      </w:r>
      <w:proofErr w:type="spellStart"/>
      <w:r w:rsidRPr="0041527C">
        <w:t>tijakloprid</w:t>
      </w:r>
      <w:proofErr w:type="spellEnd"/>
      <w:r w:rsidRPr="0041527C">
        <w:t xml:space="preserve">, sustanza attiva klassifikata bħala tossika għar-riproduzzjoni tal-kategorija 1B, għal-limitu rilevanti ta’ determinazzjoni bl-argument li “sakemm tiġi konkluża din il-valutazzjoni tar-riskju addizzjonali [dwar l-effetti relatati mas-sistema </w:t>
      </w:r>
      <w:proofErr w:type="spellStart"/>
      <w:r w:rsidRPr="0041527C">
        <w:t>endokrinali</w:t>
      </w:r>
      <w:proofErr w:type="spellEnd"/>
      <w:r w:rsidRPr="0041527C">
        <w:t xml:space="preserve">] mill-Awtorità, u minħabba l-informazzjoni pertinenti disponibbli fir-rigward tal-effetti potenzjalment dannużi fuq is-saħħa tal-bniedem, huwa xieraq li </w:t>
      </w:r>
      <w:proofErr w:type="spellStart"/>
      <w:r w:rsidRPr="0041527C">
        <w:t>jitbaxxew</w:t>
      </w:r>
      <w:proofErr w:type="spellEnd"/>
      <w:r w:rsidRPr="0041527C">
        <w:t xml:space="preserve"> </w:t>
      </w:r>
      <w:proofErr w:type="spellStart"/>
      <w:r w:rsidRPr="0041527C">
        <w:t>provviżorjament</w:t>
      </w:r>
      <w:proofErr w:type="spellEnd"/>
      <w:r w:rsidRPr="0041527C">
        <w:t xml:space="preserve"> l-</w:t>
      </w:r>
      <w:proofErr w:type="spellStart"/>
      <w:r w:rsidRPr="0041527C">
        <w:t>MRLs</w:t>
      </w:r>
      <w:proofErr w:type="spellEnd"/>
      <w:r w:rsidRPr="0041527C">
        <w:t xml:space="preserve"> ... [għal dawk il-prodotti]”</w:t>
      </w:r>
      <w:r w:rsidRPr="0041527C">
        <w:rPr>
          <w:rStyle w:val="FootnoteReference"/>
        </w:rPr>
        <w:footnoteReference w:id="14"/>
      </w:r>
      <w:r w:rsidRPr="0041527C">
        <w:t>;</w:t>
      </w:r>
    </w:p>
    <w:p w:rsidR="00237020" w:rsidRPr="0041527C" w:rsidRDefault="00237020" w:rsidP="00237020">
      <w:pPr>
        <w:pStyle w:val="NormalHanging12a"/>
      </w:pPr>
      <w:r w:rsidRPr="0041527C">
        <w:t>P.</w:t>
      </w:r>
      <w:r w:rsidRPr="0041527C">
        <w:tab/>
        <w:t>billi għalhekk huwa xieraq li jitħassru l-</w:t>
      </w:r>
      <w:proofErr w:type="spellStart"/>
      <w:r w:rsidRPr="0041527C">
        <w:t>MRLs</w:t>
      </w:r>
      <w:proofErr w:type="spellEnd"/>
      <w:r w:rsidRPr="0041527C">
        <w:t xml:space="preserve"> eżistenti stabbiliti għat-</w:t>
      </w:r>
      <w:proofErr w:type="spellStart"/>
      <w:r w:rsidRPr="0041527C">
        <w:t>tijofanat</w:t>
      </w:r>
      <w:proofErr w:type="spellEnd"/>
      <w:r w:rsidRPr="0041527C">
        <w:t>-</w:t>
      </w:r>
      <w:proofErr w:type="spellStart"/>
      <w:r w:rsidRPr="0041527C">
        <w:t>metil</w:t>
      </w:r>
      <w:proofErr w:type="spellEnd"/>
      <w:r w:rsidRPr="0041527C">
        <w:t xml:space="preserve"> fl-Anness II tar-Regolament (KE) Nru 396/2005 skont l-Artikolu 14(1), il-punt (a), u l-Artikolu 17 ta’ dak ir-Regolament;</w:t>
      </w:r>
    </w:p>
    <w:p w:rsidR="00237020" w:rsidRPr="0041527C" w:rsidRDefault="00237020" w:rsidP="00237020">
      <w:pPr>
        <w:pStyle w:val="NormalHanging12a"/>
      </w:pPr>
      <w:r w:rsidRPr="0041527C">
        <w:t>Q.</w:t>
      </w:r>
      <w:r w:rsidRPr="0041527C">
        <w:tab/>
        <w:t>billi, fl-abbozz ta’ regolament tal-Kummissjoni, il-Kummissjoni, madankollu, qed tipproponi li żżomm l-</w:t>
      </w:r>
      <w:proofErr w:type="spellStart"/>
      <w:r w:rsidRPr="0041527C">
        <w:t>MRLs</w:t>
      </w:r>
      <w:proofErr w:type="spellEnd"/>
      <w:r w:rsidRPr="0041527C">
        <w:t xml:space="preserve"> ibbażati fuq </w:t>
      </w:r>
      <w:proofErr w:type="spellStart"/>
      <w:r w:rsidRPr="0041527C">
        <w:t>it-tolleranzi</w:t>
      </w:r>
      <w:proofErr w:type="spellEnd"/>
      <w:r w:rsidRPr="0041527C">
        <w:t xml:space="preserve"> tal-importazzjoni għat-</w:t>
      </w:r>
      <w:proofErr w:type="spellStart"/>
      <w:r w:rsidRPr="0041527C">
        <w:t>tijofanat</w:t>
      </w:r>
      <w:proofErr w:type="spellEnd"/>
      <w:r w:rsidRPr="0041527C">
        <w:t>-</w:t>
      </w:r>
      <w:proofErr w:type="spellStart"/>
      <w:r w:rsidRPr="0041527C">
        <w:t>metil</w:t>
      </w:r>
      <w:proofErr w:type="spellEnd"/>
      <w:r w:rsidRPr="0041527C">
        <w:t xml:space="preserve"> ’il fuq mil-limitu ta’ determinazzjoni għall-użu fil-</w:t>
      </w:r>
      <w:proofErr w:type="spellStart"/>
      <w:r w:rsidRPr="0041527C">
        <w:t>lajm</w:t>
      </w:r>
      <w:proofErr w:type="spellEnd"/>
      <w:r w:rsidRPr="0041527C">
        <w:t xml:space="preserve"> u fil-</w:t>
      </w:r>
      <w:proofErr w:type="spellStart"/>
      <w:r w:rsidRPr="0041527C">
        <w:t>bamja</w:t>
      </w:r>
      <w:proofErr w:type="spellEnd"/>
      <w:r w:rsidRPr="0041527C">
        <w:t xml:space="preserve"> għal skopijiet ta’ importazzjoni abbażi tal-opinjoni motivata tal-EFSA tal-5 ta’ Lulju 2021; billi l-MRL għat-</w:t>
      </w:r>
      <w:proofErr w:type="spellStart"/>
      <w:r w:rsidRPr="0041527C">
        <w:t>tijofanat</w:t>
      </w:r>
      <w:proofErr w:type="spellEnd"/>
      <w:r w:rsidRPr="0041527C">
        <w:t>-</w:t>
      </w:r>
      <w:proofErr w:type="spellStart"/>
      <w:r w:rsidRPr="0041527C">
        <w:t>metil</w:t>
      </w:r>
      <w:proofErr w:type="spellEnd"/>
      <w:r w:rsidRPr="0041527C">
        <w:t xml:space="preserve"> fuq il-</w:t>
      </w:r>
      <w:proofErr w:type="spellStart"/>
      <w:r w:rsidRPr="0041527C">
        <w:t>lajm</w:t>
      </w:r>
      <w:proofErr w:type="spellEnd"/>
      <w:r w:rsidRPr="0041527C">
        <w:t xml:space="preserve"> huwa stabbilit għal 6 </w:t>
      </w:r>
      <w:proofErr w:type="spellStart"/>
      <w:r w:rsidRPr="0041527C">
        <w:t>mg</w:t>
      </w:r>
      <w:proofErr w:type="spellEnd"/>
      <w:r w:rsidRPr="0041527C">
        <w:t>/</w:t>
      </w:r>
      <w:proofErr w:type="spellStart"/>
      <w:r w:rsidRPr="0041527C">
        <w:t>kg</w:t>
      </w:r>
      <w:proofErr w:type="spellEnd"/>
      <w:r w:rsidRPr="0041527C">
        <w:t>, 600 darba aktar mil-limitu ta’ determinazzjoni;</w:t>
      </w:r>
    </w:p>
    <w:p w:rsidR="00237020" w:rsidRPr="0041527C" w:rsidRDefault="00237020" w:rsidP="00237020">
      <w:pPr>
        <w:pStyle w:val="NormalHanging12a"/>
      </w:pPr>
      <w:r w:rsidRPr="0041527C">
        <w:t>R.</w:t>
      </w:r>
      <w:r w:rsidRPr="0041527C">
        <w:tab/>
        <w:t xml:space="preserve">billi l-premessa (5) tar-Regolament (KE) Nru 396/2005 </w:t>
      </w:r>
      <w:proofErr w:type="spellStart"/>
      <w:r w:rsidRPr="0041527C">
        <w:t>tistipula</w:t>
      </w:r>
      <w:proofErr w:type="spellEnd"/>
      <w:r w:rsidRPr="0041527C">
        <w:t xml:space="preserve"> li r-residwi </w:t>
      </w:r>
      <w:proofErr w:type="spellStart"/>
      <w:r w:rsidRPr="0041527C">
        <w:t>jenħtieġ</w:t>
      </w:r>
      <w:proofErr w:type="spellEnd"/>
      <w:r w:rsidRPr="0041527C">
        <w:t xml:space="preserve"> li ma jkunux preżenti f’livelli li joħolqu riskju inaċċettabbli għall-bnedmin u, fejn rilevanti, għall-annimali; </w:t>
      </w:r>
    </w:p>
    <w:p w:rsidR="00237020" w:rsidRPr="0041527C" w:rsidRDefault="00237020" w:rsidP="00237020">
      <w:pPr>
        <w:pStyle w:val="NormalHanging12a"/>
      </w:pPr>
      <w:r w:rsidRPr="0041527C">
        <w:t>S.</w:t>
      </w:r>
      <w:r w:rsidRPr="0041527C">
        <w:tab/>
        <w:t xml:space="preserve">billi l-Artikolu 4(2), l-ewwel </w:t>
      </w:r>
      <w:proofErr w:type="spellStart"/>
      <w:r w:rsidRPr="0041527C">
        <w:t>subparagrafu</w:t>
      </w:r>
      <w:proofErr w:type="spellEnd"/>
      <w:r w:rsidRPr="0041527C">
        <w:t xml:space="preserve">, il-punt (a), tar-Regolament (KE) Nru 1107/2009 jistipula li r-residwi tal-prodotti għall-protezzjoni tal-pjanti m’għandu jkollhom l-ebda effett ta’ ħsara fuq is-saħħa tal-bniedem, inklużi dawk fuq gruppi vulnerabbli, jew fuq is-saħħa tal-annimali, meta jitqiesu l-effetti </w:t>
      </w:r>
      <w:proofErr w:type="spellStart"/>
      <w:r w:rsidRPr="0041527C">
        <w:t>kumulattivi</w:t>
      </w:r>
      <w:proofErr w:type="spellEnd"/>
      <w:r w:rsidRPr="0041527C">
        <w:t xml:space="preserve"> u </w:t>
      </w:r>
      <w:proofErr w:type="spellStart"/>
      <w:r w:rsidRPr="0041527C">
        <w:t>sinerġistiċi</w:t>
      </w:r>
      <w:proofErr w:type="spellEnd"/>
      <w:r w:rsidRPr="0041527C">
        <w:t xml:space="preserve"> magħrufa; billi l-punt 3.6.2 tal-Anness II ta’ dak ir-Regolament jipprevedi li sustanza attiva klassifikata, skont ir-Regolament (KE) Nru 1272/2008, bħala kategorija ta’ </w:t>
      </w:r>
      <w:proofErr w:type="spellStart"/>
      <w:r w:rsidRPr="0041527C">
        <w:t>mutaġeni</w:t>
      </w:r>
      <w:proofErr w:type="spellEnd"/>
      <w:r w:rsidRPr="0041527C">
        <w:t xml:space="preserve"> 1A jew 1B m’għandhiex tiġi approvata; billi l-punt 3.6.4 ta’ dak l-Anness jipprevedi li sustanza attiva klassifikata, f’</w:t>
      </w:r>
      <w:proofErr w:type="spellStart"/>
      <w:r w:rsidRPr="0041527C">
        <w:t>konformità</w:t>
      </w:r>
      <w:proofErr w:type="spellEnd"/>
      <w:r w:rsidRPr="0041527C">
        <w:t xml:space="preserve"> mar-Regolament (KE) Nru 1272/2008, bħala tossika għar-riproduzzjoni tal-kategorija 1A jew 1B, m’għandhiex tiġi approvata sakemm </w:t>
      </w:r>
      <w:proofErr w:type="spellStart"/>
      <w:r w:rsidRPr="0041527C">
        <w:t>ir</w:t>
      </w:r>
      <w:proofErr w:type="spellEnd"/>
      <w:r w:rsidRPr="0041527C">
        <w:t xml:space="preserve">-“residwi ta’ sustanza attiva [...] ikkonċernati fuq ikel u għalf ma </w:t>
      </w:r>
      <w:proofErr w:type="spellStart"/>
      <w:r w:rsidRPr="0041527C">
        <w:t>jeċċedux</w:t>
      </w:r>
      <w:proofErr w:type="spellEnd"/>
      <w:r w:rsidRPr="0041527C">
        <w:t xml:space="preserve"> il-valur standard imniżżel skont il-punt (b) tal-Artikolu 18(1) tar-Regolament (KE) Nru 396/2005”; billi l-punt 3.6.5 ta’ dak l-Anness jipprevedi li sustanza attiva m’għandhiex tiġi approvata jekk ikollha proprjetajiet li jfixklu s-sistema </w:t>
      </w:r>
      <w:proofErr w:type="spellStart"/>
      <w:r w:rsidRPr="0041527C">
        <w:t>endokrina</w:t>
      </w:r>
      <w:proofErr w:type="spellEnd"/>
      <w:r w:rsidRPr="0041527C">
        <w:t xml:space="preserve"> </w:t>
      </w:r>
      <w:r w:rsidRPr="0041527C">
        <w:lastRenderedPageBreak/>
        <w:t xml:space="preserve">sakemm </w:t>
      </w:r>
      <w:proofErr w:type="spellStart"/>
      <w:r w:rsidRPr="0041527C">
        <w:t>ir</w:t>
      </w:r>
      <w:proofErr w:type="spellEnd"/>
      <w:r w:rsidRPr="0041527C">
        <w:t xml:space="preserve">-“residwi tas-sustanza attiva [...] ikkonċernati fuq ikel u għalf ma </w:t>
      </w:r>
      <w:proofErr w:type="spellStart"/>
      <w:r w:rsidRPr="0041527C">
        <w:t>jeċċedux</w:t>
      </w:r>
      <w:proofErr w:type="spellEnd"/>
      <w:r w:rsidRPr="0041527C">
        <w:t xml:space="preserve"> il-valur standard stabbilit skont il-punt (b) tal-Artikolu 18(1)(b) tar-Regolament (KE) Nru 396/2005”; billi l-Artikolu 18(1), il-punt (b), tar-Regolament (KE) Nru 396/2005 jistabbilixxi valur </w:t>
      </w:r>
      <w:proofErr w:type="spellStart"/>
      <w:r w:rsidRPr="0041527C">
        <w:t>prestabbilit</w:t>
      </w:r>
      <w:proofErr w:type="spellEnd"/>
      <w:r w:rsidRPr="0041527C">
        <w:t xml:space="preserve"> (</w:t>
      </w:r>
      <w:proofErr w:type="spellStart"/>
      <w:r w:rsidRPr="0041527C">
        <w:t>default</w:t>
      </w:r>
      <w:proofErr w:type="spellEnd"/>
      <w:r w:rsidRPr="0041527C">
        <w:t>) ta’ 0,01 </w:t>
      </w:r>
      <w:proofErr w:type="spellStart"/>
      <w:r w:rsidRPr="0041527C">
        <w:t>mg</w:t>
      </w:r>
      <w:proofErr w:type="spellEnd"/>
      <w:r w:rsidRPr="0041527C">
        <w:t>/</w:t>
      </w:r>
      <w:proofErr w:type="spellStart"/>
      <w:r w:rsidRPr="0041527C">
        <w:t>kg</w:t>
      </w:r>
      <w:proofErr w:type="spellEnd"/>
      <w:r w:rsidRPr="0041527C">
        <w:t>;</w:t>
      </w:r>
    </w:p>
    <w:p w:rsidR="00237020" w:rsidRPr="0041527C" w:rsidRDefault="00237020" w:rsidP="00237020">
      <w:pPr>
        <w:pStyle w:val="NormalHanging12a"/>
      </w:pPr>
      <w:r w:rsidRPr="0041527C">
        <w:t>T.</w:t>
      </w:r>
      <w:r w:rsidRPr="0041527C">
        <w:tab/>
        <w:t>billi l-Artikolu 3(2), il-punt (g), tar-Regolament (KE) Nru 396/2005 jistipula li t-tolleranza tal-importazzjoni hija MRL stabbilit għall-prodotti importati meta “l-użu tas-sustanza attiva fi prodott għall-protezzjoni tal-pjanti fuq xi prodott speċifiku mhuwiex awtorizzat fil-Komunità għal raġunijiet minbarra raġunijiet ta’ saħħa pubblika għall-prodott speċifiku u l-użu speċifiku”; billi l-</w:t>
      </w:r>
      <w:proofErr w:type="spellStart"/>
      <w:r w:rsidRPr="0041527C">
        <w:t>karbendażim</w:t>
      </w:r>
      <w:proofErr w:type="spellEnd"/>
      <w:r w:rsidRPr="0041527C">
        <w:t xml:space="preserve"> ma jissodisfax dawk il-kriterji peress li ma jistax jibqa’ jiġi approvat fl-Unjoni minħabba l-klassifikazzjoni tiegħu bħala </w:t>
      </w:r>
      <w:proofErr w:type="spellStart"/>
      <w:r w:rsidRPr="0041527C">
        <w:t>mutaġeniku</w:t>
      </w:r>
      <w:proofErr w:type="spellEnd"/>
      <w:r w:rsidRPr="0041527C">
        <w:t xml:space="preserve"> tal-kategorija 1B u </w:t>
      </w:r>
      <w:proofErr w:type="spellStart"/>
      <w:r w:rsidRPr="0041527C">
        <w:t>tossiku</w:t>
      </w:r>
      <w:proofErr w:type="spellEnd"/>
      <w:r w:rsidRPr="0041527C">
        <w:t xml:space="preserve"> għar-riproduzzjoni tal-kategorija 1B; billi t-</w:t>
      </w:r>
      <w:proofErr w:type="spellStart"/>
      <w:r w:rsidRPr="0041527C">
        <w:t>tijofanat</w:t>
      </w:r>
      <w:proofErr w:type="spellEnd"/>
      <w:r w:rsidRPr="0041527C">
        <w:t>-</w:t>
      </w:r>
      <w:proofErr w:type="spellStart"/>
      <w:r w:rsidRPr="0041527C">
        <w:t>metil</w:t>
      </w:r>
      <w:proofErr w:type="spellEnd"/>
      <w:r w:rsidRPr="0041527C">
        <w:t xml:space="preserve"> ukoll ma jissodisfax dawk il-kriterji peress li ġie identifikat bħala </w:t>
      </w:r>
      <w:proofErr w:type="spellStart"/>
      <w:r w:rsidRPr="0041527C">
        <w:t>interferent</w:t>
      </w:r>
      <w:proofErr w:type="spellEnd"/>
      <w:r w:rsidRPr="0041527C">
        <w:t xml:space="preserve"> </w:t>
      </w:r>
      <w:proofErr w:type="spellStart"/>
      <w:r w:rsidRPr="0041527C">
        <w:t>endokrinali</w:t>
      </w:r>
      <w:proofErr w:type="spellEnd"/>
      <w:r w:rsidRPr="0041527C">
        <w:t xml:space="preserve"> (</w:t>
      </w:r>
      <w:proofErr w:type="spellStart"/>
      <w:r w:rsidRPr="0041527C">
        <w:t>modalità</w:t>
      </w:r>
      <w:proofErr w:type="spellEnd"/>
      <w:r w:rsidRPr="0041527C">
        <w:t xml:space="preserve"> T) ta’ rilevanza għall-bnedmin skont il-kriterji xjentifiċi għad-determinazzjoni tal-proprjetajiet li jfixklu s-sistema </w:t>
      </w:r>
      <w:proofErr w:type="spellStart"/>
      <w:r w:rsidRPr="0041527C">
        <w:t>endokrinali</w:t>
      </w:r>
      <w:proofErr w:type="spellEnd"/>
      <w:r w:rsidRPr="0041527C">
        <w:t xml:space="preserve"> stabbiliti fir-Regolament (UE) 2018/605;</w:t>
      </w:r>
    </w:p>
    <w:p w:rsidR="00237020" w:rsidRPr="0041527C" w:rsidRDefault="00237020" w:rsidP="00237020">
      <w:pPr>
        <w:pStyle w:val="NormalHanging12a"/>
      </w:pPr>
      <w:r w:rsidRPr="0041527C">
        <w:t>U.</w:t>
      </w:r>
      <w:r w:rsidRPr="0041527C">
        <w:tab/>
        <w:t>billi l-Artikolu 5(1) tar-Regolament (KE) Nru 178/2002 jistipula li l-liġi dwar l-ikel għandha ssegwi wieħed jew aktar mill-objettivi ġenerali ta’ livell għoli ta’ protezzjoni tal-ħajja u s-saħħa tal-bniedem u l-protezzjoni tal-interessi tal-konsumaturi, inklużi prattiki ġusti fil-kummerċ tal-ikel, b’kunsiderazzjoni, fejn xieraq, tal-protezzjoni tas-saħħa u t-trattament xieraq tal-annimali, is-saħħa tal-pjanti u l-ambjent;</w:t>
      </w:r>
    </w:p>
    <w:p w:rsidR="00237020" w:rsidRPr="0041527C" w:rsidRDefault="00237020" w:rsidP="00237020">
      <w:pPr>
        <w:pStyle w:val="NormalHanging12a"/>
      </w:pPr>
      <w:r w:rsidRPr="0041527C">
        <w:t>V.</w:t>
      </w:r>
      <w:r w:rsidRPr="0041527C">
        <w:tab/>
        <w:t>billi fil-komunikazzjoni tagħha tal-20 ta’ Mejju 2020 dwar “Strateġija Mill-Għalqa sal-Platt għal sistema tal-ikel ġusta, tajba għas-saħħa u favur l-ambjent”</w:t>
      </w:r>
      <w:r w:rsidRPr="0041527C">
        <w:rPr>
          <w:vertAlign w:val="superscript"/>
        </w:rPr>
        <w:footnoteReference w:id="15"/>
      </w:r>
      <w:r w:rsidRPr="0041527C">
        <w:t>, il-Kummissjoni ħabbret li “l-UE se tappoġġa t-</w:t>
      </w:r>
      <w:proofErr w:type="spellStart"/>
      <w:r w:rsidRPr="0041527C">
        <w:t>tranżizzjoni</w:t>
      </w:r>
      <w:proofErr w:type="spellEnd"/>
      <w:r w:rsidRPr="0041527C">
        <w:t xml:space="preserve"> dinjija lejn sistemi sostenibbli ta’ ikel agrikolu, f’</w:t>
      </w:r>
      <w:proofErr w:type="spellStart"/>
      <w:r w:rsidRPr="0041527C">
        <w:t>konformità</w:t>
      </w:r>
      <w:proofErr w:type="spellEnd"/>
      <w:r w:rsidRPr="0041527C">
        <w:t xml:space="preserve"> mal-objettivi ta’ din l-Istrateġija u </w:t>
      </w:r>
      <w:proofErr w:type="spellStart"/>
      <w:r w:rsidRPr="0041527C">
        <w:t>mal-SDGs</w:t>
      </w:r>
      <w:proofErr w:type="spellEnd"/>
      <w:r w:rsidRPr="0041527C">
        <w:t xml:space="preserve">”, u li “l-UE tista’ taqdi rwol ewlieni fl-istabbiliment ta’ standards dinjija b’din l-istrateġija”; billi l-Kummissjoni </w:t>
      </w:r>
      <w:proofErr w:type="spellStart"/>
      <w:r w:rsidRPr="0041527C">
        <w:t>ddikjarat</w:t>
      </w:r>
      <w:proofErr w:type="spellEnd"/>
      <w:r w:rsidRPr="0041527C">
        <w:t xml:space="preserve"> b’mod espliċitu fl-istrateġija li “sistema tal-ikel tal-UE aktar sostenibbli tirrikjedi wkoll prattiki dejjem aktar sostenibbli mis-sħab kummerċjali tagħna. Sabiex tippromwovi pass gradwali lejn l-użu ta’ prodotti għall-protezzjoni tal-pjanti aktar </w:t>
      </w:r>
      <w:proofErr w:type="spellStart"/>
      <w:r w:rsidRPr="0041527C">
        <w:t>sikuri</w:t>
      </w:r>
      <w:proofErr w:type="spellEnd"/>
      <w:r w:rsidRPr="0041527C">
        <w:t>, l-UE se tikkunsidra, f’</w:t>
      </w:r>
      <w:proofErr w:type="spellStart"/>
      <w:r w:rsidRPr="0041527C">
        <w:t>konformità</w:t>
      </w:r>
      <w:proofErr w:type="spellEnd"/>
      <w:r w:rsidRPr="0041527C">
        <w:t xml:space="preserve"> mar-regoli </w:t>
      </w:r>
      <w:proofErr w:type="spellStart"/>
      <w:r w:rsidRPr="0041527C">
        <w:t>tad</w:t>
      </w:r>
      <w:proofErr w:type="spellEnd"/>
      <w:r w:rsidRPr="0041527C">
        <w:t xml:space="preserve">-WTO u wara valutazzjoni tar-riskju, li </w:t>
      </w:r>
      <w:proofErr w:type="spellStart"/>
      <w:r w:rsidRPr="0041527C">
        <w:t>tirrieżamina</w:t>
      </w:r>
      <w:proofErr w:type="spellEnd"/>
      <w:r w:rsidRPr="0041527C">
        <w:t xml:space="preserve"> t-</w:t>
      </w:r>
      <w:proofErr w:type="spellStart"/>
      <w:r w:rsidRPr="0041527C">
        <w:t>tolleranzi</w:t>
      </w:r>
      <w:proofErr w:type="spellEnd"/>
      <w:r w:rsidRPr="0041527C">
        <w:t xml:space="preserve"> għall-importazzjoni tas-sustanzi li jissodisfaw il-“kriterji ta’ limitu” u li jippreżentaw livell għoli ta’ riskju għas-saħħa tal-bniedem”;</w:t>
      </w:r>
    </w:p>
    <w:p w:rsidR="00237020" w:rsidRPr="0041527C" w:rsidRDefault="00237020" w:rsidP="00237020">
      <w:pPr>
        <w:pStyle w:val="NormalHanging12a"/>
      </w:pPr>
      <w:r w:rsidRPr="0041527C">
        <w:t>W.</w:t>
      </w:r>
      <w:r w:rsidRPr="0041527C">
        <w:tab/>
        <w:t>billi l-Kummissjoni jeħtiġilha tipproteġi l-ambjent u liċ-ċittadini Ewropej abbażi tal-informazzjoni xjentifika disponibbli, bl-użu tal-obbligi u l-</w:t>
      </w:r>
      <w:proofErr w:type="spellStart"/>
      <w:r w:rsidRPr="0041527C">
        <w:t>possibbiltajiet</w:t>
      </w:r>
      <w:proofErr w:type="spellEnd"/>
      <w:r w:rsidRPr="0041527C">
        <w:t xml:space="preserve"> legali li r-Regolamenti (KE) Nru 396/2005 u (KE) Nru 178/2002 jipprevedu biex jiżguraw livell għoli ta’ protezzjoni tas-saħħa tal-bniedem u tal-annimali u tal-ambjent;</w:t>
      </w:r>
    </w:p>
    <w:p w:rsidR="00237020" w:rsidRPr="0041527C" w:rsidRDefault="00237020" w:rsidP="00237020">
      <w:pPr>
        <w:pStyle w:val="NormalHanging12a"/>
      </w:pPr>
      <w:r w:rsidRPr="0041527C">
        <w:t>X.</w:t>
      </w:r>
      <w:r w:rsidRPr="0041527C">
        <w:tab/>
        <w:t>billi l-</w:t>
      </w:r>
      <w:proofErr w:type="spellStart"/>
      <w:r w:rsidRPr="0041527C">
        <w:t>MRLs</w:t>
      </w:r>
      <w:proofErr w:type="spellEnd"/>
      <w:r w:rsidRPr="0041527C">
        <w:t xml:space="preserve"> proposti ma </w:t>
      </w:r>
      <w:proofErr w:type="spellStart"/>
      <w:r w:rsidRPr="0041527C">
        <w:t>jipproteġux</w:t>
      </w:r>
      <w:proofErr w:type="spellEnd"/>
      <w:r w:rsidRPr="0041527C">
        <w:t xml:space="preserve"> is-saħħa taċ-ċittadini fl-Ewropa, u għalhekk imorru kontra r-Regolamenti (KE) Nru 396/2005 u (KE) Nru 178/2002;</w:t>
      </w:r>
    </w:p>
    <w:p w:rsidR="00237020" w:rsidRPr="0041527C" w:rsidRDefault="00237020" w:rsidP="00237020">
      <w:pPr>
        <w:pStyle w:val="NormalHanging12a"/>
      </w:pPr>
      <w:r w:rsidRPr="0041527C">
        <w:t>Y.</w:t>
      </w:r>
      <w:r w:rsidRPr="0041527C">
        <w:tab/>
        <w:t>billi l-</w:t>
      </w:r>
      <w:proofErr w:type="spellStart"/>
      <w:r w:rsidRPr="0041527C">
        <w:t>MRLs</w:t>
      </w:r>
      <w:proofErr w:type="spellEnd"/>
      <w:r w:rsidRPr="0041527C">
        <w:t xml:space="preserve"> m’għandhomx jiġu stabbiliti għal sustanzi attivi li mhumiex approvati fl-Unjoni minħabba tħassib dwar is-saħħa; billi għalhekk </w:t>
      </w:r>
      <w:proofErr w:type="spellStart"/>
      <w:r w:rsidRPr="0041527C">
        <w:t>jenħtieġ</w:t>
      </w:r>
      <w:proofErr w:type="spellEnd"/>
      <w:r w:rsidRPr="0041527C">
        <w:t xml:space="preserve"> li ma tiġi stabbilita l-ebda tolleranza tal-importazzjoni għat-</w:t>
      </w:r>
      <w:proofErr w:type="spellStart"/>
      <w:r w:rsidRPr="0041527C">
        <w:t>tijofanat</w:t>
      </w:r>
      <w:proofErr w:type="spellEnd"/>
      <w:r w:rsidRPr="0041527C">
        <w:t>-</w:t>
      </w:r>
      <w:proofErr w:type="spellStart"/>
      <w:r w:rsidRPr="0041527C">
        <w:t>metil</w:t>
      </w:r>
      <w:proofErr w:type="spellEnd"/>
      <w:r w:rsidRPr="0041527C">
        <w:t xml:space="preserve"> peress li huwa identifikat bħala </w:t>
      </w:r>
      <w:proofErr w:type="spellStart"/>
      <w:r w:rsidRPr="0041527C">
        <w:t>interferent</w:t>
      </w:r>
      <w:proofErr w:type="spellEnd"/>
      <w:r w:rsidRPr="0041527C">
        <w:t xml:space="preserve"> </w:t>
      </w:r>
      <w:proofErr w:type="spellStart"/>
      <w:r w:rsidRPr="0041527C">
        <w:t>endokrinali</w:t>
      </w:r>
      <w:proofErr w:type="spellEnd"/>
      <w:r w:rsidRPr="0041527C">
        <w:t xml:space="preserve"> jew </w:t>
      </w:r>
      <w:proofErr w:type="spellStart"/>
      <w:r w:rsidRPr="0041527C">
        <w:t>għall-karbendażim</w:t>
      </w:r>
      <w:proofErr w:type="spellEnd"/>
      <w:r w:rsidRPr="0041527C">
        <w:t xml:space="preserve"> peress li huwa klassifikat bħala </w:t>
      </w:r>
      <w:proofErr w:type="spellStart"/>
      <w:r w:rsidRPr="0041527C">
        <w:lastRenderedPageBreak/>
        <w:t>mutaġeniku</w:t>
      </w:r>
      <w:proofErr w:type="spellEnd"/>
      <w:r w:rsidRPr="0041527C">
        <w:t xml:space="preserve"> tal-kategorija 1B u </w:t>
      </w:r>
      <w:proofErr w:type="spellStart"/>
      <w:r w:rsidRPr="0041527C">
        <w:t>tossiku</w:t>
      </w:r>
      <w:proofErr w:type="spellEnd"/>
      <w:r w:rsidRPr="0041527C">
        <w:t xml:space="preserve"> għar-riproduzzjoni tal-kategorija 1B;</w:t>
      </w:r>
    </w:p>
    <w:p w:rsidR="00237020" w:rsidRPr="0041527C" w:rsidRDefault="00237020" w:rsidP="00237020">
      <w:pPr>
        <w:pStyle w:val="NormalHanging12a"/>
      </w:pPr>
      <w:r w:rsidRPr="0041527C">
        <w:t>Z.</w:t>
      </w:r>
      <w:r w:rsidRPr="0041527C">
        <w:tab/>
        <w:t xml:space="preserve">billi l-prattika li jiġu stabbiliti </w:t>
      </w:r>
      <w:proofErr w:type="spellStart"/>
      <w:r w:rsidRPr="0041527C">
        <w:t>MRLs</w:t>
      </w:r>
      <w:proofErr w:type="spellEnd"/>
      <w:r w:rsidRPr="0041527C">
        <w:t xml:space="preserve"> għoljin qed tippromwovi standard doppju bejn il-bdiewa tal-Unjoni u l-bdiewa f’pajjiżi terzi, peress li l-bdiewa mhux tal-Unjoni jistgħu jkomplu jipproduċu l-ikel ikkonċernat bl-użu tal-</w:t>
      </w:r>
      <w:proofErr w:type="spellStart"/>
      <w:r w:rsidRPr="0041527C">
        <w:t>karbendażim</w:t>
      </w:r>
      <w:proofErr w:type="spellEnd"/>
      <w:r w:rsidRPr="0041527C">
        <w:t xml:space="preserve"> u t-</w:t>
      </w:r>
      <w:proofErr w:type="spellStart"/>
      <w:r w:rsidRPr="0041527C">
        <w:t>tijofanat</w:t>
      </w:r>
      <w:proofErr w:type="spellEnd"/>
      <w:r w:rsidRPr="0041527C">
        <w:t>-</w:t>
      </w:r>
      <w:proofErr w:type="spellStart"/>
      <w:r w:rsidRPr="0041527C">
        <w:t>metil</w:t>
      </w:r>
      <w:proofErr w:type="spellEnd"/>
      <w:r w:rsidRPr="0041527C">
        <w:t xml:space="preserve"> u jesportawh lejn l-Unjoni, u dan ipoġġi lill-bdiewa tal-Unjoni fi żvantaġġ kompetittiv; billi min-naħa l-oħra, l-użu ta’ dawk il-pestiċidi qed jipperikola s-saħħa tal-ħaddiema agrikoli, is-saħħa tal-popolazzjoni ġenerali u l-ambjent fil-pajjiżi produtturi;</w:t>
      </w:r>
    </w:p>
    <w:p w:rsidR="00237020" w:rsidRPr="0041527C" w:rsidRDefault="00237020" w:rsidP="00237020">
      <w:pPr>
        <w:pStyle w:val="NormalHanging12a"/>
      </w:pPr>
      <w:r w:rsidRPr="0041527C">
        <w:t>1.</w:t>
      </w:r>
      <w:r w:rsidRPr="0041527C">
        <w:tab/>
        <w:t>Jopponi l-adozzjoni tal-abbozz ta’ regolament tal-Kummissjoni;</w:t>
      </w:r>
    </w:p>
    <w:p w:rsidR="00237020" w:rsidRPr="0041527C" w:rsidRDefault="00237020" w:rsidP="00237020">
      <w:pPr>
        <w:pStyle w:val="NormalHanging12a"/>
      </w:pPr>
      <w:r w:rsidRPr="0041527C">
        <w:t>2.</w:t>
      </w:r>
      <w:r w:rsidRPr="0041527C">
        <w:tab/>
        <w:t>Iqis li l-abbozz ta’ regolament tal-Kummissjoni mhuwiex kompatibbli mal-għan u mal-kontenut tar-Regolamenti (KE) Nru 396/2005 u (KE) Nru 178/2002, kif ukoll mar-Regolament (KE) Nru 1107/2009, inklużi l-punti 3.6.2, 3.6.4 u 3.6.5 tal-Anness II tiegħu;</w:t>
      </w:r>
    </w:p>
    <w:p w:rsidR="00237020" w:rsidRPr="0041527C" w:rsidRDefault="00237020" w:rsidP="00237020">
      <w:pPr>
        <w:pStyle w:val="NormalHanging12a"/>
      </w:pPr>
      <w:r w:rsidRPr="0041527C">
        <w:t>3.</w:t>
      </w:r>
      <w:r w:rsidRPr="0041527C">
        <w:tab/>
        <w:t>Jitlob lill-Kummissjoni tirtira l-abbozz ta’ regolament tagħha u tippreżenta wieħed ġdid lill-kumitat;</w:t>
      </w:r>
    </w:p>
    <w:p w:rsidR="00237020" w:rsidRPr="0041527C" w:rsidRDefault="00237020" w:rsidP="00237020">
      <w:pPr>
        <w:pStyle w:val="NormalHanging12a"/>
      </w:pPr>
      <w:r w:rsidRPr="0041527C">
        <w:t>4.</w:t>
      </w:r>
      <w:r w:rsidRPr="0041527C">
        <w:tab/>
        <w:t>Jitlob lill-Kummissjoni tippreżenta abbozz ta’ regolament ġdid lill-kumitat li jnaqqas l-</w:t>
      </w:r>
      <w:proofErr w:type="spellStart"/>
      <w:r w:rsidRPr="0041527C">
        <w:t>MRLs</w:t>
      </w:r>
      <w:proofErr w:type="spellEnd"/>
      <w:r w:rsidRPr="0041527C">
        <w:t xml:space="preserve"> kollha </w:t>
      </w:r>
      <w:proofErr w:type="spellStart"/>
      <w:r w:rsidRPr="0041527C">
        <w:t>għall-karbendażim</w:t>
      </w:r>
      <w:proofErr w:type="spellEnd"/>
      <w:r w:rsidRPr="0041527C">
        <w:t xml:space="preserve"> u t-</w:t>
      </w:r>
      <w:proofErr w:type="spellStart"/>
      <w:r w:rsidRPr="0041527C">
        <w:t>tijofanat</w:t>
      </w:r>
      <w:proofErr w:type="spellEnd"/>
      <w:r w:rsidRPr="0041527C">
        <w:t>-</w:t>
      </w:r>
      <w:proofErr w:type="spellStart"/>
      <w:r w:rsidRPr="0041527C">
        <w:t>metil</w:t>
      </w:r>
      <w:proofErr w:type="spellEnd"/>
      <w:r w:rsidRPr="0041527C">
        <w:t xml:space="preserve"> għal-limitu rilevanti ta’ determinazzjoni għall-użi kollha u tirrifjuta kwalunkwe talba għal </w:t>
      </w:r>
      <w:proofErr w:type="spellStart"/>
      <w:r w:rsidRPr="0041527C">
        <w:t>tolleranzi</w:t>
      </w:r>
      <w:proofErr w:type="spellEnd"/>
      <w:r w:rsidRPr="0041527C">
        <w:t xml:space="preserve"> tal-importazzjoni;</w:t>
      </w:r>
    </w:p>
    <w:p w:rsidR="00E365E1" w:rsidRPr="0041527C" w:rsidRDefault="00237020" w:rsidP="00CD2CC7">
      <w:pPr>
        <w:ind w:left="567" w:hanging="567"/>
      </w:pPr>
      <w:r w:rsidRPr="0041527C">
        <w:t>5.</w:t>
      </w:r>
      <w:r w:rsidRPr="0041527C">
        <w:tab/>
        <w:t xml:space="preserve">Jagħti istruzzjonijiet lill-President tiegħu biex tgħaddi din ir-riżoluzzjoni lill-Kunsill u lill-Kummissjoni, kif ukoll lill-gvernijiet u lill-parlamenti tal-Istati Membri. </w:t>
      </w:r>
      <w:bookmarkStart w:id="9" w:name="TextBodyEnd"/>
      <w:bookmarkEnd w:id="9"/>
    </w:p>
    <w:sectPr w:rsidR="00E365E1" w:rsidRPr="0041527C" w:rsidSect="004152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6FF4" w:rsidRPr="0041527C" w:rsidRDefault="00A36FF4">
      <w:r w:rsidRPr="0041527C">
        <w:separator/>
      </w:r>
    </w:p>
  </w:endnote>
  <w:endnote w:type="continuationSeparator" w:id="0">
    <w:p w:rsidR="00A36FF4" w:rsidRPr="0041527C" w:rsidRDefault="00A36FF4">
      <w:r w:rsidRPr="004152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527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527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527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6FF4" w:rsidRPr="0041527C" w:rsidRDefault="00A36FF4">
      <w:r w:rsidRPr="0041527C">
        <w:separator/>
      </w:r>
    </w:p>
  </w:footnote>
  <w:footnote w:type="continuationSeparator" w:id="0">
    <w:p w:rsidR="00A36FF4" w:rsidRPr="0041527C" w:rsidRDefault="00A36FF4">
      <w:r w:rsidRPr="0041527C">
        <w:continuationSeparator/>
      </w:r>
    </w:p>
  </w:footnote>
  <w:footnote w:id="1">
    <w:p w:rsidR="00237020" w:rsidRPr="0041527C" w:rsidRDefault="00237020" w:rsidP="0041527C">
      <w:pPr>
        <w:pStyle w:val="FootnoteText"/>
        <w:ind w:left="567" w:hanging="567"/>
        <w:rPr>
          <w:sz w:val="24"/>
          <w:lang w:val="mt-MT"/>
        </w:rPr>
      </w:pPr>
      <w:r w:rsidRPr="0041527C">
        <w:rPr>
          <w:rStyle w:val="FootnoteReference"/>
          <w:sz w:val="24"/>
          <w:lang w:val="mt-MT"/>
        </w:rPr>
        <w:footnoteRef/>
      </w:r>
      <w:r w:rsidR="0041527C" w:rsidRPr="0041527C">
        <w:rPr>
          <w:sz w:val="24"/>
          <w:lang w:val="mt-MT"/>
        </w:rPr>
        <w:t xml:space="preserve"> </w:t>
      </w:r>
      <w:r w:rsidR="0041527C" w:rsidRPr="0041527C">
        <w:rPr>
          <w:sz w:val="24"/>
          <w:lang w:val="mt-MT"/>
        </w:rPr>
        <w:tab/>
      </w:r>
      <w:r w:rsidRPr="0041527C">
        <w:rPr>
          <w:sz w:val="24"/>
          <w:lang w:val="mt-MT"/>
        </w:rPr>
        <w:t>ĠU L 70, 16.3.2005, p. 1.</w:t>
      </w:r>
    </w:p>
  </w:footnote>
  <w:footnote w:id="2">
    <w:p w:rsidR="00237020" w:rsidRPr="0041527C" w:rsidRDefault="00237020" w:rsidP="0041527C">
      <w:pPr>
        <w:pStyle w:val="FootnoteText"/>
        <w:ind w:left="567" w:hanging="567"/>
        <w:rPr>
          <w:sz w:val="24"/>
          <w:lang w:val="mt-MT"/>
        </w:rPr>
      </w:pPr>
      <w:r w:rsidRPr="0041527C">
        <w:rPr>
          <w:rStyle w:val="FootnoteReference"/>
          <w:sz w:val="24"/>
          <w:lang w:val="mt-MT"/>
        </w:rPr>
        <w:footnoteRef/>
      </w:r>
      <w:r w:rsidR="0041527C" w:rsidRPr="0041527C">
        <w:rPr>
          <w:sz w:val="24"/>
          <w:lang w:val="mt-MT"/>
        </w:rPr>
        <w:t xml:space="preserve"> </w:t>
      </w:r>
      <w:r w:rsidR="0041527C" w:rsidRPr="0041527C">
        <w:rPr>
          <w:sz w:val="24"/>
          <w:lang w:val="mt-MT"/>
        </w:rPr>
        <w:tab/>
      </w:r>
      <w:r w:rsidRPr="0041527C">
        <w:rPr>
          <w:sz w:val="24"/>
          <w:lang w:val="mt-MT"/>
        </w:rPr>
        <w:t>ĠU L 309, 24.11.2009, p. 1.</w:t>
      </w:r>
    </w:p>
  </w:footnote>
  <w:footnote w:id="3">
    <w:p w:rsidR="00237020" w:rsidRPr="0041527C" w:rsidRDefault="00237020" w:rsidP="0041527C">
      <w:pPr>
        <w:pStyle w:val="FootnoteText"/>
        <w:ind w:left="567" w:hanging="567"/>
        <w:rPr>
          <w:sz w:val="24"/>
          <w:lang w:val="mt-MT"/>
        </w:rPr>
      </w:pPr>
      <w:r w:rsidRPr="0041527C">
        <w:rPr>
          <w:rStyle w:val="FootnoteReference"/>
          <w:sz w:val="24"/>
          <w:lang w:val="mt-MT"/>
        </w:rPr>
        <w:footnoteRef/>
      </w:r>
      <w:r w:rsidR="0041527C" w:rsidRPr="0041527C">
        <w:rPr>
          <w:sz w:val="24"/>
          <w:lang w:val="mt-MT"/>
        </w:rPr>
        <w:t xml:space="preserve"> </w:t>
      </w:r>
      <w:r w:rsidR="0041527C" w:rsidRPr="0041527C">
        <w:rPr>
          <w:sz w:val="24"/>
          <w:lang w:val="mt-MT"/>
        </w:rPr>
        <w:tab/>
      </w:r>
      <w:r w:rsidRPr="0041527C">
        <w:rPr>
          <w:sz w:val="24"/>
          <w:lang w:val="mt-MT"/>
        </w:rPr>
        <w:t>ĠU L 31, 1.2.2002, p. 1.</w:t>
      </w:r>
    </w:p>
  </w:footnote>
  <w:footnote w:id="4">
    <w:p w:rsidR="00237020" w:rsidRPr="0041527C" w:rsidRDefault="00237020" w:rsidP="0041527C">
      <w:pPr>
        <w:pStyle w:val="FootnoteText"/>
        <w:ind w:left="567" w:hanging="567"/>
        <w:rPr>
          <w:sz w:val="24"/>
          <w:lang w:val="mt-MT"/>
        </w:rPr>
      </w:pPr>
      <w:r w:rsidRPr="0041527C">
        <w:rPr>
          <w:rStyle w:val="FootnoteReference"/>
          <w:sz w:val="24"/>
          <w:lang w:val="mt-MT"/>
        </w:rPr>
        <w:footnoteRef/>
      </w:r>
      <w:r w:rsidR="0041527C" w:rsidRPr="0041527C">
        <w:rPr>
          <w:sz w:val="24"/>
          <w:lang w:val="mt-MT"/>
        </w:rPr>
        <w:t xml:space="preserve"> </w:t>
      </w:r>
      <w:r w:rsidR="0041527C" w:rsidRPr="0041527C">
        <w:rPr>
          <w:sz w:val="24"/>
          <w:lang w:val="mt-MT"/>
        </w:rPr>
        <w:tab/>
      </w:r>
      <w:r w:rsidRPr="0041527C">
        <w:rPr>
          <w:sz w:val="24"/>
          <w:lang w:val="mt-MT"/>
        </w:rPr>
        <w:t>Opinjoni motivata tal-EFSA dwar il-proprjetajiet tossikoloġiċi u l-livelli massimi ta’ residwi (</w:t>
      </w:r>
      <w:proofErr w:type="spellStart"/>
      <w:r w:rsidRPr="0041527C">
        <w:rPr>
          <w:sz w:val="24"/>
          <w:lang w:val="mt-MT"/>
        </w:rPr>
        <w:t>MRLs</w:t>
      </w:r>
      <w:proofErr w:type="spellEnd"/>
      <w:r w:rsidRPr="0041527C">
        <w:rPr>
          <w:sz w:val="24"/>
          <w:lang w:val="mt-MT"/>
        </w:rPr>
        <w:t xml:space="preserve">) għas-sustanzi </w:t>
      </w:r>
      <w:proofErr w:type="spellStart"/>
      <w:r w:rsidRPr="0041527C">
        <w:rPr>
          <w:sz w:val="24"/>
          <w:lang w:val="mt-MT"/>
        </w:rPr>
        <w:t>benżimidażol</w:t>
      </w:r>
      <w:proofErr w:type="spellEnd"/>
      <w:r w:rsidRPr="0041527C">
        <w:rPr>
          <w:sz w:val="24"/>
          <w:lang w:val="mt-MT"/>
        </w:rPr>
        <w:t xml:space="preserve"> </w:t>
      </w:r>
      <w:proofErr w:type="spellStart"/>
      <w:r w:rsidRPr="0041527C">
        <w:rPr>
          <w:sz w:val="24"/>
          <w:lang w:val="mt-MT"/>
        </w:rPr>
        <w:t>karbendażim</w:t>
      </w:r>
      <w:proofErr w:type="spellEnd"/>
      <w:r w:rsidRPr="0041527C">
        <w:rPr>
          <w:sz w:val="24"/>
          <w:lang w:val="mt-MT"/>
        </w:rPr>
        <w:t xml:space="preserve"> u </w:t>
      </w:r>
      <w:proofErr w:type="spellStart"/>
      <w:r w:rsidRPr="0041527C">
        <w:rPr>
          <w:sz w:val="24"/>
          <w:lang w:val="mt-MT"/>
        </w:rPr>
        <w:t>tijofanat-metil</w:t>
      </w:r>
      <w:proofErr w:type="spellEnd"/>
      <w:r w:rsidRPr="0041527C">
        <w:rPr>
          <w:sz w:val="24"/>
          <w:lang w:val="mt-MT"/>
        </w:rPr>
        <w:t xml:space="preserve">, </w:t>
      </w:r>
      <w:bookmarkStart w:id="8" w:name="_Hlk168311905"/>
      <w:r w:rsidRPr="0041527C">
        <w:rPr>
          <w:sz w:val="24"/>
          <w:lang w:val="mt-MT"/>
        </w:rPr>
        <w:t>Ġurnal tal-EFSA 2021;19(8):e06773</w:t>
      </w:r>
      <w:bookmarkEnd w:id="8"/>
      <w:r w:rsidRPr="0041527C">
        <w:rPr>
          <w:sz w:val="24"/>
          <w:lang w:val="mt-MT"/>
        </w:rPr>
        <w:t xml:space="preserve">, </w:t>
      </w:r>
      <w:hyperlink r:id="rId1" w:history="1">
        <w:r w:rsidRPr="0041527C">
          <w:rPr>
            <w:rStyle w:val="Hyperlink"/>
            <w:sz w:val="24"/>
            <w:lang w:val="mt-MT"/>
          </w:rPr>
          <w:t>https://doi.org/10.2903/j.efsa.2021.6773</w:t>
        </w:r>
      </w:hyperlink>
      <w:r w:rsidRPr="0041527C">
        <w:rPr>
          <w:rStyle w:val="Hyperlink"/>
          <w:sz w:val="24"/>
          <w:lang w:val="mt-MT"/>
        </w:rPr>
        <w:t>.</w:t>
      </w:r>
      <w:r w:rsidRPr="0041527C">
        <w:rPr>
          <w:sz w:val="24"/>
          <w:lang w:val="mt-MT"/>
        </w:rPr>
        <w:t xml:space="preserve"> </w:t>
      </w:r>
    </w:p>
  </w:footnote>
  <w:footnote w:id="5">
    <w:p w:rsidR="00237020" w:rsidRPr="0041527C" w:rsidRDefault="00237020" w:rsidP="0041527C">
      <w:pPr>
        <w:pStyle w:val="FootnoteText"/>
        <w:ind w:left="567" w:hanging="567"/>
        <w:rPr>
          <w:sz w:val="24"/>
          <w:lang w:val="mt-MT"/>
        </w:rPr>
      </w:pPr>
      <w:r w:rsidRPr="0041527C">
        <w:rPr>
          <w:rStyle w:val="FootnoteReference"/>
          <w:sz w:val="24"/>
          <w:lang w:val="mt-MT"/>
        </w:rPr>
        <w:footnoteRef/>
      </w:r>
      <w:r w:rsidR="0041527C" w:rsidRPr="0041527C">
        <w:rPr>
          <w:sz w:val="24"/>
          <w:lang w:val="mt-MT"/>
        </w:rPr>
        <w:t xml:space="preserve"> </w:t>
      </w:r>
      <w:r w:rsidR="0041527C" w:rsidRPr="0041527C">
        <w:rPr>
          <w:sz w:val="24"/>
          <w:lang w:val="mt-MT"/>
        </w:rPr>
        <w:tab/>
      </w:r>
      <w:r w:rsidRPr="0041527C">
        <w:rPr>
          <w:sz w:val="24"/>
          <w:lang w:val="mt-MT"/>
        </w:rPr>
        <w:t>Opinjoni motivata aġġornata tal-EFSA dwar il-proprjetajiet tossikoloġiċi u l-livelli massimi ta’ residwi (</w:t>
      </w:r>
      <w:proofErr w:type="spellStart"/>
      <w:r w:rsidRPr="0041527C">
        <w:rPr>
          <w:sz w:val="24"/>
          <w:lang w:val="mt-MT"/>
        </w:rPr>
        <w:t>MRLs</w:t>
      </w:r>
      <w:proofErr w:type="spellEnd"/>
      <w:r w:rsidRPr="0041527C">
        <w:rPr>
          <w:sz w:val="24"/>
          <w:lang w:val="mt-MT"/>
        </w:rPr>
        <w:t xml:space="preserve">) għas-sustanzi </w:t>
      </w:r>
      <w:proofErr w:type="spellStart"/>
      <w:r w:rsidRPr="0041527C">
        <w:rPr>
          <w:sz w:val="24"/>
          <w:lang w:val="mt-MT"/>
        </w:rPr>
        <w:t>benżimidażol</w:t>
      </w:r>
      <w:proofErr w:type="spellEnd"/>
      <w:r w:rsidRPr="0041527C">
        <w:rPr>
          <w:sz w:val="24"/>
          <w:lang w:val="mt-MT"/>
        </w:rPr>
        <w:t xml:space="preserve"> </w:t>
      </w:r>
      <w:proofErr w:type="spellStart"/>
      <w:r w:rsidRPr="0041527C">
        <w:rPr>
          <w:sz w:val="24"/>
          <w:lang w:val="mt-MT"/>
        </w:rPr>
        <w:t>karbendażim</w:t>
      </w:r>
      <w:proofErr w:type="spellEnd"/>
      <w:r w:rsidRPr="0041527C">
        <w:rPr>
          <w:sz w:val="24"/>
          <w:lang w:val="mt-MT"/>
        </w:rPr>
        <w:t xml:space="preserve"> u </w:t>
      </w:r>
      <w:proofErr w:type="spellStart"/>
      <w:r w:rsidRPr="0041527C">
        <w:rPr>
          <w:sz w:val="24"/>
          <w:lang w:val="mt-MT"/>
        </w:rPr>
        <w:t>tijofanat-metil</w:t>
      </w:r>
      <w:proofErr w:type="spellEnd"/>
      <w:r w:rsidRPr="0041527C">
        <w:rPr>
          <w:sz w:val="24"/>
          <w:lang w:val="mt-MT"/>
        </w:rPr>
        <w:t xml:space="preserve">, Ġurnal tal-EFSA 2024;22(2):e8569, </w:t>
      </w:r>
      <w:hyperlink r:id="rId2" w:history="1">
        <w:r w:rsidRPr="0041527C">
          <w:rPr>
            <w:rStyle w:val="Hyperlink"/>
            <w:sz w:val="24"/>
            <w:lang w:val="mt-MT"/>
          </w:rPr>
          <w:t>https://doi.org/10.2903/j.efsa.2024.8569</w:t>
        </w:r>
      </w:hyperlink>
      <w:r w:rsidRPr="0041527C">
        <w:rPr>
          <w:rStyle w:val="Hyperlink"/>
          <w:sz w:val="24"/>
          <w:lang w:val="mt-MT"/>
        </w:rPr>
        <w:t>.</w:t>
      </w:r>
      <w:r w:rsidRPr="0041527C">
        <w:rPr>
          <w:sz w:val="24"/>
          <w:lang w:val="mt-MT"/>
        </w:rPr>
        <w:t xml:space="preserve"> </w:t>
      </w:r>
    </w:p>
  </w:footnote>
  <w:footnote w:id="6">
    <w:p w:rsidR="00237020" w:rsidRPr="0041527C" w:rsidRDefault="00237020" w:rsidP="0041527C">
      <w:pPr>
        <w:pStyle w:val="FootnoteText"/>
        <w:ind w:left="567" w:hanging="567"/>
        <w:rPr>
          <w:sz w:val="24"/>
          <w:lang w:val="mt-MT"/>
        </w:rPr>
      </w:pPr>
      <w:r w:rsidRPr="0041527C">
        <w:rPr>
          <w:rStyle w:val="FootnoteReference"/>
          <w:sz w:val="24"/>
          <w:lang w:val="mt-MT"/>
        </w:rPr>
        <w:footnoteRef/>
      </w:r>
      <w:r w:rsidR="0041527C" w:rsidRPr="0041527C">
        <w:rPr>
          <w:sz w:val="24"/>
          <w:lang w:val="mt-MT"/>
        </w:rPr>
        <w:t xml:space="preserve"> </w:t>
      </w:r>
      <w:r w:rsidR="0041527C" w:rsidRPr="0041527C">
        <w:rPr>
          <w:sz w:val="24"/>
          <w:lang w:val="mt-MT"/>
        </w:rPr>
        <w:tab/>
      </w:r>
      <w:r w:rsidRPr="0041527C">
        <w:rPr>
          <w:sz w:val="24"/>
          <w:lang w:val="mt-MT"/>
        </w:rPr>
        <w:t xml:space="preserve">Konklużjoni tal-EFSA dwar </w:t>
      </w:r>
      <w:proofErr w:type="spellStart"/>
      <w:r w:rsidRPr="0041527C">
        <w:rPr>
          <w:sz w:val="24"/>
          <w:lang w:val="mt-MT"/>
        </w:rPr>
        <w:t>ir-rieżami</w:t>
      </w:r>
      <w:proofErr w:type="spellEnd"/>
      <w:r w:rsidRPr="0041527C">
        <w:rPr>
          <w:sz w:val="24"/>
          <w:lang w:val="mt-MT"/>
        </w:rPr>
        <w:t xml:space="preserve"> bejn il-pari tal-valutazzjoni tar-riskju tal-pestiċidi tas-sustanza attiva </w:t>
      </w:r>
      <w:proofErr w:type="spellStart"/>
      <w:r w:rsidRPr="0041527C">
        <w:rPr>
          <w:sz w:val="24"/>
          <w:lang w:val="mt-MT"/>
        </w:rPr>
        <w:t>karbendażim</w:t>
      </w:r>
      <w:proofErr w:type="spellEnd"/>
      <w:r w:rsidRPr="0041527C">
        <w:rPr>
          <w:sz w:val="24"/>
          <w:lang w:val="mt-MT"/>
        </w:rPr>
        <w:t xml:space="preserve">, Ġurnal tal-EFSA 2010;8(5):1598, </w:t>
      </w:r>
      <w:hyperlink r:id="rId3" w:history="1">
        <w:r w:rsidRPr="0041527C">
          <w:rPr>
            <w:rStyle w:val="Hyperlink"/>
            <w:sz w:val="24"/>
            <w:lang w:val="mt-MT"/>
          </w:rPr>
          <w:t>https://doi.org/10.2903/j.efsa.2010.1598</w:t>
        </w:r>
      </w:hyperlink>
      <w:r w:rsidRPr="0041527C">
        <w:rPr>
          <w:sz w:val="24"/>
          <w:lang w:val="mt-MT"/>
        </w:rPr>
        <w:t xml:space="preserve">. </w:t>
      </w:r>
    </w:p>
  </w:footnote>
  <w:footnote w:id="7">
    <w:p w:rsidR="00237020" w:rsidRPr="0041527C" w:rsidRDefault="00237020" w:rsidP="0041527C">
      <w:pPr>
        <w:pStyle w:val="FootnoteText"/>
        <w:ind w:left="567" w:hanging="567"/>
        <w:rPr>
          <w:sz w:val="24"/>
          <w:lang w:val="mt-MT"/>
        </w:rPr>
      </w:pPr>
      <w:r w:rsidRPr="0041527C">
        <w:rPr>
          <w:rStyle w:val="FootnoteReference"/>
          <w:sz w:val="24"/>
          <w:lang w:val="mt-MT"/>
        </w:rPr>
        <w:footnoteRef/>
      </w:r>
      <w:r w:rsidR="0041527C" w:rsidRPr="0041527C">
        <w:rPr>
          <w:sz w:val="24"/>
          <w:lang w:val="mt-MT"/>
        </w:rPr>
        <w:t xml:space="preserve"> </w:t>
      </w:r>
      <w:r w:rsidR="0041527C" w:rsidRPr="0041527C">
        <w:rPr>
          <w:sz w:val="24"/>
          <w:lang w:val="mt-MT"/>
        </w:rPr>
        <w:tab/>
      </w:r>
      <w:r w:rsidRPr="0041527C">
        <w:rPr>
          <w:sz w:val="24"/>
          <w:lang w:val="mt-MT"/>
        </w:rPr>
        <w:t xml:space="preserve">Konklużjoni tal-EFSA dwar </w:t>
      </w:r>
      <w:proofErr w:type="spellStart"/>
      <w:r w:rsidRPr="0041527C">
        <w:rPr>
          <w:sz w:val="24"/>
          <w:lang w:val="mt-MT"/>
        </w:rPr>
        <w:t>ir-rieżami</w:t>
      </w:r>
      <w:proofErr w:type="spellEnd"/>
      <w:r w:rsidRPr="0041527C">
        <w:rPr>
          <w:sz w:val="24"/>
          <w:lang w:val="mt-MT"/>
        </w:rPr>
        <w:t xml:space="preserve"> bejn il-pari tal-valutazzjoni tar-riskju tal-pestiċidi tas-sustanza attiva </w:t>
      </w:r>
      <w:proofErr w:type="spellStart"/>
      <w:r w:rsidRPr="0041527C">
        <w:rPr>
          <w:sz w:val="24"/>
          <w:lang w:val="mt-MT"/>
        </w:rPr>
        <w:t>tijofanat-metil</w:t>
      </w:r>
      <w:proofErr w:type="spellEnd"/>
      <w:r w:rsidRPr="0041527C">
        <w:rPr>
          <w:sz w:val="24"/>
          <w:lang w:val="mt-MT"/>
        </w:rPr>
        <w:t xml:space="preserve">; Ġurnal tal-EFSA 2018;16(1):e05133, </w:t>
      </w:r>
      <w:hyperlink r:id="rId4" w:history="1">
        <w:r w:rsidRPr="0041527C">
          <w:rPr>
            <w:rStyle w:val="Hyperlink"/>
            <w:sz w:val="24"/>
            <w:lang w:val="mt-MT"/>
          </w:rPr>
          <w:t>https://doi.org/10.2903/j.efsa.2018.5133</w:t>
        </w:r>
      </w:hyperlink>
      <w:r w:rsidRPr="0041527C">
        <w:rPr>
          <w:sz w:val="24"/>
          <w:lang w:val="mt-MT"/>
        </w:rPr>
        <w:t xml:space="preserve">. </w:t>
      </w:r>
    </w:p>
  </w:footnote>
  <w:footnote w:id="8">
    <w:p w:rsidR="00237020" w:rsidRPr="0041527C" w:rsidRDefault="00237020" w:rsidP="0041527C">
      <w:pPr>
        <w:pStyle w:val="FootnoteText"/>
        <w:ind w:left="567" w:hanging="567"/>
        <w:rPr>
          <w:sz w:val="24"/>
          <w:lang w:val="mt-MT"/>
        </w:rPr>
      </w:pPr>
      <w:r w:rsidRPr="0041527C">
        <w:rPr>
          <w:rStyle w:val="FootnoteReference"/>
          <w:sz w:val="24"/>
          <w:lang w:val="mt-MT"/>
        </w:rPr>
        <w:footnoteRef/>
      </w:r>
      <w:r w:rsidR="0041527C" w:rsidRPr="0041527C">
        <w:rPr>
          <w:sz w:val="24"/>
          <w:lang w:val="mt-MT"/>
        </w:rPr>
        <w:t xml:space="preserve"> </w:t>
      </w:r>
      <w:r w:rsidR="0041527C" w:rsidRPr="0041527C">
        <w:rPr>
          <w:sz w:val="24"/>
          <w:lang w:val="mt-MT"/>
        </w:rPr>
        <w:tab/>
      </w:r>
      <w:r w:rsidRPr="0041527C">
        <w:rPr>
          <w:sz w:val="24"/>
          <w:lang w:val="mt-MT"/>
        </w:rPr>
        <w:t xml:space="preserve">Dikjarazzjoni tal-EFSA dwar il-valutazzjoni tal-kwalità tad-data disponibbli </w:t>
      </w:r>
      <w:proofErr w:type="spellStart"/>
      <w:r w:rsidRPr="0041527C">
        <w:rPr>
          <w:sz w:val="24"/>
          <w:lang w:val="mt-MT"/>
        </w:rPr>
        <w:t>għall</w:t>
      </w:r>
      <w:proofErr w:type="spellEnd"/>
      <w:r w:rsidRPr="0041527C">
        <w:rPr>
          <w:sz w:val="24"/>
          <w:lang w:val="mt-MT"/>
        </w:rPr>
        <w:t xml:space="preserve">-EFSA biex jinkisbu l-valuri ta’ gwida </w:t>
      </w:r>
      <w:proofErr w:type="spellStart"/>
      <w:r w:rsidRPr="0041527C">
        <w:rPr>
          <w:sz w:val="24"/>
          <w:lang w:val="mt-MT"/>
        </w:rPr>
        <w:t>bbażati</w:t>
      </w:r>
      <w:proofErr w:type="spellEnd"/>
      <w:r w:rsidRPr="0041527C">
        <w:rPr>
          <w:sz w:val="24"/>
          <w:lang w:val="mt-MT"/>
        </w:rPr>
        <w:t xml:space="preserve"> fuq is-saħħa </w:t>
      </w:r>
      <w:proofErr w:type="spellStart"/>
      <w:r w:rsidRPr="0041527C">
        <w:rPr>
          <w:sz w:val="24"/>
          <w:lang w:val="mt-MT"/>
        </w:rPr>
        <w:t>għall-karbendażim</w:t>
      </w:r>
      <w:proofErr w:type="spellEnd"/>
      <w:r w:rsidRPr="0041527C">
        <w:rPr>
          <w:sz w:val="24"/>
          <w:lang w:val="mt-MT"/>
        </w:rPr>
        <w:t xml:space="preserve">, Ġurnal tal-EFSA 2024;22(5):e8756, </w:t>
      </w:r>
      <w:hyperlink r:id="rId5" w:history="1">
        <w:r w:rsidRPr="0041527C">
          <w:rPr>
            <w:rStyle w:val="Hyperlink"/>
            <w:sz w:val="24"/>
            <w:lang w:val="mt-MT"/>
          </w:rPr>
          <w:t>https://doi.org/10.2903/j.efsa.2024.8756</w:t>
        </w:r>
      </w:hyperlink>
      <w:r w:rsidRPr="0041527C">
        <w:rPr>
          <w:sz w:val="24"/>
          <w:lang w:val="mt-MT"/>
        </w:rPr>
        <w:t xml:space="preserve">. </w:t>
      </w:r>
    </w:p>
  </w:footnote>
  <w:footnote w:id="9">
    <w:p w:rsidR="00237020" w:rsidRPr="0041527C" w:rsidRDefault="00237020" w:rsidP="0041527C">
      <w:pPr>
        <w:pStyle w:val="FootnoteText"/>
        <w:ind w:left="567" w:hanging="567"/>
        <w:rPr>
          <w:sz w:val="24"/>
          <w:lang w:val="mt-MT"/>
        </w:rPr>
      </w:pPr>
      <w:r w:rsidRPr="0041527C">
        <w:rPr>
          <w:rStyle w:val="FootnoteReference"/>
          <w:sz w:val="24"/>
          <w:lang w:val="mt-MT"/>
        </w:rPr>
        <w:footnoteRef/>
      </w:r>
      <w:r w:rsidR="0041527C" w:rsidRPr="0041527C">
        <w:rPr>
          <w:sz w:val="24"/>
          <w:lang w:val="mt-MT"/>
        </w:rPr>
        <w:t xml:space="preserve"> </w:t>
      </w:r>
      <w:r w:rsidR="0041527C" w:rsidRPr="0041527C">
        <w:rPr>
          <w:sz w:val="24"/>
          <w:lang w:val="mt-MT"/>
        </w:rPr>
        <w:tab/>
      </w:r>
      <w:r w:rsidRPr="0041527C">
        <w:rPr>
          <w:sz w:val="24"/>
          <w:lang w:val="mt-MT"/>
        </w:rPr>
        <w:t xml:space="preserve">Opinjoni tal-RAC li tipproponi klassifikazzjoni u </w:t>
      </w:r>
      <w:proofErr w:type="spellStart"/>
      <w:r w:rsidRPr="0041527C">
        <w:rPr>
          <w:sz w:val="24"/>
          <w:lang w:val="mt-MT"/>
        </w:rPr>
        <w:t>tikkettar</w:t>
      </w:r>
      <w:proofErr w:type="spellEnd"/>
      <w:r w:rsidRPr="0041527C">
        <w:rPr>
          <w:sz w:val="24"/>
          <w:lang w:val="mt-MT"/>
        </w:rPr>
        <w:t xml:space="preserve"> armonizzati fil-livell tal-UE tal-</w:t>
      </w:r>
      <w:proofErr w:type="spellStart"/>
      <w:r w:rsidRPr="0041527C">
        <w:rPr>
          <w:sz w:val="24"/>
          <w:lang w:val="mt-MT"/>
        </w:rPr>
        <w:t>karbendażim</w:t>
      </w:r>
      <w:proofErr w:type="spellEnd"/>
      <w:r w:rsidRPr="0041527C">
        <w:rPr>
          <w:sz w:val="24"/>
          <w:lang w:val="mt-MT"/>
        </w:rPr>
        <w:t xml:space="preserve"> (ISO); benżimidażol-2-ilkarbamat tal-</w:t>
      </w:r>
      <w:proofErr w:type="spellStart"/>
      <w:r w:rsidRPr="0041527C">
        <w:rPr>
          <w:sz w:val="24"/>
          <w:lang w:val="mt-MT"/>
        </w:rPr>
        <w:t>metil</w:t>
      </w:r>
      <w:proofErr w:type="spellEnd"/>
      <w:r w:rsidRPr="0041527C">
        <w:rPr>
          <w:sz w:val="24"/>
          <w:lang w:val="mt-MT"/>
        </w:rPr>
        <w:t xml:space="preserve">; </w:t>
      </w:r>
      <w:hyperlink r:id="rId6" w:history="1">
        <w:r w:rsidRPr="0041527C">
          <w:rPr>
            <w:rStyle w:val="Hyperlink"/>
            <w:sz w:val="24"/>
            <w:lang w:val="mt-MT"/>
          </w:rPr>
          <w:t>https://www.echa.europa.eu/documents/10162/5eb9760e-6c73-7f2c-1226-98d92ed847d1</w:t>
        </w:r>
      </w:hyperlink>
    </w:p>
  </w:footnote>
  <w:footnote w:id="10">
    <w:p w:rsidR="00237020" w:rsidRPr="0041527C" w:rsidRDefault="00237020" w:rsidP="0041527C">
      <w:pPr>
        <w:pStyle w:val="FootnoteText"/>
        <w:ind w:left="567" w:hanging="567"/>
        <w:rPr>
          <w:sz w:val="24"/>
          <w:lang w:val="mt-MT"/>
        </w:rPr>
      </w:pPr>
      <w:r w:rsidRPr="0041527C">
        <w:rPr>
          <w:rStyle w:val="FootnoteReference"/>
          <w:sz w:val="24"/>
          <w:lang w:val="mt-MT"/>
        </w:rPr>
        <w:footnoteRef/>
      </w:r>
      <w:r w:rsidR="0041527C" w:rsidRPr="0041527C">
        <w:rPr>
          <w:sz w:val="24"/>
          <w:lang w:val="mt-MT"/>
        </w:rPr>
        <w:t xml:space="preserve"> </w:t>
      </w:r>
      <w:r w:rsidR="0041527C" w:rsidRPr="0041527C">
        <w:rPr>
          <w:sz w:val="24"/>
          <w:lang w:val="mt-MT"/>
        </w:rPr>
        <w:tab/>
      </w:r>
      <w:r w:rsidRPr="0041527C">
        <w:rPr>
          <w:sz w:val="24"/>
          <w:lang w:val="mt-MT"/>
        </w:rPr>
        <w:t>ĠU L 184, 17.7.1999, p. 23.</w:t>
      </w:r>
    </w:p>
  </w:footnote>
  <w:footnote w:id="11">
    <w:p w:rsidR="00237020" w:rsidRPr="0041527C" w:rsidRDefault="00237020" w:rsidP="0041527C">
      <w:pPr>
        <w:pStyle w:val="FootnoteText"/>
        <w:ind w:left="567" w:hanging="567"/>
        <w:rPr>
          <w:sz w:val="24"/>
          <w:lang w:val="mt-MT"/>
        </w:rPr>
      </w:pPr>
      <w:r w:rsidRPr="0041527C">
        <w:rPr>
          <w:rStyle w:val="FootnoteReference"/>
          <w:sz w:val="24"/>
          <w:lang w:val="mt-MT"/>
        </w:rPr>
        <w:footnoteRef/>
      </w:r>
      <w:r w:rsidR="0041527C" w:rsidRPr="0041527C">
        <w:rPr>
          <w:sz w:val="24"/>
          <w:lang w:val="mt-MT"/>
        </w:rPr>
        <w:t xml:space="preserve"> </w:t>
      </w:r>
      <w:r w:rsidR="0041527C" w:rsidRPr="0041527C">
        <w:rPr>
          <w:sz w:val="24"/>
          <w:lang w:val="mt-MT"/>
        </w:rPr>
        <w:tab/>
      </w:r>
      <w:r w:rsidRPr="0041527C">
        <w:rPr>
          <w:sz w:val="24"/>
          <w:lang w:val="mt-MT"/>
        </w:rPr>
        <w:t>Ir-Regolament (KE) Nru 1272/2008 tal-Parlament Ewropew u tal-Kunsill tas-16 ta’ Diċembru 2008 dwar il-klassifikazzjoni, l-</w:t>
      </w:r>
      <w:proofErr w:type="spellStart"/>
      <w:r w:rsidRPr="0041527C">
        <w:rPr>
          <w:sz w:val="24"/>
          <w:lang w:val="mt-MT"/>
        </w:rPr>
        <w:t>ittikkettar</w:t>
      </w:r>
      <w:proofErr w:type="spellEnd"/>
      <w:r w:rsidRPr="0041527C">
        <w:rPr>
          <w:sz w:val="24"/>
          <w:lang w:val="mt-MT"/>
        </w:rPr>
        <w:t xml:space="preserve"> u l-</w:t>
      </w:r>
      <w:proofErr w:type="spellStart"/>
      <w:r w:rsidRPr="0041527C">
        <w:rPr>
          <w:sz w:val="24"/>
          <w:lang w:val="mt-MT"/>
        </w:rPr>
        <w:t>imballaġġ</w:t>
      </w:r>
      <w:proofErr w:type="spellEnd"/>
      <w:r w:rsidRPr="0041527C">
        <w:rPr>
          <w:sz w:val="24"/>
          <w:lang w:val="mt-MT"/>
        </w:rPr>
        <w:t xml:space="preserve"> tas-sustanzi u t-taħlitiet, li jemenda u jħassar id-Direttivi 67/548/KEE u 1999/45/KE, u li jemenda r-Regolament (KE) Nru 1907/2006 (ĠU L 353, 31.12.2008, p. 1).</w:t>
      </w:r>
    </w:p>
  </w:footnote>
  <w:footnote w:id="12">
    <w:p w:rsidR="00237020" w:rsidRPr="0041527C" w:rsidRDefault="00237020" w:rsidP="0041527C">
      <w:pPr>
        <w:pStyle w:val="FootnoteText"/>
        <w:ind w:left="567" w:hanging="567"/>
        <w:rPr>
          <w:sz w:val="24"/>
          <w:lang w:val="mt-MT"/>
        </w:rPr>
      </w:pPr>
      <w:r w:rsidRPr="0041527C">
        <w:rPr>
          <w:rStyle w:val="FootnoteReference"/>
          <w:sz w:val="24"/>
          <w:lang w:val="mt-MT"/>
        </w:rPr>
        <w:footnoteRef/>
      </w:r>
      <w:r w:rsidR="0041527C" w:rsidRPr="0041527C">
        <w:rPr>
          <w:sz w:val="24"/>
          <w:lang w:val="mt-MT"/>
        </w:rPr>
        <w:t xml:space="preserve"> </w:t>
      </w:r>
      <w:r w:rsidR="0041527C" w:rsidRPr="0041527C">
        <w:rPr>
          <w:sz w:val="24"/>
          <w:lang w:val="mt-MT"/>
        </w:rPr>
        <w:tab/>
      </w:r>
      <w:r w:rsidRPr="0041527C">
        <w:rPr>
          <w:sz w:val="24"/>
          <w:lang w:val="mt-MT"/>
        </w:rPr>
        <w:t>Ir-Regolament (KE) Nru 1272/2008 tal-Parlament Ewropew u tal-Kunsill tas-16 ta’ Diċembru 2008 dwar il-klassifikazzjoni, l-</w:t>
      </w:r>
      <w:proofErr w:type="spellStart"/>
      <w:r w:rsidRPr="0041527C">
        <w:rPr>
          <w:sz w:val="24"/>
          <w:lang w:val="mt-MT"/>
        </w:rPr>
        <w:t>ittikkettar</w:t>
      </w:r>
      <w:proofErr w:type="spellEnd"/>
      <w:r w:rsidRPr="0041527C">
        <w:rPr>
          <w:sz w:val="24"/>
          <w:lang w:val="mt-MT"/>
        </w:rPr>
        <w:t xml:space="preserve"> u l-</w:t>
      </w:r>
      <w:proofErr w:type="spellStart"/>
      <w:r w:rsidRPr="0041527C">
        <w:rPr>
          <w:sz w:val="24"/>
          <w:lang w:val="mt-MT"/>
        </w:rPr>
        <w:t>imballaġġ</w:t>
      </w:r>
      <w:proofErr w:type="spellEnd"/>
      <w:r w:rsidRPr="0041527C">
        <w:rPr>
          <w:sz w:val="24"/>
          <w:lang w:val="mt-MT"/>
        </w:rPr>
        <w:t xml:space="preserve"> tas-sustanzi u t-taħlitiet, li jemenda u jħassar id-Direttivi 67/548/KEE u 1999/45/KE, u li jemenda r-Regolament (KE) Nru 1907/2006 (ĠU L 353, 31.12.2008, p. 1).</w:t>
      </w:r>
    </w:p>
  </w:footnote>
  <w:footnote w:id="13">
    <w:p w:rsidR="00237020" w:rsidRPr="0041527C" w:rsidRDefault="00237020" w:rsidP="0041527C">
      <w:pPr>
        <w:pStyle w:val="FootnoteText"/>
        <w:ind w:left="567" w:hanging="567"/>
        <w:rPr>
          <w:sz w:val="24"/>
          <w:lang w:val="mt-MT"/>
        </w:rPr>
      </w:pPr>
      <w:r w:rsidRPr="0041527C">
        <w:rPr>
          <w:rStyle w:val="FootnoteReference"/>
          <w:sz w:val="24"/>
          <w:lang w:val="mt-MT"/>
        </w:rPr>
        <w:footnoteRef/>
      </w:r>
      <w:r w:rsidR="0041527C" w:rsidRPr="0041527C">
        <w:rPr>
          <w:sz w:val="24"/>
          <w:lang w:val="mt-MT"/>
        </w:rPr>
        <w:t xml:space="preserve"> </w:t>
      </w:r>
      <w:r w:rsidR="0041527C" w:rsidRPr="0041527C">
        <w:rPr>
          <w:sz w:val="24"/>
          <w:lang w:val="mt-MT"/>
        </w:rPr>
        <w:tab/>
      </w:r>
      <w:r w:rsidRPr="0041527C">
        <w:rPr>
          <w:sz w:val="24"/>
          <w:lang w:val="mt-MT"/>
        </w:rPr>
        <w:t xml:space="preserve">Ir-Regolament tal-Kummissjoni (UE) 2018/605 tad-19 ta’ April 2018 li jemenda l-Anness II tar-Regolament (KE) Nru 1107/2009 billi jistabbilixxi l-kriterji xjentifiċi biex jiġu </w:t>
      </w:r>
      <w:proofErr w:type="spellStart"/>
      <w:r w:rsidRPr="0041527C">
        <w:rPr>
          <w:sz w:val="24"/>
          <w:lang w:val="mt-MT"/>
        </w:rPr>
        <w:t>ddeterminati</w:t>
      </w:r>
      <w:proofErr w:type="spellEnd"/>
      <w:r w:rsidRPr="0041527C">
        <w:rPr>
          <w:sz w:val="24"/>
          <w:lang w:val="mt-MT"/>
        </w:rPr>
        <w:t xml:space="preserve"> l-proprjetajiet li jfixklu s-sistema </w:t>
      </w:r>
      <w:proofErr w:type="spellStart"/>
      <w:r w:rsidRPr="0041527C">
        <w:rPr>
          <w:sz w:val="24"/>
          <w:lang w:val="mt-MT"/>
        </w:rPr>
        <w:t>endokrinali</w:t>
      </w:r>
      <w:proofErr w:type="spellEnd"/>
      <w:r w:rsidRPr="0041527C">
        <w:rPr>
          <w:sz w:val="24"/>
          <w:lang w:val="mt-MT"/>
        </w:rPr>
        <w:t xml:space="preserve"> (ĠU L 101, 20.4.2018, p. 33).</w:t>
      </w:r>
    </w:p>
  </w:footnote>
  <w:footnote w:id="14">
    <w:p w:rsidR="00237020" w:rsidRPr="0041527C" w:rsidRDefault="00237020" w:rsidP="0041527C">
      <w:pPr>
        <w:pStyle w:val="FootnoteText"/>
        <w:ind w:left="567" w:hanging="567"/>
        <w:rPr>
          <w:sz w:val="24"/>
          <w:lang w:val="mt-MT"/>
        </w:rPr>
      </w:pPr>
      <w:r w:rsidRPr="0041527C">
        <w:rPr>
          <w:rStyle w:val="FootnoteReference"/>
          <w:sz w:val="24"/>
          <w:lang w:val="mt-MT"/>
        </w:rPr>
        <w:footnoteRef/>
      </w:r>
      <w:r w:rsidR="0041527C" w:rsidRPr="0041527C">
        <w:rPr>
          <w:rStyle w:val="Hyperlink"/>
          <w:sz w:val="24"/>
          <w:lang w:val="mt-MT"/>
        </w:rPr>
        <w:t xml:space="preserve"> </w:t>
      </w:r>
      <w:r w:rsidR="0041527C" w:rsidRPr="0041527C">
        <w:rPr>
          <w:rStyle w:val="Hyperlink"/>
          <w:sz w:val="24"/>
          <w:lang w:val="mt-MT"/>
        </w:rPr>
        <w:tab/>
      </w:r>
      <w:r w:rsidRPr="0041527C">
        <w:rPr>
          <w:rStyle w:val="Hyperlink"/>
          <w:sz w:val="24"/>
          <w:lang w:val="mt-MT"/>
        </w:rPr>
        <w:t>https://ec.europa.eu/transparency/comitology-register/screen/documents/089880/5/consult?lang=mt</w:t>
      </w:r>
    </w:p>
  </w:footnote>
  <w:footnote w:id="15">
    <w:p w:rsidR="00237020" w:rsidRPr="0041527C" w:rsidRDefault="00237020" w:rsidP="0041527C">
      <w:pPr>
        <w:pStyle w:val="FootnoteText"/>
        <w:ind w:left="567" w:hanging="567"/>
        <w:rPr>
          <w:iCs/>
          <w:sz w:val="24"/>
          <w:lang w:val="mt-MT"/>
        </w:rPr>
      </w:pPr>
      <w:r w:rsidRPr="0041527C">
        <w:rPr>
          <w:iCs/>
          <w:sz w:val="24"/>
          <w:vertAlign w:val="superscript"/>
          <w:lang w:val="mt-MT"/>
        </w:rPr>
        <w:footnoteRef/>
      </w:r>
      <w:r w:rsidR="0041527C" w:rsidRPr="0041527C">
        <w:rPr>
          <w:sz w:val="24"/>
          <w:lang w:val="mt-MT"/>
        </w:rPr>
        <w:t xml:space="preserve"> </w:t>
      </w:r>
      <w:r w:rsidR="0041527C" w:rsidRPr="0041527C">
        <w:rPr>
          <w:sz w:val="24"/>
          <w:lang w:val="mt-MT"/>
        </w:rPr>
        <w:tab/>
      </w:r>
      <w:r w:rsidRPr="0041527C">
        <w:rPr>
          <w:sz w:val="24"/>
          <w:lang w:val="mt-MT"/>
        </w:rPr>
        <w:t>COM(2020)0381.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527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527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527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0/2024"/>
    <w:docVar w:name="dvlangue" w:val="MT"/>
    <w:docVar w:name="dvnumam" w:val="0"/>
    <w:docVar w:name="dvpe" w:val="763.090"/>
    <w:docVar w:name="dvtitre" w:val="Riżoluzzjoni tal-Parlament Ewropew tat-18 ta' Settembru 2024 dwar l-abbozz ta’ regolament tal-Kummissjoni li jemenda l-Annessi II, III u V tar-Regolament (KE) Nru 396/2005 tal-Parlament Ewropew u tal-Kunsill dwar il-livelli massimi ta’ residwi għall-benomil, għall-karbendażim u għat-tijofanat-metil f’ċerti prodotti jew fuqhom (D089819/05 – 2024/2758(RPS))"/>
  </w:docVars>
  <w:rsids>
    <w:rsidRoot w:val="00A36FF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7020"/>
    <w:rsid w:val="002767FF"/>
    <w:rsid w:val="002B18FE"/>
    <w:rsid w:val="002B5493"/>
    <w:rsid w:val="00343214"/>
    <w:rsid w:val="00361C00"/>
    <w:rsid w:val="00380A3F"/>
    <w:rsid w:val="00395FA1"/>
    <w:rsid w:val="003E15D4"/>
    <w:rsid w:val="00411CCE"/>
    <w:rsid w:val="0041527C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6B12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6FF4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10A0"/>
    <w:rsid w:val="00C61C0C"/>
    <w:rsid w:val="00C941CB"/>
    <w:rsid w:val="00CC2357"/>
    <w:rsid w:val="00CD2CC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B00553"/>
  <w15:chartTrackingRefBased/>
  <w15:docId w15:val="{4D045126-8B84-4A05-B9C1-AEF7132FA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37020"/>
    <w:pPr>
      <w:spacing w:before="480" w:after="240"/>
    </w:pPr>
  </w:style>
  <w:style w:type="paragraph" w:customStyle="1" w:styleId="NormalHanging12a">
    <w:name w:val="NormalHanging12a"/>
    <w:basedOn w:val="Normal"/>
    <w:rsid w:val="00237020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23702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C510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510A0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doi.org/10.2903/j.efsa.2010.1598" TargetMode="External"/><Relationship Id="rId2" Type="http://schemas.openxmlformats.org/officeDocument/2006/relationships/hyperlink" Target="https://doi.org/10.2903/j.efsa.2024.8569" TargetMode="External"/><Relationship Id="rId1" Type="http://schemas.openxmlformats.org/officeDocument/2006/relationships/hyperlink" Target="https://doi.org/10.2903/j.efsa.2021.6773" TargetMode="External"/><Relationship Id="rId6" Type="http://schemas.openxmlformats.org/officeDocument/2006/relationships/hyperlink" Target="https://www.echa.europa.eu/documents/10162/5eb9760e-6c73-7f2c-1226-98d92ed847d1" TargetMode="External"/><Relationship Id="rId5" Type="http://schemas.openxmlformats.org/officeDocument/2006/relationships/hyperlink" Target="https://doi.org/10.2903/j.efsa.2024.8756" TargetMode="External"/><Relationship Id="rId4" Type="http://schemas.openxmlformats.org/officeDocument/2006/relationships/hyperlink" Target="https://doi.org/10.2903/j.efsa.2018.51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740E56-1CE5-4E81-8813-9CACFFE7B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1720</Words>
  <Characters>12456</Characters>
  <Application>Microsoft Office Word</Application>
  <DocSecurity>0</DocSecurity>
  <Lines>103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CUTAJAR Sera</cp:lastModifiedBy>
  <cp:revision>2</cp:revision>
  <cp:lastPrinted>2004-11-19T15:42:00Z</cp:lastPrinted>
  <dcterms:created xsi:type="dcterms:W3CDTF">2024-09-18T10:47:00Z</dcterms:created>
  <dcterms:modified xsi:type="dcterms:W3CDTF">2024-09-18T10:47:00Z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B10-0020/2024</vt:lpwstr>
  </property>
  <property fmtid="{D5CDD505-2E9C-101B-9397-08002B2CF9AE}" pid="4" name="&lt;Type&gt;">
    <vt:lpwstr>RR</vt:lpwstr>
  </property>
</Properties>
</file>