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4F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4F5B" w:rsidRDefault="00247190" w:rsidP="0010095E">
            <w:pPr>
              <w:pStyle w:val="EPName"/>
            </w:pPr>
            <w:r w:rsidRPr="00BB4F5B">
              <w:t>Parlament Europejski</w:t>
            </w:r>
          </w:p>
          <w:p w:rsidR="00751A4A" w:rsidRPr="00BB4F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4F5B">
              <w:t>2024</w:t>
            </w:r>
            <w:r w:rsidR="00817416" w:rsidRPr="00BB4F5B">
              <w:t>-202</w:t>
            </w:r>
            <w:r w:rsidRPr="00BB4F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B4F5B" w:rsidRDefault="00187494" w:rsidP="0010095E">
            <w:pPr>
              <w:pStyle w:val="EPLogo"/>
            </w:pPr>
            <w:r w:rsidRPr="00BB4F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4F5B" w:rsidRDefault="00D058B8" w:rsidP="004C5D52">
      <w:pPr>
        <w:pStyle w:val="LineTop"/>
      </w:pPr>
    </w:p>
    <w:p w:rsidR="00680577" w:rsidRPr="00BB4F5B" w:rsidRDefault="00247190" w:rsidP="00680577">
      <w:pPr>
        <w:pStyle w:val="EPBodyTA1"/>
      </w:pPr>
      <w:r w:rsidRPr="00BB4F5B">
        <w:t>TEKSTY PRZYJĘTE</w:t>
      </w:r>
    </w:p>
    <w:p w:rsidR="00D058B8" w:rsidRPr="00BB4F5B" w:rsidRDefault="00D058B8" w:rsidP="00D058B8">
      <w:pPr>
        <w:pStyle w:val="LineBottom"/>
      </w:pPr>
    </w:p>
    <w:p w:rsidR="00247190" w:rsidRPr="00BB4F5B" w:rsidRDefault="00247190" w:rsidP="00247190">
      <w:pPr>
        <w:pStyle w:val="ATHeading1"/>
      </w:pPr>
      <w:bookmarkStart w:id="0" w:name="TANumber"/>
      <w:r w:rsidRPr="00BB4F5B">
        <w:t>P10_TA(2024)000</w:t>
      </w:r>
      <w:bookmarkEnd w:id="0"/>
      <w:r w:rsidR="00D256A6">
        <w:t>6</w:t>
      </w:r>
    </w:p>
    <w:p w:rsidR="00247190" w:rsidRPr="00BB4F5B" w:rsidRDefault="006800F8" w:rsidP="006800F8">
      <w:pPr>
        <w:pStyle w:val="ATHeading2"/>
      </w:pPr>
      <w:r w:rsidRPr="006800F8">
        <w:rPr>
          <w:bCs/>
        </w:rPr>
        <w:t xml:space="preserve">Sprzeciw </w:t>
      </w:r>
      <w:r w:rsidRPr="00672BE6">
        <w:t>wobec aktu wykonawczego</w:t>
      </w:r>
      <w:r w:rsidRPr="006800F8">
        <w:rPr>
          <w:bCs/>
        </w:rPr>
        <w:t xml:space="preserve">: najwyższe dopuszczalne poziomy pozostałości </w:t>
      </w:r>
      <w:proofErr w:type="spellStart"/>
      <w:r w:rsidRPr="006800F8">
        <w:rPr>
          <w:bCs/>
        </w:rPr>
        <w:t>benomylu</w:t>
      </w:r>
      <w:proofErr w:type="spellEnd"/>
      <w:r w:rsidRPr="006800F8">
        <w:rPr>
          <w:bCs/>
        </w:rPr>
        <w:t xml:space="preserve">, </w:t>
      </w:r>
      <w:proofErr w:type="spellStart"/>
      <w:r w:rsidRPr="006800F8">
        <w:rPr>
          <w:bCs/>
        </w:rPr>
        <w:t>karbendazymu</w:t>
      </w:r>
      <w:proofErr w:type="spellEnd"/>
      <w:r w:rsidRPr="006800F8">
        <w:rPr>
          <w:bCs/>
        </w:rPr>
        <w:t xml:space="preserve"> i </w:t>
      </w:r>
      <w:proofErr w:type="spellStart"/>
      <w:r w:rsidRPr="006800F8">
        <w:rPr>
          <w:bCs/>
        </w:rPr>
        <w:t>tiofanatu</w:t>
      </w:r>
      <w:proofErr w:type="spellEnd"/>
      <w:r w:rsidRPr="006800F8">
        <w:rPr>
          <w:bCs/>
        </w:rPr>
        <w:t xml:space="preserve"> metylu w określonych produktach lub na ich powierzchni</w:t>
      </w:r>
    </w:p>
    <w:p w:rsidR="00247190" w:rsidRPr="00BB4F5B" w:rsidRDefault="00247190" w:rsidP="00247190">
      <w:pPr>
        <w:rPr>
          <w:i/>
          <w:vanish/>
        </w:rPr>
      </w:pPr>
      <w:r w:rsidRPr="00BB4F5B">
        <w:rPr>
          <w:i/>
        </w:rPr>
        <w:fldChar w:fldCharType="begin"/>
      </w:r>
      <w:r w:rsidRPr="00BB4F5B">
        <w:rPr>
          <w:i/>
        </w:rPr>
        <w:instrText xml:space="preserve"> TC"(</w:instrText>
      </w:r>
      <w:bookmarkStart w:id="1" w:name="DocNumber"/>
      <w:r w:rsidRPr="00BB4F5B">
        <w:rPr>
          <w:i/>
        </w:rPr>
        <w:instrText>B</w:instrText>
      </w:r>
      <w:proofErr w:type="gramStart"/>
      <w:r w:rsidRPr="00BB4F5B">
        <w:rPr>
          <w:i/>
        </w:rPr>
        <w:instrText>10-0020/2024</w:instrText>
      </w:r>
      <w:bookmarkEnd w:id="1"/>
      <w:r w:rsidRPr="00BB4F5B">
        <w:rPr>
          <w:i/>
        </w:rPr>
        <w:instrText>)"\l</w:instrText>
      </w:r>
      <w:proofErr w:type="gramEnd"/>
      <w:r w:rsidRPr="00BB4F5B">
        <w:rPr>
          <w:i/>
        </w:rPr>
        <w:instrText xml:space="preserve">3 \n&gt; \* MERGEFORMAT </w:instrText>
      </w:r>
      <w:r w:rsidRPr="00BB4F5B">
        <w:rPr>
          <w:i/>
        </w:rPr>
        <w:fldChar w:fldCharType="end"/>
      </w:r>
    </w:p>
    <w:p w:rsidR="00247190" w:rsidRPr="00BB4F5B" w:rsidRDefault="00247190" w:rsidP="00247190">
      <w:pPr>
        <w:rPr>
          <w:vanish/>
        </w:rPr>
      </w:pPr>
      <w:bookmarkStart w:id="2" w:name="PE"/>
      <w:r w:rsidRPr="00BB4F5B">
        <w:rPr>
          <w:vanish/>
        </w:rPr>
        <w:t>PE763.090</w:t>
      </w:r>
      <w:bookmarkEnd w:id="2"/>
    </w:p>
    <w:p w:rsidR="00247190" w:rsidRPr="00BB4F5B" w:rsidRDefault="00247190" w:rsidP="00247190">
      <w:pPr>
        <w:pStyle w:val="ATHeading3"/>
      </w:pPr>
      <w:bookmarkStart w:id="3" w:name="Sujet"/>
      <w:r w:rsidRPr="00BB4F5B">
        <w:t xml:space="preserve">Rezolucja Parlamentu Europejskiego z dnia </w:t>
      </w:r>
      <w:r w:rsidR="007E54F1">
        <w:t>18 września</w:t>
      </w:r>
      <w:r w:rsidRPr="00BB4F5B">
        <w:t xml:space="preserve"> 2024 r. w sprawie projektu rozporządzenia Komisji zmieniającego załączniki II, III i V do rozporządzenia (WE) nr 396/2005 Parlamentu Europejskiego i Rady w odniesieniu do najwyższych dopuszczalnych poziomów pozostałości </w:t>
      </w:r>
      <w:proofErr w:type="spellStart"/>
      <w:r w:rsidRPr="00BB4F5B">
        <w:t>benomylu</w:t>
      </w:r>
      <w:proofErr w:type="spellEnd"/>
      <w:r w:rsidRPr="00BB4F5B">
        <w:t xml:space="preserve">, </w:t>
      </w:r>
      <w:proofErr w:type="spellStart"/>
      <w:r w:rsidRPr="00BB4F5B">
        <w:t>karbendazymu</w:t>
      </w:r>
      <w:proofErr w:type="spellEnd"/>
      <w:r w:rsidRPr="00BB4F5B">
        <w:t xml:space="preserve"> i </w:t>
      </w:r>
      <w:proofErr w:type="spellStart"/>
      <w:r w:rsidRPr="00BB4F5B">
        <w:t>tiofanatu</w:t>
      </w:r>
      <w:proofErr w:type="spellEnd"/>
      <w:r w:rsidRPr="00BB4F5B">
        <w:t xml:space="preserve"> metylu w określonych produktach lub na ich powierzchni </w:t>
      </w:r>
      <w:bookmarkStart w:id="4" w:name="References"/>
      <w:bookmarkStart w:id="5" w:name="_GoBack"/>
      <w:bookmarkEnd w:id="3"/>
      <w:bookmarkEnd w:id="5"/>
      <w:r w:rsidRPr="00BB4F5B">
        <w:t>D089819/05 – 2024/2758(RPS))</w:t>
      </w:r>
      <w:bookmarkEnd w:id="4"/>
    </w:p>
    <w:p w:rsidR="00247190" w:rsidRPr="00BB4F5B" w:rsidRDefault="00247190" w:rsidP="00247190"/>
    <w:p w:rsidR="0090109A" w:rsidRPr="00BB4F5B" w:rsidRDefault="0090109A" w:rsidP="0090109A">
      <w:pPr>
        <w:pStyle w:val="EPComma"/>
      </w:pPr>
      <w:bookmarkStart w:id="6" w:name="TextBodyBegin"/>
      <w:bookmarkEnd w:id="6"/>
      <w:r w:rsidRPr="00BB4F5B">
        <w:rPr>
          <w:i/>
        </w:rPr>
        <w:t>Parlament Europejski</w:t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 xml:space="preserve">uwzględniając projekt rozporządzenia Komisji zmieniającego załączniki II, III i V do rozporządzenia (WE) nr 396/2005 Parlamentu Europejskiego i Rady w odniesieniu do najwyższych dopuszczalnych poziomów pozostałości </w:t>
      </w:r>
      <w:proofErr w:type="spellStart"/>
      <w:r w:rsidRPr="00BB4F5B">
        <w:t>benomylu</w:t>
      </w:r>
      <w:proofErr w:type="spellEnd"/>
      <w:r w:rsidRPr="00BB4F5B">
        <w:t xml:space="preserve">, </w:t>
      </w:r>
      <w:proofErr w:type="spellStart"/>
      <w:r w:rsidRPr="00BB4F5B">
        <w:t>karbendazymu</w:t>
      </w:r>
      <w:proofErr w:type="spellEnd"/>
      <w:r w:rsidRPr="00BB4F5B">
        <w:t xml:space="preserve"> i </w:t>
      </w:r>
      <w:proofErr w:type="spellStart"/>
      <w:r w:rsidRPr="00BB4F5B">
        <w:t>tiofanatu</w:t>
      </w:r>
      <w:proofErr w:type="spellEnd"/>
      <w:r w:rsidRPr="00BB4F5B">
        <w:t xml:space="preserve"> metylu w określonych produktach lub na ich powierzchni (D089819/05),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rozporządzenie (WE) nr 396/2005 Parlamentu Europejskiego i Rady z dnia 23 lutego 2005 r. w sprawie najwyższych dopuszczalnych poziomów pozostałości pestycydów w żywności i paszy pochodzenia roślinnego i zwierzęcego oraz na ich powierzchni, zmieniające dyrektywę Rady 91/414/EWG</w:t>
      </w:r>
      <w:r w:rsidRPr="00BB4F5B">
        <w:rPr>
          <w:vertAlign w:val="superscript"/>
        </w:rPr>
        <w:footnoteReference w:id="1"/>
      </w:r>
      <w:r w:rsidRPr="00BB4F5B">
        <w:t>, w szczególności jego art. 14 ust. 1 lit. a),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rozporządzenie Parlamentu Europejskiego i Rady (WE) nr 1107/2009 z dnia 21 października 2009 r. dotyczące wprowadzania do obrotu środków ochrony roślin i uchylające dyrektywy Rady 79/117/EWG i 91/414/EWG</w:t>
      </w:r>
      <w:r w:rsidRPr="00BB4F5B">
        <w:rPr>
          <w:vertAlign w:val="superscript"/>
        </w:rPr>
        <w:footnoteReference w:id="2"/>
      </w:r>
      <w:r w:rsidRPr="00BB4F5B">
        <w:t xml:space="preserve">, w szczególności jego art. 4 ust. 1, art. 4 ust. 2 akapit pierwszy lit. a) oraz pkt 3.6.2, 3.6.4 i 3.6.5 </w:t>
      </w:r>
      <w:proofErr w:type="gramStart"/>
      <w:r w:rsidRPr="00BB4F5B">
        <w:t>załącznika</w:t>
      </w:r>
      <w:proofErr w:type="gramEnd"/>
      <w:r w:rsidRPr="00BB4F5B">
        <w:t xml:space="preserve"> II,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 xml:space="preserve">uwzględniając rozporządzenie Parlamentu Europejskiego i Rady (WE) nr 178/2002 z dnia 28 stycznia 2002 r. ustanawiające ogólne zasady i wymagania prawa żywnościowego, powołujące Europejski Urząd ds. Bezpieczeństwa Żywności oraz </w:t>
      </w:r>
      <w:r w:rsidRPr="00BB4F5B">
        <w:lastRenderedPageBreak/>
        <w:t>ustanawiające procedury w zakresie bezpieczeństwa żywności</w:t>
      </w:r>
      <w:r w:rsidRPr="00BB4F5B">
        <w:rPr>
          <w:vertAlign w:val="superscript"/>
        </w:rPr>
        <w:footnoteReference w:id="3"/>
      </w:r>
      <w:r w:rsidRPr="00BB4F5B">
        <w:t>, w szczególności jego art. 5 ust. 1,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art. 11, 13, 168 i 191 Traktatu o funkcjonowaniu Unii Europejskiej,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uzasadnioną opinię Europejskiego Urzędu ds. Bezpieczeństwa Żywności (EFSA) z dnia 5 lipca 2021 r., opublikowaną w dniu 23 sierpnia 2021 r.</w:t>
      </w:r>
      <w:r w:rsidRPr="00BB4F5B">
        <w:rPr>
          <w:vertAlign w:val="superscript"/>
        </w:rPr>
        <w:footnoteReference w:id="4"/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zaktualizowaną uzasadnioną opinię EFSA z dnia 10 stycznia 2024 r., opublikowaną w dniu 20 lutego 2024 r.</w:t>
      </w:r>
      <w:r w:rsidRPr="00BB4F5B">
        <w:rPr>
          <w:rStyle w:val="FootnoteReference"/>
        </w:rPr>
        <w:footnoteReference w:id="5"/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wnioski EFSA z wzajemnej weryfikacji oceny ryzyka stwarzanego przez pestycydy z dnia 30 kwietnia 2010 r., opublikowane w dniu 12 maja 2010 r.</w:t>
      </w:r>
      <w:r w:rsidRPr="00BB4F5B">
        <w:rPr>
          <w:vertAlign w:val="superscript"/>
        </w:rPr>
        <w:footnoteReference w:id="6"/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wnioski EFSA z wzajemnej weryfikacji oceny ryzyka stwarzanego przez pestycydy z dnia 8 grudnia 2017 r., opublikowane w dniu 17 stycznia 2018 r.</w:t>
      </w:r>
      <w:r w:rsidRPr="00BB4F5B">
        <w:rPr>
          <w:vertAlign w:val="superscript"/>
        </w:rPr>
        <w:footnoteReference w:id="7"/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oświadczenie EFSA z dnia 27 marca 2024 r., opublikowane w dniu 13 maja 2024 r.</w:t>
      </w:r>
      <w:r w:rsidRPr="00BB4F5B">
        <w:rPr>
          <w:vertAlign w:val="superscript"/>
        </w:rPr>
        <w:footnoteReference w:id="8"/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opinię przyjętą przez Komitet ds. Oceny Ryzyka (RAC) Europejskiej Agencji Chemikaliów w dniu 5 grudnia 2019 r.</w:t>
      </w:r>
      <w:r w:rsidRPr="00BB4F5B">
        <w:rPr>
          <w:rStyle w:val="FootnoteReference"/>
        </w:rPr>
        <w:footnoteReference w:id="9"/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art. 5a ust. 3 lit. b) i art. 5a ust. 5 decyzji Rady 1999/468/WE z dnia 28 czerwca 1999 r. ustanawiającej warunki wykonywania uprawnień wykonawczych przyznanych Komisji</w:t>
      </w:r>
      <w:r w:rsidRPr="00BB4F5B">
        <w:rPr>
          <w:rStyle w:val="FootnoteReference"/>
        </w:rPr>
        <w:footnoteReference w:id="10"/>
      </w:r>
      <w:r w:rsidRPr="00BB4F5B">
        <w:t>,</w:t>
      </w:r>
    </w:p>
    <w:p w:rsidR="0090109A" w:rsidRPr="00BB4F5B" w:rsidRDefault="0090109A" w:rsidP="0090109A">
      <w:pPr>
        <w:pStyle w:val="NormalHanging12a"/>
      </w:pPr>
      <w:r w:rsidRPr="00BB4F5B">
        <w:t>–</w:t>
      </w:r>
      <w:r w:rsidRPr="00BB4F5B">
        <w:tab/>
        <w:t>uwzględniając art. 115 ust. 2 i 3 oraz ust. 4 lit. c) Regulaminu,</w:t>
      </w:r>
    </w:p>
    <w:p w:rsidR="0090109A" w:rsidRPr="00BB4F5B" w:rsidRDefault="0090109A" w:rsidP="0090109A">
      <w:pPr>
        <w:pStyle w:val="NormalHanging12a"/>
      </w:pPr>
      <w:r w:rsidRPr="00BB4F5B">
        <w:lastRenderedPageBreak/>
        <w:t>–</w:t>
      </w:r>
      <w:r w:rsidRPr="00BB4F5B">
        <w:tab/>
        <w:t>uwzględniając projekt rezolucji Komisji Ochrony Środowiska Naturalnego, Zdrowia Publicznego i Bezpieczeństwa Żywności,</w:t>
      </w:r>
    </w:p>
    <w:p w:rsidR="0090109A" w:rsidRPr="00BB4F5B" w:rsidRDefault="0090109A" w:rsidP="0090109A">
      <w:pPr>
        <w:pStyle w:val="NormalHanging12a"/>
      </w:pPr>
      <w:r w:rsidRPr="00BB4F5B">
        <w:t>A.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jednym z głównych postulatów rolników protestujących w pierwszej połowie 2024 r. było sprawiedliwe i równe traktowanie produktów przywożonych z państw trzecich, które powinny być zgodne z tymi samymi normami co produkty wytwarzane w Unii;</w:t>
      </w:r>
    </w:p>
    <w:p w:rsidR="0090109A" w:rsidRPr="00BB4F5B" w:rsidRDefault="0090109A" w:rsidP="0090109A">
      <w:pPr>
        <w:pStyle w:val="NormalHanging12a"/>
      </w:pPr>
      <w:r w:rsidRPr="00BB4F5B">
        <w:t>B.</w:t>
      </w:r>
      <w:r w:rsidRPr="00BB4F5B">
        <w:tab/>
        <w:t>mając na uwadze, że przyjęcie projektu rozporządzenia Komisji oznaczałoby, że do Unii będzie można przywozić produkty niezgodne z normami, których przestrzegają unijni rolnicy;</w:t>
      </w:r>
    </w:p>
    <w:p w:rsidR="0090109A" w:rsidRPr="00BB4F5B" w:rsidRDefault="0090109A" w:rsidP="0090109A">
      <w:pPr>
        <w:pStyle w:val="NormalHanging12a"/>
      </w:pPr>
      <w:r w:rsidRPr="00BB4F5B">
        <w:t>C.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postawiłoby to unijnych rolników w niekorzystnej sytuacji konkurencyjnej;</w:t>
      </w:r>
    </w:p>
    <w:p w:rsidR="0090109A" w:rsidRPr="00BB4F5B" w:rsidRDefault="0090109A" w:rsidP="0090109A">
      <w:pPr>
        <w:pStyle w:val="NormalHanging12a"/>
      </w:pPr>
      <w:r w:rsidRPr="00BB4F5B">
        <w:t>D.</w:t>
      </w:r>
      <w:r w:rsidRPr="00BB4F5B">
        <w:tab/>
      </w:r>
      <w:proofErr w:type="gramStart"/>
      <w:r w:rsidRPr="00BB4F5B">
        <w:t>zatwierdzenie</w:t>
      </w:r>
      <w:proofErr w:type="gramEnd"/>
      <w:r w:rsidRPr="00BB4F5B">
        <w:t xml:space="preserve"> substancji czynnej </w:t>
      </w:r>
      <w:proofErr w:type="spellStart"/>
      <w:r w:rsidRPr="00BB4F5B">
        <w:t>karbendazym</w:t>
      </w:r>
      <w:proofErr w:type="spellEnd"/>
      <w:r w:rsidRPr="00BB4F5B">
        <w:t xml:space="preserve"> wygasło 30 listopada 2014 r. i nie złożono wniosku o jego odnowienie;</w:t>
      </w:r>
    </w:p>
    <w:p w:rsidR="0090109A" w:rsidRPr="00BB4F5B" w:rsidRDefault="0090109A" w:rsidP="0090109A">
      <w:pPr>
        <w:pStyle w:val="NormalHanging12a"/>
      </w:pPr>
      <w:r w:rsidRPr="00BB4F5B">
        <w:t>E.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</w:t>
      </w:r>
      <w:proofErr w:type="spellStart"/>
      <w:r w:rsidRPr="00BB4F5B">
        <w:t>karbendazym</w:t>
      </w:r>
      <w:proofErr w:type="spellEnd"/>
      <w:r w:rsidRPr="00BB4F5B">
        <w:t xml:space="preserve"> spełnia kryteria klasyfikacji jako substancja mutagenna kategorii 1B i substancja działająca szkodliwie na rozrodczość kategorii 1B zgodnie z rozporządzeniem Parlamentu Europejskiego i Rady (WE) nr 1272/2008</w:t>
      </w:r>
      <w:r w:rsidRPr="00BB4F5B">
        <w:rPr>
          <w:rStyle w:val="FootnoteReference"/>
        </w:rPr>
        <w:footnoteReference w:id="11"/>
      </w:r>
      <w:r w:rsidRPr="00BB4F5B">
        <w:t xml:space="preserve"> oraz dwa z kryteriów substancji trwałych, wykazujących zdolność do bioakumulacji i toksycznych (PBT) (P i T) zgodnie z pkt 3.7.2 załącznika II do rozporządzenia (WE) nr 1107/2009;</w:t>
      </w:r>
    </w:p>
    <w:p w:rsidR="0090109A" w:rsidRPr="00BB4F5B" w:rsidRDefault="0090109A" w:rsidP="0090109A">
      <w:pPr>
        <w:pStyle w:val="NormalHanging12a"/>
      </w:pPr>
      <w:r w:rsidRPr="00BB4F5B">
        <w:t>F.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zgodnie z rozporządzeniem (WE) nr 1272/2008 </w:t>
      </w:r>
      <w:proofErr w:type="spellStart"/>
      <w:r w:rsidRPr="00BB4F5B">
        <w:t>karbendazym</w:t>
      </w:r>
      <w:proofErr w:type="spellEnd"/>
      <w:r w:rsidRPr="00BB4F5B">
        <w:t xml:space="preserve"> jest również sklasyfikowany jako substancja działająca bardzo toksycznie na organizmy wodne, działająca bardzo toksycznie na organizmy wodne, powodując długotrwałe skutki, oraz mogąca powodować reakcję alergiczną skóry;</w:t>
      </w:r>
    </w:p>
    <w:p w:rsidR="0090109A" w:rsidRPr="00BB4F5B" w:rsidRDefault="0090109A" w:rsidP="0090109A">
      <w:pPr>
        <w:pStyle w:val="NormalHanging12a"/>
      </w:pPr>
      <w:r w:rsidRPr="00BB4F5B">
        <w:t>G.</w:t>
      </w:r>
      <w:r w:rsidRPr="00BB4F5B">
        <w:tab/>
        <w:t xml:space="preserve">mając na uwadze, że zgodnie z art. 14 ust. 1 lit. a) i art. 17 tego rozporządzenia należy zatem wykreślić obecne najwyższe dopuszczalne poziomy pozostałości </w:t>
      </w:r>
      <w:proofErr w:type="spellStart"/>
      <w:r w:rsidRPr="00BB4F5B">
        <w:t>karbendazymu</w:t>
      </w:r>
      <w:proofErr w:type="spellEnd"/>
      <w:r w:rsidRPr="00BB4F5B">
        <w:t>, które określono w załączniku II do rozporządzenia (WE) nr 396/2005;</w:t>
      </w:r>
    </w:p>
    <w:p w:rsidR="0090109A" w:rsidRPr="00BB4F5B" w:rsidRDefault="0090109A" w:rsidP="0090109A">
      <w:pPr>
        <w:pStyle w:val="NormalHanging12a"/>
      </w:pPr>
      <w:r w:rsidRPr="00BB4F5B">
        <w:t>H.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w swoim projekcie rozporządzenia Komisja proponuje jednak, aby na podstawie uzasadnionej opinii EFSA z dnia 5 lipca 2021 r. utrzymać najwyższe dopuszczalne poziomy pozostałości </w:t>
      </w:r>
      <w:proofErr w:type="spellStart"/>
      <w:r w:rsidRPr="00BB4F5B">
        <w:t>karbendazymu</w:t>
      </w:r>
      <w:proofErr w:type="spellEnd"/>
      <w:r w:rsidRPr="00BB4F5B">
        <w:t xml:space="preserve"> oparte na tolerancjach importowych powyżej granicy oznaczalności dla cytryn, limonek, mandarynek i </w:t>
      </w:r>
      <w:proofErr w:type="spellStart"/>
      <w:r w:rsidRPr="00BB4F5B">
        <w:t>okry</w:t>
      </w:r>
      <w:proofErr w:type="spellEnd"/>
      <w:r w:rsidRPr="00BB4F5B">
        <w:t>/</w:t>
      </w:r>
      <w:proofErr w:type="spellStart"/>
      <w:r w:rsidRPr="00BB4F5B">
        <w:t>piżmianu</w:t>
      </w:r>
      <w:proofErr w:type="spellEnd"/>
      <w:r w:rsidRPr="00BB4F5B">
        <w:t xml:space="preserve"> jadalnego do celów przywozu;</w:t>
      </w:r>
    </w:p>
    <w:p w:rsidR="0090109A" w:rsidRPr="00BB4F5B" w:rsidRDefault="0090109A" w:rsidP="0090109A">
      <w:pPr>
        <w:pStyle w:val="NormalHanging12a"/>
      </w:pPr>
      <w:r w:rsidRPr="00BB4F5B">
        <w:t>I.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w swoim projekcie rozporządzenia Komisja proponuje, aby utrzymać najwyższe dopuszczalne poziomy pozostałości oparte na tolerancjach importowych dla cytryn, limonek i mandarynek na obecnym poziomie 0,7 mg/kg oraz określić najwyższy dopuszczalny poziom pozostałości dla </w:t>
      </w:r>
      <w:proofErr w:type="spellStart"/>
      <w:r w:rsidRPr="00BB4F5B">
        <w:t>okry</w:t>
      </w:r>
      <w:proofErr w:type="spellEnd"/>
      <w:r w:rsidRPr="00BB4F5B">
        <w:t>/</w:t>
      </w:r>
      <w:proofErr w:type="spellStart"/>
      <w:r w:rsidRPr="00BB4F5B">
        <w:t>piżmianu</w:t>
      </w:r>
      <w:proofErr w:type="spellEnd"/>
      <w:r w:rsidRPr="00BB4F5B">
        <w:t xml:space="preserve"> jadalnego na nowym poziomie 1,5 mg/kg zgodnie z zaleceniami EFSA; </w:t>
      </w:r>
    </w:p>
    <w:p w:rsidR="0090109A" w:rsidRPr="00BB4F5B" w:rsidRDefault="0090109A" w:rsidP="0090109A">
      <w:pPr>
        <w:pStyle w:val="NormalHanging12a"/>
      </w:pPr>
      <w:r w:rsidRPr="00BB4F5B">
        <w:t>J.</w:t>
      </w:r>
      <w:r w:rsidRPr="00BB4F5B">
        <w:tab/>
        <w:t xml:space="preserve">mając na uwadze, że 15 października 2020 r. po wycofaniu przez wnioskodawcę </w:t>
      </w:r>
      <w:r w:rsidRPr="00BB4F5B">
        <w:lastRenderedPageBreak/>
        <w:t xml:space="preserve">wniosku o odnowienie, nie odnowiono zatwierdzenia substancji czynnej </w:t>
      </w:r>
      <w:proofErr w:type="spellStart"/>
      <w:r w:rsidRPr="00BB4F5B">
        <w:t>tiofanat</w:t>
      </w:r>
      <w:proofErr w:type="spellEnd"/>
      <w:r w:rsidRPr="00BB4F5B">
        <w:t xml:space="preserve"> metylu;</w:t>
      </w:r>
    </w:p>
    <w:p w:rsidR="0090109A" w:rsidRPr="00BB4F5B" w:rsidRDefault="0090109A" w:rsidP="0090109A">
      <w:pPr>
        <w:pStyle w:val="NormalHanging12a"/>
      </w:pPr>
      <w:r w:rsidRPr="00BB4F5B">
        <w:t>K.</w:t>
      </w:r>
      <w:r w:rsidRPr="00BB4F5B">
        <w:tab/>
        <w:t xml:space="preserve">mając na uwadze, że zgodnie z rozporządzeniem (WE) nr 1272/2008 </w:t>
      </w:r>
      <w:proofErr w:type="spellStart"/>
      <w:r w:rsidRPr="00BB4F5B">
        <w:t>tiofanat</w:t>
      </w:r>
      <w:proofErr w:type="spellEnd"/>
      <w:r w:rsidRPr="00BB4F5B">
        <w:t xml:space="preserve"> metylu spełnia kryteria klasyfikacji jako substancja mutagenna kategorii 2 i substancja działająca szkodliwie na rozrodczość kategorii 2</w:t>
      </w:r>
      <w:r w:rsidRPr="00BB4F5B">
        <w:rPr>
          <w:rStyle w:val="FootnoteReference"/>
        </w:rPr>
        <w:footnoteReference w:id="12"/>
      </w:r>
      <w:r w:rsidRPr="00BB4F5B">
        <w:t>;</w:t>
      </w:r>
    </w:p>
    <w:p w:rsidR="0090109A" w:rsidRPr="00BB4F5B" w:rsidRDefault="0090109A" w:rsidP="0090109A">
      <w:pPr>
        <w:pStyle w:val="NormalHanging12a"/>
      </w:pPr>
      <w:r w:rsidRPr="00BB4F5B">
        <w:t>L.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w zaktualizowanej uzasadnionej opinii z dnia 10 stycznia 2024 r. EFSA uznał </w:t>
      </w:r>
      <w:proofErr w:type="spellStart"/>
      <w:r w:rsidRPr="00BB4F5B">
        <w:t>tiofanat</w:t>
      </w:r>
      <w:proofErr w:type="spellEnd"/>
      <w:r w:rsidRPr="00BB4F5B">
        <w:t xml:space="preserve"> metylu za substancję zaburzającą funkcjonowanie układu hormonalnego u ludzi w odniesieniu do modalności dotyczącej tarczycy zgodnie z naukowymi kryteriami określania właściwości zaburzających funkcjonowanie układu hormonalnego, które określono w rozporządzeniu Komisji (UE) 2018/605</w:t>
      </w:r>
      <w:r w:rsidRPr="00BB4F5B">
        <w:rPr>
          <w:rStyle w:val="FootnoteReference"/>
        </w:rPr>
        <w:footnoteReference w:id="13"/>
      </w:r>
      <w:r w:rsidRPr="00BB4F5B">
        <w:t>;</w:t>
      </w:r>
    </w:p>
    <w:p w:rsidR="0090109A" w:rsidRPr="00BB4F5B" w:rsidRDefault="0090109A" w:rsidP="0090109A">
      <w:pPr>
        <w:pStyle w:val="NormalHanging12a"/>
      </w:pPr>
      <w:r w:rsidRPr="00BB4F5B">
        <w:t>M.</w:t>
      </w:r>
      <w:r w:rsidRPr="00BB4F5B">
        <w:tab/>
        <w:t xml:space="preserve">mając na uwadze, że </w:t>
      </w:r>
      <w:proofErr w:type="spellStart"/>
      <w:r w:rsidRPr="00BB4F5B">
        <w:t>karbendazym</w:t>
      </w:r>
      <w:proofErr w:type="spellEnd"/>
      <w:r w:rsidRPr="00BB4F5B">
        <w:t xml:space="preserve"> jest głównym metabolitem roślinnym </w:t>
      </w:r>
      <w:proofErr w:type="spellStart"/>
      <w:r w:rsidRPr="00BB4F5B">
        <w:t>tiofanatu</w:t>
      </w:r>
      <w:proofErr w:type="spellEnd"/>
      <w:r w:rsidRPr="00BB4F5B">
        <w:t xml:space="preserve"> metylu;</w:t>
      </w:r>
    </w:p>
    <w:p w:rsidR="0090109A" w:rsidRPr="00BB4F5B" w:rsidRDefault="0090109A" w:rsidP="0090109A">
      <w:pPr>
        <w:pStyle w:val="NormalHanging12a"/>
      </w:pPr>
      <w:r w:rsidRPr="00BB4F5B">
        <w:t>N.</w:t>
      </w:r>
      <w:r w:rsidRPr="00BB4F5B">
        <w:tab/>
        <w:t xml:space="preserve">mając na uwadze, że we wnioskach EFSA z wzajemnej weryfikacji oceny ryzyka stwarzanego przez pestycydy z dnia 8 grudnia 2017 r. stwierdzono, że biorąc pod uwagę działanie </w:t>
      </w:r>
      <w:proofErr w:type="spellStart"/>
      <w:r w:rsidRPr="00BB4F5B">
        <w:t>klastogenne</w:t>
      </w:r>
      <w:proofErr w:type="spellEnd"/>
      <w:r w:rsidRPr="00BB4F5B">
        <w:t xml:space="preserve"> </w:t>
      </w:r>
      <w:proofErr w:type="spellStart"/>
      <w:r w:rsidRPr="00BB4F5B">
        <w:t>tiofanatu</w:t>
      </w:r>
      <w:proofErr w:type="spellEnd"/>
      <w:r w:rsidRPr="00BB4F5B">
        <w:t xml:space="preserve"> metylu, nie można było ustalić toksykologicznych wartości referencyjnych dla oceny ryzyka dla konsumentów i operatorów;</w:t>
      </w:r>
    </w:p>
    <w:p w:rsidR="0090109A" w:rsidRPr="00BB4F5B" w:rsidRDefault="0090109A" w:rsidP="0090109A">
      <w:pPr>
        <w:pStyle w:val="NormalHanging12a"/>
      </w:pPr>
      <w:r w:rsidRPr="00BB4F5B">
        <w:t>O.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w 2024 r. Komisja obniżyła najwyższy dopuszczalny poziom pozostałości dla </w:t>
      </w:r>
      <w:proofErr w:type="spellStart"/>
      <w:r w:rsidRPr="00BB4F5B">
        <w:t>tiakloprydu</w:t>
      </w:r>
      <w:proofErr w:type="spellEnd"/>
      <w:r w:rsidRPr="00BB4F5B">
        <w:t>, substancji czynnej sklasyfikowanej jako działająca szkodliwie na rozrodczość kategorii 1B, do odpowiedniej granicy oznaczalności, argumentując, że „w oczekiwaniu na tę dodatkową ocenę ryzyka [dotyczącą zaburzeń funkcjonowania układu hormonalnego] przeprowadzoną przez Urząd oraz biorąc pod uwagę dostępne istotne informacje dotyczące potencjalnie szkodliwego wpływu na zdrowie ludzi, należy tymczasowo obniżyć najwyższy dopuszczalny poziom pozostałości ... [</w:t>
      </w:r>
      <w:proofErr w:type="gramStart"/>
      <w:r w:rsidRPr="00BB4F5B">
        <w:t>dla</w:t>
      </w:r>
      <w:proofErr w:type="gramEnd"/>
      <w:r w:rsidRPr="00BB4F5B">
        <w:t xml:space="preserve"> tych produktów]”</w:t>
      </w:r>
      <w:r w:rsidRPr="00BB4F5B">
        <w:rPr>
          <w:rStyle w:val="FootnoteReference"/>
        </w:rPr>
        <w:footnoteReference w:id="14"/>
      </w:r>
      <w:r w:rsidRPr="00BB4F5B">
        <w:t>;</w:t>
      </w:r>
    </w:p>
    <w:p w:rsidR="0090109A" w:rsidRPr="00BB4F5B" w:rsidRDefault="0090109A" w:rsidP="0090109A">
      <w:pPr>
        <w:pStyle w:val="NormalHanging12a"/>
      </w:pPr>
      <w:r w:rsidRPr="00BB4F5B">
        <w:t>P.</w:t>
      </w:r>
      <w:r w:rsidRPr="00BB4F5B">
        <w:tab/>
        <w:t xml:space="preserve">mając na uwadze, że zgodnie z art. 14 ust. 1 lit. a) i art. 17 tego rozporządzenia należy zatem wykreślić obecne najwyższe dopuszczalne poziomy pozostałości </w:t>
      </w:r>
      <w:proofErr w:type="spellStart"/>
      <w:r w:rsidRPr="00BB4F5B">
        <w:t>tiofanatu</w:t>
      </w:r>
      <w:proofErr w:type="spellEnd"/>
      <w:r w:rsidRPr="00BB4F5B">
        <w:t xml:space="preserve"> metylu, które określono w załączniku II do rozporządzenia (WE) nr 396/2005;</w:t>
      </w:r>
    </w:p>
    <w:p w:rsidR="0090109A" w:rsidRPr="00BB4F5B" w:rsidRDefault="0090109A" w:rsidP="0090109A">
      <w:pPr>
        <w:pStyle w:val="NormalHanging12a"/>
      </w:pPr>
      <w:r w:rsidRPr="00BB4F5B">
        <w:t>Q.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w swoim projekcie rozporządzenia Komisja proponuje jednak, aby na podstawie uzasadnionej opinii EFSA z dnia 5 lipca 2021 r. utrzymać najwyższe dopuszczalne poziomy pozostałości </w:t>
      </w:r>
      <w:proofErr w:type="spellStart"/>
      <w:r w:rsidRPr="00BB4F5B">
        <w:t>tiofanatu</w:t>
      </w:r>
      <w:proofErr w:type="spellEnd"/>
      <w:r w:rsidRPr="00BB4F5B">
        <w:t xml:space="preserve"> metylu oparte na tolerancjach importowych powyżej granicy oznaczalności dla limonek i </w:t>
      </w:r>
      <w:proofErr w:type="spellStart"/>
      <w:r w:rsidRPr="00BB4F5B">
        <w:t>okry</w:t>
      </w:r>
      <w:proofErr w:type="spellEnd"/>
      <w:r w:rsidRPr="00BB4F5B">
        <w:t>/</w:t>
      </w:r>
      <w:proofErr w:type="spellStart"/>
      <w:r w:rsidRPr="00BB4F5B">
        <w:t>piżmianu</w:t>
      </w:r>
      <w:proofErr w:type="spellEnd"/>
      <w:r w:rsidRPr="00BB4F5B">
        <w:t xml:space="preserve"> jadalnego do celów przywozu; mając na uwadze, że najwyższe dopuszczalne poziomy pozostałości </w:t>
      </w:r>
      <w:proofErr w:type="spellStart"/>
      <w:r w:rsidRPr="00BB4F5B">
        <w:t>tiofanatu</w:t>
      </w:r>
      <w:proofErr w:type="spellEnd"/>
      <w:r w:rsidRPr="00BB4F5B">
        <w:t xml:space="preserve"> metylu dla limonek ustalono na poziomie 6 mg/kg, co stanowi 600-krotność </w:t>
      </w:r>
      <w:r w:rsidRPr="00BB4F5B">
        <w:lastRenderedPageBreak/>
        <w:t>granicy oznaczalności;</w:t>
      </w:r>
    </w:p>
    <w:p w:rsidR="0090109A" w:rsidRPr="00BB4F5B" w:rsidRDefault="0090109A" w:rsidP="0090109A">
      <w:pPr>
        <w:pStyle w:val="NormalHanging12a"/>
      </w:pPr>
      <w:r w:rsidRPr="00BB4F5B">
        <w:t>R.</w:t>
      </w:r>
      <w:r w:rsidRPr="00BB4F5B">
        <w:tab/>
        <w:t xml:space="preserve">mając na uwadze, że zgodnie z motywem 5 rozporządzeniem (WE) nr 396/2005 pozostałości nie powinny występować w ilościach, które stanowią niedopuszczalne ryzyko dla ludzi, a w stosownych przypadkach również dla zwierząt; </w:t>
      </w:r>
    </w:p>
    <w:p w:rsidR="0090109A" w:rsidRPr="00BB4F5B" w:rsidRDefault="0090109A" w:rsidP="0090109A">
      <w:pPr>
        <w:pStyle w:val="NormalHanging12a"/>
      </w:pPr>
      <w:r w:rsidRPr="00BB4F5B">
        <w:t>S.</w:t>
      </w:r>
      <w:r w:rsidRPr="00BB4F5B">
        <w:tab/>
        <w:t xml:space="preserve">mając na uwadze, że zgodnie z art. 4 ust. 2 lit. a) rozporządzenia (WE) nr 1107/2009 pozostałości środków ochrony roślin nie mogą mieć szkodliwego wpływu na zdrowie ludzi, w tym grup szczególnie wrażliwych, lub na zdrowie zwierząt, z uwzględnieniem znanego wpływu w postaci kumulacji w organizmie i działania synergicznego; mając na uwadze, że pkt 3.6.2 załącznika II do tego rozporządzenia stanowi, że nie należy zatwierdzać substancji czynnych sklasyfikowanych zgodnie z rozporządzeniem (WE) nr 1272/2008 jako substancja mutagenna kategorii 1A lub 1B; mając na uwadze, że zgodnie z pkt 3.6.4 tego załącznika substancja czynna sklasyfikowana na mocy rozporządzenia (WE) nr 1272/2008 jako działająca toksycznie na rozrodczość kategorii 1A lub 1B nie może zostać zatwierdzona, chyba że „pozostałości substancji czynnej [...] </w:t>
      </w:r>
      <w:proofErr w:type="gramStart"/>
      <w:r w:rsidRPr="00BB4F5B">
        <w:t>w</w:t>
      </w:r>
      <w:proofErr w:type="gramEnd"/>
      <w:r w:rsidRPr="00BB4F5B">
        <w:t xml:space="preserve"> żywności lub paszach nie przekraczają wartości wzorcowej określonej zgodnie z art. 18 ust. 1 lit. b) rozporządzenia (WE) nr 396/2005”; mając na uwadze, że zgodnie z pkt 3.6.5 tego załącznika substancja czynna sklasyfikowana jako zaburzająca funkcjonowanie układu hormonalnego nie może zostać zatwierdzona, chyba że „pozostałości substancji czynnej [...] </w:t>
      </w:r>
      <w:proofErr w:type="gramStart"/>
      <w:r w:rsidRPr="00BB4F5B">
        <w:t>w</w:t>
      </w:r>
      <w:proofErr w:type="gramEnd"/>
      <w:r w:rsidRPr="00BB4F5B">
        <w:t xml:space="preserve"> żywności lub paszach nie przekraczają wartości wzorcowej określonej zgodnie z art. 18 ust. 1 lit. b) rozporządzenia (WE) nr 396/2005”; mając na uwadze, że w art. 18 ust. 1 lit. b) rozporządzenia (WE) nr 396/2005 wartość wzorcową ustalono na poziomie 0,01 mg/kg;</w:t>
      </w:r>
    </w:p>
    <w:p w:rsidR="0090109A" w:rsidRPr="00BB4F5B" w:rsidRDefault="0090109A" w:rsidP="0090109A">
      <w:pPr>
        <w:pStyle w:val="NormalHanging12a"/>
      </w:pPr>
      <w:r w:rsidRPr="00BB4F5B">
        <w:t>T.</w:t>
      </w:r>
      <w:r w:rsidRPr="00BB4F5B">
        <w:tab/>
        <w:t xml:space="preserve">mając na uwadze, że zgodnie z art. 3 ust. 2 lit. g) rozporządzenia (WE) nr 396/2005 tolerancja importowa to najwyższe dopuszczalne poziomy pozostałości ustalone dla środków wwożonych, jeżeli „stosowanie danej substancji czynnej w środku ochrony roślin na danym produkcie jest niedozwolone we Wspólnocie z przyczyn innych niż ochrona zdrowia publicznego w odniesieniu do konkretnego produktu i konkretnego użycia”; mając na uwadze, że </w:t>
      </w:r>
      <w:proofErr w:type="spellStart"/>
      <w:r w:rsidRPr="00BB4F5B">
        <w:t>karbendazym</w:t>
      </w:r>
      <w:proofErr w:type="spellEnd"/>
      <w:r w:rsidRPr="00BB4F5B">
        <w:t xml:space="preserve"> nie spełnia tych kryteriów, ponieważ nie można go zatwierdzić w Unii w związku z tym, że sklasyfikowano go jako substancja mutagenna kategorii 1B i substancja działająca szkodliwie na rozrodczość kategorii 1B; mając na uwadze, że </w:t>
      </w:r>
      <w:proofErr w:type="spellStart"/>
      <w:r w:rsidRPr="00BB4F5B">
        <w:t>tiofanat</w:t>
      </w:r>
      <w:proofErr w:type="spellEnd"/>
      <w:r w:rsidRPr="00BB4F5B">
        <w:t xml:space="preserve"> metylu również nie </w:t>
      </w:r>
      <w:proofErr w:type="gramStart"/>
      <w:r w:rsidRPr="00BB4F5B">
        <w:t>spełnia</w:t>
      </w:r>
      <w:proofErr w:type="gramEnd"/>
      <w:r w:rsidRPr="00BB4F5B">
        <w:t xml:space="preserve"> tych kryteriów, ponieważ uznano go za substancję zaburzającą funkcjonowanie układu hormonalnego u ludzi w odniesieniu do modalności dotyczącej tarczycy zgodnie z naukowymi kryteriami określania właściwości zaburzających funkcjonowanie układu hormonalnego, które określono w rozporządzeniu (UE) 2018/605;</w:t>
      </w:r>
    </w:p>
    <w:p w:rsidR="0090109A" w:rsidRPr="00BB4F5B" w:rsidRDefault="0090109A" w:rsidP="0090109A">
      <w:pPr>
        <w:pStyle w:val="NormalHanging12a"/>
      </w:pPr>
      <w:r w:rsidRPr="00BB4F5B">
        <w:t>U.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zgodnie z art. 5 ust. 1 rozporządzenia (WE) nr 178/2002 prawo żywnościowe służy realizacji co najmniej jednego z ogólnych celów dotyczących wysokiego poziomu ochrony zdrowia i życia ludzi oraz ochrony interesów konsumentów, z uwzględnieniem uczciwych praktyk w handlu żywnością, biorąc w stosownych przypadkach pod uwagę ochronę zdrowia i warunków życia zwierząt, zdrowia roślin i środowiska naturalnego;</w:t>
      </w:r>
    </w:p>
    <w:p w:rsidR="0090109A" w:rsidRPr="00BB4F5B" w:rsidRDefault="0090109A" w:rsidP="0090109A">
      <w:pPr>
        <w:pStyle w:val="NormalHanging12a"/>
      </w:pPr>
      <w:r w:rsidRPr="00BB4F5B">
        <w:t>V.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w komunikacie z dnia 20 maja 2020 r. pt. „Strategia »od pola do stołu« na rzecz sprawiedliwego, zdrowego i przyjaznego dla środowiska systemu żywnościowego”</w:t>
      </w:r>
      <w:r w:rsidRPr="00BB4F5B">
        <w:rPr>
          <w:vertAlign w:val="superscript"/>
        </w:rPr>
        <w:footnoteReference w:id="15"/>
      </w:r>
      <w:r w:rsidRPr="00BB4F5B">
        <w:t xml:space="preserve"> Komisja stwierdziła, że „UE będzie wspierać globalną transformację </w:t>
      </w:r>
      <w:r w:rsidRPr="00BB4F5B">
        <w:lastRenderedPageBreak/>
        <w:t>w kierunku zrównoważonych systemów rolno-spożywczych – zgodnie z celami tej strategii i celami zrównoważonego rozwoju” oraz że „UE może odegrać kluczową rolę w ustanawianiu globalnych standardów dzięki [tej] strategii”; mając na uwadze, że Komisja wyraźnie stwierdziła w tej strategii: „Bardziej zrównoważony system żywnościowy UE wymaga również coraz bardziej zrównoważonych praktyk ze strony naszych partnerów handlowych. W celu wsparcia stopniowego przejścia na stosowanie bezpieczniejszych środków ochrony roślin UE rozważy, zgodnie z zasadami WTO i po dokonaniu oceny ryzyka, przegląd tolerancji importowych w odniesieniu do substancji spełniających »kryteria graniczne« i wykazujących wysoki poziom ryzyka dla zdrowia ludzi.”;</w:t>
      </w:r>
    </w:p>
    <w:p w:rsidR="0090109A" w:rsidRPr="00BB4F5B" w:rsidRDefault="0090109A" w:rsidP="0090109A">
      <w:pPr>
        <w:pStyle w:val="NormalHanging12a"/>
      </w:pPr>
      <w:r w:rsidRPr="00BB4F5B">
        <w:t>W.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Komisja powinna chronić środowisko i obywateli europejskich, opierając się na dostępnych informacjach naukowych i korzystając z obowiązków i możliwości prawnych przewidzianych w rozporządzeniach (WE) nr 396/2005 i (WE) nr 178/2002 w celu zapewnienia wysokiego poziomu ochrony zdrowia ludzi i zwierząt oraz środowiska;</w:t>
      </w:r>
    </w:p>
    <w:p w:rsidR="0090109A" w:rsidRPr="00BB4F5B" w:rsidRDefault="0090109A" w:rsidP="0090109A">
      <w:pPr>
        <w:pStyle w:val="NormalHanging12a"/>
      </w:pPr>
      <w:r w:rsidRPr="00BB4F5B">
        <w:t>X.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proponowane najwyższe dopuszczalne poziomy pozostałości nie chronią zdrowia obywateli w Europie, a zatem są sprzeczne z rozporządzeniami (WE) nr 396/2005 i (WE) nr 178/2002;</w:t>
      </w:r>
    </w:p>
    <w:p w:rsidR="0090109A" w:rsidRPr="00BB4F5B" w:rsidRDefault="0090109A" w:rsidP="0090109A">
      <w:pPr>
        <w:pStyle w:val="NormalHanging12a"/>
      </w:pPr>
      <w:r w:rsidRPr="00BB4F5B">
        <w:t xml:space="preserve">Y. 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nie należy określać najwyższych dopuszczalnych poziomów pozostałości dla substancji czynnych, których z obawy o kwestie zdrowotne nie zatwierdzono w Unii; w związku z tym nie należy ustalać tolerancji importowych dla </w:t>
      </w:r>
      <w:proofErr w:type="spellStart"/>
      <w:r w:rsidRPr="00BB4F5B">
        <w:t>tiofanatu</w:t>
      </w:r>
      <w:proofErr w:type="spellEnd"/>
      <w:r w:rsidRPr="00BB4F5B">
        <w:t xml:space="preserve"> metylu, ponieważ sklasyfikowano go jako substancja zaburzająca funkcjonowanie układu hormonalnego, oraz dla </w:t>
      </w:r>
      <w:proofErr w:type="spellStart"/>
      <w:r w:rsidRPr="00BB4F5B">
        <w:t>karbendazymu</w:t>
      </w:r>
      <w:proofErr w:type="spellEnd"/>
      <w:r w:rsidRPr="00BB4F5B">
        <w:t>, ponieważ sklasyfikowano go jako substancja mutagenna kategorii 1B i substancja działająca szkodliwie na rozrodczość kategorii 1B;</w:t>
      </w:r>
    </w:p>
    <w:p w:rsidR="0090109A" w:rsidRPr="00BB4F5B" w:rsidRDefault="0090109A" w:rsidP="0090109A">
      <w:pPr>
        <w:pStyle w:val="NormalHanging12a"/>
      </w:pPr>
      <w:r w:rsidRPr="00BB4F5B">
        <w:t>Z.</w:t>
      </w:r>
      <w:r w:rsidRPr="00BB4F5B">
        <w:tab/>
      </w:r>
      <w:proofErr w:type="gramStart"/>
      <w:r w:rsidRPr="00BB4F5B">
        <w:t>mając</w:t>
      </w:r>
      <w:proofErr w:type="gramEnd"/>
      <w:r w:rsidRPr="00BB4F5B">
        <w:t xml:space="preserve"> na uwadze, że praktyka ustalania wysokich najwyższych dopuszczalnych poziomów pozostałości stwarza podwójne standardy dla rolników unijnych i rolników w państwach trzecich, ponieważ rolnicy spoza Unii mogą nadal produkować przedmiotową żywność przy użyciu </w:t>
      </w:r>
      <w:proofErr w:type="spellStart"/>
      <w:r w:rsidRPr="00BB4F5B">
        <w:t>karbendazymu</w:t>
      </w:r>
      <w:proofErr w:type="spellEnd"/>
      <w:r w:rsidRPr="00BB4F5B">
        <w:t xml:space="preserve"> i </w:t>
      </w:r>
      <w:proofErr w:type="spellStart"/>
      <w:r w:rsidRPr="00BB4F5B">
        <w:t>tiofanatu</w:t>
      </w:r>
      <w:proofErr w:type="spellEnd"/>
      <w:r w:rsidRPr="00BB4F5B">
        <w:t xml:space="preserve"> metylu i eksportować ją do Unii, co stawia rolników unijnych w niekorzystnej sytuacji konkurencyjnej; z drugiej strony mając na uwadze, że stosowanie tych pestycydów zagraża zdrowiu pracowników rolnych, zdrowiu ludności i środowisku w krajach produkujących;</w:t>
      </w:r>
    </w:p>
    <w:p w:rsidR="0090109A" w:rsidRPr="00BB4F5B" w:rsidRDefault="0090109A" w:rsidP="0090109A">
      <w:pPr>
        <w:pStyle w:val="NormalHanging12a"/>
      </w:pPr>
      <w:r w:rsidRPr="00BB4F5B">
        <w:t>1.</w:t>
      </w:r>
      <w:r w:rsidRPr="00BB4F5B">
        <w:tab/>
      </w:r>
      <w:proofErr w:type="gramStart"/>
      <w:r w:rsidRPr="00BB4F5B">
        <w:t>sprzeciwia</w:t>
      </w:r>
      <w:proofErr w:type="gramEnd"/>
      <w:r w:rsidRPr="00BB4F5B">
        <w:t xml:space="preserve"> się przyjęciu projektu rozporządzenia Komisji;</w:t>
      </w:r>
    </w:p>
    <w:p w:rsidR="0090109A" w:rsidRPr="00BB4F5B" w:rsidRDefault="0090109A" w:rsidP="0090109A">
      <w:pPr>
        <w:pStyle w:val="NormalHanging12a"/>
      </w:pPr>
      <w:r w:rsidRPr="00BB4F5B">
        <w:t>2.</w:t>
      </w:r>
      <w:r w:rsidRPr="00BB4F5B">
        <w:tab/>
      </w:r>
      <w:proofErr w:type="gramStart"/>
      <w:r w:rsidRPr="00BB4F5B">
        <w:t>uważa</w:t>
      </w:r>
      <w:proofErr w:type="gramEnd"/>
      <w:r w:rsidRPr="00BB4F5B">
        <w:t xml:space="preserve">, że projekt rozporządzenia Komisji jest niezgodny z celem i treścią rozporządzenia (WE) nr 396/2005 i rozporządzenia (WE) nr 178/2002, jak również rozporządzenia (WE) nr 1107/2009, w tym pkt 3.6.2, 3.6.4 i 3.6.5 </w:t>
      </w:r>
      <w:proofErr w:type="gramStart"/>
      <w:r w:rsidRPr="00BB4F5B">
        <w:t>załącznika</w:t>
      </w:r>
      <w:proofErr w:type="gramEnd"/>
      <w:r w:rsidRPr="00BB4F5B">
        <w:t xml:space="preserve"> II do tegoż rozporządzenia;</w:t>
      </w:r>
    </w:p>
    <w:p w:rsidR="0090109A" w:rsidRPr="00BB4F5B" w:rsidRDefault="0090109A" w:rsidP="0090109A">
      <w:pPr>
        <w:pStyle w:val="NormalHanging12a"/>
      </w:pPr>
      <w:r w:rsidRPr="00BB4F5B">
        <w:t>3.</w:t>
      </w:r>
      <w:r w:rsidRPr="00BB4F5B">
        <w:tab/>
      </w:r>
      <w:proofErr w:type="gramStart"/>
      <w:r w:rsidRPr="00BB4F5B">
        <w:t>wzywa</w:t>
      </w:r>
      <w:proofErr w:type="gramEnd"/>
      <w:r w:rsidRPr="00BB4F5B">
        <w:t xml:space="preserve"> Komisję do wycofania projektu rozporządzenia oraz do przedłożenia komitetowi nowego projektu;</w:t>
      </w:r>
    </w:p>
    <w:p w:rsidR="0090109A" w:rsidRPr="00BB4F5B" w:rsidRDefault="0090109A" w:rsidP="0090109A">
      <w:pPr>
        <w:pStyle w:val="NormalHanging12a"/>
      </w:pPr>
      <w:r w:rsidRPr="00BB4F5B">
        <w:t>4.</w:t>
      </w:r>
      <w:r w:rsidRPr="00BB4F5B">
        <w:tab/>
      </w:r>
      <w:proofErr w:type="gramStart"/>
      <w:r w:rsidRPr="00BB4F5B">
        <w:t>wzywa</w:t>
      </w:r>
      <w:proofErr w:type="gramEnd"/>
      <w:r w:rsidRPr="00BB4F5B">
        <w:t xml:space="preserve"> Komisję do przedłożenia komitetowi nowego projektu rozporządzenia obniżającego wszystkie najwyższe dopuszczalne poziomy pozostałości </w:t>
      </w:r>
      <w:proofErr w:type="spellStart"/>
      <w:r w:rsidRPr="00BB4F5B">
        <w:t>karbendazymu</w:t>
      </w:r>
      <w:proofErr w:type="spellEnd"/>
      <w:r w:rsidRPr="00BB4F5B">
        <w:t xml:space="preserve"> i </w:t>
      </w:r>
      <w:proofErr w:type="spellStart"/>
      <w:r w:rsidRPr="00BB4F5B">
        <w:t>tiofanatu</w:t>
      </w:r>
      <w:proofErr w:type="spellEnd"/>
      <w:r w:rsidRPr="00BB4F5B">
        <w:t xml:space="preserve"> metylu do odpowiedniej granicy oznaczalności dla wszystkich zastosowań oraz do odrzucenia wszelkich wniosków o tolerancje importowe;</w:t>
      </w:r>
    </w:p>
    <w:p w:rsidR="0090109A" w:rsidRPr="00BB4F5B" w:rsidRDefault="0090109A" w:rsidP="0090109A">
      <w:pPr>
        <w:pStyle w:val="NormalHanging12a"/>
        <w:rPr>
          <w:szCs w:val="24"/>
        </w:rPr>
      </w:pPr>
      <w:r w:rsidRPr="00BB4F5B">
        <w:lastRenderedPageBreak/>
        <w:t>5.</w:t>
      </w:r>
      <w:r w:rsidRPr="00BB4F5B">
        <w:tab/>
      </w:r>
      <w:proofErr w:type="gramStart"/>
      <w:r w:rsidRPr="00BB4F5B">
        <w:t>zobowiązuje</w:t>
      </w:r>
      <w:proofErr w:type="gramEnd"/>
      <w:r w:rsidRPr="00BB4F5B">
        <w:t xml:space="preserve"> swoją przewodniczącą do przekazania niniejszej rezolucji Radzie i Komisji oraz rządom i parlamentom państw członkowskich. </w:t>
      </w:r>
    </w:p>
    <w:p w:rsidR="00E365E1" w:rsidRPr="00BB4F5B" w:rsidRDefault="00E365E1" w:rsidP="00247190">
      <w:bookmarkStart w:id="8" w:name="TextBodyEnd"/>
      <w:bookmarkEnd w:id="8"/>
    </w:p>
    <w:sectPr w:rsidR="00E365E1" w:rsidRPr="00BB4F5B" w:rsidSect="00BB4F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190" w:rsidRPr="00BB4F5B" w:rsidRDefault="00247190">
      <w:r w:rsidRPr="00BB4F5B">
        <w:separator/>
      </w:r>
    </w:p>
  </w:endnote>
  <w:endnote w:type="continuationSeparator" w:id="0">
    <w:p w:rsidR="00247190" w:rsidRPr="00BB4F5B" w:rsidRDefault="00247190">
      <w:r w:rsidRPr="00BB4F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F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F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F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190" w:rsidRPr="00BB4F5B" w:rsidRDefault="00247190">
      <w:r w:rsidRPr="00BB4F5B">
        <w:separator/>
      </w:r>
    </w:p>
  </w:footnote>
  <w:footnote w:type="continuationSeparator" w:id="0">
    <w:p w:rsidR="00247190" w:rsidRPr="00BB4F5B" w:rsidRDefault="00247190">
      <w:r w:rsidRPr="00BB4F5B">
        <w:continuationSeparator/>
      </w:r>
    </w:p>
  </w:footnote>
  <w:footnote w:id="1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Dz.U. L 70 z 16.3.2005, </w:t>
      </w:r>
      <w:proofErr w:type="gramStart"/>
      <w:r w:rsidRPr="00BB4F5B">
        <w:rPr>
          <w:sz w:val="24"/>
          <w:lang w:val="pl-PL"/>
        </w:rPr>
        <w:t>s</w:t>
      </w:r>
      <w:proofErr w:type="gramEnd"/>
      <w:r w:rsidRPr="00BB4F5B">
        <w:rPr>
          <w:sz w:val="24"/>
          <w:lang w:val="pl-PL"/>
        </w:rPr>
        <w:t>. 1.</w:t>
      </w:r>
    </w:p>
  </w:footnote>
  <w:footnote w:id="2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Dz.U. L 309 z 24.11.2009, </w:t>
      </w:r>
      <w:proofErr w:type="gramStart"/>
      <w:r w:rsidRPr="00BB4F5B">
        <w:rPr>
          <w:sz w:val="24"/>
          <w:lang w:val="pl-PL"/>
        </w:rPr>
        <w:t>s</w:t>
      </w:r>
      <w:proofErr w:type="gramEnd"/>
      <w:r w:rsidRPr="00BB4F5B">
        <w:rPr>
          <w:sz w:val="24"/>
          <w:lang w:val="pl-PL"/>
        </w:rPr>
        <w:t>. 1.</w:t>
      </w:r>
    </w:p>
  </w:footnote>
  <w:footnote w:id="3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Dz.U. L 31 z 1.2.2002, </w:t>
      </w:r>
      <w:proofErr w:type="gramStart"/>
      <w:r w:rsidRPr="00BB4F5B">
        <w:rPr>
          <w:sz w:val="24"/>
          <w:lang w:val="pl-PL"/>
        </w:rPr>
        <w:t>s</w:t>
      </w:r>
      <w:proofErr w:type="gramEnd"/>
      <w:r w:rsidRPr="00BB4F5B">
        <w:rPr>
          <w:sz w:val="24"/>
          <w:lang w:val="pl-PL"/>
        </w:rPr>
        <w:t>. 1.</w:t>
      </w:r>
    </w:p>
  </w:footnote>
  <w:footnote w:id="4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Uzasadniona opinia EFSA dotycząca właściwości toksykologicznych i najwyższych dopuszczalnych poziomów pozostałości (NDP) substancji z grupy </w:t>
      </w:r>
      <w:proofErr w:type="spellStart"/>
      <w:r w:rsidRPr="00BB4F5B">
        <w:rPr>
          <w:sz w:val="24"/>
          <w:lang w:val="pl-PL"/>
        </w:rPr>
        <w:t>benzimidazolowych</w:t>
      </w:r>
      <w:proofErr w:type="spellEnd"/>
      <w:r w:rsidRPr="00BB4F5B">
        <w:rPr>
          <w:sz w:val="24"/>
          <w:lang w:val="pl-PL"/>
        </w:rPr>
        <w:t xml:space="preserve"> </w:t>
      </w:r>
      <w:proofErr w:type="spellStart"/>
      <w:r w:rsidRPr="00BB4F5B">
        <w:rPr>
          <w:sz w:val="24"/>
          <w:lang w:val="pl-PL"/>
        </w:rPr>
        <w:t>karbendazymu</w:t>
      </w:r>
      <w:proofErr w:type="spellEnd"/>
      <w:r w:rsidRPr="00BB4F5B">
        <w:rPr>
          <w:sz w:val="24"/>
          <w:lang w:val="pl-PL"/>
        </w:rPr>
        <w:t xml:space="preserve"> i </w:t>
      </w:r>
      <w:proofErr w:type="spellStart"/>
      <w:r w:rsidRPr="00BB4F5B">
        <w:rPr>
          <w:sz w:val="24"/>
          <w:lang w:val="pl-PL"/>
        </w:rPr>
        <w:t>tiofanatu</w:t>
      </w:r>
      <w:proofErr w:type="spellEnd"/>
      <w:r w:rsidRPr="00BB4F5B">
        <w:rPr>
          <w:sz w:val="24"/>
          <w:lang w:val="pl-PL"/>
        </w:rPr>
        <w:t xml:space="preserve"> metylu, </w:t>
      </w:r>
      <w:bookmarkStart w:id="7" w:name="_Hlk168311905"/>
      <w:r w:rsidRPr="00BB4F5B">
        <w:rPr>
          <w:sz w:val="24"/>
          <w:lang w:val="pl-PL"/>
        </w:rPr>
        <w:t>Dziennik EFSA</w:t>
      </w:r>
      <w:proofErr w:type="gramStart"/>
      <w:r w:rsidRPr="00BB4F5B">
        <w:rPr>
          <w:sz w:val="24"/>
          <w:lang w:val="pl-PL"/>
        </w:rPr>
        <w:t xml:space="preserve"> 2021;19(8):e</w:t>
      </w:r>
      <w:proofErr w:type="gramEnd"/>
      <w:r w:rsidRPr="00BB4F5B">
        <w:rPr>
          <w:sz w:val="24"/>
          <w:lang w:val="pl-PL"/>
        </w:rPr>
        <w:t>06773</w:t>
      </w:r>
      <w:bookmarkEnd w:id="7"/>
      <w:r w:rsidRPr="00BB4F5B">
        <w:rPr>
          <w:sz w:val="24"/>
          <w:lang w:val="pl-PL"/>
        </w:rPr>
        <w:t xml:space="preserve">, </w:t>
      </w:r>
      <w:r w:rsidR="00D256A6">
        <w:fldChar w:fldCharType="begin"/>
      </w:r>
      <w:r w:rsidR="00D256A6" w:rsidRPr="00D256A6">
        <w:rPr>
          <w:lang w:val="pl-PL"/>
        </w:rPr>
        <w:instrText xml:space="preserve"> HYPERLINK "https://doi.org/10</w:instrText>
      </w:r>
      <w:r w:rsidR="00D256A6" w:rsidRPr="00D256A6">
        <w:rPr>
          <w:lang w:val="pl-PL"/>
        </w:rPr>
        <w:instrText xml:space="preserve">.2903/j.efsa.2021.6773" </w:instrText>
      </w:r>
      <w:r w:rsidR="00D256A6">
        <w:fldChar w:fldCharType="separate"/>
      </w:r>
      <w:r w:rsidRPr="00BB4F5B">
        <w:rPr>
          <w:rStyle w:val="Hyperlink"/>
          <w:sz w:val="24"/>
          <w:lang w:val="pl-PL"/>
        </w:rPr>
        <w:t>https://doi.org/10.2903/j.efsa.2021.6773</w:t>
      </w:r>
      <w:r w:rsidR="00D256A6">
        <w:rPr>
          <w:rStyle w:val="Hyperlink"/>
          <w:sz w:val="24"/>
          <w:lang w:val="pl-PL"/>
        </w:rPr>
        <w:fldChar w:fldCharType="end"/>
      </w:r>
      <w:r w:rsidRPr="00BB4F5B">
        <w:rPr>
          <w:rStyle w:val="Hyperlink"/>
          <w:sz w:val="24"/>
          <w:lang w:val="pl-PL"/>
        </w:rPr>
        <w:t>.</w:t>
      </w:r>
      <w:r w:rsidRPr="00BB4F5B">
        <w:rPr>
          <w:sz w:val="24"/>
          <w:lang w:val="pl-PL"/>
        </w:rPr>
        <w:t xml:space="preserve"> </w:t>
      </w:r>
    </w:p>
  </w:footnote>
  <w:footnote w:id="5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Zaktualizowana uzasadniona opinia EFSA dotycząca właściwości toksykologicznych i najwyższych dopuszczalnych poziomów pozostałości (NDP) substancji z grupy </w:t>
      </w:r>
      <w:proofErr w:type="spellStart"/>
      <w:r w:rsidRPr="00BB4F5B">
        <w:rPr>
          <w:sz w:val="24"/>
          <w:lang w:val="pl-PL"/>
        </w:rPr>
        <w:t>benzimidazolowych</w:t>
      </w:r>
      <w:proofErr w:type="spellEnd"/>
      <w:r w:rsidRPr="00BB4F5B">
        <w:rPr>
          <w:sz w:val="24"/>
          <w:lang w:val="pl-PL"/>
        </w:rPr>
        <w:t xml:space="preserve"> </w:t>
      </w:r>
      <w:proofErr w:type="spellStart"/>
      <w:r w:rsidRPr="00BB4F5B">
        <w:rPr>
          <w:sz w:val="24"/>
          <w:lang w:val="pl-PL"/>
        </w:rPr>
        <w:t>karbendazymu</w:t>
      </w:r>
      <w:proofErr w:type="spellEnd"/>
      <w:r w:rsidRPr="00BB4F5B">
        <w:rPr>
          <w:sz w:val="24"/>
          <w:lang w:val="pl-PL"/>
        </w:rPr>
        <w:t xml:space="preserve"> i </w:t>
      </w:r>
      <w:proofErr w:type="spellStart"/>
      <w:r w:rsidRPr="00BB4F5B">
        <w:rPr>
          <w:sz w:val="24"/>
          <w:lang w:val="pl-PL"/>
        </w:rPr>
        <w:t>tiofanatu</w:t>
      </w:r>
      <w:proofErr w:type="spellEnd"/>
      <w:r w:rsidRPr="00BB4F5B">
        <w:rPr>
          <w:sz w:val="24"/>
          <w:lang w:val="pl-PL"/>
        </w:rPr>
        <w:t xml:space="preserve"> metylu, Dziennik EFSA</w:t>
      </w:r>
      <w:proofErr w:type="gramStart"/>
      <w:r w:rsidRPr="00BB4F5B">
        <w:rPr>
          <w:sz w:val="24"/>
          <w:lang w:val="pl-PL"/>
        </w:rPr>
        <w:t xml:space="preserve"> 2024;22(2):e</w:t>
      </w:r>
      <w:proofErr w:type="gramEnd"/>
      <w:r w:rsidRPr="00BB4F5B">
        <w:rPr>
          <w:sz w:val="24"/>
          <w:lang w:val="pl-PL"/>
        </w:rPr>
        <w:t xml:space="preserve">8569, </w:t>
      </w:r>
      <w:r w:rsidR="00D256A6">
        <w:fldChar w:fldCharType="begin"/>
      </w:r>
      <w:r w:rsidR="00D256A6" w:rsidRPr="00D256A6">
        <w:rPr>
          <w:lang w:val="pl-PL"/>
        </w:rPr>
        <w:instrText xml:space="preserve"> HYPERLINK "https://doi.org/10.2903/j.efsa.2024.8569" </w:instrText>
      </w:r>
      <w:r w:rsidR="00D256A6">
        <w:fldChar w:fldCharType="separate"/>
      </w:r>
      <w:r w:rsidRPr="00BB4F5B">
        <w:rPr>
          <w:rStyle w:val="Hyperlink"/>
          <w:sz w:val="24"/>
          <w:lang w:val="pl-PL"/>
        </w:rPr>
        <w:t>https://doi.org/10.2903/j.efsa.2024.8569</w:t>
      </w:r>
      <w:r w:rsidR="00D256A6">
        <w:rPr>
          <w:rStyle w:val="Hyperlink"/>
          <w:sz w:val="24"/>
          <w:lang w:val="pl-PL"/>
        </w:rPr>
        <w:fldChar w:fldCharType="end"/>
      </w:r>
      <w:r w:rsidRPr="00BB4F5B">
        <w:rPr>
          <w:rStyle w:val="Hyperlink"/>
          <w:sz w:val="24"/>
          <w:lang w:val="pl-PL"/>
        </w:rPr>
        <w:t>.</w:t>
      </w:r>
      <w:r w:rsidRPr="00BB4F5B">
        <w:rPr>
          <w:sz w:val="24"/>
          <w:lang w:val="pl-PL"/>
        </w:rPr>
        <w:t xml:space="preserve"> </w:t>
      </w:r>
    </w:p>
  </w:footnote>
  <w:footnote w:id="6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Wnioski EFSA z wzajemnej weryfikacji oceny ryzyka stwarzanego przez pestycydy, dotyczącej substancji czynnej </w:t>
      </w:r>
      <w:proofErr w:type="spellStart"/>
      <w:r w:rsidRPr="00BB4F5B">
        <w:rPr>
          <w:sz w:val="24"/>
          <w:lang w:val="pl-PL"/>
        </w:rPr>
        <w:t>karbendazym</w:t>
      </w:r>
      <w:proofErr w:type="spellEnd"/>
      <w:r w:rsidRPr="00BB4F5B">
        <w:rPr>
          <w:sz w:val="24"/>
          <w:lang w:val="pl-PL"/>
        </w:rPr>
        <w:t>, Dziennik EFSA</w:t>
      </w:r>
      <w:proofErr w:type="gramStart"/>
      <w:r w:rsidRPr="00BB4F5B">
        <w:rPr>
          <w:sz w:val="24"/>
          <w:lang w:val="pl-PL"/>
        </w:rPr>
        <w:t xml:space="preserve"> 2010;8(5):1598, </w:t>
      </w:r>
      <w:r w:rsidR="00D256A6">
        <w:fldChar w:fldCharType="begin"/>
      </w:r>
      <w:r w:rsidR="00D256A6" w:rsidRPr="00D256A6">
        <w:rPr>
          <w:lang w:val="pl-PL"/>
        </w:rPr>
        <w:instrText xml:space="preserve"> HYPERLINK "https://doi.org/10.2903/j.efsa.2010.1598" </w:instrText>
      </w:r>
      <w:r w:rsidR="00D256A6">
        <w:fldChar w:fldCharType="separate"/>
      </w:r>
      <w:proofErr w:type="gramEnd"/>
      <w:r w:rsidRPr="00BB4F5B">
        <w:rPr>
          <w:rStyle w:val="Hyperlink"/>
          <w:sz w:val="24"/>
          <w:lang w:val="pl-PL"/>
        </w:rPr>
        <w:t>https://doi.org/10.2903/j.efsa.2010.1598</w:t>
      </w:r>
      <w:r w:rsidR="00D256A6">
        <w:rPr>
          <w:rStyle w:val="Hyperlink"/>
          <w:sz w:val="24"/>
          <w:lang w:val="pl-PL"/>
        </w:rPr>
        <w:fldChar w:fldCharType="end"/>
      </w:r>
      <w:r w:rsidRPr="00BB4F5B">
        <w:rPr>
          <w:sz w:val="24"/>
          <w:lang w:val="pl-PL"/>
        </w:rPr>
        <w:t xml:space="preserve">. </w:t>
      </w:r>
    </w:p>
  </w:footnote>
  <w:footnote w:id="7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Wnioski EFSA z wzajemnej weryfikacji oceny ryzyka stwarzanego przez pestycydy, dotyczącej substancji czynnej </w:t>
      </w:r>
      <w:proofErr w:type="spellStart"/>
      <w:r w:rsidRPr="00BB4F5B">
        <w:rPr>
          <w:sz w:val="24"/>
          <w:lang w:val="pl-PL"/>
        </w:rPr>
        <w:t>tiofanat</w:t>
      </w:r>
      <w:proofErr w:type="spellEnd"/>
      <w:r w:rsidRPr="00BB4F5B">
        <w:rPr>
          <w:sz w:val="24"/>
          <w:lang w:val="pl-PL"/>
        </w:rPr>
        <w:t xml:space="preserve"> metylu; Dziennik EFSA</w:t>
      </w:r>
      <w:proofErr w:type="gramStart"/>
      <w:r w:rsidRPr="00BB4F5B">
        <w:rPr>
          <w:sz w:val="24"/>
          <w:lang w:val="pl-PL"/>
        </w:rPr>
        <w:t xml:space="preserve"> 2018;16(1):e</w:t>
      </w:r>
      <w:proofErr w:type="gramEnd"/>
      <w:r w:rsidRPr="00BB4F5B">
        <w:rPr>
          <w:sz w:val="24"/>
          <w:lang w:val="pl-PL"/>
        </w:rPr>
        <w:t xml:space="preserve">05133, </w:t>
      </w:r>
      <w:r w:rsidR="00D256A6">
        <w:fldChar w:fldCharType="begin"/>
      </w:r>
      <w:r w:rsidR="00D256A6" w:rsidRPr="00D256A6">
        <w:rPr>
          <w:lang w:val="pl-PL"/>
        </w:rPr>
        <w:instrText xml:space="preserve"> HYPERLINK "https://doi.org/10.2903/j.efsa.2018.5133" </w:instrText>
      </w:r>
      <w:r w:rsidR="00D256A6">
        <w:fldChar w:fldCharType="separate"/>
      </w:r>
      <w:r w:rsidRPr="00BB4F5B">
        <w:rPr>
          <w:rStyle w:val="Hyperlink"/>
          <w:sz w:val="24"/>
          <w:lang w:val="pl-PL"/>
        </w:rPr>
        <w:t>https://doi.org/10.2903/j.efsa.2018.5133</w:t>
      </w:r>
      <w:r w:rsidR="00D256A6">
        <w:rPr>
          <w:rStyle w:val="Hyperlink"/>
          <w:sz w:val="24"/>
          <w:lang w:val="pl-PL"/>
        </w:rPr>
        <w:fldChar w:fldCharType="end"/>
      </w:r>
      <w:r w:rsidRPr="00BB4F5B">
        <w:rPr>
          <w:sz w:val="24"/>
          <w:lang w:val="pl-PL"/>
        </w:rPr>
        <w:t xml:space="preserve">. </w:t>
      </w:r>
    </w:p>
  </w:footnote>
  <w:footnote w:id="8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Oświadczenie EFSA w sprawie oceny jakości danych dostępnych EFSA służących określeniu nieszkodliwych dla zdrowia wartości orientacyjnych dla </w:t>
      </w:r>
      <w:proofErr w:type="spellStart"/>
      <w:r w:rsidRPr="00BB4F5B">
        <w:rPr>
          <w:sz w:val="24"/>
          <w:lang w:val="pl-PL"/>
        </w:rPr>
        <w:t>karbendazymu</w:t>
      </w:r>
      <w:proofErr w:type="spellEnd"/>
      <w:r w:rsidRPr="00BB4F5B">
        <w:rPr>
          <w:sz w:val="24"/>
          <w:lang w:val="pl-PL"/>
        </w:rPr>
        <w:t>, Dziennik EFSA</w:t>
      </w:r>
      <w:proofErr w:type="gramStart"/>
      <w:r w:rsidRPr="00BB4F5B">
        <w:rPr>
          <w:sz w:val="24"/>
          <w:lang w:val="pl-PL"/>
        </w:rPr>
        <w:t xml:space="preserve"> 2024;22(5):e</w:t>
      </w:r>
      <w:proofErr w:type="gramEnd"/>
      <w:r w:rsidRPr="00BB4F5B">
        <w:rPr>
          <w:sz w:val="24"/>
          <w:lang w:val="pl-PL"/>
        </w:rPr>
        <w:t xml:space="preserve">8756, </w:t>
      </w:r>
      <w:r w:rsidR="00D256A6">
        <w:fldChar w:fldCharType="begin"/>
      </w:r>
      <w:r w:rsidR="00D256A6" w:rsidRPr="00D256A6">
        <w:rPr>
          <w:lang w:val="pl-PL"/>
        </w:rPr>
        <w:instrText xml:space="preserve"> HYPERLINK "https://doi.org/10.2903/j.efsa.2024.8756" </w:instrText>
      </w:r>
      <w:r w:rsidR="00D256A6">
        <w:fldChar w:fldCharType="separate"/>
      </w:r>
      <w:r w:rsidRPr="00BB4F5B">
        <w:rPr>
          <w:rStyle w:val="Hyperlink"/>
          <w:sz w:val="24"/>
          <w:lang w:val="pl-PL"/>
        </w:rPr>
        <w:t>https://doi.org/10.2903/j.efsa.2024.8756</w:t>
      </w:r>
      <w:r w:rsidR="00D256A6">
        <w:rPr>
          <w:rStyle w:val="Hyperlink"/>
          <w:sz w:val="24"/>
          <w:lang w:val="pl-PL"/>
        </w:rPr>
        <w:fldChar w:fldCharType="end"/>
      </w:r>
      <w:r w:rsidRPr="00BB4F5B">
        <w:rPr>
          <w:sz w:val="24"/>
          <w:lang w:val="pl-PL"/>
        </w:rPr>
        <w:t xml:space="preserve">. </w:t>
      </w:r>
    </w:p>
  </w:footnote>
  <w:footnote w:id="9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Oceny Ryzyka (RAC) w sprawie zharmonizowanej klasyfikacji i oznakowania </w:t>
      </w:r>
      <w:proofErr w:type="spellStart"/>
      <w:r w:rsidRPr="00BB4F5B">
        <w:rPr>
          <w:sz w:val="24"/>
          <w:lang w:val="pl-PL"/>
        </w:rPr>
        <w:t>karbendazymu</w:t>
      </w:r>
      <w:proofErr w:type="spellEnd"/>
      <w:r w:rsidRPr="00BB4F5B">
        <w:rPr>
          <w:sz w:val="24"/>
          <w:lang w:val="pl-PL"/>
        </w:rPr>
        <w:t xml:space="preserve"> (ISO) na szczeblu UE; benzoimidazol-2-ilokarbaminian metylu; </w:t>
      </w:r>
      <w:r w:rsidR="00D256A6">
        <w:fldChar w:fldCharType="begin"/>
      </w:r>
      <w:r w:rsidR="00D256A6" w:rsidRPr="00D256A6">
        <w:rPr>
          <w:lang w:val="pl-PL"/>
        </w:rPr>
        <w:instrText xml:space="preserve"> HYPERLINK "https://www.echa.europa.eu/documents/10162/5eb9760e-6c73-7f2c-1226-98d92ed847d1" </w:instrText>
      </w:r>
      <w:r w:rsidR="00D256A6">
        <w:fldChar w:fldCharType="separate"/>
      </w:r>
      <w:r w:rsidRPr="00BB4F5B">
        <w:rPr>
          <w:rStyle w:val="Hyperlink"/>
          <w:sz w:val="24"/>
          <w:lang w:val="pl-PL"/>
        </w:rPr>
        <w:t>https://www.echa.europa.eu/documents/10162/5eb9760e-6c73-7f2c-1226-98d92ed847d1</w:t>
      </w:r>
      <w:r w:rsidR="00D256A6">
        <w:rPr>
          <w:rStyle w:val="Hyperlink"/>
          <w:sz w:val="24"/>
          <w:lang w:val="pl-PL"/>
        </w:rPr>
        <w:fldChar w:fldCharType="end"/>
      </w:r>
    </w:p>
  </w:footnote>
  <w:footnote w:id="10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Dz.U. L 184 z 17.7.1999, </w:t>
      </w:r>
      <w:proofErr w:type="gramStart"/>
      <w:r w:rsidRPr="00BB4F5B">
        <w:rPr>
          <w:sz w:val="24"/>
          <w:lang w:val="pl-PL"/>
        </w:rPr>
        <w:t>s</w:t>
      </w:r>
      <w:proofErr w:type="gramEnd"/>
      <w:r w:rsidRPr="00BB4F5B">
        <w:rPr>
          <w:sz w:val="24"/>
          <w:lang w:val="pl-PL"/>
        </w:rPr>
        <w:t>. 23.</w:t>
      </w:r>
    </w:p>
  </w:footnote>
  <w:footnote w:id="11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Rozporządzenie Parlamentu Europejskiego i Rady (WE) nr 1272/2008 z dnia 16 grudnia 2008 r. w sprawie klasyfikacji, oznakowania i pakowania substancji i mieszanin, zmieniające i uchylające dyrektywy 67/548/EWG i 1999/45/WE oraz zmieniające rozporządzenie (WE) nr 1907/2006 (Dz.U. L 353 z 31.12.2008, </w:t>
      </w:r>
      <w:proofErr w:type="gramStart"/>
      <w:r w:rsidRPr="00BB4F5B">
        <w:rPr>
          <w:sz w:val="24"/>
          <w:lang w:val="pl-PL"/>
        </w:rPr>
        <w:t>s</w:t>
      </w:r>
      <w:proofErr w:type="gramEnd"/>
      <w:r w:rsidRPr="00BB4F5B">
        <w:rPr>
          <w:sz w:val="24"/>
          <w:lang w:val="pl-PL"/>
        </w:rPr>
        <w:t>. 1).</w:t>
      </w:r>
    </w:p>
  </w:footnote>
  <w:footnote w:id="12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Rozporządzenie Parlamentu Europejskiego i Rady (WE) nr 1272/2008 z dnia 16 grudnia 2008 r. w sprawie klasyfikacji, oznakowania i pakowania substancji i mieszanin, zmieniające i uchylające dyrektywy 67/548/EWG i 1999/45/WE oraz zmieniające rozporządzenie (WE) nr 1907/2006 (Dz.U. L 353 z 31.12.2008, </w:t>
      </w:r>
      <w:proofErr w:type="gramStart"/>
      <w:r w:rsidRPr="00BB4F5B">
        <w:rPr>
          <w:sz w:val="24"/>
          <w:lang w:val="pl-PL"/>
        </w:rPr>
        <w:t>s</w:t>
      </w:r>
      <w:proofErr w:type="gramEnd"/>
      <w:r w:rsidRPr="00BB4F5B">
        <w:rPr>
          <w:sz w:val="24"/>
          <w:lang w:val="pl-PL"/>
        </w:rPr>
        <w:t>. 1).</w:t>
      </w:r>
    </w:p>
  </w:footnote>
  <w:footnote w:id="13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 xml:space="preserve">Rozporządzenie Komisji (UE) 2018/605 z dnia 19 kwietnia 2018 r. zmieniające załącznik II do rozporządzenia (WE) nr 1107/2009 poprzez ustanowienie naukowych kryteriów określania właściwości zaburzających funkcjonowanie układu hormonalnego (Dz.U. L 101 z 20.4.2018, </w:t>
      </w:r>
      <w:proofErr w:type="gramStart"/>
      <w:r w:rsidRPr="00BB4F5B">
        <w:rPr>
          <w:sz w:val="24"/>
          <w:lang w:val="pl-PL"/>
        </w:rPr>
        <w:t>s</w:t>
      </w:r>
      <w:proofErr w:type="gramEnd"/>
      <w:r w:rsidRPr="00BB4F5B">
        <w:rPr>
          <w:sz w:val="24"/>
          <w:lang w:val="pl-PL"/>
        </w:rPr>
        <w:t>. 33).</w:t>
      </w:r>
    </w:p>
  </w:footnote>
  <w:footnote w:id="14">
    <w:p w:rsidR="0090109A" w:rsidRPr="00BB4F5B" w:rsidRDefault="0090109A" w:rsidP="00BB4F5B">
      <w:pPr>
        <w:pStyle w:val="FootnoteText"/>
        <w:ind w:left="567" w:hanging="567"/>
        <w:rPr>
          <w:sz w:val="24"/>
          <w:lang w:val="pl-PL"/>
        </w:rPr>
      </w:pPr>
      <w:r w:rsidRPr="00BB4F5B">
        <w:rPr>
          <w:rStyle w:val="FootnoteReference"/>
          <w:sz w:val="24"/>
          <w:lang w:val="pl-PL"/>
        </w:rPr>
        <w:footnoteRef/>
      </w:r>
      <w:r w:rsidR="00BB4F5B" w:rsidRPr="00BB4F5B">
        <w:rPr>
          <w:rStyle w:val="Hyperlink"/>
          <w:sz w:val="24"/>
          <w:lang w:val="pl-PL"/>
        </w:rPr>
        <w:t xml:space="preserve"> </w:t>
      </w:r>
      <w:r w:rsidR="00BB4F5B" w:rsidRPr="00BB4F5B">
        <w:rPr>
          <w:rStyle w:val="Hyperlink"/>
          <w:sz w:val="24"/>
          <w:lang w:val="pl-PL"/>
        </w:rPr>
        <w:tab/>
      </w:r>
      <w:r w:rsidRPr="00BB4F5B">
        <w:rPr>
          <w:rStyle w:val="Hyperlink"/>
          <w:sz w:val="24"/>
          <w:lang w:val="pl-PL"/>
        </w:rPr>
        <w:t>https</w:t>
      </w:r>
      <w:proofErr w:type="gramStart"/>
      <w:r w:rsidRPr="00BB4F5B">
        <w:rPr>
          <w:rStyle w:val="Hyperlink"/>
          <w:sz w:val="24"/>
          <w:lang w:val="pl-PL"/>
        </w:rPr>
        <w:t>://ec</w:t>
      </w:r>
      <w:proofErr w:type="gramEnd"/>
      <w:r w:rsidRPr="00BB4F5B">
        <w:rPr>
          <w:rStyle w:val="Hyperlink"/>
          <w:sz w:val="24"/>
          <w:lang w:val="pl-PL"/>
        </w:rPr>
        <w:t>.</w:t>
      </w:r>
      <w:proofErr w:type="gramStart"/>
      <w:r w:rsidRPr="00BB4F5B">
        <w:rPr>
          <w:rStyle w:val="Hyperlink"/>
          <w:sz w:val="24"/>
          <w:lang w:val="pl-PL"/>
        </w:rPr>
        <w:t>europa</w:t>
      </w:r>
      <w:proofErr w:type="gramEnd"/>
      <w:r w:rsidRPr="00BB4F5B">
        <w:rPr>
          <w:rStyle w:val="Hyperlink"/>
          <w:sz w:val="24"/>
          <w:lang w:val="pl-PL"/>
        </w:rPr>
        <w:t>.</w:t>
      </w:r>
      <w:proofErr w:type="gramStart"/>
      <w:r w:rsidRPr="00BB4F5B">
        <w:rPr>
          <w:rStyle w:val="Hyperlink"/>
          <w:sz w:val="24"/>
          <w:lang w:val="pl-PL"/>
        </w:rPr>
        <w:t>eu</w:t>
      </w:r>
      <w:proofErr w:type="gramEnd"/>
      <w:r w:rsidRPr="00BB4F5B">
        <w:rPr>
          <w:rStyle w:val="Hyperlink"/>
          <w:sz w:val="24"/>
          <w:lang w:val="pl-PL"/>
        </w:rPr>
        <w:t>/transparency/comitology-register/screen/documents/089880/5/consult?</w:t>
      </w:r>
      <w:proofErr w:type="gramStart"/>
      <w:r w:rsidRPr="00BB4F5B">
        <w:rPr>
          <w:rStyle w:val="Hyperlink"/>
          <w:sz w:val="24"/>
          <w:lang w:val="pl-PL"/>
        </w:rPr>
        <w:t>lang</w:t>
      </w:r>
      <w:proofErr w:type="gramEnd"/>
      <w:r w:rsidRPr="00BB4F5B">
        <w:rPr>
          <w:rStyle w:val="Hyperlink"/>
          <w:sz w:val="24"/>
          <w:lang w:val="pl-PL"/>
        </w:rPr>
        <w:t>=pl.</w:t>
      </w:r>
    </w:p>
  </w:footnote>
  <w:footnote w:id="15">
    <w:p w:rsidR="0090109A" w:rsidRPr="00BB4F5B" w:rsidRDefault="0090109A" w:rsidP="00BB4F5B">
      <w:pPr>
        <w:pStyle w:val="FootnoteText"/>
        <w:ind w:left="567" w:hanging="567"/>
        <w:rPr>
          <w:iCs/>
          <w:sz w:val="24"/>
          <w:lang w:val="pl-PL"/>
        </w:rPr>
      </w:pPr>
      <w:r w:rsidRPr="00BB4F5B">
        <w:rPr>
          <w:iCs/>
          <w:sz w:val="24"/>
          <w:vertAlign w:val="superscript"/>
          <w:lang w:val="pl-PL"/>
        </w:rPr>
        <w:footnoteRef/>
      </w:r>
      <w:r w:rsidR="00BB4F5B" w:rsidRPr="00BB4F5B">
        <w:rPr>
          <w:sz w:val="24"/>
          <w:lang w:val="pl-PL"/>
        </w:rPr>
        <w:t xml:space="preserve"> </w:t>
      </w:r>
      <w:r w:rsidR="00BB4F5B" w:rsidRPr="00BB4F5B">
        <w:rPr>
          <w:sz w:val="24"/>
          <w:lang w:val="pl-PL"/>
        </w:rPr>
        <w:tab/>
      </w:r>
      <w:r w:rsidRPr="00BB4F5B">
        <w:rPr>
          <w:sz w:val="24"/>
          <w:lang w:val="pl-PL"/>
        </w:rPr>
        <w:t>COM(2020)0381.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F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F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4F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0/2024"/>
    <w:docVar w:name="dvlangue" w:val="PL"/>
    <w:docVar w:name="dvnumam" w:val="0"/>
    <w:docVar w:name="dvpe" w:val="763.090"/>
    <w:docVar w:name="dvtitre" w:val="Rezolucja Parlamentu Europejskiego z dnia  2024 r. w sprawie projektu rozporządzenia Komisji zmieniającego załączniki II, III i V do rozporządzenia (WE) nr 396/2005 Parlamentu Europejskiego i Rady w odniesieniu do najwyższych dopuszczalnych poziomów pozostałości benomylu, karbendazymu i tiofanatu metylu w określonych produktach lub na ich powierzchni (D089819/05 – 2024/2758(RPS))"/>
  </w:docVars>
  <w:rsids>
    <w:rsidRoot w:val="002471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19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0F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4F1"/>
    <w:rsid w:val="00817416"/>
    <w:rsid w:val="00842779"/>
    <w:rsid w:val="00865F67"/>
    <w:rsid w:val="00881A7B"/>
    <w:rsid w:val="008840E5"/>
    <w:rsid w:val="00887B3E"/>
    <w:rsid w:val="008C2AC6"/>
    <w:rsid w:val="0090109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4F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6A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9F494"/>
  <w15:chartTrackingRefBased/>
  <w15:docId w15:val="{EC05A002-D145-4659-B1BC-683CC14E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109A"/>
    <w:pPr>
      <w:spacing w:before="480" w:after="240"/>
    </w:pPr>
  </w:style>
  <w:style w:type="paragraph" w:customStyle="1" w:styleId="NormalHanging12a">
    <w:name w:val="NormalHanging12a"/>
    <w:basedOn w:val="Normal"/>
    <w:rsid w:val="0090109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010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9D0F4-EB6C-4019-9210-1F46D2AA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2016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2024-09-18T10:57:00Z</dcterms:created>
  <dcterms:modified xsi:type="dcterms:W3CDTF">2024-09-18T10:57:00Z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B10-0020/2024</vt:lpwstr>
  </property>
  <property fmtid="{D5CDD505-2E9C-101B-9397-08002B2CF9AE}" pid="4" name="&lt;Type&gt;">
    <vt:lpwstr>RR</vt:lpwstr>
  </property>
</Properties>
</file>