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07D0" w:rsidTr="0010095E">
        <w:trPr>
          <w:trHeight w:hRule="exact" w:val="1418"/>
        </w:trPr>
        <w:tc>
          <w:tcPr>
            <w:tcW w:w="6804" w:type="dxa"/>
            <w:shd w:val="clear" w:color="auto" w:fill="auto"/>
            <w:vAlign w:val="center"/>
          </w:tcPr>
          <w:p w:rsidR="00751A4A" w:rsidRPr="005907D0" w:rsidRDefault="001200EF" w:rsidP="0010095E">
            <w:pPr>
              <w:pStyle w:val="EPName"/>
            </w:pPr>
            <w:r w:rsidRPr="005907D0">
              <w:t>Parlamentul European</w:t>
            </w:r>
          </w:p>
          <w:p w:rsidR="00751A4A" w:rsidRPr="005907D0" w:rsidRDefault="005F1B17" w:rsidP="005F1B17">
            <w:pPr>
              <w:pStyle w:val="EPTerm"/>
              <w:rPr>
                <w:rStyle w:val="HideTWBExt"/>
                <w:noProof w:val="0"/>
                <w:vanish w:val="0"/>
                <w:color w:val="auto"/>
              </w:rPr>
            </w:pPr>
            <w:r w:rsidRPr="005907D0">
              <w:t>2024</w:t>
            </w:r>
            <w:r w:rsidR="00817416" w:rsidRPr="005907D0">
              <w:t>-202</w:t>
            </w:r>
            <w:r w:rsidRPr="005907D0">
              <w:t>9</w:t>
            </w:r>
          </w:p>
        </w:tc>
        <w:tc>
          <w:tcPr>
            <w:tcW w:w="2268" w:type="dxa"/>
            <w:shd w:val="clear" w:color="auto" w:fill="auto"/>
          </w:tcPr>
          <w:p w:rsidR="00751A4A" w:rsidRPr="005907D0" w:rsidRDefault="00187494" w:rsidP="0010095E">
            <w:pPr>
              <w:pStyle w:val="EPLogo"/>
            </w:pPr>
            <w:r w:rsidRPr="005907D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07D0" w:rsidRDefault="00D058B8" w:rsidP="004C5D52">
      <w:pPr>
        <w:pStyle w:val="LineTop"/>
      </w:pPr>
    </w:p>
    <w:p w:rsidR="00680577" w:rsidRPr="005907D0" w:rsidRDefault="001200EF" w:rsidP="00680577">
      <w:pPr>
        <w:pStyle w:val="EPBodyTA1"/>
      </w:pPr>
      <w:r w:rsidRPr="005907D0">
        <w:t>TEXTE ADOPTATE</w:t>
      </w:r>
    </w:p>
    <w:p w:rsidR="00D058B8" w:rsidRPr="005907D0" w:rsidRDefault="00D058B8" w:rsidP="00D058B8">
      <w:pPr>
        <w:pStyle w:val="LineBottom"/>
      </w:pPr>
    </w:p>
    <w:p w:rsidR="001200EF" w:rsidRPr="005907D0" w:rsidRDefault="001200EF" w:rsidP="001200EF">
      <w:pPr>
        <w:pStyle w:val="ATHeading1"/>
      </w:pPr>
      <w:bookmarkStart w:id="0" w:name="TANumber"/>
      <w:r w:rsidRPr="005907D0">
        <w:t>P10_TA(2024)000</w:t>
      </w:r>
      <w:bookmarkEnd w:id="0"/>
      <w:r w:rsidR="00582B24">
        <w:t>6</w:t>
      </w:r>
    </w:p>
    <w:p w:rsidR="001200EF" w:rsidRPr="005907D0" w:rsidRDefault="001200EF" w:rsidP="001200EF">
      <w:pPr>
        <w:pStyle w:val="ATHeading2"/>
      </w:pPr>
      <w:bookmarkStart w:id="1" w:name="title"/>
      <w:r w:rsidRPr="005907D0">
        <w:t>Obiecție</w:t>
      </w:r>
      <w:r w:rsidR="00722359">
        <w:t xml:space="preserve"> la un act de punere în aplicare</w:t>
      </w:r>
      <w:r w:rsidRPr="005907D0">
        <w:t>: limitele maxime de reziduuri pentru carbendazim și tiofanatmetil</w:t>
      </w:r>
      <w:bookmarkEnd w:id="1"/>
    </w:p>
    <w:p w:rsidR="001200EF" w:rsidRPr="005907D0" w:rsidRDefault="001200EF" w:rsidP="001200EF">
      <w:pPr>
        <w:rPr>
          <w:i/>
          <w:vanish/>
        </w:rPr>
      </w:pPr>
      <w:r w:rsidRPr="005907D0">
        <w:rPr>
          <w:i/>
        </w:rPr>
        <w:fldChar w:fldCharType="begin"/>
      </w:r>
      <w:r w:rsidRPr="005907D0">
        <w:rPr>
          <w:i/>
        </w:rPr>
        <w:instrText xml:space="preserve"> TC"(</w:instrText>
      </w:r>
      <w:bookmarkStart w:id="2" w:name="DocNumber"/>
      <w:r w:rsidRPr="005907D0">
        <w:rPr>
          <w:i/>
        </w:rPr>
        <w:instrText>B10-0020/2024</w:instrText>
      </w:r>
      <w:bookmarkEnd w:id="2"/>
      <w:r w:rsidRPr="005907D0">
        <w:rPr>
          <w:i/>
        </w:rPr>
        <w:instrText xml:space="preserve">)"\l3 \n&gt; \* MERGEFORMAT </w:instrText>
      </w:r>
      <w:r w:rsidRPr="005907D0">
        <w:rPr>
          <w:i/>
        </w:rPr>
        <w:fldChar w:fldCharType="end"/>
      </w:r>
    </w:p>
    <w:p w:rsidR="001200EF" w:rsidRPr="005907D0" w:rsidRDefault="001200EF" w:rsidP="001200EF">
      <w:pPr>
        <w:rPr>
          <w:vanish/>
        </w:rPr>
      </w:pPr>
      <w:bookmarkStart w:id="3" w:name="PE"/>
      <w:r w:rsidRPr="005907D0">
        <w:rPr>
          <w:vanish/>
        </w:rPr>
        <w:t>PE763.090</w:t>
      </w:r>
      <w:bookmarkEnd w:id="3"/>
    </w:p>
    <w:p w:rsidR="001200EF" w:rsidRPr="005907D0" w:rsidRDefault="001200EF" w:rsidP="001200EF">
      <w:pPr>
        <w:pStyle w:val="ATHeading3"/>
      </w:pPr>
      <w:bookmarkStart w:id="4" w:name="Sujet"/>
      <w:r w:rsidRPr="005907D0">
        <w:t xml:space="preserve">Rezoluția Parlamentului European din </w:t>
      </w:r>
      <w:r w:rsidR="00722359">
        <w:t>18</w:t>
      </w:r>
      <w:r w:rsidRPr="005907D0">
        <w:t xml:space="preserve"> septembrie 2024 referitoare la propunerea de regulament al Comisiei de modificare a anexelor II, III și V la Regulamentul (CE) nr. 396/2005 al Parlamentului European și al Consiliului în ceea ce privește limitele maxime de reziduuri pentru ibenomil, carbendazim și tiofanat‐metil din sau de pe anumite produse </w:t>
      </w:r>
      <w:bookmarkStart w:id="5" w:name="References"/>
      <w:bookmarkEnd w:id="4"/>
      <w:r w:rsidRPr="005907D0">
        <w:t>(D089819/05 – 2024/2758(RPS))</w:t>
      </w:r>
      <w:bookmarkEnd w:id="5"/>
    </w:p>
    <w:p w:rsidR="00E53DD0" w:rsidRPr="005907D0" w:rsidRDefault="00E53DD0" w:rsidP="00E53DD0">
      <w:pPr>
        <w:pStyle w:val="EPComma"/>
      </w:pPr>
      <w:bookmarkStart w:id="6" w:name="TextBodyBegin"/>
      <w:bookmarkEnd w:id="6"/>
      <w:r w:rsidRPr="005907D0">
        <w:rPr>
          <w:i/>
        </w:rPr>
        <w:t>Parlamentul European</w:t>
      </w:r>
      <w:r w:rsidRPr="005907D0">
        <w:t>,</w:t>
      </w:r>
    </w:p>
    <w:p w:rsidR="00E53DD0" w:rsidRPr="005907D0" w:rsidRDefault="00E53DD0" w:rsidP="00E53DD0">
      <w:pPr>
        <w:pStyle w:val="NormalHanging12a"/>
      </w:pPr>
      <w:r w:rsidRPr="005907D0">
        <w:t>–</w:t>
      </w:r>
      <w:r w:rsidRPr="005907D0">
        <w:tab/>
        <w:t>având în vedere proiectul de regulament al Comisiei de modificare a anexelor II, III și V la Regulamentul (CE) nr. 396/2005 al Parlamentului European și al Consiliului în ceea ce privește limitele maxime de reziduuri aplicabile pentru ibenomil, carbendazim și tiofanat‐metil din sau de pe anumite produse (D089819/05),</w:t>
      </w:r>
    </w:p>
    <w:p w:rsidR="00E53DD0" w:rsidRPr="005907D0" w:rsidRDefault="00E53DD0" w:rsidP="00E53DD0">
      <w:pPr>
        <w:pStyle w:val="NormalHanging12a"/>
      </w:pPr>
      <w:r w:rsidRPr="005907D0">
        <w:t>–</w:t>
      </w:r>
      <w:r w:rsidRPr="005907D0">
        <w:tab/>
        <w:t>având în vedere Regulamentul (CE) nr. 396/2005 al Parlamentului European și al Consiliului din 23 februarie 2005 privind conținuturile maxime aplicabile reziduurilor de pesticide din sau de pe produse alimentare și hrana de origine vegetală și animală pentru animale și de modificare a Directivei 91/414/CEE</w:t>
      </w:r>
      <w:r w:rsidRPr="005907D0">
        <w:rPr>
          <w:vertAlign w:val="superscript"/>
        </w:rPr>
        <w:footnoteReference w:id="1"/>
      </w:r>
      <w:r w:rsidRPr="005907D0">
        <w:t>, în special articolul 14 alineatul (1) litera (a),</w:t>
      </w:r>
    </w:p>
    <w:p w:rsidR="00E53DD0" w:rsidRPr="005907D0" w:rsidRDefault="00E53DD0" w:rsidP="00E53DD0">
      <w:pPr>
        <w:pStyle w:val="NormalHanging12a"/>
      </w:pPr>
      <w:r w:rsidRPr="005907D0">
        <w:t>–</w:t>
      </w:r>
      <w:r w:rsidRPr="005907D0">
        <w:tab/>
        <w:t>având în vedere Regulamentul (CE) nr. 1107/2009 al Parlamentului European și al Consiliului din 21 octombrie 2009 privind introducerea pe piață a produselor fitosanitare și de abrogare a Directivelor 79/117/CEE și 91/414/CEE</w:t>
      </w:r>
      <w:r w:rsidRPr="005907D0">
        <w:rPr>
          <w:vertAlign w:val="superscript"/>
        </w:rPr>
        <w:footnoteReference w:id="2"/>
      </w:r>
      <w:r w:rsidRPr="005907D0">
        <w:t xml:space="preserve"> ale Consiliului, în special articolul 4 alineatul (1), articolul 4 alineatul (2) primul alineat litera (a) și punctele 3.6.2, 3.6.4 și 3.6.5 din anexa II,</w:t>
      </w:r>
    </w:p>
    <w:p w:rsidR="00E53DD0" w:rsidRPr="005907D0" w:rsidRDefault="00E53DD0" w:rsidP="00E53DD0">
      <w:pPr>
        <w:pStyle w:val="NormalHanging12a"/>
      </w:pPr>
      <w:r w:rsidRPr="005907D0">
        <w:t>–</w:t>
      </w:r>
      <w:r w:rsidRPr="005907D0">
        <w:tab/>
        <w:t>având în vedere 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w:t>
      </w:r>
      <w:r w:rsidRPr="005907D0">
        <w:rPr>
          <w:vertAlign w:val="superscript"/>
        </w:rPr>
        <w:footnoteReference w:id="3"/>
      </w:r>
      <w:r w:rsidRPr="005907D0">
        <w:t>, în special articolul 5 alineatul (1),</w:t>
      </w:r>
    </w:p>
    <w:p w:rsidR="00E53DD0" w:rsidRPr="005907D0" w:rsidRDefault="00E53DD0" w:rsidP="00E53DD0">
      <w:pPr>
        <w:pStyle w:val="NormalHanging12a"/>
      </w:pPr>
      <w:r w:rsidRPr="005907D0">
        <w:t>–</w:t>
      </w:r>
      <w:r w:rsidRPr="005907D0">
        <w:tab/>
        <w:t xml:space="preserve">având în vedere articolele 11, 13, 168 și 191 din Tratatul privind funcționarea Uniunii </w:t>
      </w:r>
      <w:r w:rsidRPr="005907D0">
        <w:lastRenderedPageBreak/>
        <w:t>Europene,</w:t>
      </w:r>
    </w:p>
    <w:p w:rsidR="00E53DD0" w:rsidRPr="005907D0" w:rsidRDefault="00E53DD0" w:rsidP="00E53DD0">
      <w:pPr>
        <w:pStyle w:val="NormalHanging12a"/>
      </w:pPr>
      <w:r w:rsidRPr="005907D0">
        <w:t>–</w:t>
      </w:r>
      <w:r w:rsidRPr="005907D0">
        <w:tab/>
        <w:t>având în vedere avizul motivat adoptat de Autoritatea Europeană pentru Siguranța Alimentară (EFSA) la 5 iulie 2021 și publicat la 23 august 2021</w:t>
      </w:r>
      <w:r w:rsidRPr="005907D0">
        <w:rPr>
          <w:vertAlign w:val="superscript"/>
        </w:rPr>
        <w:footnoteReference w:id="4"/>
      </w:r>
      <w:r w:rsidRPr="005907D0">
        <w:t>,</w:t>
      </w:r>
    </w:p>
    <w:p w:rsidR="00E53DD0" w:rsidRPr="005907D0" w:rsidRDefault="00E53DD0" w:rsidP="00E53DD0">
      <w:pPr>
        <w:pStyle w:val="NormalHanging12a"/>
      </w:pPr>
      <w:r w:rsidRPr="005907D0">
        <w:t>–</w:t>
      </w:r>
      <w:r w:rsidRPr="005907D0">
        <w:tab/>
        <w:t>având în vedere versiunea actualizată a avizului motivat adoptat de EFSA la 10 ianuarie 2024 și publicat la 20 februarie 2024</w:t>
      </w:r>
      <w:r w:rsidRPr="005907D0">
        <w:rPr>
          <w:rStyle w:val="FootnoteReference"/>
        </w:rPr>
        <w:footnoteReference w:id="5"/>
      </w:r>
      <w:r w:rsidRPr="005907D0">
        <w:t>,</w:t>
      </w:r>
    </w:p>
    <w:p w:rsidR="00E53DD0" w:rsidRPr="005907D0" w:rsidRDefault="00E53DD0" w:rsidP="00E53DD0">
      <w:pPr>
        <w:pStyle w:val="NormalHanging12a"/>
      </w:pPr>
      <w:r w:rsidRPr="005907D0">
        <w:t>–</w:t>
      </w:r>
      <w:r w:rsidRPr="005907D0">
        <w:tab/>
        <w:t>având în vedere concluzia cu privire la examinarea inter pares a pesticidelor, adoptată de EFSA la 30 aprilie 2010 și publicată la 12 mai 2010</w:t>
      </w:r>
      <w:r w:rsidRPr="005907D0">
        <w:rPr>
          <w:vertAlign w:val="superscript"/>
        </w:rPr>
        <w:footnoteReference w:id="6"/>
      </w:r>
      <w:r w:rsidRPr="005907D0">
        <w:t>,</w:t>
      </w:r>
    </w:p>
    <w:p w:rsidR="00E53DD0" w:rsidRPr="005907D0" w:rsidRDefault="00E53DD0" w:rsidP="00E53DD0">
      <w:pPr>
        <w:pStyle w:val="NormalHanging12a"/>
      </w:pPr>
      <w:r w:rsidRPr="005907D0">
        <w:t>–</w:t>
      </w:r>
      <w:r w:rsidRPr="005907D0">
        <w:tab/>
        <w:t>având în vedere concluzia cu privire la examinarea inter pares a pesticidelor, adoptată de EFSA la 8 decembrie 2017 și publicată la 17 ianuarie 2018</w:t>
      </w:r>
      <w:r w:rsidRPr="005907D0">
        <w:rPr>
          <w:vertAlign w:val="superscript"/>
        </w:rPr>
        <w:footnoteReference w:id="7"/>
      </w:r>
      <w:r w:rsidRPr="005907D0">
        <w:t>,</w:t>
      </w:r>
    </w:p>
    <w:p w:rsidR="00E53DD0" w:rsidRPr="005907D0" w:rsidRDefault="00E53DD0" w:rsidP="00E53DD0">
      <w:pPr>
        <w:pStyle w:val="NormalHanging12a"/>
      </w:pPr>
      <w:r w:rsidRPr="005907D0">
        <w:t>–</w:t>
      </w:r>
      <w:r w:rsidRPr="005907D0">
        <w:tab/>
        <w:t>având în vedere avizul adoptat de EFSA la 27 martie 2024 și publicat la 13 mai 2024</w:t>
      </w:r>
      <w:r w:rsidRPr="005907D0">
        <w:rPr>
          <w:vertAlign w:val="superscript"/>
        </w:rPr>
        <w:footnoteReference w:id="8"/>
      </w:r>
      <w:r w:rsidRPr="005907D0">
        <w:t>,</w:t>
      </w:r>
    </w:p>
    <w:p w:rsidR="00E53DD0" w:rsidRPr="005907D0" w:rsidRDefault="00E53DD0" w:rsidP="00E53DD0">
      <w:pPr>
        <w:pStyle w:val="NormalHanging12a"/>
      </w:pPr>
      <w:r w:rsidRPr="005907D0">
        <w:t>–</w:t>
      </w:r>
      <w:r w:rsidRPr="005907D0">
        <w:tab/>
        <w:t>având în vedere avizul adoptat de Comitetul pentru evaluarea riscurilor (CER) al Agenției Europene pentru Produse Chimice la 5 decembrie 2019</w:t>
      </w:r>
      <w:r w:rsidRPr="005907D0">
        <w:rPr>
          <w:rStyle w:val="FootnoteReference"/>
        </w:rPr>
        <w:footnoteReference w:id="9"/>
      </w:r>
      <w:r w:rsidRPr="005907D0">
        <w:t>,</w:t>
      </w:r>
    </w:p>
    <w:p w:rsidR="00E53DD0" w:rsidRPr="005907D0" w:rsidRDefault="00E53DD0" w:rsidP="00E53DD0">
      <w:pPr>
        <w:pStyle w:val="NormalHanging12a"/>
      </w:pPr>
      <w:r w:rsidRPr="005907D0">
        <w:t>–</w:t>
      </w:r>
      <w:r w:rsidRPr="005907D0">
        <w:tab/>
        <w:t>având în vedere articolul 5a alineatul (3) litera (b) și articolul 5a alineatul (5) din Decizia 1999/468/CE a Consiliului din 28 iunie 1999 de stabilire a normelor privind exercitarea competențelor de executare conferite Comisiei</w:t>
      </w:r>
      <w:r w:rsidRPr="005907D0">
        <w:rPr>
          <w:rStyle w:val="FootnoteReference"/>
        </w:rPr>
        <w:footnoteReference w:id="10"/>
      </w:r>
      <w:r w:rsidRPr="005907D0">
        <w:t>,</w:t>
      </w:r>
    </w:p>
    <w:p w:rsidR="00E53DD0" w:rsidRPr="005907D0" w:rsidRDefault="00E53DD0" w:rsidP="00E53DD0">
      <w:pPr>
        <w:pStyle w:val="NormalHanging12a"/>
      </w:pPr>
      <w:r w:rsidRPr="005907D0">
        <w:t>–</w:t>
      </w:r>
      <w:r w:rsidRPr="005907D0">
        <w:tab/>
        <w:t>având în vedere articolul 115 alineatele (2) și (3) și alineatul (4) litera (c) din Regulamentul său de procedură,</w:t>
      </w:r>
    </w:p>
    <w:p w:rsidR="00E53DD0" w:rsidRPr="005907D0" w:rsidRDefault="00E53DD0" w:rsidP="00E53DD0">
      <w:pPr>
        <w:pStyle w:val="NormalHanging12a"/>
      </w:pPr>
      <w:r w:rsidRPr="005907D0">
        <w:t>–</w:t>
      </w:r>
      <w:r w:rsidRPr="005907D0">
        <w:tab/>
        <w:t>având în vedere propunerea de rezoluție a Comisiei pentru mediu, sănătate publică și siguranță alimentară,</w:t>
      </w:r>
    </w:p>
    <w:p w:rsidR="00E53DD0" w:rsidRPr="005907D0" w:rsidRDefault="00E53DD0" w:rsidP="00E53DD0">
      <w:pPr>
        <w:pStyle w:val="NormalHanging12a"/>
      </w:pPr>
      <w:r w:rsidRPr="005907D0">
        <w:t>A.</w:t>
      </w:r>
      <w:r w:rsidRPr="005907D0">
        <w:tab/>
        <w:t xml:space="preserve">întrucât la protestele care au avut loc în prima jumătate a anului 2024 fermierii au cerut printre principalele lor revendicări să se aplice un tratament corect și egal pentru </w:t>
      </w:r>
      <w:r w:rsidRPr="005907D0">
        <w:lastRenderedPageBreak/>
        <w:t>produsele importate din țări terțe, care ar trebui să respecte aceleași standarde ca produsele fabricate în Uniune;</w:t>
      </w:r>
    </w:p>
    <w:p w:rsidR="00E53DD0" w:rsidRPr="005907D0" w:rsidRDefault="00E53DD0" w:rsidP="00E53DD0">
      <w:pPr>
        <w:pStyle w:val="NormalHanging12a"/>
      </w:pPr>
      <w:r w:rsidRPr="005907D0">
        <w:t>B.</w:t>
      </w:r>
      <w:r w:rsidRPr="005907D0">
        <w:tab/>
        <w:t>întrucât dacă s-ar adopta proiectul de regulament al Comisiei se vor putea importa în continuare în Uniune produse neconforme cu standardele pe care le respectă fermierii din Uniune;</w:t>
      </w:r>
    </w:p>
    <w:p w:rsidR="00E53DD0" w:rsidRPr="005907D0" w:rsidRDefault="00E53DD0" w:rsidP="00E53DD0">
      <w:pPr>
        <w:pStyle w:val="NormalHanging12a"/>
      </w:pPr>
      <w:r w:rsidRPr="005907D0">
        <w:t>C.</w:t>
      </w:r>
      <w:r w:rsidRPr="005907D0">
        <w:tab/>
        <w:t>întrucât o astfel de situație ar crea un dezavantaj concurențial pentru agricultorii din Uniune;</w:t>
      </w:r>
    </w:p>
    <w:p w:rsidR="00E53DD0" w:rsidRPr="005907D0" w:rsidRDefault="00E53DD0" w:rsidP="00E53DD0">
      <w:pPr>
        <w:pStyle w:val="NormalHanging12a"/>
      </w:pPr>
      <w:r w:rsidRPr="005907D0">
        <w:t>D.</w:t>
      </w:r>
      <w:r w:rsidRPr="005907D0">
        <w:tab/>
        <w:t>întrucât aprobarea substanței active carbendazim a expirat la 30 noiembrie 2014 și nu s-au depus cereri ca să i se prelungească perioada de aprobare.</w:t>
      </w:r>
    </w:p>
    <w:p w:rsidR="00E53DD0" w:rsidRPr="005907D0" w:rsidRDefault="00E53DD0" w:rsidP="00E53DD0">
      <w:pPr>
        <w:pStyle w:val="NormalHanging12a"/>
      </w:pPr>
      <w:r w:rsidRPr="005907D0">
        <w:t>E.</w:t>
      </w:r>
      <w:r w:rsidRPr="005907D0">
        <w:tab/>
        <w:t>întrucât carbendazimul îndeplinește criteriile de clasificare ca agent mutagen categoria 1B și toxic pentru reproducere categoria 1B în conformitate cu Regulamentul (CE) nr. 1272/2008 al Parlamentului European și al Consiliului</w:t>
      </w:r>
      <w:r w:rsidRPr="005907D0">
        <w:rPr>
          <w:rStyle w:val="FootnoteReference"/>
        </w:rPr>
        <w:footnoteReference w:id="11"/>
      </w:r>
      <w:r w:rsidRPr="005907D0">
        <w:t xml:space="preserve"> și două (P și T) dintre criteriile pentru substanțe persistente, bioacumulative și toxice (PBT) în conformitate cu punctul 3.7.2 din anexa II la Regulamentul (CE) nr. 1107/2009;</w:t>
      </w:r>
    </w:p>
    <w:p w:rsidR="00E53DD0" w:rsidRPr="005907D0" w:rsidRDefault="00E53DD0" w:rsidP="00E53DD0">
      <w:pPr>
        <w:pStyle w:val="NormalHanging12a"/>
      </w:pPr>
      <w:r w:rsidRPr="005907D0">
        <w:t>F.</w:t>
      </w:r>
      <w:r w:rsidRPr="005907D0">
        <w:tab/>
        <w:t>întrucât carbendazimul, care în plus, în conformitate cu Regulamentul (CE) nr. 1272/2008, este clasificat ca fiind foarte toxic pentru mediul acvatic, produce efecte pe termen lung și poate provoca o reacție alergică cutanată;</w:t>
      </w:r>
    </w:p>
    <w:p w:rsidR="00E53DD0" w:rsidRPr="005907D0" w:rsidRDefault="00E53DD0" w:rsidP="00E53DD0">
      <w:pPr>
        <w:pStyle w:val="NormalHanging12a"/>
      </w:pPr>
      <w:r w:rsidRPr="005907D0">
        <w:t>G.</w:t>
      </w:r>
      <w:r w:rsidRPr="005907D0">
        <w:tab/>
        <w:t>întrucât este adecvat să se elimine LMR-urile existente stabilite pentru carbendazim în anexa II la Regulamentul (CE) nr. 396/2005, în conformitate cu articolul 14 alineatul (1) litera (a) și articolul 17 din regulamentul respectiv;</w:t>
      </w:r>
    </w:p>
    <w:p w:rsidR="00E53DD0" w:rsidRPr="005907D0" w:rsidRDefault="00E53DD0" w:rsidP="00E53DD0">
      <w:pPr>
        <w:pStyle w:val="NormalHanging12a"/>
      </w:pPr>
      <w:r w:rsidRPr="005907D0">
        <w:t>H.</w:t>
      </w:r>
      <w:r w:rsidRPr="005907D0">
        <w:tab/>
        <w:t>întrucât, cu toate acestea, în proiectul de regulament al Comisiei, Comisia propune să se păstreze LMR-urile bazate pe toleranțele la import pentru carbendazim peste limita de determinare pentru utilizarea la lămâi, lămâi verzi, mandarine și bame pentru import, bazându-se pe avizul motivat al EFSA din 5 iulie 2021;</w:t>
      </w:r>
    </w:p>
    <w:p w:rsidR="00E53DD0" w:rsidRPr="005907D0" w:rsidRDefault="00E53DD0" w:rsidP="00E53DD0">
      <w:pPr>
        <w:pStyle w:val="NormalHanging12a"/>
      </w:pPr>
      <w:r w:rsidRPr="005907D0">
        <w:t>I.</w:t>
      </w:r>
      <w:r w:rsidRPr="005907D0">
        <w:tab/>
        <w:t xml:space="preserve">întrucât, în proiectul său de regulament, Comisia propune să păstreze LMR-urile bazate pe toleranțele la import pentru lămâi, lămâi verzi și mandarine la nivelurile existente de 0,7 mg/kg și să fixeze LMR-urile pentru bame la noul nivel stabilit de EFSA de 1,5 mg/kg; </w:t>
      </w:r>
    </w:p>
    <w:p w:rsidR="00E53DD0" w:rsidRPr="005907D0" w:rsidRDefault="00E53DD0" w:rsidP="00E53DD0">
      <w:pPr>
        <w:pStyle w:val="NormalHanging12a"/>
      </w:pPr>
      <w:r w:rsidRPr="005907D0">
        <w:t>J.</w:t>
      </w:r>
      <w:r w:rsidRPr="005907D0">
        <w:tab/>
        <w:t>întrucât aprobarea substanței active tiofanat-metil nu a fost reînnoită la 15 octombrie 2020, după ce solicitantul și-a retras cererea de reînnoire;</w:t>
      </w:r>
    </w:p>
    <w:p w:rsidR="00E53DD0" w:rsidRPr="005907D0" w:rsidRDefault="00E53DD0" w:rsidP="00E53DD0">
      <w:pPr>
        <w:pStyle w:val="NormalHanging12a"/>
      </w:pPr>
      <w:r w:rsidRPr="005907D0">
        <w:t>K.</w:t>
      </w:r>
      <w:r w:rsidRPr="005907D0">
        <w:tab/>
        <w:t xml:space="preserve">întrucât tiofanat-metilul îndeplinește criteriile pentru a fi clasificat ca agent mutagen categoria 2 și ca substanță toxică pentru reproducere categoria 2 în conformitate cu </w:t>
      </w:r>
      <w:r w:rsidRPr="005907D0">
        <w:lastRenderedPageBreak/>
        <w:t>Regulamentul (CE) nr. 1272/2008</w:t>
      </w:r>
      <w:r w:rsidRPr="005907D0">
        <w:rPr>
          <w:rStyle w:val="FootnoteReference"/>
        </w:rPr>
        <w:footnoteReference w:id="12"/>
      </w:r>
      <w:r w:rsidRPr="005907D0">
        <w:t>;</w:t>
      </w:r>
    </w:p>
    <w:p w:rsidR="00E53DD0" w:rsidRPr="005907D0" w:rsidRDefault="00E53DD0" w:rsidP="00E53DD0">
      <w:pPr>
        <w:pStyle w:val="NormalHanging12a"/>
      </w:pPr>
      <w:r w:rsidRPr="005907D0">
        <w:t>L.</w:t>
      </w:r>
      <w:r w:rsidRPr="005907D0">
        <w:tab/>
        <w:t>întrucât, în avizul său motivat actualizat din 10 ianuarie 2024, EFSA a identificat tiofanat-metilul ca perturbator endocrin (modalitatea T) relevant pentru oameni, în conformitate cu criteriile științifice stabilite în Regulamentul (UE) 2018/605 al Comisiei</w:t>
      </w:r>
      <w:r w:rsidRPr="005907D0">
        <w:rPr>
          <w:rStyle w:val="FootnoteReference"/>
        </w:rPr>
        <w:footnoteReference w:id="13"/>
      </w:r>
      <w:r w:rsidRPr="005907D0">
        <w:t xml:space="preserve"> pe baza cărora se determină proprietățile care perturbă sistemul endocrin;</w:t>
      </w:r>
    </w:p>
    <w:p w:rsidR="00E53DD0" w:rsidRPr="005907D0" w:rsidRDefault="00E53DD0" w:rsidP="00E53DD0">
      <w:pPr>
        <w:pStyle w:val="NormalHanging12a"/>
      </w:pPr>
      <w:r w:rsidRPr="005907D0">
        <w:t>M.</w:t>
      </w:r>
      <w:r w:rsidRPr="005907D0">
        <w:tab/>
        <w:t>întrucât carbendazimul este un metabolit major al tiofanat-metilului;</w:t>
      </w:r>
    </w:p>
    <w:p w:rsidR="00E53DD0" w:rsidRPr="005907D0" w:rsidRDefault="00E53DD0" w:rsidP="00E53DD0">
      <w:pPr>
        <w:pStyle w:val="NormalHanging12a"/>
      </w:pPr>
      <w:r w:rsidRPr="005907D0">
        <w:t>N.</w:t>
      </w:r>
      <w:r w:rsidRPr="005907D0">
        <w:tab/>
        <w:t>întrucât în concluzia EFSA referitoare la evaluarea inter pares a pesticidelor din 8 decembrie 2017 se afirmă că, având în vedere potențialul clastogen al tiofanat</w:t>
      </w:r>
      <w:r w:rsidRPr="005907D0">
        <w:noBreakHyphen/>
        <w:t>metilului, nu se pot obține valori toxicologice de referință pentru evaluarea riscurilor pentru consumatori și operatori;</w:t>
      </w:r>
    </w:p>
    <w:p w:rsidR="00E53DD0" w:rsidRPr="005907D0" w:rsidRDefault="00E53DD0" w:rsidP="00E53DD0">
      <w:pPr>
        <w:pStyle w:val="NormalHanging12a"/>
      </w:pPr>
      <w:r w:rsidRPr="005907D0">
        <w:t>O.</w:t>
      </w:r>
      <w:r w:rsidRPr="005907D0">
        <w:tab/>
        <w:t>întrucât în 2024 Comisia a redus LMR-urile la tiacloprid, o substanță activă clasificată ca fiind toxică pentru reproducere din categoria 1B, până la limita de determinare relevantă, argumentând că „până când Autoritatea va termina această evaluare suplimentară a riscurilor [privind efectele asupra sistemului endocrin] și ținând cont de informațiile pertinente disponibile despre efectele potențial dăunătoare asupra sănătății umane, este înțelept să se reducă provizoriu LMR-urile... [la aceste produse]”</w:t>
      </w:r>
      <w:r w:rsidRPr="005907D0">
        <w:rPr>
          <w:rStyle w:val="FootnoteReference"/>
        </w:rPr>
        <w:footnoteReference w:id="14"/>
      </w:r>
      <w:r w:rsidRPr="005907D0">
        <w:t>;</w:t>
      </w:r>
    </w:p>
    <w:p w:rsidR="00E53DD0" w:rsidRPr="005907D0" w:rsidRDefault="00E53DD0" w:rsidP="00E53DD0">
      <w:pPr>
        <w:pStyle w:val="NormalHanging12a"/>
      </w:pPr>
      <w:r w:rsidRPr="005907D0">
        <w:t>P.</w:t>
      </w:r>
      <w:r w:rsidRPr="005907D0">
        <w:tab/>
        <w:t>întrucât din acest motiv este bine să se elimine LMR-urile existente stabilite pentru triofanat-metil în anexa II la Regulamentul (CE) nr. 396/2005, în conformitate cu articolul 14 alineatul (1) litera (a) și articolul 17 din regulamentul respectiv;</w:t>
      </w:r>
    </w:p>
    <w:p w:rsidR="00E53DD0" w:rsidRPr="005907D0" w:rsidRDefault="00E53DD0" w:rsidP="00E53DD0">
      <w:pPr>
        <w:pStyle w:val="NormalHanging12a"/>
      </w:pPr>
      <w:r w:rsidRPr="005907D0">
        <w:t>Q.</w:t>
      </w:r>
      <w:r w:rsidRPr="005907D0">
        <w:tab/>
        <w:t>întrucât, cu toate acestea, în proiectul de regulament al Comisiei, Comisia propune să se păstreze LMR-urile bazate pe toleranțele la import pentru triofanat-metil peste limita de determinare pentru utilizarea la lămâi, lămâi verzi, mandarine și bame pentru import, bazându-se pe avizul motivat al EFSA din 5 iulie 2021; întrucât LMR pentru cantitatea de tiofanat-metil de pe lămâi verzi este stabilită la 6 mg/kg, de 600 ori mai mult decât limita de determinare;</w:t>
      </w:r>
    </w:p>
    <w:p w:rsidR="00E53DD0" w:rsidRPr="005907D0" w:rsidRDefault="00E53DD0" w:rsidP="00E53DD0">
      <w:pPr>
        <w:pStyle w:val="NormalHanging12a"/>
      </w:pPr>
      <w:r w:rsidRPr="005907D0">
        <w:t>R.</w:t>
      </w:r>
      <w:r w:rsidRPr="005907D0">
        <w:tab/>
        <w:t xml:space="preserve">întrucât considerentul 5 din Regulamentul (CE) nr. 396/2005 prevede că reziduurile nu trebuie să fie prezente la niveluri care reprezintă un risc inacceptabil pentru oameni și eventual pentru animale; </w:t>
      </w:r>
    </w:p>
    <w:p w:rsidR="00E53DD0" w:rsidRPr="005907D0" w:rsidRDefault="00E53DD0" w:rsidP="00E53DD0">
      <w:pPr>
        <w:pStyle w:val="NormalHanging12a"/>
      </w:pPr>
      <w:r w:rsidRPr="005907D0">
        <w:t>S.</w:t>
      </w:r>
      <w:r w:rsidRPr="005907D0">
        <w:tab/>
        <w:t xml:space="preserve">întrucât articolul 4 alineatul (2) primul paragraf litera (a) din Regulamentul (CE) nr. 1107/2009 prevede că reziduurile produselor fitosanitare nu trebuie să producă niciun efect nociv asupra sănătății umane, fiind incluse aici grupurile vulnerabile, nici asupra sănătății animale, luând în calcul efectele cumulative și sinergice cunoscute; </w:t>
      </w:r>
      <w:r w:rsidRPr="005907D0">
        <w:lastRenderedPageBreak/>
        <w:t>întrucât punctul 3.6.2 din anexa II la regulamentul respectiv prevede că o substanță activă clasificată ca mutagenă categoria 1A sau 1B în conformitate cu Regulamentul (CE) nr. 1272/2008 nu se aprobă; întrucât punctul 3.6.4 din anexa respectivă prevede că o substanță activă clasificată, în conformitate cu Regulamentul (CE) nr. 1272/2008, ca substanță toxică pentru reproducere din categoria 1A sau 1B, nu se aprobă decât dacă „reziduurile substanței active, [...] din alimente și furaje nu depășesc valorile de ajustare prevăzute la articolul 18 alineatul (1) litera (b) din Regulamentul (CE) nr. 396/2005”; întrucât punctul 3.6.5 din anexa respectivă prevede că o substanță activă clasificată ca având proprietăți de disruptor endocrin nu se aprobă decât dacă „reziduurile substanței active, [...] din alimente și furaje nu depășesc valorile de ajustare prevăzute la articolul 18 alineatul (1) litera (b) din Regulamentul (CE) nr. 396/2005”; întrucât articolul 18 alineatul (1) litera (b) din Regulamentul (CE) nr. 396/2005 stabilește o valoare de ajustare de 0,01 mg/kg;</w:t>
      </w:r>
    </w:p>
    <w:p w:rsidR="00E53DD0" w:rsidRPr="005907D0" w:rsidRDefault="00E53DD0" w:rsidP="00E53DD0">
      <w:pPr>
        <w:pStyle w:val="NormalHanging12a"/>
      </w:pPr>
      <w:r w:rsidRPr="005907D0">
        <w:t>T.</w:t>
      </w:r>
      <w:r w:rsidRPr="005907D0">
        <w:tab/>
        <w:t>întrucât articolul 3 alineatul (2) litera (g) din Regulamentul (CE) nr. 396/2005 prevede că toleranța la importuri este o LMR stabilită pentru produsele importate în cazul în care „utilizarea substanței active într-un produs fitosanitar, în ceea ce privește un anumit produs, nu este autorizată în Comunitate, din alte motive decât sănătatea publică pentru un produs și un uz determinat”; întrucât carbendazimul nu îndeplinește aceste criterii, deoarece nu mai poate fi aprobat în Uniune după ce a fost clasificat ca mutagen categoria 1B și toxic pentru reproducere categoria 1B; întrucât nici tiofanat-metilul nu îndeplinește respectivele criterii deoarece a fost identificat drept perturbator endocrin (modalitatea T) relevant pentru oameni, în conformitate cu criteriile științifice stabilite în Regulamentul (UE) 2018/605 pe baza cărora se determină proprietățile de perturbator endocrin;</w:t>
      </w:r>
    </w:p>
    <w:p w:rsidR="00E53DD0" w:rsidRPr="005907D0" w:rsidRDefault="00E53DD0" w:rsidP="00E53DD0">
      <w:pPr>
        <w:pStyle w:val="NormalHanging12a"/>
      </w:pPr>
      <w:r w:rsidRPr="005907D0">
        <w:t>U.</w:t>
      </w:r>
      <w:r w:rsidRPr="005907D0">
        <w:tab/>
        <w:t>întrucât la articolul 5 alineatul (1) din Regulamentul (CE) nr. 178/2002, se prevede că legislația alimentară trebuie să urmărească unul sau mai multe dintre obiectivele generale ale unui nivel ridicat de protecție a vieții și sănătății umane și de protecție a intereselor consumatorilor, inclusiv practici echitabile în comerțul cu produse alimentare, având grijă, după caz, să ocrotească sănătatea și calitatea vieții animalelor, sănătatea plantelor și mediul;</w:t>
      </w:r>
    </w:p>
    <w:p w:rsidR="00E53DD0" w:rsidRPr="005907D0" w:rsidRDefault="00E53DD0" w:rsidP="00E53DD0">
      <w:pPr>
        <w:pStyle w:val="NormalHanging12a"/>
      </w:pPr>
      <w:r w:rsidRPr="005907D0">
        <w:t>V.</w:t>
      </w:r>
      <w:r w:rsidRPr="005907D0">
        <w:tab/>
        <w:t>întrucât, în comunicarea sa din 20 mai 2020 intitulată „O strategie «De la fermă la consumator» pentru un sistem alimentar echitabil, sănătos și ecologic”</w:t>
      </w:r>
      <w:r w:rsidRPr="005907D0">
        <w:rPr>
          <w:vertAlign w:val="superscript"/>
        </w:rPr>
        <w:footnoteReference w:id="15"/>
      </w:r>
      <w:r w:rsidRPr="005907D0">
        <w:t>, Comisia a anunțat că „UE va sprijini tranziția globală către sisteme agroalimentare durabile, în conformitate cu obiectivele acestei strategii și cu obiectivele de dezvoltare durabilă” și că „UE poate juca un rol esențial în stabilirea de standarde globale cu ajutorul acestei strategii”; întrucât Comisia a afirmat explicit în strategie că „pentru a avea un sistem alimentar mai durabil UE trebuie să ceară practici din ce în ce mai durabile din partea partenerilor noștri comerciali. Pentru a promova trecerea treptată la utilizarea de produse de protecție a plantelor mai sigure, UE va lua în considerare, în conformitate cu normele OMC și în urma unei evaluări a riscurilor, revizuirea toleranțelor la import pentru substanțele care îndeplinesc «criteriile de limitare» și care prezintă un nivel ridicat de risc pentru sănătatea umană”;</w:t>
      </w:r>
    </w:p>
    <w:p w:rsidR="00E53DD0" w:rsidRPr="005907D0" w:rsidRDefault="00E53DD0" w:rsidP="00E53DD0">
      <w:pPr>
        <w:pStyle w:val="NormalHanging12a"/>
      </w:pPr>
      <w:r w:rsidRPr="005907D0">
        <w:t>W.</w:t>
      </w:r>
      <w:r w:rsidRPr="005907D0">
        <w:tab/>
        <w:t xml:space="preserve">întrucât Comisia trebuie să protejeze mediul și pe cetățenii europeni pe baza informațiilor științifice disponibile, făcând uz de obligațiile și posibilitățile legale prevăzute de regulamentele (CE) nr. 396/2005 și (CE) nr. 178/2002 pentru a asigura o </w:t>
      </w:r>
      <w:r w:rsidRPr="005907D0">
        <w:lastRenderedPageBreak/>
        <w:t>bună protecție a sănătății umane și animale și a mediului;</w:t>
      </w:r>
    </w:p>
    <w:p w:rsidR="00E53DD0" w:rsidRPr="005907D0" w:rsidRDefault="00E53DD0" w:rsidP="00E53DD0">
      <w:pPr>
        <w:pStyle w:val="NormalHanging12a"/>
      </w:pPr>
      <w:r w:rsidRPr="005907D0">
        <w:t>X.</w:t>
      </w:r>
      <w:r w:rsidRPr="005907D0">
        <w:tab/>
        <w:t>întrucât LMR-urile propuse nu protejează sănătatea cetățenilor din Europa și, prin urmare, contravin Regulamentelor (CE) nr. 396/2005 și (CE) nr. 178/2002;</w:t>
      </w:r>
    </w:p>
    <w:p w:rsidR="00E53DD0" w:rsidRPr="005907D0" w:rsidRDefault="00E53DD0" w:rsidP="00E53DD0">
      <w:pPr>
        <w:pStyle w:val="NormalHanging12a"/>
      </w:pPr>
      <w:r w:rsidRPr="005907D0">
        <w:t xml:space="preserve">Y. </w:t>
      </w:r>
      <w:r w:rsidRPr="005907D0">
        <w:tab/>
        <w:t>întrucât nu ar trebui stabilite LMR-uri pentru substanțele active care nu sunt aprobate în Uniune din cauza unor riscuri pentru sănătate; întrucât, prin urmare, nu ar trebui stabilite toleranțe la import nici pentru tiofanat-metil, deoarece este identificat ca perturbator endocrin, nici pentru carbendazim, clasificat ca mutagenic categoria 1B și toxic pentru reproducere categoria 1B;</w:t>
      </w:r>
    </w:p>
    <w:p w:rsidR="00E53DD0" w:rsidRPr="005907D0" w:rsidRDefault="00E53DD0" w:rsidP="00E53DD0">
      <w:pPr>
        <w:pStyle w:val="NormalHanging12a"/>
      </w:pPr>
      <w:r w:rsidRPr="005907D0">
        <w:t>Z.</w:t>
      </w:r>
      <w:r w:rsidRPr="005907D0">
        <w:tab/>
        <w:t>întrucât practica de a fixa LMR-uri ridicate înseamnă să se aplice standarde duble pentru fermierii din Uniune față de fermierii din țările terțe, pentru că fermierii din afara Uniunii pot continua să producă alimentele în cauză folosind carbendazim și tiofanat-metil și să le exporte în Uniune, creând astfel un dezavantaj competitiv pentru fermierii din Uniune; întrucât, pe de altă parte, prin utilizarea acestor pesticide se pun în pericol sănătatea lucrătorilor agricoli, sănătatea populației în general și mediul din țările producătoare,</w:t>
      </w:r>
    </w:p>
    <w:p w:rsidR="00E53DD0" w:rsidRPr="005907D0" w:rsidRDefault="00E53DD0" w:rsidP="00E53DD0">
      <w:pPr>
        <w:pStyle w:val="NormalHanging12a"/>
      </w:pPr>
      <w:r w:rsidRPr="005907D0">
        <w:t>1.</w:t>
      </w:r>
      <w:r w:rsidRPr="005907D0">
        <w:tab/>
        <w:t>se opune adoptării proiectului de regulament al Comisiei;</w:t>
      </w:r>
    </w:p>
    <w:p w:rsidR="00E53DD0" w:rsidRPr="005907D0" w:rsidRDefault="00E53DD0" w:rsidP="00E53DD0">
      <w:pPr>
        <w:pStyle w:val="NormalHanging12a"/>
      </w:pPr>
      <w:r w:rsidRPr="005907D0">
        <w:t>2.</w:t>
      </w:r>
      <w:r w:rsidRPr="005907D0">
        <w:tab/>
        <w:t>consideră că propunerea de regulament al Comisiei este incompatibilă cu scopul și conținutul următoarelor regulamente: (CE) nr. 396/2005 și (CE) nr. 178/2002 și (CE) nr. 1107/2009, inclusiv punctele 3.6.2, 3.6.4 și 3.6.5 din anexa II la acesta;</w:t>
      </w:r>
    </w:p>
    <w:p w:rsidR="00E53DD0" w:rsidRPr="005907D0" w:rsidRDefault="00E53DD0" w:rsidP="00E53DD0">
      <w:pPr>
        <w:pStyle w:val="NormalHanging12a"/>
      </w:pPr>
      <w:r w:rsidRPr="005907D0">
        <w:t>3.</w:t>
      </w:r>
      <w:r w:rsidRPr="005907D0">
        <w:tab/>
        <w:t>solicită Comisiei să își retragă proiectul de regulament și să prezinte comisiei un alt proiect;</w:t>
      </w:r>
    </w:p>
    <w:p w:rsidR="00E53DD0" w:rsidRPr="005907D0" w:rsidRDefault="00E53DD0" w:rsidP="00E53DD0">
      <w:pPr>
        <w:pStyle w:val="NormalHanging12a"/>
      </w:pPr>
      <w:r w:rsidRPr="005907D0">
        <w:t>4.</w:t>
      </w:r>
      <w:r w:rsidRPr="005907D0">
        <w:tab/>
        <w:t>îndeamnă Comisia să prezinte comisiei un nou proiect de regulament care să reducă toate LMR-urile la carbendazim și tiofanat-metil la limita relevantă de determinare pentru toate utilizările și să refuze orice cerere de toleranțe la import;</w:t>
      </w:r>
    </w:p>
    <w:p w:rsidR="00E53DD0" w:rsidRPr="005907D0" w:rsidRDefault="00E53DD0" w:rsidP="00E53DD0">
      <w:pPr>
        <w:pStyle w:val="NormalHanging12a"/>
        <w:rPr>
          <w:szCs w:val="24"/>
        </w:rPr>
      </w:pPr>
      <w:r w:rsidRPr="005907D0">
        <w:t>5.</w:t>
      </w:r>
      <w:r w:rsidRPr="005907D0">
        <w:tab/>
        <w:t xml:space="preserve">încredințează Președintei sarcina de a transmite prezenta rezoluție Consiliului și Comisiei, precum și guvernelor și parlamentelor statelor membre. </w:t>
      </w:r>
    </w:p>
    <w:p w:rsidR="00E53DD0" w:rsidRPr="005907D0" w:rsidRDefault="00E53DD0" w:rsidP="00E53DD0">
      <w:pPr>
        <w:pStyle w:val="NormalHanging12a"/>
      </w:pPr>
    </w:p>
    <w:sectPr w:rsidR="00E53DD0" w:rsidRPr="005907D0" w:rsidSect="005907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0EF" w:rsidRPr="005907D0" w:rsidRDefault="001200EF">
      <w:r w:rsidRPr="005907D0">
        <w:separator/>
      </w:r>
    </w:p>
  </w:endnote>
  <w:endnote w:type="continuationSeparator" w:id="0">
    <w:p w:rsidR="001200EF" w:rsidRPr="005907D0" w:rsidRDefault="001200EF">
      <w:r w:rsidRPr="005907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07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07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07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0EF" w:rsidRPr="005907D0" w:rsidRDefault="001200EF">
      <w:r w:rsidRPr="005907D0">
        <w:separator/>
      </w:r>
    </w:p>
  </w:footnote>
  <w:footnote w:type="continuationSeparator" w:id="0">
    <w:p w:rsidR="001200EF" w:rsidRPr="005907D0" w:rsidRDefault="001200EF">
      <w:r w:rsidRPr="005907D0">
        <w:continuationSeparator/>
      </w:r>
    </w:p>
  </w:footnote>
  <w:footnote w:id="1">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JO L 70, 16.3.2005, p. 1.</w:t>
      </w:r>
    </w:p>
  </w:footnote>
  <w:footnote w:id="2">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JO L 309, 24.11.2009, p. 1.</w:t>
      </w:r>
    </w:p>
  </w:footnote>
  <w:footnote w:id="3">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JO L 31, 1.2.2002, p. 1.</w:t>
      </w:r>
    </w:p>
  </w:footnote>
  <w:footnote w:id="4">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 xml:space="preserve">Aviz motivat al EFSA privind proprietățile toxicologice și limitele maxime de reziduuri (LMR) pentru substanțele benzimidazol carbendazim și tiofanat-metil, </w:t>
      </w:r>
      <w:bookmarkStart w:id="7" w:name="_Hlk168311905"/>
      <w:r w:rsidRPr="005907D0">
        <w:rPr>
          <w:sz w:val="24"/>
          <w:lang w:val="ro-RO"/>
        </w:rPr>
        <w:t>EFSA Journal 2021;19(8):e06773</w:t>
      </w:r>
      <w:bookmarkEnd w:id="7"/>
      <w:r w:rsidRPr="005907D0">
        <w:rPr>
          <w:sz w:val="24"/>
          <w:lang w:val="ro-RO"/>
        </w:rPr>
        <w:t xml:space="preserve">, </w:t>
      </w:r>
      <w:hyperlink r:id="rId1" w:history="1">
        <w:r w:rsidRPr="005907D0">
          <w:rPr>
            <w:rStyle w:val="Hyperlink"/>
            <w:sz w:val="24"/>
            <w:lang w:val="ro-RO"/>
          </w:rPr>
          <w:t>https://doi.org/10.2903/j.efsa.2021.6773</w:t>
        </w:r>
      </w:hyperlink>
      <w:r w:rsidRPr="005907D0">
        <w:rPr>
          <w:rStyle w:val="Hyperlink"/>
          <w:sz w:val="24"/>
          <w:lang w:val="ro-RO"/>
        </w:rPr>
        <w:t>.</w:t>
      </w:r>
      <w:r w:rsidRPr="005907D0">
        <w:rPr>
          <w:sz w:val="24"/>
          <w:lang w:val="ro-RO"/>
        </w:rPr>
        <w:t xml:space="preserve"> </w:t>
      </w:r>
    </w:p>
  </w:footnote>
  <w:footnote w:id="5">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 xml:space="preserve">EFSA a actualizat avizul motivat privind proprietățile toxicologice și limitele maxime de reziduuri (LMR) pentru substanțele benzimidazol carbendazim și tiofanat-metil, EFSA Journal 2024; 22 (2): e8569, </w:t>
      </w:r>
      <w:hyperlink r:id="rId2" w:history="1">
        <w:r w:rsidRPr="005907D0">
          <w:rPr>
            <w:rStyle w:val="Hyperlink"/>
            <w:sz w:val="24"/>
            <w:lang w:val="ro-RO"/>
          </w:rPr>
          <w:t>https://doi.org/10.2903/j.efsa.2024.8569</w:t>
        </w:r>
      </w:hyperlink>
      <w:r w:rsidRPr="005907D0">
        <w:rPr>
          <w:rStyle w:val="Hyperlink"/>
          <w:sz w:val="24"/>
          <w:lang w:val="ro-RO"/>
        </w:rPr>
        <w:t>.</w:t>
      </w:r>
      <w:r w:rsidRPr="005907D0">
        <w:rPr>
          <w:sz w:val="24"/>
          <w:lang w:val="ro-RO"/>
        </w:rPr>
        <w:t xml:space="preserve"> </w:t>
      </w:r>
    </w:p>
  </w:footnote>
  <w:footnote w:id="6">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 xml:space="preserve">EFSA conclusion on the peer review of the pesticide risk assessment of the active substance cyproconazole (Concluzia EFSA cu privire la examinarea inter pares a riscului utilizării ca pesticid a substanței active carbendazim), EFSA Journal 2010;8(5):1598, </w:t>
      </w:r>
      <w:hyperlink r:id="rId3" w:history="1">
        <w:r w:rsidRPr="005907D0">
          <w:rPr>
            <w:rStyle w:val="Hyperlink"/>
            <w:sz w:val="24"/>
            <w:lang w:val="ro-RO"/>
          </w:rPr>
          <w:t>https://doi.org/10.2903/j.efsa.2010.1598</w:t>
        </w:r>
      </w:hyperlink>
      <w:r w:rsidRPr="005907D0">
        <w:rPr>
          <w:sz w:val="24"/>
          <w:lang w:val="ro-RO"/>
        </w:rPr>
        <w:t xml:space="preserve">. </w:t>
      </w:r>
    </w:p>
  </w:footnote>
  <w:footnote w:id="7">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 xml:space="preserve">Concluziile EFSA privind evaluarea inter pares a analizei riscurilor asociate utilizării ca pesticid a substanței active tiofanat-metil; EFSA Journal 2018;16(1):e05133, </w:t>
      </w:r>
      <w:hyperlink r:id="rId4" w:history="1">
        <w:r w:rsidRPr="005907D0">
          <w:rPr>
            <w:rStyle w:val="Hyperlink"/>
            <w:sz w:val="24"/>
            <w:lang w:val="ro-RO"/>
          </w:rPr>
          <w:t>https://doi.org/10.2903/j.efsa.2018.5133</w:t>
        </w:r>
      </w:hyperlink>
      <w:r w:rsidRPr="005907D0">
        <w:rPr>
          <w:sz w:val="24"/>
          <w:lang w:val="ro-RO"/>
        </w:rPr>
        <w:t xml:space="preserve">. </w:t>
      </w:r>
    </w:p>
  </w:footnote>
  <w:footnote w:id="8">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 xml:space="preserve">Declarația EFSA privind evaluarea calității datelor aflate la dispoziția EFSA pentru a obține valori orientative bazate pe date medicale pentru carbendazim, EFSA Journal 2024;22(5):e8756, </w:t>
      </w:r>
      <w:hyperlink r:id="rId5" w:history="1">
        <w:r w:rsidRPr="005907D0">
          <w:rPr>
            <w:rStyle w:val="Hyperlink"/>
            <w:sz w:val="24"/>
            <w:lang w:val="ro-RO"/>
          </w:rPr>
          <w:t>https://doi.org/10.2903/j.efsa.2024.8756</w:t>
        </w:r>
      </w:hyperlink>
      <w:r w:rsidRPr="005907D0">
        <w:rPr>
          <w:sz w:val="24"/>
          <w:lang w:val="ro-RO"/>
        </w:rPr>
        <w:t xml:space="preserve">. </w:t>
      </w:r>
    </w:p>
  </w:footnote>
  <w:footnote w:id="9">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 xml:space="preserve">Avizul CER privind propunerea de clasificare și etichetare armonizată la nivelul UE a carbendazimului (ISO); metil benzimidazol-2-il carbamat; </w:t>
      </w:r>
      <w:hyperlink r:id="rId6" w:history="1">
        <w:r w:rsidRPr="005907D0">
          <w:rPr>
            <w:rStyle w:val="Hyperlink"/>
            <w:sz w:val="24"/>
            <w:lang w:val="ro-RO"/>
          </w:rPr>
          <w:t>https://www.echa.europa.eu/documents/10162/5eb9760e-6c73-7f2c-1226-98d92ed847d1</w:t>
        </w:r>
      </w:hyperlink>
    </w:p>
  </w:footnote>
  <w:footnote w:id="10">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JO L 184, 17.7.1999, p. 23.</w:t>
      </w:r>
    </w:p>
  </w:footnote>
  <w:footnote w:id="11">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2">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Pr="005907D0">
        <w:rPr>
          <w:sz w:val="24"/>
          <w:lang w:val="ro-RO"/>
        </w:rPr>
        <w:t>Regulamentul (CE) nr. 1272/2008 al Parlamentului European și al Consiliului din 16 decembrie 2008 privind clasificarea, etichetarea și ambalarea substanțelor și a amestecurilor, de modificare și de abrogare a Directivelor 67/548/CEE și 1999/45/CE, precum și de modificare a Regulamentului (CE) nr. 1907/2006 (JO L 353, 31.12.2008, p. 1).</w:t>
      </w:r>
    </w:p>
  </w:footnote>
  <w:footnote w:id="13">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sz w:val="24"/>
          <w:lang w:val="ro-RO"/>
        </w:rPr>
        <w:t xml:space="preserve"> </w:t>
      </w:r>
      <w:r w:rsidR="005907D0" w:rsidRPr="005907D0">
        <w:rPr>
          <w:sz w:val="24"/>
          <w:lang w:val="ro-RO"/>
        </w:rPr>
        <w:tab/>
      </w:r>
      <w:r w:rsidR="00134E74">
        <w:rPr>
          <w:sz w:val="24"/>
          <w:lang w:val="ro-RO"/>
        </w:rPr>
        <w:t>Regulamentul (UE)</w:t>
      </w:r>
      <w:r w:rsidRPr="005907D0">
        <w:rPr>
          <w:sz w:val="24"/>
          <w:lang w:val="ro-RO"/>
        </w:rPr>
        <w:t> 2018/605 al Comisiei din 19 aprilie 2018 de modificare a anexei II la Regulamentul (CE) nr. 110</w:t>
      </w:r>
      <w:bookmarkStart w:id="8" w:name="_GoBack"/>
      <w:bookmarkEnd w:id="8"/>
      <w:r w:rsidRPr="005907D0">
        <w:rPr>
          <w:sz w:val="24"/>
          <w:lang w:val="ro-RO"/>
        </w:rPr>
        <w:t>7/2009 prin stabilirea unor criterii științifice pentru determinarea proprietăților care perturbă sistemul endocrin (JO L 101, 20.4.2018, p. 33).</w:t>
      </w:r>
    </w:p>
  </w:footnote>
  <w:footnote w:id="14">
    <w:p w:rsidR="00E53DD0" w:rsidRPr="005907D0" w:rsidRDefault="00E53DD0" w:rsidP="005907D0">
      <w:pPr>
        <w:pStyle w:val="FootnoteText"/>
        <w:ind w:left="567" w:hanging="567"/>
        <w:rPr>
          <w:sz w:val="24"/>
          <w:lang w:val="ro-RO"/>
        </w:rPr>
      </w:pPr>
      <w:r w:rsidRPr="005907D0">
        <w:rPr>
          <w:rStyle w:val="FootnoteReference"/>
          <w:sz w:val="24"/>
          <w:lang w:val="ro-RO"/>
        </w:rPr>
        <w:footnoteRef/>
      </w:r>
      <w:r w:rsidR="005907D0" w:rsidRPr="005907D0">
        <w:rPr>
          <w:rStyle w:val="Hyperlink"/>
          <w:sz w:val="24"/>
          <w:lang w:val="ro-RO"/>
        </w:rPr>
        <w:t xml:space="preserve"> </w:t>
      </w:r>
      <w:r w:rsidR="005907D0" w:rsidRPr="005907D0">
        <w:rPr>
          <w:rStyle w:val="Hyperlink"/>
          <w:sz w:val="24"/>
          <w:lang w:val="ro-RO"/>
        </w:rPr>
        <w:tab/>
      </w:r>
      <w:r w:rsidRPr="005907D0">
        <w:rPr>
          <w:rStyle w:val="Hyperlink"/>
          <w:sz w:val="24"/>
          <w:lang w:val="ro-RO"/>
        </w:rPr>
        <w:t>https://ec.europa.eu/transparency/comitology-register/screen/documents/089880/5/consult?lang=ro.</w:t>
      </w:r>
    </w:p>
  </w:footnote>
  <w:footnote w:id="15">
    <w:p w:rsidR="00E53DD0" w:rsidRPr="005907D0" w:rsidRDefault="00E53DD0" w:rsidP="005907D0">
      <w:pPr>
        <w:pStyle w:val="FootnoteText"/>
        <w:ind w:left="567" w:hanging="567"/>
        <w:rPr>
          <w:iCs/>
          <w:sz w:val="24"/>
          <w:lang w:val="ro-RO"/>
        </w:rPr>
      </w:pPr>
      <w:r w:rsidRPr="005907D0">
        <w:rPr>
          <w:iCs/>
          <w:sz w:val="24"/>
          <w:vertAlign w:val="superscript"/>
          <w:lang w:val="ro-RO"/>
        </w:rPr>
        <w:footnoteRef/>
      </w:r>
      <w:r w:rsidR="005907D0" w:rsidRPr="005907D0">
        <w:rPr>
          <w:sz w:val="24"/>
          <w:lang w:val="ro-RO"/>
        </w:rPr>
        <w:t xml:space="preserve"> </w:t>
      </w:r>
      <w:r w:rsidR="005907D0" w:rsidRPr="005907D0">
        <w:rPr>
          <w:sz w:val="24"/>
          <w:lang w:val="ro-RO"/>
        </w:rPr>
        <w:tab/>
      </w:r>
      <w:r w:rsidRPr="005907D0">
        <w:rPr>
          <w:sz w:val="24"/>
          <w:lang w:val="ro-RO"/>
        </w:rPr>
        <w:t>COM(2020)0381.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07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07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07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0/2024"/>
    <w:docVar w:name="dvlangue" w:val="RO"/>
    <w:docVar w:name="dvnumam" w:val="0"/>
    <w:docVar w:name="dvpe" w:val="763.090"/>
    <w:docVar w:name="dvtitre" w:val="Rezoluția Parlamentului European din ... septembrie 2024 referitoare la propunerea de regulament al Comisiei de modificare a anexelor II, III și V la Regulamentul (CE) nr. 396/2005 al Parlamentului European și al Consiliului în ceea ce privește limitele maxime de reziduuri pentru ibenomil, carbendazim și tiofanat‐metil din sau de pe anumite produse (D089819/05 – 2024/2758(RPS))"/>
  </w:docVars>
  <w:rsids>
    <w:rsidRoot w:val="001200EF"/>
    <w:rsid w:val="00002272"/>
    <w:rsid w:val="00064002"/>
    <w:rsid w:val="000677B9"/>
    <w:rsid w:val="000831BA"/>
    <w:rsid w:val="000A42CC"/>
    <w:rsid w:val="000E7DD9"/>
    <w:rsid w:val="0010095E"/>
    <w:rsid w:val="001200EF"/>
    <w:rsid w:val="00125B37"/>
    <w:rsid w:val="00134E7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B24"/>
    <w:rsid w:val="005907D0"/>
    <w:rsid w:val="005C2568"/>
    <w:rsid w:val="005F1B17"/>
    <w:rsid w:val="006037C0"/>
    <w:rsid w:val="006631B6"/>
    <w:rsid w:val="00680577"/>
    <w:rsid w:val="006F74FA"/>
    <w:rsid w:val="0072235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3DD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50998A"/>
  <w15:chartTrackingRefBased/>
  <w15:docId w15:val="{81E1317A-DD38-4E6E-8173-5231E721C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53DD0"/>
    <w:pPr>
      <w:spacing w:before="480" w:after="240"/>
    </w:pPr>
  </w:style>
  <w:style w:type="paragraph" w:customStyle="1" w:styleId="NormalHanging12a">
    <w:name w:val="NormalHanging12a"/>
    <w:basedOn w:val="Normal"/>
    <w:rsid w:val="00E53DD0"/>
    <w:pPr>
      <w:spacing w:after="240"/>
      <w:ind w:left="567" w:hanging="567"/>
    </w:pPr>
  </w:style>
  <w:style w:type="character" w:styleId="Hyperlink">
    <w:name w:val="Hyperlink"/>
    <w:basedOn w:val="DefaultParagraphFont"/>
    <w:uiPriority w:val="99"/>
    <w:rsid w:val="00E53DD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2903/j.efsa.2010.1598" TargetMode="External"/><Relationship Id="rId2" Type="http://schemas.openxmlformats.org/officeDocument/2006/relationships/hyperlink" Target="https://doi.org/10.2903/j.efsa.2024.8569" TargetMode="External"/><Relationship Id="rId1" Type="http://schemas.openxmlformats.org/officeDocument/2006/relationships/hyperlink" Target="https://doi.org/10.2903/j.efsa.2021.6773" TargetMode="External"/><Relationship Id="rId6" Type="http://schemas.openxmlformats.org/officeDocument/2006/relationships/hyperlink" Target="https://www.echa.europa.eu/documents/10162/5eb9760e-6c73-7f2c-1226-98d92ed847d1" TargetMode="External"/><Relationship Id="rId5" Type="http://schemas.openxmlformats.org/officeDocument/2006/relationships/hyperlink" Target="https://doi.org/10.2903/j.efsa.2024.8756" TargetMode="External"/><Relationship Id="rId4" Type="http://schemas.openxmlformats.org/officeDocument/2006/relationships/hyperlink" Target="https://doi.org/10.2903/j.efsa.2018.51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DFAD4-AC3D-426C-96CA-236EE824A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2085</Words>
  <Characters>12068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OBADA Liliana</cp:lastModifiedBy>
  <cp:revision>2</cp:revision>
  <cp:lastPrinted>2004-11-19T15:42:00Z</cp:lastPrinted>
  <dcterms:created xsi:type="dcterms:W3CDTF">2024-10-24T14:19:00Z</dcterms:created>
  <dcterms:modified xsi:type="dcterms:W3CDTF">2024-10-24T14:19:00Z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B10-0020/2024</vt:lpwstr>
  </property>
  <property fmtid="{D5CDD505-2E9C-101B-9397-08002B2CF9AE}" pid="4" name="&lt;Type&gt;">
    <vt:lpwstr>RR</vt:lpwstr>
  </property>
</Properties>
</file>