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50BCB" w:rsidRPr="001F70C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50BCB" w:rsidRPr="001F70CE" w:rsidRDefault="001F70CE">
            <w:pPr>
              <w:pStyle w:val="EPName"/>
            </w:pPr>
            <w:r w:rsidRPr="001F70CE">
              <w:t>Európsky parlament</w:t>
            </w:r>
          </w:p>
          <w:p w:rsidR="00250BCB" w:rsidRPr="001F70CE" w:rsidRDefault="001F70C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70CE">
              <w:t>2024-2029</w:t>
            </w:r>
          </w:p>
        </w:tc>
        <w:tc>
          <w:tcPr>
            <w:tcW w:w="2268" w:type="dxa"/>
            <w:shd w:val="clear" w:color="auto" w:fill="auto"/>
          </w:tcPr>
          <w:p w:rsidR="00250BCB" w:rsidRPr="001F70CE" w:rsidRDefault="001F70CE">
            <w:pPr>
              <w:pStyle w:val="EPLogo"/>
            </w:pPr>
            <w:r w:rsidRPr="001F70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0BCB" w:rsidRPr="001F70CE" w:rsidRDefault="00250BCB">
      <w:pPr>
        <w:pStyle w:val="LineTop"/>
      </w:pPr>
    </w:p>
    <w:p w:rsidR="00250BCB" w:rsidRPr="001F70CE" w:rsidRDefault="001F70CE">
      <w:pPr>
        <w:pStyle w:val="EPBodyTA1"/>
      </w:pPr>
      <w:r w:rsidRPr="001F70CE">
        <w:t>PRIJATÉ TEXTY</w:t>
      </w:r>
    </w:p>
    <w:p w:rsidR="00250BCB" w:rsidRPr="001F70CE" w:rsidRDefault="00250BCB">
      <w:pPr>
        <w:pStyle w:val="LineBottom"/>
      </w:pPr>
    </w:p>
    <w:p w:rsidR="00250BCB" w:rsidRPr="001F70CE" w:rsidRDefault="001F70CE">
      <w:pPr>
        <w:pStyle w:val="ATHeading1"/>
      </w:pPr>
      <w:bookmarkStart w:id="0" w:name="TANumber"/>
      <w:r w:rsidRPr="001F70CE">
        <w:t>P10_TA(2024)000</w:t>
      </w:r>
      <w:r w:rsidR="00487695" w:rsidRPr="001F70CE">
        <w:t>6</w:t>
      </w:r>
      <w:bookmarkEnd w:id="0"/>
    </w:p>
    <w:p w:rsidR="00250BCB" w:rsidRPr="001F70CE" w:rsidRDefault="001F70CE">
      <w:pPr>
        <w:pStyle w:val="ATHeading2"/>
      </w:pPr>
      <w:bookmarkStart w:id="1" w:name="title"/>
      <w:r w:rsidRPr="001F70CE">
        <w:t xml:space="preserve">Námietka </w:t>
      </w:r>
      <w:r w:rsidRPr="001F70CE">
        <w:t>voči vykonávaciemu aktu</w:t>
      </w:r>
      <w:r w:rsidRPr="001F70CE">
        <w:t xml:space="preserve">: </w:t>
      </w:r>
      <w:r w:rsidRPr="001F70CE">
        <w:t>m</w:t>
      </w:r>
      <w:r w:rsidRPr="001F70CE">
        <w:t xml:space="preserve">aximálne hladiny rezíduí </w:t>
      </w:r>
      <w:proofErr w:type="spellStart"/>
      <w:r w:rsidRPr="001F70CE">
        <w:t>karbendazímu</w:t>
      </w:r>
      <w:proofErr w:type="spellEnd"/>
      <w:r w:rsidRPr="001F70CE">
        <w:t xml:space="preserve"> a </w:t>
      </w:r>
      <w:proofErr w:type="spellStart"/>
      <w:r w:rsidRPr="001F70CE">
        <w:t>tiofanátmetylu</w:t>
      </w:r>
      <w:bookmarkEnd w:id="1"/>
      <w:proofErr w:type="spellEnd"/>
    </w:p>
    <w:p w:rsidR="00250BCB" w:rsidRPr="001F70CE" w:rsidRDefault="001F70CE">
      <w:pPr>
        <w:rPr>
          <w:i/>
          <w:vanish/>
        </w:rPr>
      </w:pPr>
      <w:r w:rsidRPr="001F70CE">
        <w:rPr>
          <w:i/>
        </w:rPr>
        <w:fldChar w:fldCharType="begin"/>
      </w:r>
      <w:r w:rsidRPr="001F70CE">
        <w:rPr>
          <w:i/>
        </w:rPr>
        <w:instrText xml:space="preserve"> TC"(</w:instrText>
      </w:r>
      <w:bookmarkStart w:id="2" w:name="DocNumber"/>
      <w:r w:rsidRPr="001F70CE">
        <w:rPr>
          <w:i/>
        </w:rPr>
        <w:instrText>B10-0020/2024</w:instrText>
      </w:r>
      <w:bookmarkEnd w:id="2"/>
      <w:r w:rsidRPr="001F70CE">
        <w:rPr>
          <w:i/>
        </w:rPr>
        <w:instrText xml:space="preserve">)"\l3 \n&gt; \* MERGEFORMAT </w:instrText>
      </w:r>
      <w:r w:rsidRPr="001F70CE">
        <w:rPr>
          <w:i/>
        </w:rPr>
        <w:fldChar w:fldCharType="end"/>
      </w:r>
    </w:p>
    <w:p w:rsidR="00250BCB" w:rsidRPr="001F70CE" w:rsidRDefault="001F70CE">
      <w:pPr>
        <w:rPr>
          <w:vanish/>
        </w:rPr>
      </w:pPr>
      <w:bookmarkStart w:id="3" w:name="PE"/>
      <w:r w:rsidRPr="001F70CE">
        <w:rPr>
          <w:vanish/>
        </w:rPr>
        <w:t>PE763.090</w:t>
      </w:r>
      <w:bookmarkEnd w:id="3"/>
    </w:p>
    <w:p w:rsidR="00250BCB" w:rsidRPr="001F70CE" w:rsidRDefault="001F70CE">
      <w:pPr>
        <w:pStyle w:val="ATHeading3"/>
      </w:pPr>
      <w:bookmarkStart w:id="4" w:name="Sujet"/>
      <w:r w:rsidRPr="001F70CE">
        <w:t xml:space="preserve">Uznesenie Európskeho parlamentu z </w:t>
      </w:r>
      <w:r w:rsidRPr="001F70CE">
        <w:t>18</w:t>
      </w:r>
      <w:r w:rsidRPr="001F70CE">
        <w:t xml:space="preserve">. septembra 2024 o návrhu nariadenia Komisie, ktorým sa menia prílohy II, III a V k nariadeniu Európskeho parlamentu a Rady (ES) č. 396/2005, pokiaľ ide o maximálne hladiny rezíduí </w:t>
      </w:r>
      <w:proofErr w:type="spellStart"/>
      <w:r w:rsidRPr="001F70CE">
        <w:t>benomylu</w:t>
      </w:r>
      <w:proofErr w:type="spellEnd"/>
      <w:r w:rsidRPr="001F70CE">
        <w:t xml:space="preserve">, </w:t>
      </w:r>
      <w:proofErr w:type="spellStart"/>
      <w:r w:rsidRPr="001F70CE">
        <w:t>karbendazímu</w:t>
      </w:r>
      <w:proofErr w:type="spellEnd"/>
      <w:r w:rsidRPr="001F70CE">
        <w:t xml:space="preserve"> a </w:t>
      </w:r>
      <w:proofErr w:type="spellStart"/>
      <w:r w:rsidRPr="001F70CE">
        <w:t>ti</w:t>
      </w:r>
      <w:r w:rsidRPr="001F70CE">
        <w:t>ofanát-metylu</w:t>
      </w:r>
      <w:proofErr w:type="spellEnd"/>
      <w:r w:rsidRPr="001F70CE">
        <w:t xml:space="preserve"> v určitých produktoch alebo na nich </w:t>
      </w:r>
      <w:bookmarkStart w:id="5" w:name="References"/>
      <w:bookmarkEnd w:id="4"/>
      <w:r w:rsidRPr="001F70CE">
        <w:t>(D089819/05 – 2024/2758(RPS))</w:t>
      </w:r>
      <w:bookmarkEnd w:id="5"/>
    </w:p>
    <w:p w:rsidR="00250BCB" w:rsidRPr="001F70CE" w:rsidRDefault="001F70CE">
      <w:pPr>
        <w:pStyle w:val="EPComma"/>
      </w:pPr>
      <w:bookmarkStart w:id="6" w:name="TextBodyBegin"/>
      <w:bookmarkEnd w:id="6"/>
      <w:r w:rsidRPr="001F70CE">
        <w:rPr>
          <w:i/>
        </w:rPr>
        <w:t>Európsky parlament</w:t>
      </w:r>
      <w:r w:rsidRPr="001F70CE">
        <w:t>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zreteľom na návrh nariadenia Komisie, ktorým sa menia prílohy II, III a V k nariadeniu Európskeho parlamentu a Rady (ES) č. 396/2005, pokiaľ ide o max</w:t>
      </w:r>
      <w:r w:rsidRPr="001F70CE">
        <w:t xml:space="preserve">imálne hladiny rezíduí </w:t>
      </w:r>
      <w:proofErr w:type="spellStart"/>
      <w:r w:rsidRPr="001F70CE">
        <w:t>benomylu</w:t>
      </w:r>
      <w:proofErr w:type="spellEnd"/>
      <w:r w:rsidRPr="001F70CE">
        <w:t xml:space="preserve">, </w:t>
      </w:r>
      <w:proofErr w:type="spellStart"/>
      <w:r w:rsidRPr="001F70CE">
        <w:t>karbendazímu</w:t>
      </w:r>
      <w:proofErr w:type="spellEnd"/>
      <w:r w:rsidRPr="001F70CE">
        <w:t xml:space="preserve"> a </w:t>
      </w:r>
      <w:proofErr w:type="spellStart"/>
      <w:r w:rsidRPr="001F70CE">
        <w:t>tiofanát-metylu</w:t>
      </w:r>
      <w:proofErr w:type="spellEnd"/>
      <w:r w:rsidRPr="001F70CE">
        <w:t xml:space="preserve"> v určitých produktoch alebo na nich (D089819/05),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zreteľom na nariadenie Európskeho parlamentu a Rady (ES) č. 396/2005 z 23. februára 2005 o maximálnych hladinách rezíduí pesticídov v ale</w:t>
      </w:r>
      <w:r w:rsidRPr="001F70CE">
        <w:t>bo na potravinách a krmivách rastlinného a živočíšneho pôvodu a o zmene smernice Rady 91/414/EHS</w:t>
      </w:r>
      <w:r w:rsidRPr="001F70CE">
        <w:rPr>
          <w:vertAlign w:val="superscript"/>
        </w:rPr>
        <w:footnoteReference w:id="1"/>
      </w:r>
      <w:r w:rsidRPr="001F70CE">
        <w:t>, a najmä na jeho článok 14 ods. 1 písm. a),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zreteľom na nariadenie Európskeho parlamentu a Rady (ES) č. 1107/2009 z 21. októbra 2009 o uvádzaní prípravko</w:t>
      </w:r>
      <w:r w:rsidRPr="001F70CE">
        <w:t>v na ochranu rastlín na trh a o zrušení smerníc Rady 79/117/EHS a 91/414/EHS</w:t>
      </w:r>
      <w:r w:rsidRPr="001F70CE">
        <w:rPr>
          <w:vertAlign w:val="superscript"/>
        </w:rPr>
        <w:footnoteReference w:id="2"/>
      </w:r>
      <w:r w:rsidRPr="001F70CE">
        <w:t xml:space="preserve">, a najmä na jeho článok 4 ods. 1 a článok 4 ods. 2 prvý </w:t>
      </w:r>
      <w:proofErr w:type="spellStart"/>
      <w:r w:rsidRPr="001F70CE">
        <w:t>pododsek</w:t>
      </w:r>
      <w:proofErr w:type="spellEnd"/>
      <w:r w:rsidRPr="001F70CE">
        <w:t xml:space="preserve"> písm. a) a body 3.6.2, 3.6.4 a 3.6.5 prílohy II,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zreteľom na nariadenie Európskeho parlamentu a Rady (ES) č.</w:t>
      </w:r>
      <w:r w:rsidRPr="001F70CE">
        <w:t> 178/2002 z 28. januára 2002, ktorým sa ustanovujú všeobecné zásady a požiadavky potravinového práva, zriaďuje Európsky úrad pre bezpečnosť potravín a stanovujú postupy v záležitostiach bezpečnosti potravín</w:t>
      </w:r>
      <w:r w:rsidRPr="001F70CE">
        <w:rPr>
          <w:vertAlign w:val="superscript"/>
        </w:rPr>
        <w:footnoteReference w:id="3"/>
      </w:r>
      <w:r w:rsidRPr="001F70CE">
        <w:t>, a najmä na jeho článok 5 ods. 1,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 xml:space="preserve">so zreteľom </w:t>
      </w:r>
      <w:r w:rsidRPr="001F70CE">
        <w:t>na články 11, 13, 168 a 191 Zmluvy o fungovaní Európskej únie,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 xml:space="preserve">so zreteľom na odôvodnené stanovisko prijaté Európskym úradom pre bezpečnosť </w:t>
      </w:r>
      <w:r w:rsidRPr="001F70CE">
        <w:lastRenderedPageBreak/>
        <w:t>potravín (ďalej len „EFSA“) 5. júla 2021 a uverejnené 23. augusta 2021</w:t>
      </w:r>
      <w:r w:rsidRPr="001F70CE">
        <w:rPr>
          <w:vertAlign w:val="superscript"/>
        </w:rPr>
        <w:footnoteReference w:id="4"/>
      </w:r>
      <w:r w:rsidRPr="001F70CE">
        <w:t>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zreteľom na aktualizované odôvodnené</w:t>
      </w:r>
      <w:r w:rsidRPr="001F70CE">
        <w:t xml:space="preserve"> stanovisko prijaté úradom EFSA 10. januára 2024 a uverejnené 20. februára 2024</w:t>
      </w:r>
      <w:r w:rsidRPr="001F70CE">
        <w:rPr>
          <w:rStyle w:val="FootnoteReference"/>
        </w:rPr>
        <w:footnoteReference w:id="5"/>
      </w:r>
      <w:r w:rsidRPr="001F70CE">
        <w:t>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zreteľom na záver k partnerskému preskúmaniu pesticídov, ktorý schválil EFSA 30. apríla 2010 a bol uverejnený 12. mája 2010</w:t>
      </w:r>
      <w:r w:rsidRPr="001F70CE">
        <w:rPr>
          <w:vertAlign w:val="superscript"/>
        </w:rPr>
        <w:footnoteReference w:id="6"/>
      </w:r>
      <w:r w:rsidRPr="001F70CE">
        <w:t>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 xml:space="preserve">so zreteľom na záver k partnerskému </w:t>
      </w:r>
      <w:r w:rsidRPr="001F70CE">
        <w:t>preskúmaniu pesticídov, ktorý bol schválený EFSA 8. decembra 2017 a bol uverejnený 17. januára 2018</w:t>
      </w:r>
      <w:r w:rsidRPr="001F70CE">
        <w:rPr>
          <w:vertAlign w:val="superscript"/>
        </w:rPr>
        <w:footnoteReference w:id="7"/>
      </w:r>
      <w:r w:rsidRPr="001F70CE">
        <w:t>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zreteľom na stanovisko prijaté úradom EFSA 27. marca 2024 a uverejnené 13. mája 2024</w:t>
      </w:r>
      <w:r w:rsidRPr="001F70CE">
        <w:rPr>
          <w:vertAlign w:val="superscript"/>
        </w:rPr>
        <w:footnoteReference w:id="8"/>
      </w:r>
      <w:r w:rsidRPr="001F70CE">
        <w:t>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zreteľom na stanovisko prijaté Výborom pre hodnotenie riz</w:t>
      </w:r>
      <w:r w:rsidRPr="001F70CE">
        <w:t>ík Európskej chemickej agentúry 5. decembra 2019</w:t>
      </w:r>
      <w:r w:rsidRPr="001F70CE">
        <w:rPr>
          <w:rStyle w:val="FootnoteReference"/>
        </w:rPr>
        <w:footnoteReference w:id="9"/>
      </w:r>
      <w:r w:rsidRPr="001F70CE">
        <w:t>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zreteľom na článok 5a ods. 3 písm. b) a článok 5a ods. 5 rozhodnutia Rady 1999/468/ES z 28. júna 1999, ktorým sa ustanovujú postupy pre výkon vykonávacích právomocí prenesených na Komisiu</w:t>
      </w:r>
      <w:r w:rsidRPr="001F70CE">
        <w:rPr>
          <w:rStyle w:val="FootnoteReference"/>
        </w:rPr>
        <w:footnoteReference w:id="10"/>
      </w:r>
      <w:r w:rsidRPr="001F70CE">
        <w:t>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</w:t>
      </w:r>
      <w:r w:rsidRPr="001F70CE">
        <w:t>ľom na článok 115 ods. 2 a 3 a 4 písm. c) rokovacieho poriadku,</w:t>
      </w:r>
    </w:p>
    <w:p w:rsidR="00250BCB" w:rsidRPr="001F70CE" w:rsidRDefault="001F70CE">
      <w:pPr>
        <w:pStyle w:val="NormalHanging12a"/>
      </w:pPr>
      <w:r w:rsidRPr="001F70CE">
        <w:t>–</w:t>
      </w:r>
      <w:r w:rsidRPr="001F70CE">
        <w:tab/>
        <w:t>so zreteľom na návrh uznesenia Výboru pre životné prostredie, verejné zdravie a bezpečnosť potravín,</w:t>
      </w:r>
    </w:p>
    <w:p w:rsidR="00250BCB" w:rsidRPr="001F70CE" w:rsidRDefault="001F70CE">
      <w:pPr>
        <w:pStyle w:val="NormalHanging12a"/>
      </w:pPr>
      <w:r w:rsidRPr="001F70CE">
        <w:t>A.</w:t>
      </w:r>
      <w:r w:rsidRPr="001F70CE">
        <w:tab/>
        <w:t>keďže protesty poľnohospodárov, ktoré sa uskutočnili v prvom polroku 2024, mali ako je</w:t>
      </w:r>
      <w:r w:rsidRPr="001F70CE">
        <w:t>dnu zo svojich hlavných požiadaviek spravodlivé a rovnaké zaobchádzanie s výrobkami dovážanými z tretích krajín, ktoré by sa mali riadiť rovnakými normami ako výrobky vyrábané v Únii;</w:t>
      </w:r>
    </w:p>
    <w:p w:rsidR="00250BCB" w:rsidRPr="001F70CE" w:rsidRDefault="001F70CE">
      <w:pPr>
        <w:pStyle w:val="NormalHanging12a"/>
      </w:pPr>
      <w:r w:rsidRPr="001F70CE">
        <w:lastRenderedPageBreak/>
        <w:t>B.</w:t>
      </w:r>
      <w:r w:rsidRPr="001F70CE">
        <w:tab/>
        <w:t>keďže prijatie návrhu nariadenia Komisie by umožnilo pokračovať v dov</w:t>
      </w:r>
      <w:r w:rsidRPr="001F70CE">
        <w:t>oze do Únie, ktorý nie je v súlade s normami, ktoré poľnohospodári Únie dodržiavajú;</w:t>
      </w:r>
    </w:p>
    <w:p w:rsidR="00250BCB" w:rsidRPr="001F70CE" w:rsidRDefault="001F70CE">
      <w:pPr>
        <w:pStyle w:val="NormalHanging12a"/>
      </w:pPr>
      <w:r w:rsidRPr="001F70CE">
        <w:t>C.</w:t>
      </w:r>
      <w:r w:rsidRPr="001F70CE">
        <w:tab/>
        <w:t>keďže takáto situácia by poľnohospodárov Únie v hospodárskej súťaži znevýhodnila;</w:t>
      </w:r>
    </w:p>
    <w:p w:rsidR="00250BCB" w:rsidRPr="001F70CE" w:rsidRDefault="001F70CE">
      <w:pPr>
        <w:pStyle w:val="NormalHanging12a"/>
      </w:pPr>
      <w:r w:rsidRPr="001F70CE">
        <w:t>D.</w:t>
      </w:r>
      <w:r w:rsidRPr="001F70CE">
        <w:tab/>
        <w:t xml:space="preserve">keďže platnosť schválenia účinnej látky </w:t>
      </w:r>
      <w:proofErr w:type="spellStart"/>
      <w:r w:rsidRPr="001F70CE">
        <w:t>karbendazím</w:t>
      </w:r>
      <w:proofErr w:type="spellEnd"/>
      <w:r w:rsidRPr="001F70CE">
        <w:t xml:space="preserve"> skončila 30. novembra 2014 a ne</w:t>
      </w:r>
      <w:r w:rsidRPr="001F70CE">
        <w:t>bola predložená žiadna žiadosť o obnovenie jej schválenia;</w:t>
      </w:r>
    </w:p>
    <w:p w:rsidR="00250BCB" w:rsidRPr="001F70CE" w:rsidRDefault="001F70CE">
      <w:pPr>
        <w:pStyle w:val="NormalHanging12a"/>
      </w:pPr>
      <w:r w:rsidRPr="001F70CE">
        <w:t>E.</w:t>
      </w:r>
      <w:r w:rsidRPr="001F70CE">
        <w:tab/>
        <w:t xml:space="preserve">keďže </w:t>
      </w:r>
      <w:proofErr w:type="spellStart"/>
      <w:r w:rsidRPr="001F70CE">
        <w:t>karbendazím</w:t>
      </w:r>
      <w:proofErr w:type="spellEnd"/>
      <w:r w:rsidRPr="001F70CE">
        <w:t xml:space="preserve"> spĺňa kritériá klasifikácie ako </w:t>
      </w:r>
      <w:proofErr w:type="spellStart"/>
      <w:r w:rsidRPr="001F70CE">
        <w:t>mutagén</w:t>
      </w:r>
      <w:proofErr w:type="spellEnd"/>
      <w:r w:rsidRPr="001F70CE">
        <w:t xml:space="preserve"> kategórie 1B a reprodukčne toxická látka kategórie 1B v súlade s nariadením Európskeho parlamentu a Rady (ES) č. 1272/2008</w:t>
      </w:r>
      <w:r w:rsidRPr="001F70CE">
        <w:rPr>
          <w:rStyle w:val="FootnoteReference"/>
        </w:rPr>
        <w:footnoteReference w:id="11"/>
      </w:r>
      <w:r w:rsidRPr="001F70CE">
        <w:t xml:space="preserve"> a dve z krit</w:t>
      </w:r>
      <w:r w:rsidRPr="001F70CE">
        <w:t xml:space="preserve">érií </w:t>
      </w:r>
      <w:proofErr w:type="spellStart"/>
      <w:r w:rsidRPr="001F70CE">
        <w:t>perzistentných</w:t>
      </w:r>
      <w:proofErr w:type="spellEnd"/>
      <w:r w:rsidRPr="001F70CE">
        <w:t xml:space="preserve">, </w:t>
      </w:r>
      <w:proofErr w:type="spellStart"/>
      <w:r w:rsidRPr="001F70CE">
        <w:t>bioakumulatívnych</w:t>
      </w:r>
      <w:proofErr w:type="spellEnd"/>
      <w:r w:rsidRPr="001F70CE">
        <w:t xml:space="preserve"> a toxických (PBT) kritérií (P a T) v súlade s bodom 3.7.2 prílohy II k nariadeniu (ES) č. 1107/2009;</w:t>
      </w:r>
    </w:p>
    <w:p w:rsidR="00250BCB" w:rsidRPr="001F70CE" w:rsidRDefault="001F70CE">
      <w:pPr>
        <w:pStyle w:val="NormalHanging12a"/>
      </w:pPr>
      <w:r w:rsidRPr="001F70CE">
        <w:t>F.</w:t>
      </w:r>
      <w:r w:rsidRPr="001F70CE">
        <w:tab/>
        <w:t xml:space="preserve">keďže </w:t>
      </w:r>
      <w:proofErr w:type="spellStart"/>
      <w:r w:rsidRPr="001F70CE">
        <w:t>karbendazím</w:t>
      </w:r>
      <w:proofErr w:type="spellEnd"/>
      <w:r w:rsidRPr="001F70CE">
        <w:t xml:space="preserve"> je tiež klasifikovaný v súlade s nariadením (ES) č. 1272/2008 ako veľmi toxický pre vodné organ</w:t>
      </w:r>
      <w:r w:rsidRPr="001F70CE">
        <w:t>izmy, je veľmi toxický pre vodné organizmy s dlhodobými účinkami a môže vyvolať alergickú kožnú reakciu;</w:t>
      </w:r>
    </w:p>
    <w:p w:rsidR="00250BCB" w:rsidRPr="001F70CE" w:rsidRDefault="001F70CE">
      <w:pPr>
        <w:pStyle w:val="NormalHanging12a"/>
      </w:pPr>
      <w:r w:rsidRPr="001F70CE">
        <w:t>G.</w:t>
      </w:r>
      <w:r w:rsidRPr="001F70CE">
        <w:tab/>
        <w:t>keďže je preto vhodné vypustiť existujúce maximálne hladiny rezíduí (</w:t>
      </w:r>
      <w:r w:rsidRPr="001F70CE">
        <w:t>ďalej len „</w:t>
      </w:r>
      <w:r w:rsidRPr="001F70CE">
        <w:t>MRL</w:t>
      </w:r>
      <w:r w:rsidRPr="001F70CE">
        <w:t>“</w:t>
      </w:r>
      <w:r w:rsidRPr="001F70CE">
        <w:t xml:space="preserve">) stanovené pre </w:t>
      </w:r>
      <w:proofErr w:type="spellStart"/>
      <w:r w:rsidRPr="001F70CE">
        <w:t>karbendazím</w:t>
      </w:r>
      <w:proofErr w:type="spellEnd"/>
      <w:r w:rsidRPr="001F70CE">
        <w:t xml:space="preserve"> z prílohy II k nariadeniu (ES) č. 39</w:t>
      </w:r>
      <w:r w:rsidRPr="001F70CE">
        <w:t>6/2005 v súlade s článkom 14 ods. 1 písm. a) a článkom 17 uvedeného nariadenia;</w:t>
      </w:r>
    </w:p>
    <w:p w:rsidR="00250BCB" w:rsidRPr="001F70CE" w:rsidRDefault="001F70CE">
      <w:pPr>
        <w:pStyle w:val="NormalHanging12a"/>
      </w:pPr>
      <w:r w:rsidRPr="001F70CE">
        <w:t>H.</w:t>
      </w:r>
      <w:r w:rsidRPr="001F70CE">
        <w:tab/>
        <w:t xml:space="preserve">keďže však Komisia v návrhu nariadenia Komisie navrhuje zachovať MRL založené na dovozných toleranciách pre </w:t>
      </w:r>
      <w:proofErr w:type="spellStart"/>
      <w:r w:rsidRPr="001F70CE">
        <w:t>karbendazím</w:t>
      </w:r>
      <w:proofErr w:type="spellEnd"/>
      <w:r w:rsidRPr="001F70CE">
        <w:t xml:space="preserve"> nad limitom detekcie na použitie na citrónoch, </w:t>
      </w:r>
      <w:proofErr w:type="spellStart"/>
      <w:r w:rsidRPr="001F70CE">
        <w:t>limetá</w:t>
      </w:r>
      <w:r w:rsidRPr="001F70CE">
        <w:t>ch</w:t>
      </w:r>
      <w:proofErr w:type="spellEnd"/>
      <w:r w:rsidRPr="001F70CE">
        <w:t>, mandarínkach a okre/</w:t>
      </w:r>
      <w:proofErr w:type="spellStart"/>
      <w:r w:rsidRPr="001F70CE">
        <w:t>gombe</w:t>
      </w:r>
      <w:proofErr w:type="spellEnd"/>
      <w:r w:rsidRPr="001F70CE">
        <w:t xml:space="preserve"> na účely dovozu na základe odôvodneného stanoviska úradu EFSA z 5. júla 2021;</w:t>
      </w:r>
    </w:p>
    <w:p w:rsidR="00250BCB" w:rsidRPr="001F70CE" w:rsidRDefault="001F70CE">
      <w:pPr>
        <w:pStyle w:val="NormalHanging12a"/>
      </w:pPr>
      <w:r w:rsidRPr="001F70CE">
        <w:t>I.</w:t>
      </w:r>
      <w:r w:rsidRPr="001F70CE">
        <w:tab/>
        <w:t xml:space="preserve">keďže v návrhu nariadenia Komisie Komisia navrhuje zachovať MRL založené na dovozných toleranciách pre citróny, </w:t>
      </w:r>
      <w:proofErr w:type="spellStart"/>
      <w:r w:rsidRPr="001F70CE">
        <w:t>limety</w:t>
      </w:r>
      <w:proofErr w:type="spellEnd"/>
      <w:r w:rsidRPr="001F70CE">
        <w:t xml:space="preserve"> a mandarínky na existujúci</w:t>
      </w:r>
      <w:r w:rsidRPr="001F70CE">
        <w:t>ch hladinách 0,7 mg/kg a stanoviť MRL pre okru/</w:t>
      </w:r>
      <w:proofErr w:type="spellStart"/>
      <w:r w:rsidRPr="001F70CE">
        <w:t>gombo</w:t>
      </w:r>
      <w:proofErr w:type="spellEnd"/>
      <w:r w:rsidRPr="001F70CE">
        <w:t xml:space="preserve"> na novú úroveň stanovenú úradom EFSA na úrovni 1,5 mg/kg; </w:t>
      </w:r>
    </w:p>
    <w:p w:rsidR="00250BCB" w:rsidRPr="001F70CE" w:rsidRDefault="001F70CE">
      <w:pPr>
        <w:pStyle w:val="NormalHanging12a"/>
      </w:pPr>
      <w:r w:rsidRPr="001F70CE">
        <w:t>J.</w:t>
      </w:r>
      <w:r w:rsidRPr="001F70CE">
        <w:tab/>
        <w:t xml:space="preserve">keďže schválenie účinnej látky </w:t>
      </w:r>
      <w:proofErr w:type="spellStart"/>
      <w:r w:rsidRPr="001F70CE">
        <w:t>tiofanát-metyl</w:t>
      </w:r>
      <w:proofErr w:type="spellEnd"/>
      <w:r w:rsidRPr="001F70CE">
        <w:t xml:space="preserve"> nebolo 15. októbra 2020 obnovené po tom, ako žiadateľ stiahol žiadosť o obnovenie;</w:t>
      </w:r>
    </w:p>
    <w:p w:rsidR="00250BCB" w:rsidRPr="001F70CE" w:rsidRDefault="001F70CE">
      <w:pPr>
        <w:pStyle w:val="NormalHanging12a"/>
      </w:pPr>
      <w:r w:rsidRPr="001F70CE">
        <w:t>K.</w:t>
      </w:r>
      <w:r w:rsidRPr="001F70CE">
        <w:tab/>
        <w:t xml:space="preserve">keďže </w:t>
      </w:r>
      <w:proofErr w:type="spellStart"/>
      <w:r w:rsidRPr="001F70CE">
        <w:t>tio</w:t>
      </w:r>
      <w:r w:rsidRPr="001F70CE">
        <w:t>fanát-metyl</w:t>
      </w:r>
      <w:proofErr w:type="spellEnd"/>
      <w:r w:rsidRPr="001F70CE">
        <w:t xml:space="preserve"> spĺňa kritériá klasifikácie ako </w:t>
      </w:r>
      <w:proofErr w:type="spellStart"/>
      <w:r w:rsidRPr="001F70CE">
        <w:t>mutagén</w:t>
      </w:r>
      <w:proofErr w:type="spellEnd"/>
      <w:r w:rsidRPr="001F70CE">
        <w:t xml:space="preserve"> kategórie 2 a reprodukčne toxická látka kategórie 2 v súlade s nariadením (ES) č. 1272/2008</w:t>
      </w:r>
      <w:r w:rsidRPr="001F70CE">
        <w:rPr>
          <w:rStyle w:val="FootnoteReference"/>
        </w:rPr>
        <w:footnoteReference w:id="12"/>
      </w:r>
      <w:r w:rsidRPr="001F70CE">
        <w:t>;</w:t>
      </w:r>
    </w:p>
    <w:p w:rsidR="00250BCB" w:rsidRPr="001F70CE" w:rsidRDefault="001F70CE">
      <w:pPr>
        <w:pStyle w:val="NormalHanging12a"/>
      </w:pPr>
      <w:r w:rsidRPr="001F70CE">
        <w:t>L.</w:t>
      </w:r>
      <w:r w:rsidRPr="001F70CE">
        <w:tab/>
        <w:t xml:space="preserve">keďže EFSA vo svojom aktualizovanom odôvodnenom stanovisku z 10. januára 2024 identifikoval </w:t>
      </w:r>
      <w:proofErr w:type="spellStart"/>
      <w:r w:rsidRPr="001F70CE">
        <w:t>tiofanát-metyl</w:t>
      </w:r>
      <w:proofErr w:type="spellEnd"/>
      <w:r w:rsidRPr="001F70CE">
        <w:t xml:space="preserve"> </w:t>
      </w:r>
      <w:r w:rsidRPr="001F70CE">
        <w:t xml:space="preserve">ako endokrinný </w:t>
      </w:r>
      <w:proofErr w:type="spellStart"/>
      <w:r w:rsidRPr="001F70CE">
        <w:t>disruptor</w:t>
      </w:r>
      <w:proofErr w:type="spellEnd"/>
      <w:r w:rsidRPr="001F70CE">
        <w:t xml:space="preserve"> (modalita T) relevantný pre ľudí podľa vedeckých kritérií na určenie vlastností narúšajúcich endokrinný systém </w:t>
      </w:r>
      <w:r w:rsidRPr="001F70CE">
        <w:lastRenderedPageBreak/>
        <w:t>stanovených v nariadení Komisie (EÚ) 2018/605</w:t>
      </w:r>
      <w:r w:rsidRPr="001F70CE">
        <w:rPr>
          <w:rStyle w:val="FootnoteReference"/>
        </w:rPr>
        <w:footnoteReference w:id="13"/>
      </w:r>
      <w:r w:rsidRPr="001F70CE">
        <w:t>;</w:t>
      </w:r>
    </w:p>
    <w:p w:rsidR="00250BCB" w:rsidRPr="001F70CE" w:rsidRDefault="001F70CE">
      <w:pPr>
        <w:pStyle w:val="NormalHanging12a"/>
      </w:pPr>
      <w:r w:rsidRPr="001F70CE">
        <w:t>M.</w:t>
      </w:r>
      <w:r w:rsidRPr="001F70CE">
        <w:tab/>
        <w:t xml:space="preserve">keďže </w:t>
      </w:r>
      <w:proofErr w:type="spellStart"/>
      <w:r w:rsidRPr="001F70CE">
        <w:t>karbendazím</w:t>
      </w:r>
      <w:proofErr w:type="spellEnd"/>
      <w:r w:rsidRPr="001F70CE">
        <w:t xml:space="preserve"> je významným rastlinným </w:t>
      </w:r>
      <w:proofErr w:type="spellStart"/>
      <w:r w:rsidRPr="001F70CE">
        <w:t>metabolitom</w:t>
      </w:r>
      <w:proofErr w:type="spellEnd"/>
      <w:r w:rsidRPr="001F70CE">
        <w:t xml:space="preserve"> </w:t>
      </w:r>
      <w:proofErr w:type="spellStart"/>
      <w:r w:rsidRPr="001F70CE">
        <w:t>tiofanát-metylu</w:t>
      </w:r>
      <w:proofErr w:type="spellEnd"/>
      <w:r w:rsidRPr="001F70CE">
        <w:t>;</w:t>
      </w:r>
    </w:p>
    <w:p w:rsidR="00250BCB" w:rsidRPr="001F70CE" w:rsidRDefault="001F70CE">
      <w:pPr>
        <w:pStyle w:val="NormalHanging12a"/>
      </w:pPr>
      <w:r w:rsidRPr="001F70CE">
        <w:t>N.</w:t>
      </w:r>
      <w:r w:rsidRPr="001F70CE">
        <w:tab/>
        <w:t xml:space="preserve">keďže v závere úradu EFSA o partnerskom preskúmaní pesticídov z 8. decembra 2017 sa dospelo k záveru, že vzhľadom na </w:t>
      </w:r>
      <w:proofErr w:type="spellStart"/>
      <w:r w:rsidRPr="001F70CE">
        <w:t>klastogénny</w:t>
      </w:r>
      <w:proofErr w:type="spellEnd"/>
      <w:r w:rsidRPr="001F70CE">
        <w:t xml:space="preserve"> potenciál </w:t>
      </w:r>
      <w:proofErr w:type="spellStart"/>
      <w:r w:rsidRPr="001F70CE">
        <w:t>tiofanát-metylu</w:t>
      </w:r>
      <w:proofErr w:type="spellEnd"/>
      <w:r w:rsidRPr="001F70CE">
        <w:noBreakHyphen/>
        <w:t xml:space="preserve"> nebolo možné odvodiť toxikologické referenčné hodnoty pre posúdenie rizika pre spotrebiteľov a </w:t>
      </w:r>
      <w:r w:rsidRPr="001F70CE">
        <w:t>operátorov;</w:t>
      </w:r>
    </w:p>
    <w:p w:rsidR="00250BCB" w:rsidRPr="001F70CE" w:rsidRDefault="001F70CE">
      <w:pPr>
        <w:pStyle w:val="NormalHanging12a"/>
      </w:pPr>
      <w:r w:rsidRPr="001F70CE">
        <w:t>O.</w:t>
      </w:r>
      <w:r w:rsidRPr="001F70CE">
        <w:tab/>
        <w:t xml:space="preserve">keďže v roku 2024 Komisia znížila MRL </w:t>
      </w:r>
      <w:proofErr w:type="spellStart"/>
      <w:r w:rsidRPr="001F70CE">
        <w:t>tiaklopridu</w:t>
      </w:r>
      <w:proofErr w:type="spellEnd"/>
      <w:r w:rsidRPr="001F70CE">
        <w:t xml:space="preserve">, účinnej látky klasifikovanej ako reprodukčne toxická kategórie 1B, na príslušný </w:t>
      </w:r>
      <w:proofErr w:type="spellStart"/>
      <w:r w:rsidRPr="001F70CE">
        <w:t>kvanitifikačný</w:t>
      </w:r>
      <w:proofErr w:type="spellEnd"/>
      <w:r w:rsidRPr="001F70CE">
        <w:t xml:space="preserve"> limit, pričom tvrdila, že „pred dokončením dodatočného posúdenia rizika [v súvislosti s účinkam</w:t>
      </w:r>
      <w:r w:rsidRPr="001F70CE">
        <w:t>i súvisiacimi s endokrinným systémom] úradom a vzhľadom na dostupné relevantné informácie, pokiaľ ide o potenciálne škodlivé účinky na ľudské zdravie, je vhodné dočasne znížiť MRL... [pre tieto výrobky]“</w:t>
      </w:r>
      <w:r w:rsidRPr="001F70CE">
        <w:rPr>
          <w:rStyle w:val="FootnoteReference"/>
        </w:rPr>
        <w:footnoteReference w:id="14"/>
      </w:r>
      <w:r w:rsidRPr="001F70CE">
        <w:t>;</w:t>
      </w:r>
    </w:p>
    <w:p w:rsidR="00250BCB" w:rsidRPr="001F70CE" w:rsidRDefault="001F70CE">
      <w:pPr>
        <w:pStyle w:val="NormalHanging12a"/>
      </w:pPr>
      <w:r w:rsidRPr="001F70CE">
        <w:t>P.</w:t>
      </w:r>
      <w:r w:rsidRPr="001F70CE">
        <w:tab/>
        <w:t>keďže je preto vhodné vypustiť existujúce MRL s</w:t>
      </w:r>
      <w:r w:rsidRPr="001F70CE">
        <w:t xml:space="preserve">tanovené pre  </w:t>
      </w:r>
      <w:proofErr w:type="spellStart"/>
      <w:r w:rsidRPr="001F70CE">
        <w:t>tiofanát-metyl</w:t>
      </w:r>
      <w:proofErr w:type="spellEnd"/>
      <w:r w:rsidRPr="001F70CE">
        <w:t xml:space="preserve"> z prílohy II k nariadeniu (ES) č. 396/2005 v súlade s článkom 14 ods. 1 písm. a) a článkom 17 uvedeného nariadenia;</w:t>
      </w:r>
    </w:p>
    <w:p w:rsidR="00250BCB" w:rsidRPr="001F70CE" w:rsidRDefault="001F70CE">
      <w:pPr>
        <w:pStyle w:val="NormalHanging12a"/>
      </w:pPr>
      <w:r w:rsidRPr="001F70CE">
        <w:t>Q.</w:t>
      </w:r>
      <w:r w:rsidRPr="001F70CE">
        <w:tab/>
        <w:t xml:space="preserve">keďže však Komisia v návrhu nariadenia Komisie navrhuje zachovať MRL založené na dovozných toleranciách pre </w:t>
      </w:r>
      <w:proofErr w:type="spellStart"/>
      <w:r w:rsidRPr="001F70CE">
        <w:t>tiofanát-metyl</w:t>
      </w:r>
      <w:proofErr w:type="spellEnd"/>
      <w:r w:rsidRPr="001F70CE">
        <w:t xml:space="preserve"> nad limitom detekcie na použitie na </w:t>
      </w:r>
      <w:proofErr w:type="spellStart"/>
      <w:r w:rsidRPr="001F70CE">
        <w:t>limetách</w:t>
      </w:r>
      <w:proofErr w:type="spellEnd"/>
      <w:r w:rsidRPr="001F70CE">
        <w:t xml:space="preserve"> a okre/</w:t>
      </w:r>
      <w:proofErr w:type="spellStart"/>
      <w:r w:rsidRPr="001F70CE">
        <w:t>gombe</w:t>
      </w:r>
      <w:proofErr w:type="spellEnd"/>
      <w:r w:rsidRPr="001F70CE">
        <w:t xml:space="preserve"> na účely dovozu na základe odôvodneného stanoviska úradu EFSA z 5. júla 2021; keďže MRL pre </w:t>
      </w:r>
      <w:proofErr w:type="spellStart"/>
      <w:r w:rsidRPr="001F70CE">
        <w:t>tiofanát-metyl</w:t>
      </w:r>
      <w:proofErr w:type="spellEnd"/>
      <w:r w:rsidRPr="001F70CE">
        <w:t xml:space="preserve"> na </w:t>
      </w:r>
      <w:proofErr w:type="spellStart"/>
      <w:r w:rsidRPr="001F70CE">
        <w:t>limetách</w:t>
      </w:r>
      <w:proofErr w:type="spellEnd"/>
      <w:r w:rsidRPr="001F70CE">
        <w:t xml:space="preserve"> je stanovená na 6 mg/kg, čo je 600-násobok kvantifikačného limit</w:t>
      </w:r>
      <w:r w:rsidRPr="001F70CE">
        <w:t>u;</w:t>
      </w:r>
    </w:p>
    <w:p w:rsidR="00250BCB" w:rsidRPr="001F70CE" w:rsidRDefault="001F70CE">
      <w:pPr>
        <w:pStyle w:val="NormalHanging12a"/>
      </w:pPr>
      <w:r w:rsidRPr="001F70CE">
        <w:t>R.</w:t>
      </w:r>
      <w:r w:rsidRPr="001F70CE">
        <w:tab/>
        <w:t xml:space="preserve">keďže v nariadení (ES) č. 396/2005 sa v odôvodnení 5 stanovuje, že prítomnosť rezíduí by nemala dosahovať úrovne predstavujúce neprijateľné riziko pre ľudí a v relevantných prípadoch aj pre zvieratá; </w:t>
      </w:r>
    </w:p>
    <w:p w:rsidR="00250BCB" w:rsidRPr="001F70CE" w:rsidRDefault="001F70CE">
      <w:pPr>
        <w:pStyle w:val="NormalHanging12a"/>
      </w:pPr>
      <w:r w:rsidRPr="001F70CE">
        <w:t>S.</w:t>
      </w:r>
      <w:r w:rsidRPr="001F70CE">
        <w:tab/>
        <w:t xml:space="preserve">keďže v článku 4 ods. 2 prvom </w:t>
      </w:r>
      <w:proofErr w:type="spellStart"/>
      <w:r w:rsidRPr="001F70CE">
        <w:t>pododseku</w:t>
      </w:r>
      <w:proofErr w:type="spellEnd"/>
      <w:r w:rsidRPr="001F70CE">
        <w:t xml:space="preserve"> písm. </w:t>
      </w:r>
      <w:r w:rsidRPr="001F70CE">
        <w:t>a) nariadenia (ES) č. 1107/2009 sa stanovuje, že rezíduá prípravkov na ochranu rastlín nemajú žiadny škodlivý účinok na zdravie ľudí vrátane zraniteľných skupín alebo na zdravie zvierat pri zohľadnení známych kumulatívnych a synergických účinkov; keďže v b</w:t>
      </w:r>
      <w:r w:rsidRPr="001F70CE">
        <w:t>ode 3.6.2 prílohy II k uvedenému nariadeniu sa stanovuje, že účinná látka klasifikovaná v súlade s nariadením (ES) č. 1272/2008 ako mutagénna kategórie 1A alebo 1B sa neschvaľuje; keďže v bode 3.6.4 uvedenej prílohy sa stanovuje, že účinná látka klasifikov</w:t>
      </w:r>
      <w:r w:rsidRPr="001F70CE">
        <w:t>aná v súlade s nariadením (ES) č. 1272/2008 ako reprodukčne toxická kategórie 1A alebo 1B sa neschváli s výnimkou prípadu, keď „rezíduá príslušnej účinnej látky [...] v potravinách a krmive neprekračujú štandardné hodnoty stanovené v súlade s článkom 18 od</w:t>
      </w:r>
      <w:r w:rsidRPr="001F70CE">
        <w:t>s. 1 písm. b) nariadenia (ES) č. 396/2005“; keďže v bode 3.6.5 uvedenej prílohy sa stanovuje, že účinná látka sa neschváli, ak má vlastností narúšajúce endokrinný systém s výnimkou prípadu, keď „rezíduá príslušnej účinnej látky [...] v potravinách a krmive</w:t>
      </w:r>
      <w:r w:rsidRPr="001F70CE">
        <w:t xml:space="preserve"> neprekračujú štandardné hodnoty stanovené v súlade s článkom 18 ods. 1 písm. b) nariadenia (ES) č. 396/2005“; keďže v článku 18 ods. 1 písm. b) nariadenia (ES) č. 396/2005 sa stanovuje </w:t>
      </w:r>
      <w:r w:rsidRPr="001F70CE">
        <w:lastRenderedPageBreak/>
        <w:t>štandardná hodnota 0,01 mg/kg;</w:t>
      </w:r>
    </w:p>
    <w:p w:rsidR="00250BCB" w:rsidRPr="001F70CE" w:rsidRDefault="001F70CE">
      <w:pPr>
        <w:pStyle w:val="NormalHanging12a"/>
      </w:pPr>
      <w:r w:rsidRPr="001F70CE">
        <w:t>T.</w:t>
      </w:r>
      <w:r w:rsidRPr="001F70CE">
        <w:tab/>
      </w:r>
      <w:r w:rsidRPr="001F70CE">
        <w:t>keďže v článku 3 ods. 2 písm. g) nariadenia (ES) č. 396/2005 sa uvádza, že dovozná tolerancia znamená MRL stanovenú pre dovážané výrobky, pokiaľ „nie je používanie aktívnej látky v prípravku na ochranu rastlín pre daný výrobok povolené v Spoločenstve z iný</w:t>
      </w:r>
      <w:r w:rsidRPr="001F70CE">
        <w:t xml:space="preserve">ch dôvodov ako dôvodov verejného zdravia v súvislosti so špecifickým výrobkom a špecifickým používaním“; keďže </w:t>
      </w:r>
      <w:proofErr w:type="spellStart"/>
      <w:r w:rsidRPr="001F70CE">
        <w:t>karbendazím</w:t>
      </w:r>
      <w:proofErr w:type="spellEnd"/>
      <w:r w:rsidRPr="001F70CE">
        <w:t xml:space="preserve"> nespĺňa tieto kritériá, pretože už nemôže byť v Únii schválený v dôsledku jeho klasifikácie ako mutagénna látka kategórie 1B a reprod</w:t>
      </w:r>
      <w:r w:rsidRPr="001F70CE">
        <w:t xml:space="preserve">ukčne toxická látka kategórie 1B; keďže </w:t>
      </w:r>
      <w:proofErr w:type="spellStart"/>
      <w:r w:rsidRPr="001F70CE">
        <w:t>tiofanát-metyl</w:t>
      </w:r>
      <w:proofErr w:type="spellEnd"/>
      <w:r w:rsidRPr="001F70CE">
        <w:t xml:space="preserve"> taktiež nespĺňa tieto kritériá, keďže bol identifikovaný ako endokrinný </w:t>
      </w:r>
      <w:proofErr w:type="spellStart"/>
      <w:r w:rsidRPr="001F70CE">
        <w:t>d</w:t>
      </w:r>
      <w:bookmarkStart w:id="8" w:name="_GoBack"/>
      <w:bookmarkEnd w:id="8"/>
      <w:r w:rsidRPr="001F70CE">
        <w:t>isruptor</w:t>
      </w:r>
      <w:proofErr w:type="spellEnd"/>
      <w:r w:rsidRPr="001F70CE">
        <w:t xml:space="preserve"> (modalita T) relevantný pre ľudí podľa vedeckých kritérií na určenie vlastností narúšajúcich endokrinný systém stanoven</w:t>
      </w:r>
      <w:r w:rsidRPr="001F70CE">
        <w:t>ých v nariadení (EÚ) 2018/605;</w:t>
      </w:r>
    </w:p>
    <w:p w:rsidR="00250BCB" w:rsidRPr="001F70CE" w:rsidRDefault="001F70CE">
      <w:pPr>
        <w:pStyle w:val="NormalHanging12a"/>
      </w:pPr>
      <w:r w:rsidRPr="001F70CE">
        <w:t>U.</w:t>
      </w:r>
      <w:r w:rsidRPr="001F70CE">
        <w:tab/>
        <w:t>keďže v článku 5 ods. 1 nariadenia (ES) č. 178/2002 sa stanovuje, že potravinovým právom sa má sledovať jeden alebo viacero všeobecných cieľov vysokej úrovne ochrany života a zdravia ľudí a ochrany záujmov spotrebiteľa, vr</w:t>
      </w:r>
      <w:r w:rsidRPr="001F70CE">
        <w:t>átane čestných postupov v obchode s potravinami, berúc do úvahy, ak to bude potrebné, ochranu zdravia zvierat, dobrých životných podmienok zvierat, zdravia rastlín a životného prostredia;</w:t>
      </w:r>
    </w:p>
    <w:p w:rsidR="00250BCB" w:rsidRPr="001F70CE" w:rsidRDefault="001F70CE">
      <w:pPr>
        <w:pStyle w:val="NormalHanging12a"/>
      </w:pPr>
      <w:r w:rsidRPr="001F70CE">
        <w:t>V.</w:t>
      </w:r>
      <w:r w:rsidRPr="001F70CE">
        <w:tab/>
        <w:t>keďže Komisia vo svojom oznámení z 20. mája 2020 s názvom stratég</w:t>
      </w:r>
      <w:r w:rsidRPr="001F70CE">
        <w:t>ia Z farmy na stôl v záujme spravodlivého, zdravého potravinového systému šetrného k životnému prostrediu</w:t>
      </w:r>
      <w:r w:rsidRPr="001F70CE">
        <w:rPr>
          <w:vertAlign w:val="superscript"/>
        </w:rPr>
        <w:footnoteReference w:id="15"/>
      </w:r>
      <w:r w:rsidRPr="001F70CE">
        <w:t xml:space="preserve"> oznámila, že „EÚ bude podporovať celosvetový prechod na udržateľné </w:t>
      </w:r>
      <w:proofErr w:type="spellStart"/>
      <w:r w:rsidRPr="001F70CE">
        <w:t>agropotravinové</w:t>
      </w:r>
      <w:proofErr w:type="spellEnd"/>
      <w:r w:rsidRPr="001F70CE">
        <w:t xml:space="preserve"> systémy v súlade s cieľmi tejto stratégie a cieľmi udržateľného ro</w:t>
      </w:r>
      <w:r w:rsidRPr="001F70CE">
        <w:t xml:space="preserve">zvoja“ a že „EÚ môže pomocou tejto stratégie zohrávať kľúčovú úlohu pri určovaní svetových štandardov“; keďže Komisia v stratégii výslovne uviedla, že „predpokladom udržateľnejšieho potravinového systému EÚ je, aby aj naši obchodní partneri prechádzali na </w:t>
      </w:r>
      <w:r w:rsidRPr="001F70CE">
        <w:t>čoraz väčšmi udržateľné postupy. EÚ so zámerom podporovať postupný prechod na používanie bezpečnejších prípravkov na ochranu rastlín zváži (v súlade s pravidlami WTO a na základe posúdenia rizík) preskúmanie dovozných tolerancií na látky, ktoré spĺňajú „hr</w:t>
      </w:r>
      <w:r w:rsidRPr="001F70CE">
        <w:t>aničné kritériá“ a predstavujú vysoký stupeň rizika pre ľudské zdravie“;</w:t>
      </w:r>
    </w:p>
    <w:p w:rsidR="00250BCB" w:rsidRPr="001F70CE" w:rsidRDefault="001F70CE">
      <w:pPr>
        <w:pStyle w:val="NormalHanging12a"/>
      </w:pPr>
      <w:r w:rsidRPr="001F70CE">
        <w:t>W.</w:t>
      </w:r>
      <w:r w:rsidRPr="001F70CE">
        <w:tab/>
        <w:t xml:space="preserve">keďže Komisia musí chrániť životné prostredie a európskych občanov na základe dostupných vedeckých informácií s využitím povinností a právnych možností, ktoré stanovujú nariadenia </w:t>
      </w:r>
      <w:r w:rsidRPr="001F70CE">
        <w:t>(ES) č. 396/2005 a (ES) č. 178/2002, s cieľom zabezpečiť vysokú úroveň ochrany zdravia ľudí a zvierat a životného prostredia;</w:t>
      </w:r>
    </w:p>
    <w:p w:rsidR="00250BCB" w:rsidRPr="001F70CE" w:rsidRDefault="001F70CE">
      <w:pPr>
        <w:pStyle w:val="NormalHanging12a"/>
      </w:pPr>
      <w:r w:rsidRPr="001F70CE">
        <w:t>X.</w:t>
      </w:r>
      <w:r w:rsidRPr="001F70CE">
        <w:tab/>
        <w:t>keďže navrhované MRL nechránia zdravie občanov v Európe, a preto sú v rozpore s nariadeniami (ES) č. 396/2005 a (ES) č. 178/200</w:t>
      </w:r>
      <w:r w:rsidRPr="001F70CE">
        <w:t>2;</w:t>
      </w:r>
    </w:p>
    <w:p w:rsidR="00250BCB" w:rsidRPr="001F70CE" w:rsidRDefault="001F70CE">
      <w:pPr>
        <w:pStyle w:val="NormalHanging12a"/>
      </w:pPr>
      <w:r w:rsidRPr="001F70CE">
        <w:t xml:space="preserve">Y. </w:t>
      </w:r>
      <w:r w:rsidRPr="001F70CE">
        <w:tab/>
        <w:t xml:space="preserve">keďže MRL by sa nemali stanovovať pre účinné látky, ktoré nie sú schválené v Únii z dôvodu obáv o zdravie; keďže by sa preto nemali stanoviť dovozné tolerancie pre </w:t>
      </w:r>
      <w:proofErr w:type="spellStart"/>
      <w:r w:rsidRPr="001F70CE">
        <w:t>tiofanát-metyl</w:t>
      </w:r>
      <w:proofErr w:type="spellEnd"/>
      <w:r w:rsidRPr="001F70CE">
        <w:t xml:space="preserve">, pretože je identifikovaný ako endokrinný </w:t>
      </w:r>
      <w:proofErr w:type="spellStart"/>
      <w:r w:rsidRPr="001F70CE">
        <w:t>disruptor</w:t>
      </w:r>
      <w:proofErr w:type="spellEnd"/>
      <w:r w:rsidRPr="001F70CE">
        <w:t xml:space="preserve"> alebo pre </w:t>
      </w:r>
      <w:proofErr w:type="spellStart"/>
      <w:r w:rsidRPr="001F70CE">
        <w:t>karbenda</w:t>
      </w:r>
      <w:r w:rsidRPr="001F70CE">
        <w:t>zím</w:t>
      </w:r>
      <w:proofErr w:type="spellEnd"/>
      <w:r w:rsidRPr="001F70CE">
        <w:t>, keďže je klasifikovaný ako mutagénna látka kategórie 1B a reprodukčne toxická látka kategórie 1B;</w:t>
      </w:r>
    </w:p>
    <w:p w:rsidR="00250BCB" w:rsidRPr="001F70CE" w:rsidRDefault="001F70CE">
      <w:pPr>
        <w:pStyle w:val="NormalHanging12a"/>
      </w:pPr>
      <w:r w:rsidRPr="001F70CE">
        <w:t>Z.</w:t>
      </w:r>
      <w:r w:rsidRPr="001F70CE">
        <w:tab/>
        <w:t xml:space="preserve">keďže prax stanovovania vysokých MRL podporuje dvojaký meter medzi poľnohospodármi Únie a poľnohospodármi v tretích krajinách, keďže poľnohospodári z </w:t>
      </w:r>
      <w:r w:rsidRPr="001F70CE">
        <w:lastRenderedPageBreak/>
        <w:t xml:space="preserve">krajín mimo Únie môžu pokračovať vo výrobe dotknutých potravín s použitím </w:t>
      </w:r>
      <w:proofErr w:type="spellStart"/>
      <w:r w:rsidRPr="001F70CE">
        <w:t>karbendazímu</w:t>
      </w:r>
      <w:proofErr w:type="spellEnd"/>
      <w:r w:rsidRPr="001F70CE">
        <w:t xml:space="preserve"> a </w:t>
      </w:r>
      <w:proofErr w:type="spellStart"/>
      <w:r w:rsidRPr="001F70CE">
        <w:t>tiofanát-metylu</w:t>
      </w:r>
      <w:proofErr w:type="spellEnd"/>
      <w:r w:rsidRPr="001F70CE">
        <w:t xml:space="preserve"> a vyvážať ich do Únie, čo stavia poľnohospodárov z Únie do konkurenčnej nevýhody; keďže na druhej strane používanie týchto pesticídov ohrozuje zdravie </w:t>
      </w:r>
      <w:r w:rsidRPr="001F70CE">
        <w:t>poľnohospodárskych pracovníkov, zdravie bežného obyvateľstva a životné prostredie v producentských krajinách;</w:t>
      </w:r>
    </w:p>
    <w:p w:rsidR="00250BCB" w:rsidRPr="001F70CE" w:rsidRDefault="001F70CE">
      <w:pPr>
        <w:pStyle w:val="NormalHanging12a"/>
      </w:pPr>
      <w:r w:rsidRPr="001F70CE">
        <w:t>1.</w:t>
      </w:r>
      <w:r w:rsidRPr="001F70CE">
        <w:tab/>
        <w:t>vznáša námietku voči prijatiu návrhu nariadenia Komisie</w:t>
      </w:r>
      <w:r w:rsidRPr="001F70CE">
        <w:t>;</w:t>
      </w:r>
    </w:p>
    <w:p w:rsidR="00250BCB" w:rsidRPr="001F70CE" w:rsidRDefault="001F70CE">
      <w:pPr>
        <w:pStyle w:val="NormalHanging12a"/>
      </w:pPr>
      <w:r w:rsidRPr="001F70CE">
        <w:t>2.</w:t>
      </w:r>
      <w:r w:rsidRPr="001F70CE">
        <w:tab/>
        <w:t>domnieva sa, že návrh nariadenia Komisie nie je v súlade s cieľom a obsahom nariade</w:t>
      </w:r>
      <w:r w:rsidRPr="001F70CE">
        <w:t>ní (ES) č. 396/2005 a (ES) č. 178/2002, ani s nariadením (ES) č. 1107/2009 vrátane bodov 3.6.2, 3.6.4 a 3.6.5 jeho prílohy II;</w:t>
      </w:r>
    </w:p>
    <w:p w:rsidR="00250BCB" w:rsidRPr="001F70CE" w:rsidRDefault="001F70CE">
      <w:pPr>
        <w:pStyle w:val="NormalHanging12a"/>
      </w:pPr>
      <w:r w:rsidRPr="001F70CE">
        <w:t>3.</w:t>
      </w:r>
      <w:r w:rsidRPr="001F70CE">
        <w:tab/>
        <w:t>žiada Komisiu, aby stiahla svoj návrh nariadenia a aby preložila výboru nový návrh:</w:t>
      </w:r>
    </w:p>
    <w:p w:rsidR="00250BCB" w:rsidRPr="001F70CE" w:rsidRDefault="001F70CE">
      <w:pPr>
        <w:pStyle w:val="NormalHanging12a"/>
      </w:pPr>
      <w:r w:rsidRPr="001F70CE">
        <w:t>4.</w:t>
      </w:r>
      <w:r w:rsidRPr="001F70CE">
        <w:tab/>
      </w:r>
      <w:r w:rsidRPr="001F70CE">
        <w:t xml:space="preserve">vyzýva Komisiu, aby predložila výboru nový návrh nariadenia, ktorým sa všetky maximálne hladiny rezíduí </w:t>
      </w:r>
      <w:proofErr w:type="spellStart"/>
      <w:r w:rsidRPr="001F70CE">
        <w:t>karbendazímu</w:t>
      </w:r>
      <w:proofErr w:type="spellEnd"/>
      <w:r w:rsidRPr="001F70CE">
        <w:t xml:space="preserve"> a </w:t>
      </w:r>
      <w:proofErr w:type="spellStart"/>
      <w:r w:rsidRPr="001F70CE">
        <w:t>tiofanát-metylu</w:t>
      </w:r>
      <w:proofErr w:type="spellEnd"/>
      <w:r w:rsidRPr="001F70CE">
        <w:t xml:space="preserve"> znížia na úrovne kvantifikačného limitu pri všetkých použitiach, a aby všetky žiadosti o dovozné tolerancie zamietla;</w:t>
      </w:r>
    </w:p>
    <w:p w:rsidR="00250BCB" w:rsidRPr="001F70CE" w:rsidRDefault="001F70CE">
      <w:pPr>
        <w:pStyle w:val="NormalHanging12a"/>
        <w:rPr>
          <w:szCs w:val="24"/>
        </w:rPr>
      </w:pPr>
      <w:r w:rsidRPr="001F70CE">
        <w:t>5.</w:t>
      </w:r>
      <w:r w:rsidRPr="001F70CE">
        <w:tab/>
      </w:r>
      <w:r w:rsidRPr="001F70CE">
        <w:t xml:space="preserve">poveruje svoju predsedníčku, aby postúpila toto uznesenie Rade, Komisii a vládam a parlamentom členských štátov. </w:t>
      </w:r>
    </w:p>
    <w:p w:rsidR="00250BCB" w:rsidRPr="001F70CE" w:rsidRDefault="00250BCB"/>
    <w:p w:rsidR="00250BCB" w:rsidRPr="001F70CE" w:rsidRDefault="00250BCB">
      <w:bookmarkStart w:id="9" w:name="TextBodyEnd"/>
      <w:bookmarkEnd w:id="9"/>
    </w:p>
    <w:sectPr w:rsidR="00250BCB" w:rsidRPr="001F70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BCB" w:rsidRDefault="001F70CE">
      <w:r>
        <w:separator/>
      </w:r>
    </w:p>
  </w:endnote>
  <w:endnote w:type="continuationSeparator" w:id="0">
    <w:p w:rsidR="00250BCB" w:rsidRDefault="001F7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BCB" w:rsidRDefault="00250B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BCB" w:rsidRDefault="00250BC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BCB" w:rsidRDefault="00250B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BCB" w:rsidRDefault="001F70CE">
      <w:r>
        <w:separator/>
      </w:r>
    </w:p>
  </w:footnote>
  <w:footnote w:type="continuationSeparator" w:id="0">
    <w:p w:rsidR="00250BCB" w:rsidRDefault="001F70CE">
      <w:r>
        <w:continuationSeparator/>
      </w:r>
    </w:p>
  </w:footnote>
  <w:footnote w:id="1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70, 16.3.2005, s. 1.</w:t>
      </w:r>
    </w:p>
  </w:footnote>
  <w:footnote w:id="2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309, </w:t>
      </w:r>
      <w:r>
        <w:rPr>
          <w:sz w:val="24"/>
          <w:lang w:val="sk-SK"/>
        </w:rPr>
        <w:t>24.11.2009, s. 1.</w:t>
      </w:r>
    </w:p>
  </w:footnote>
  <w:footnote w:id="3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L 31, 1.2.2002, s. 1.</w:t>
      </w:r>
    </w:p>
  </w:footnote>
  <w:footnote w:id="4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Odôvodnené stanovisko EFSA k toxikologickým vlastnostiam a maximálnym hladinám rezíduí (MRL) </w:t>
      </w:r>
      <w:proofErr w:type="spellStart"/>
      <w:r>
        <w:rPr>
          <w:sz w:val="24"/>
          <w:lang w:val="sk-SK"/>
        </w:rPr>
        <w:t>benzimidazolových</w:t>
      </w:r>
      <w:proofErr w:type="spellEnd"/>
      <w:r>
        <w:rPr>
          <w:sz w:val="24"/>
          <w:lang w:val="sk-SK"/>
        </w:rPr>
        <w:t xml:space="preserve"> látok </w:t>
      </w:r>
      <w:proofErr w:type="spellStart"/>
      <w:r>
        <w:rPr>
          <w:sz w:val="24"/>
          <w:lang w:val="sk-SK"/>
        </w:rPr>
        <w:t>karbendazím</w:t>
      </w:r>
      <w:proofErr w:type="spellEnd"/>
      <w:r>
        <w:rPr>
          <w:sz w:val="24"/>
          <w:lang w:val="sk-SK"/>
        </w:rPr>
        <w:t xml:space="preserve"> a </w:t>
      </w:r>
      <w:proofErr w:type="spellStart"/>
      <w:r>
        <w:rPr>
          <w:sz w:val="24"/>
          <w:lang w:val="sk-SK"/>
        </w:rPr>
        <w:t>tiofanát-metyl</w:t>
      </w:r>
      <w:proofErr w:type="spellEnd"/>
      <w:r>
        <w:rPr>
          <w:sz w:val="24"/>
          <w:lang w:val="sk-SK"/>
        </w:rPr>
        <w:t xml:space="preserve">, </w:t>
      </w:r>
      <w:bookmarkStart w:id="7" w:name="_Hlk168311905"/>
      <w:r>
        <w:rPr>
          <w:sz w:val="24"/>
          <w:lang w:val="sk-SK"/>
        </w:rPr>
        <w:t xml:space="preserve">EFSA </w:t>
      </w:r>
      <w:proofErr w:type="spellStart"/>
      <w:r>
        <w:rPr>
          <w:sz w:val="24"/>
          <w:lang w:val="sk-SK"/>
        </w:rPr>
        <w:t>Journal</w:t>
      </w:r>
      <w:proofErr w:type="spellEnd"/>
      <w:r>
        <w:rPr>
          <w:sz w:val="24"/>
          <w:lang w:val="sk-SK"/>
        </w:rPr>
        <w:t xml:space="preserve"> (Vestník EFSA) 2021;19(8):e06773</w:t>
      </w:r>
      <w:bookmarkEnd w:id="7"/>
      <w:r>
        <w:rPr>
          <w:sz w:val="24"/>
          <w:lang w:val="sk-SK"/>
        </w:rPr>
        <w:t xml:space="preserve">, </w:t>
      </w:r>
      <w:hyperlink r:id="rId1" w:history="1">
        <w:r>
          <w:rPr>
            <w:rStyle w:val="Hyperlink"/>
            <w:sz w:val="24"/>
            <w:lang w:val="sk-SK"/>
          </w:rPr>
          <w:t>https://doi.org/10.2903/j.efsa.2021.6773</w:t>
        </w:r>
      </w:hyperlink>
      <w:r>
        <w:rPr>
          <w:rStyle w:val="Hyperlink"/>
          <w:sz w:val="24"/>
          <w:lang w:val="sk-SK"/>
        </w:rPr>
        <w:t>.</w:t>
      </w:r>
      <w:r>
        <w:rPr>
          <w:sz w:val="24"/>
          <w:lang w:val="sk-SK"/>
        </w:rPr>
        <w:t xml:space="preserve"> </w:t>
      </w:r>
    </w:p>
  </w:footnote>
  <w:footnote w:id="5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Aktualizované odôvodnené stanovisko EFSA k toxikologickým vlastnostiam a maximálnym hladinám rezíduí (MRL) </w:t>
      </w:r>
      <w:proofErr w:type="spellStart"/>
      <w:r>
        <w:rPr>
          <w:sz w:val="24"/>
          <w:lang w:val="sk-SK"/>
        </w:rPr>
        <w:t>benzimidazolových</w:t>
      </w:r>
      <w:proofErr w:type="spellEnd"/>
      <w:r>
        <w:rPr>
          <w:sz w:val="24"/>
          <w:lang w:val="sk-SK"/>
        </w:rPr>
        <w:t xml:space="preserve"> látok </w:t>
      </w:r>
      <w:proofErr w:type="spellStart"/>
      <w:r>
        <w:rPr>
          <w:sz w:val="24"/>
          <w:lang w:val="sk-SK"/>
        </w:rPr>
        <w:t>karbendazím</w:t>
      </w:r>
      <w:proofErr w:type="spellEnd"/>
      <w:r>
        <w:rPr>
          <w:sz w:val="24"/>
          <w:lang w:val="sk-SK"/>
        </w:rPr>
        <w:t xml:space="preserve"> a </w:t>
      </w:r>
      <w:proofErr w:type="spellStart"/>
      <w:r>
        <w:rPr>
          <w:sz w:val="24"/>
          <w:lang w:val="sk-SK"/>
        </w:rPr>
        <w:t>tiofanát-metyl</w:t>
      </w:r>
      <w:proofErr w:type="spellEnd"/>
      <w:r>
        <w:rPr>
          <w:sz w:val="24"/>
          <w:lang w:val="sk-SK"/>
        </w:rPr>
        <w:t>,</w:t>
      </w:r>
      <w:r>
        <w:rPr>
          <w:sz w:val="24"/>
          <w:lang w:val="sk-SK"/>
        </w:rPr>
        <w:t xml:space="preserve"> EFSA </w:t>
      </w:r>
      <w:proofErr w:type="spellStart"/>
      <w:r>
        <w:rPr>
          <w:sz w:val="24"/>
          <w:lang w:val="sk-SK"/>
        </w:rPr>
        <w:t>Journal</w:t>
      </w:r>
      <w:proofErr w:type="spellEnd"/>
      <w:r>
        <w:rPr>
          <w:sz w:val="24"/>
          <w:lang w:val="sk-SK"/>
        </w:rPr>
        <w:t xml:space="preserve"> (Vestník EFSA) 2024;22(2):e8569, </w:t>
      </w:r>
      <w:hyperlink r:id="rId2" w:history="1">
        <w:r>
          <w:rPr>
            <w:rStyle w:val="Hyperlink"/>
            <w:sz w:val="24"/>
            <w:lang w:val="sk-SK"/>
          </w:rPr>
          <w:t>https://doi.org/10.2903/j.efsa.2024.8569</w:t>
        </w:r>
      </w:hyperlink>
      <w:r>
        <w:rPr>
          <w:rStyle w:val="Hyperlink"/>
          <w:sz w:val="24"/>
          <w:lang w:val="sk-SK"/>
        </w:rPr>
        <w:t>.</w:t>
      </w:r>
      <w:r>
        <w:rPr>
          <w:sz w:val="24"/>
          <w:lang w:val="sk-SK"/>
        </w:rPr>
        <w:t xml:space="preserve"> </w:t>
      </w:r>
    </w:p>
  </w:footnote>
  <w:footnote w:id="6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Záver EFSA z partnerského preskúmania účinnej látky </w:t>
      </w:r>
      <w:proofErr w:type="spellStart"/>
      <w:r>
        <w:rPr>
          <w:sz w:val="24"/>
          <w:lang w:val="sk-SK"/>
        </w:rPr>
        <w:t>karbendazím</w:t>
      </w:r>
      <w:proofErr w:type="spellEnd"/>
      <w:r>
        <w:rPr>
          <w:sz w:val="24"/>
          <w:lang w:val="sk-SK"/>
        </w:rPr>
        <w:t xml:space="preserve"> z hľadiska hodnotenia rizík pesticídov, EF</w:t>
      </w:r>
      <w:r>
        <w:rPr>
          <w:sz w:val="24"/>
          <w:lang w:val="sk-SK"/>
        </w:rPr>
        <w:t xml:space="preserve">SA </w:t>
      </w:r>
      <w:proofErr w:type="spellStart"/>
      <w:r>
        <w:rPr>
          <w:sz w:val="24"/>
          <w:lang w:val="sk-SK"/>
        </w:rPr>
        <w:t>Journal</w:t>
      </w:r>
      <w:proofErr w:type="spellEnd"/>
      <w:r>
        <w:rPr>
          <w:sz w:val="24"/>
          <w:lang w:val="sk-SK"/>
        </w:rPr>
        <w:t xml:space="preserve"> (Vestník EFSA) 2010;8(5):1598, </w:t>
      </w:r>
      <w:hyperlink r:id="rId3" w:history="1">
        <w:r>
          <w:rPr>
            <w:rStyle w:val="Hyperlink"/>
            <w:sz w:val="24"/>
            <w:lang w:val="sk-SK"/>
          </w:rPr>
          <w:t>https://doi.org/10.2903/j.efsa.2010.1598</w:t>
        </w:r>
      </w:hyperlink>
      <w:r>
        <w:rPr>
          <w:sz w:val="24"/>
          <w:lang w:val="sk-SK"/>
        </w:rPr>
        <w:t xml:space="preserve">. </w:t>
      </w:r>
    </w:p>
  </w:footnote>
  <w:footnote w:id="7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Záver úradu EFSA z partnerského preskúmania účinnej látky </w:t>
      </w:r>
      <w:proofErr w:type="spellStart"/>
      <w:r>
        <w:rPr>
          <w:sz w:val="24"/>
          <w:lang w:val="sk-SK"/>
        </w:rPr>
        <w:t>tiofanát-metyl</w:t>
      </w:r>
      <w:proofErr w:type="spellEnd"/>
      <w:r>
        <w:rPr>
          <w:sz w:val="24"/>
          <w:lang w:val="sk-SK"/>
        </w:rPr>
        <w:t xml:space="preserve"> z hľadiska posúdenia rizika pesticídov</w:t>
      </w:r>
      <w:r>
        <w:rPr>
          <w:sz w:val="24"/>
          <w:lang w:val="sk-SK"/>
        </w:rPr>
        <w:t xml:space="preserve">; EFSA </w:t>
      </w:r>
      <w:proofErr w:type="spellStart"/>
      <w:r>
        <w:rPr>
          <w:sz w:val="24"/>
          <w:lang w:val="sk-SK"/>
        </w:rPr>
        <w:t>Journal</w:t>
      </w:r>
      <w:proofErr w:type="spellEnd"/>
      <w:r>
        <w:rPr>
          <w:sz w:val="24"/>
          <w:lang w:val="sk-SK"/>
        </w:rPr>
        <w:t xml:space="preserve"> (Vestník EFSA) 2018;16(1):e05133, </w:t>
      </w:r>
      <w:hyperlink r:id="rId4" w:history="1">
        <w:r>
          <w:rPr>
            <w:rStyle w:val="Hyperlink"/>
            <w:sz w:val="24"/>
            <w:lang w:val="sk-SK"/>
          </w:rPr>
          <w:t>https://doi.org/10.2903/j.efsa.2018.5133</w:t>
        </w:r>
      </w:hyperlink>
      <w:r>
        <w:rPr>
          <w:sz w:val="24"/>
          <w:lang w:val="sk-SK"/>
        </w:rPr>
        <w:t xml:space="preserve">. </w:t>
      </w:r>
    </w:p>
  </w:footnote>
  <w:footnote w:id="8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Stanovisko úradu EFSA k posúdeniu kvality údajov, ktoré má k dispozícii na odvodenie usmerňovacích hodnô</w:t>
      </w:r>
      <w:r>
        <w:rPr>
          <w:sz w:val="24"/>
          <w:lang w:val="sk-SK"/>
        </w:rPr>
        <w:t xml:space="preserve">t založených na zdraví pre </w:t>
      </w:r>
      <w:proofErr w:type="spellStart"/>
      <w:r>
        <w:rPr>
          <w:sz w:val="24"/>
          <w:lang w:val="sk-SK"/>
        </w:rPr>
        <w:t>karbendazím</w:t>
      </w:r>
      <w:proofErr w:type="spellEnd"/>
      <w:r>
        <w:rPr>
          <w:sz w:val="24"/>
          <w:lang w:val="sk-SK"/>
        </w:rPr>
        <w:t xml:space="preserve">, EFSA </w:t>
      </w:r>
      <w:proofErr w:type="spellStart"/>
      <w:r>
        <w:rPr>
          <w:sz w:val="24"/>
          <w:lang w:val="sk-SK"/>
        </w:rPr>
        <w:t>Journal</w:t>
      </w:r>
      <w:proofErr w:type="spellEnd"/>
      <w:r>
        <w:rPr>
          <w:sz w:val="24"/>
          <w:lang w:val="sk-SK"/>
        </w:rPr>
        <w:t xml:space="preserve"> (Vestník EFSA) 2024;22(5):e8756, </w:t>
      </w:r>
      <w:hyperlink r:id="rId5" w:history="1">
        <w:r>
          <w:rPr>
            <w:rStyle w:val="Hyperlink"/>
            <w:sz w:val="24"/>
            <w:lang w:val="sk-SK"/>
          </w:rPr>
          <w:t>https://doi.org/10.2903/j.efsa.2024.8756</w:t>
        </w:r>
      </w:hyperlink>
      <w:r>
        <w:rPr>
          <w:sz w:val="24"/>
          <w:lang w:val="sk-SK"/>
        </w:rPr>
        <w:t xml:space="preserve">. </w:t>
      </w:r>
    </w:p>
  </w:footnote>
  <w:footnote w:id="9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Stanovisko Výboru pre hodnotenie rizík s návrhom na harmonizovanú k</w:t>
      </w:r>
      <w:r>
        <w:rPr>
          <w:sz w:val="24"/>
          <w:lang w:val="sk-SK"/>
        </w:rPr>
        <w:t xml:space="preserve">lasifikáciu a označovanie </w:t>
      </w:r>
      <w:proofErr w:type="spellStart"/>
      <w:r>
        <w:rPr>
          <w:sz w:val="24"/>
          <w:lang w:val="sk-SK"/>
        </w:rPr>
        <w:t>karbendazímu</w:t>
      </w:r>
      <w:proofErr w:type="spellEnd"/>
      <w:r>
        <w:rPr>
          <w:sz w:val="24"/>
          <w:lang w:val="sk-SK"/>
        </w:rPr>
        <w:t xml:space="preserve"> (ISO) na úrovni EÚ; metyl-benzimidazol-2-yl </w:t>
      </w:r>
      <w:proofErr w:type="spellStart"/>
      <w:r>
        <w:rPr>
          <w:sz w:val="24"/>
          <w:lang w:val="sk-SK"/>
        </w:rPr>
        <w:t>karbamát</w:t>
      </w:r>
      <w:proofErr w:type="spellEnd"/>
      <w:r>
        <w:rPr>
          <w:sz w:val="24"/>
          <w:lang w:val="sk-SK"/>
        </w:rPr>
        <w:t xml:space="preserve"> </w:t>
      </w:r>
      <w:hyperlink r:id="rId6" w:history="1">
        <w:r>
          <w:rPr>
            <w:rStyle w:val="Hyperlink"/>
            <w:sz w:val="24"/>
            <w:lang w:val="sk-SK"/>
          </w:rPr>
          <w:t>https://www.echa.europa.eu/documents/10162/5eb9760e-6c73-7f2c-1226-9</w:t>
        </w:r>
        <w:r>
          <w:rPr>
            <w:rStyle w:val="Hyperlink"/>
            <w:sz w:val="24"/>
            <w:lang w:val="sk-SK"/>
          </w:rPr>
          <w:t>8d92ed847d1</w:t>
        </w:r>
      </w:hyperlink>
    </w:p>
  </w:footnote>
  <w:footnote w:id="10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L 184, 17.7.1999, s. 23.</w:t>
      </w:r>
    </w:p>
  </w:footnote>
  <w:footnote w:id="11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 Rady (ES) č. 1272/2008 zo 16. decembra 2008 o klasifikácii, označovaní a balení látok a zmesí, o zmene, doplnení a zrušení smerníc 67/548/EHS a 1999/45/ES a o zmene a do</w:t>
      </w:r>
      <w:r>
        <w:rPr>
          <w:sz w:val="24"/>
          <w:lang w:val="sk-SK"/>
        </w:rPr>
        <w:t>plnení nariadenia (ES) č. 1907/2006 (Ú. v. EÚ L 353, 31.12.2008, s. 1).</w:t>
      </w:r>
    </w:p>
  </w:footnote>
  <w:footnote w:id="12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 Rady (ES) č. 1272/2008 zo 16. decembra 2008 o klasifikácii, označovaní a balení látok a zmesí, o zmene, doplnení a zrušení smerníc 67/548/EHS a 19</w:t>
      </w:r>
      <w:r>
        <w:rPr>
          <w:sz w:val="24"/>
          <w:lang w:val="sk-SK"/>
        </w:rPr>
        <w:t>99/45/ES a o zmene a doplnení nariadenia (ES) č. 1907/2006 (Ú. v. EÚ L 353, 31.12.2008, s. 1).</w:t>
      </w:r>
    </w:p>
  </w:footnote>
  <w:footnote w:id="13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Komisie (EÚ) 2018/605 z 19. apríla 2018, ktorým sa mení príloha II k nariadeniu (ES) č. 1107/2009 stanovením vedeckých kritérií určovania vlastnost</w:t>
      </w:r>
      <w:r>
        <w:rPr>
          <w:sz w:val="24"/>
          <w:lang w:val="sk-SK"/>
        </w:rPr>
        <w:t>í narúšajúcich endokrinný systém (Ú. v. EÚ L 101, 20.4.2018, s. 33).</w:t>
      </w:r>
    </w:p>
  </w:footnote>
  <w:footnote w:id="14">
    <w:p w:rsidR="00250BCB" w:rsidRDefault="001F70CE">
      <w:pPr>
        <w:pStyle w:val="FootnoteText"/>
        <w:ind w:left="567" w:hanging="567"/>
        <w:rPr>
          <w:sz w:val="24"/>
          <w:lang w:val="sk-SK"/>
        </w:rPr>
      </w:pPr>
      <w:r w:rsidRPr="001F70CE">
        <w:rPr>
          <w:rStyle w:val="FootnoteReference"/>
          <w:sz w:val="24"/>
          <w:lang w:val="sk-SK"/>
        </w:rPr>
        <w:footnoteRef/>
      </w:r>
      <w:r w:rsidRPr="001F70CE">
        <w:rPr>
          <w:rStyle w:val="Hyperlink"/>
          <w:sz w:val="24"/>
          <w:u w:val="none"/>
          <w:lang w:val="sk-SK"/>
        </w:rPr>
        <w:t xml:space="preserve"> </w:t>
      </w:r>
      <w:r w:rsidRPr="001F70CE">
        <w:rPr>
          <w:rStyle w:val="Hyperlink"/>
          <w:sz w:val="24"/>
          <w:u w:val="none"/>
          <w:lang w:val="sk-SK"/>
        </w:rPr>
        <w:tab/>
      </w:r>
      <w:r>
        <w:rPr>
          <w:rStyle w:val="Hyperlink"/>
          <w:sz w:val="24"/>
          <w:lang w:val="sk-SK"/>
        </w:rPr>
        <w:t>https://ec.europa.eu/transparency/comitology-register/screen/documents/089880/5/consult?lang=sk.</w:t>
      </w:r>
    </w:p>
  </w:footnote>
  <w:footnote w:id="15">
    <w:p w:rsidR="00250BCB" w:rsidRDefault="001F70CE">
      <w:pPr>
        <w:pStyle w:val="FootnoteText"/>
        <w:ind w:left="567" w:hanging="567"/>
        <w:rPr>
          <w:iCs/>
          <w:sz w:val="24"/>
          <w:lang w:val="sk-SK"/>
        </w:rPr>
      </w:pPr>
      <w:r>
        <w:rPr>
          <w:iCs/>
          <w:sz w:val="24"/>
          <w:vertAlign w:val="superscript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COM(2020)0381.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BCB" w:rsidRDefault="00250BC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BCB" w:rsidRDefault="00250BC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BCB" w:rsidRDefault="00250BC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0/2024"/>
    <w:docVar w:name="dvlangue" w:val="SK"/>
    <w:docVar w:name="dvnumam" w:val="0"/>
    <w:docVar w:name="dvpe" w:val="763.090"/>
    <w:docVar w:name="dvtitre" w:val="Uznesenie Európskeho parlamentu z xx. septembra 2024 o návrhu nariadenia Komisie, ktorým sa menia prílohy II, III a V k nariadeniu Európskeho parlamentu a Rady (ES) č. 396/2005, pokiaľ ide o maximálne hladiny rezíduí benomylu, karbendazímu a tiofanát-metylu v určitých produktoch alebo na nich (D089819/05 – 2024/2758(RPS))"/>
  </w:docVars>
  <w:rsids>
    <w:rsidRoot w:val="00250BCB"/>
    <w:rsid w:val="001F70CE"/>
    <w:rsid w:val="00250BCB"/>
    <w:rsid w:val="00487695"/>
    <w:rsid w:val="005F0DE7"/>
    <w:rsid w:val="00C9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269B2"/>
  <w15:chartTrackingRefBased/>
  <w15:docId w15:val="{AB4618AE-53DD-40FA-A814-0CB1DBB3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903/j.efsa.2010.1598" TargetMode="External"/><Relationship Id="rId2" Type="http://schemas.openxmlformats.org/officeDocument/2006/relationships/hyperlink" Target="https://doi.org/10.2903/j.efsa.2024.8569" TargetMode="External"/><Relationship Id="rId1" Type="http://schemas.openxmlformats.org/officeDocument/2006/relationships/hyperlink" Target="https://doi.org/10.2903/j.efsa.2021.6773" TargetMode="External"/><Relationship Id="rId6" Type="http://schemas.openxmlformats.org/officeDocument/2006/relationships/hyperlink" Target="https://www.echa.europa.eu/documents/10162/5eb9760e-6c73-7f2c-1226-98d92ed847d1" TargetMode="External"/><Relationship Id="rId5" Type="http://schemas.openxmlformats.org/officeDocument/2006/relationships/hyperlink" Target="https://doi.org/10.2903/j.efsa.2024.8756" TargetMode="External"/><Relationship Id="rId4" Type="http://schemas.openxmlformats.org/officeDocument/2006/relationships/hyperlink" Target="https://doi.org/10.2903/j.efsa.2018.51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C6A6A-1457-40D3-BC49-5BE2025FA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1858</Words>
  <Characters>10664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2024-09-18T08:56:00Z</dcterms:created>
  <dcterms:modified xsi:type="dcterms:W3CDTF">2024-09-18T08:56:00Z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B10-0020/2024</vt:lpwstr>
  </property>
  <property fmtid="{D5CDD505-2E9C-101B-9397-08002B2CF9AE}" pid="4" name="&lt;Type&gt;">
    <vt:lpwstr>RR</vt:lpwstr>
  </property>
</Properties>
</file>