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6C52" w:rsidTr="0010095E">
        <w:trPr>
          <w:trHeight w:hRule="exact" w:val="1418"/>
        </w:trPr>
        <w:tc>
          <w:tcPr>
            <w:tcW w:w="6804" w:type="dxa"/>
            <w:shd w:val="clear" w:color="auto" w:fill="auto"/>
            <w:vAlign w:val="center"/>
          </w:tcPr>
          <w:p w:rsidR="00751A4A" w:rsidRPr="00A46C52" w:rsidRDefault="002A2821" w:rsidP="0010095E">
            <w:pPr>
              <w:pStyle w:val="EPName"/>
            </w:pPr>
            <w:r w:rsidRPr="00A46C52">
              <w:t>Europaparlamentet</w:t>
            </w:r>
          </w:p>
          <w:p w:rsidR="00751A4A" w:rsidRPr="00A46C52" w:rsidRDefault="005F1B17" w:rsidP="005F1B17">
            <w:pPr>
              <w:pStyle w:val="EPTerm"/>
              <w:rPr>
                <w:rStyle w:val="HideTWBExt"/>
                <w:noProof w:val="0"/>
                <w:vanish w:val="0"/>
                <w:color w:val="auto"/>
              </w:rPr>
            </w:pPr>
            <w:r w:rsidRPr="00A46C52">
              <w:t>2024</w:t>
            </w:r>
            <w:r w:rsidR="00817416" w:rsidRPr="00A46C52">
              <w:t>-202</w:t>
            </w:r>
            <w:r w:rsidRPr="00A46C52">
              <w:t>9</w:t>
            </w:r>
          </w:p>
        </w:tc>
        <w:tc>
          <w:tcPr>
            <w:tcW w:w="2268" w:type="dxa"/>
            <w:shd w:val="clear" w:color="auto" w:fill="auto"/>
          </w:tcPr>
          <w:p w:rsidR="00751A4A" w:rsidRPr="00A46C52" w:rsidRDefault="00187494" w:rsidP="0010095E">
            <w:pPr>
              <w:pStyle w:val="EPLogo"/>
            </w:pPr>
            <w:r w:rsidRPr="00A46C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6C52" w:rsidRDefault="00D058B8" w:rsidP="004C5D52">
      <w:pPr>
        <w:pStyle w:val="LineTop"/>
      </w:pPr>
    </w:p>
    <w:p w:rsidR="00680577" w:rsidRPr="00A46C52" w:rsidRDefault="002A2821" w:rsidP="00680577">
      <w:pPr>
        <w:pStyle w:val="EPBodyTA1"/>
      </w:pPr>
      <w:r w:rsidRPr="00A46C52">
        <w:t>ANTAGNA TEXTER</w:t>
      </w:r>
    </w:p>
    <w:p w:rsidR="00D058B8" w:rsidRPr="00A46C52" w:rsidRDefault="00D058B8" w:rsidP="00D058B8">
      <w:pPr>
        <w:pStyle w:val="LineBottom"/>
      </w:pPr>
    </w:p>
    <w:p w:rsidR="002A2821" w:rsidRPr="00A46C52" w:rsidRDefault="002A2821" w:rsidP="00A46C52">
      <w:pPr>
        <w:pStyle w:val="ATHeading1"/>
        <w:keepNext w:val="0"/>
        <w:keepLines w:val="0"/>
      </w:pPr>
      <w:bookmarkStart w:id="0" w:name="TANumber"/>
      <w:r w:rsidRPr="00A46C52">
        <w:t>P10_TA(2024)000</w:t>
      </w:r>
      <w:bookmarkEnd w:id="0"/>
      <w:r w:rsidR="0069166C">
        <w:t>6</w:t>
      </w:r>
    </w:p>
    <w:p w:rsidR="002A2821" w:rsidRPr="00A46C52" w:rsidRDefault="00AB700B" w:rsidP="00351C9B">
      <w:pPr>
        <w:pStyle w:val="ATHeading2"/>
      </w:pPr>
      <w:bookmarkStart w:id="1" w:name="title"/>
      <w:r w:rsidRPr="00A46C52">
        <w:t xml:space="preserve">Invändning mot en </w:t>
      </w:r>
      <w:proofErr w:type="spellStart"/>
      <w:r w:rsidRPr="00A46C52">
        <w:t>genomförandeakt</w:t>
      </w:r>
      <w:proofErr w:type="spellEnd"/>
      <w:r w:rsidRPr="00A46C52">
        <w:t>: G</w:t>
      </w:r>
      <w:r w:rsidR="002A2821" w:rsidRPr="00A46C52">
        <w:t>ränsvärden</w:t>
      </w:r>
      <w:r w:rsidR="00351C9B" w:rsidRPr="00A46C52">
        <w:t xml:space="preserve"> </w:t>
      </w:r>
      <w:r w:rsidR="002A2821" w:rsidRPr="00A46C52">
        <w:t xml:space="preserve">för </w:t>
      </w:r>
      <w:proofErr w:type="spellStart"/>
      <w:r w:rsidR="002A2821" w:rsidRPr="00A46C52">
        <w:t>karbendazim</w:t>
      </w:r>
      <w:proofErr w:type="spellEnd"/>
      <w:r w:rsidR="002A2821" w:rsidRPr="00A46C52">
        <w:t xml:space="preserve"> och tiofanatmetyl</w:t>
      </w:r>
      <w:bookmarkEnd w:id="1"/>
    </w:p>
    <w:p w:rsidR="002A2821" w:rsidRPr="00A46C52" w:rsidRDefault="002A2821" w:rsidP="00351C9B">
      <w:pPr>
        <w:rPr>
          <w:i/>
          <w:vanish/>
        </w:rPr>
      </w:pPr>
      <w:r w:rsidRPr="00A46C52">
        <w:rPr>
          <w:i/>
        </w:rPr>
        <w:fldChar w:fldCharType="begin"/>
      </w:r>
      <w:r w:rsidRPr="00A46C52">
        <w:rPr>
          <w:i/>
        </w:rPr>
        <w:instrText xml:space="preserve"> TC"(</w:instrText>
      </w:r>
      <w:bookmarkStart w:id="2" w:name="DocNumber"/>
      <w:r w:rsidRPr="00A46C52">
        <w:rPr>
          <w:i/>
        </w:rPr>
        <w:instrText>B10-0020/2024</w:instrText>
      </w:r>
      <w:bookmarkEnd w:id="2"/>
      <w:r w:rsidRPr="00A46C52">
        <w:rPr>
          <w:i/>
        </w:rPr>
        <w:instrText xml:space="preserve">)"\l3 \n&gt; \* MERGEFORMAT </w:instrText>
      </w:r>
      <w:r w:rsidRPr="00A46C52">
        <w:rPr>
          <w:i/>
        </w:rPr>
        <w:fldChar w:fldCharType="end"/>
      </w:r>
    </w:p>
    <w:p w:rsidR="002A2821" w:rsidRPr="00A46C52" w:rsidRDefault="002A2821" w:rsidP="00351C9B">
      <w:pPr>
        <w:rPr>
          <w:vanish/>
        </w:rPr>
      </w:pPr>
      <w:bookmarkStart w:id="3" w:name="PE"/>
      <w:r w:rsidRPr="00A46C52">
        <w:rPr>
          <w:vanish/>
        </w:rPr>
        <w:t>PE763.090</w:t>
      </w:r>
      <w:bookmarkEnd w:id="3"/>
    </w:p>
    <w:p w:rsidR="002A2821" w:rsidRPr="00A46C52" w:rsidRDefault="002A2821" w:rsidP="00A46C52">
      <w:pPr>
        <w:pStyle w:val="ATHeading3"/>
        <w:keepNext w:val="0"/>
        <w:keepLines w:val="0"/>
      </w:pPr>
      <w:bookmarkStart w:id="4" w:name="Sujet"/>
      <w:r w:rsidRPr="00A46C52">
        <w:t xml:space="preserve">Europaparlamentets resolution av </w:t>
      </w:r>
      <w:bookmarkStart w:id="5" w:name="_GoBack"/>
      <w:bookmarkEnd w:id="5"/>
      <w:r w:rsidRPr="00A46C52">
        <w:t xml:space="preserve">den </w:t>
      </w:r>
      <w:r w:rsidR="00FF0A95" w:rsidRPr="00A46C52">
        <w:t xml:space="preserve">18 september </w:t>
      </w:r>
      <w:r w:rsidRPr="00A46C52">
        <w:t>2024 om utkastet till kommissionens förordning om ändring av bilagorna II, III och V till Europaparlamentets och rådets förordning (EG) nr 396/2005 vad gäller gränsvärden för benomyl, karbendazim och tiofanatmetyl i eller på vissa produkter</w:t>
      </w:r>
      <w:bookmarkEnd w:id="4"/>
      <w:r w:rsidRPr="00A46C52">
        <w:t xml:space="preserve"> </w:t>
      </w:r>
      <w:bookmarkStart w:id="6" w:name="References"/>
      <w:r w:rsidRPr="00A46C52">
        <w:t>(D089819/05 – 2024/2758(RPS))</w:t>
      </w:r>
      <w:bookmarkEnd w:id="6"/>
    </w:p>
    <w:p w:rsidR="00773BB6" w:rsidRPr="00A46C52" w:rsidRDefault="00773BB6" w:rsidP="00A46C52">
      <w:pPr>
        <w:pStyle w:val="EPComma"/>
        <w:widowControl/>
      </w:pPr>
      <w:bookmarkStart w:id="7" w:name="TextBodyBegin"/>
      <w:bookmarkEnd w:id="7"/>
      <w:r w:rsidRPr="00A46C52">
        <w:rPr>
          <w:i/>
          <w:iCs/>
        </w:rPr>
        <w:t>Europaparlamentet utfärdar denna resolution</w:t>
      </w:r>
    </w:p>
    <w:p w:rsidR="00773BB6" w:rsidRPr="00A46C52" w:rsidRDefault="00773BB6" w:rsidP="00A46C52">
      <w:pPr>
        <w:pStyle w:val="NormalHanging12a"/>
        <w:widowControl/>
      </w:pPr>
      <w:r w:rsidRPr="00A46C52">
        <w:t>–</w:t>
      </w:r>
      <w:r w:rsidRPr="00A46C52">
        <w:tab/>
        <w:t>med beaktande av utkastet till kommissionens förordning om ändring av bilagorna II, III och V till Europaparlamentets och rådets förordning (EG) nr 396/2005 vad gäller gränsvärden för benomyl, karbendazim och tiofanatmetyl i eller på vissa produkter (D089819/05),</w:t>
      </w:r>
    </w:p>
    <w:p w:rsidR="00773BB6" w:rsidRPr="00A46C52" w:rsidRDefault="00773BB6" w:rsidP="00A46C52">
      <w:pPr>
        <w:pStyle w:val="NormalHanging12a"/>
        <w:widowControl/>
      </w:pPr>
      <w:r w:rsidRPr="00A46C52">
        <w:t>–</w:t>
      </w:r>
      <w:r w:rsidRPr="00A46C52">
        <w:tab/>
        <w:t>med beaktande av Europaparlamentets och rådets förordning (EG) nr 396/2005 av den 23 februari 2005 om gränsvärden för bekämpningsmedelsrester i eller på livsmedel och foder av vegetabiliskt och animaliskt ursprung och om ändring av rådets direktiv 91/414/EEG</w:t>
      </w:r>
      <w:r w:rsidRPr="00A46C52">
        <w:rPr>
          <w:vertAlign w:val="superscript"/>
        </w:rPr>
        <w:footnoteReference w:id="1"/>
      </w:r>
      <w:r w:rsidRPr="00A46C52">
        <w:t>, särskilt artikel 14.1 a,</w:t>
      </w:r>
    </w:p>
    <w:p w:rsidR="00773BB6" w:rsidRPr="00A46C52" w:rsidRDefault="00773BB6" w:rsidP="00A46C52">
      <w:pPr>
        <w:pStyle w:val="NormalHanging12a"/>
        <w:widowControl/>
      </w:pPr>
      <w:r w:rsidRPr="00A46C52">
        <w:t>–</w:t>
      </w:r>
      <w:r w:rsidRPr="00A46C52">
        <w:tab/>
        <w:t>med beaktande av Europaparlamentets och rådets förordning (EG) nr 1107/2009 av den 21 oktober 2009 om utsläppande av växtskyddsmedel på marknaden och om upphävande av rådets direktiv 79/117/EEG och 91/414/EEG</w:t>
      </w:r>
      <w:r w:rsidRPr="00A46C52">
        <w:rPr>
          <w:vertAlign w:val="superscript"/>
        </w:rPr>
        <w:footnoteReference w:id="2"/>
      </w:r>
      <w:r w:rsidRPr="00A46C52">
        <w:t>, särskilt artikel 4.1 och artikel 4.2 första stycket a samt punkterna 3.6.2, 3.6.4 och 3.6.5 i bilaga II,</w:t>
      </w:r>
    </w:p>
    <w:p w:rsidR="00773BB6" w:rsidRPr="00A46C52" w:rsidRDefault="00773BB6" w:rsidP="00A46C52">
      <w:pPr>
        <w:pStyle w:val="NormalHanging12a"/>
        <w:widowControl/>
      </w:pPr>
      <w:r w:rsidRPr="00A46C52">
        <w:t>–</w:t>
      </w:r>
      <w:r w:rsidRPr="00A46C52">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A46C52">
        <w:rPr>
          <w:vertAlign w:val="superscript"/>
        </w:rPr>
        <w:footnoteReference w:id="3"/>
      </w:r>
      <w:r w:rsidRPr="00A46C52">
        <w:t>, särskilt artikel 5.1,</w:t>
      </w:r>
    </w:p>
    <w:p w:rsidR="00773BB6" w:rsidRPr="00A46C52" w:rsidRDefault="00773BB6" w:rsidP="00A46C52">
      <w:pPr>
        <w:pStyle w:val="NormalHanging12a"/>
        <w:widowControl/>
      </w:pPr>
      <w:r w:rsidRPr="00A46C52">
        <w:lastRenderedPageBreak/>
        <w:t>–</w:t>
      </w:r>
      <w:r w:rsidRPr="00A46C52">
        <w:tab/>
        <w:t>med beaktande av artiklarna 11, 13, 168 och 191 i fördraget om Europeiska unionens funktionssätt,</w:t>
      </w:r>
    </w:p>
    <w:p w:rsidR="00773BB6" w:rsidRPr="00A46C52" w:rsidRDefault="00773BB6" w:rsidP="00A46C52">
      <w:pPr>
        <w:pStyle w:val="NormalHanging12a"/>
        <w:widowControl/>
      </w:pPr>
      <w:r w:rsidRPr="00A46C52">
        <w:t>–</w:t>
      </w:r>
      <w:r w:rsidRPr="00A46C52">
        <w:tab/>
        <w:t>med beaktande av det motiverade yttrande som antogs av Europeiska myndigheten för livsmedelssäkerhet (Efsa) den 5 juli 2021, och som offentliggjordes den 23 augusti 2021</w:t>
      </w:r>
      <w:r w:rsidRPr="00A46C52">
        <w:rPr>
          <w:vertAlign w:val="superscript"/>
        </w:rPr>
        <w:footnoteReference w:id="4"/>
      </w:r>
      <w:r w:rsidRPr="00A46C52">
        <w:t>,</w:t>
      </w:r>
    </w:p>
    <w:p w:rsidR="00773BB6" w:rsidRPr="00A46C52" w:rsidRDefault="00773BB6" w:rsidP="00A46C52">
      <w:pPr>
        <w:pStyle w:val="NormalHanging12a"/>
        <w:widowControl/>
      </w:pPr>
      <w:r w:rsidRPr="00A46C52">
        <w:t>–</w:t>
      </w:r>
      <w:r w:rsidRPr="00A46C52">
        <w:tab/>
        <w:t>med beaktande av det uppdaterade motiverade yttrande som antogs av Efsa den 10 januari 2024, och som offentliggjordes den 20 februari 2024</w:t>
      </w:r>
      <w:r w:rsidRPr="00A46C52">
        <w:rPr>
          <w:rStyle w:val="FootnoteReference"/>
        </w:rPr>
        <w:footnoteReference w:id="5"/>
      </w:r>
      <w:r w:rsidRPr="00A46C52">
        <w:t>,</w:t>
      </w:r>
    </w:p>
    <w:p w:rsidR="00773BB6" w:rsidRPr="00A46C52" w:rsidRDefault="00773BB6" w:rsidP="00A46C52">
      <w:pPr>
        <w:pStyle w:val="NormalHanging12a"/>
        <w:widowControl/>
      </w:pPr>
      <w:r w:rsidRPr="00A46C52">
        <w:t>–</w:t>
      </w:r>
      <w:r w:rsidRPr="00A46C52">
        <w:tab/>
        <w:t>med beaktande av slutsatsen om expertgranskning av bekämpningsmedel som antogs av Efsa den 30 april 2010, och som offentliggjordes den 12 maj 2010</w:t>
      </w:r>
      <w:r w:rsidRPr="00A46C52">
        <w:rPr>
          <w:vertAlign w:val="superscript"/>
        </w:rPr>
        <w:footnoteReference w:id="6"/>
      </w:r>
      <w:r w:rsidRPr="00A46C52">
        <w:t>,</w:t>
      </w:r>
    </w:p>
    <w:p w:rsidR="00773BB6" w:rsidRPr="00A46C52" w:rsidRDefault="00773BB6" w:rsidP="00A46C52">
      <w:pPr>
        <w:pStyle w:val="NormalHanging12a"/>
        <w:widowControl/>
      </w:pPr>
      <w:r w:rsidRPr="00A46C52">
        <w:t>–</w:t>
      </w:r>
      <w:r w:rsidRPr="00A46C52">
        <w:tab/>
        <w:t>med beaktande av slutsatsen om expertgranskning av bekämpningsmedel som antogs av Efsa den 8 december 2017, och som offentliggjordes den 17 januari 2018</w:t>
      </w:r>
      <w:r w:rsidRPr="00A46C52">
        <w:rPr>
          <w:vertAlign w:val="superscript"/>
        </w:rPr>
        <w:footnoteReference w:id="7"/>
      </w:r>
      <w:r w:rsidRPr="00A46C52">
        <w:t>,</w:t>
      </w:r>
    </w:p>
    <w:p w:rsidR="00773BB6" w:rsidRPr="00A46C52" w:rsidRDefault="00773BB6" w:rsidP="00A46C52">
      <w:pPr>
        <w:pStyle w:val="NormalHanging12a"/>
        <w:widowControl/>
      </w:pPr>
      <w:r w:rsidRPr="00A46C52">
        <w:t>–</w:t>
      </w:r>
      <w:r w:rsidRPr="00A46C52">
        <w:tab/>
        <w:t>med beaktande av det uttalande som antogs av Efsa den 27 mars 2024, och som offentliggjordes den 13 maj 2024</w:t>
      </w:r>
      <w:r w:rsidRPr="00A46C52">
        <w:rPr>
          <w:vertAlign w:val="superscript"/>
        </w:rPr>
        <w:footnoteReference w:id="8"/>
      </w:r>
      <w:r w:rsidRPr="00A46C52">
        <w:t>,</w:t>
      </w:r>
    </w:p>
    <w:p w:rsidR="00773BB6" w:rsidRPr="00A46C52" w:rsidRDefault="00773BB6" w:rsidP="00A46C52">
      <w:pPr>
        <w:pStyle w:val="NormalHanging12a"/>
        <w:widowControl/>
      </w:pPr>
      <w:r w:rsidRPr="00A46C52">
        <w:t>–</w:t>
      </w:r>
      <w:r w:rsidRPr="00A46C52">
        <w:tab/>
        <w:t>med beaktande av det yttrande som antogs av Europeiska kemikaliemyndighetens riskbedömningskommitté den 5 december 2019</w:t>
      </w:r>
      <w:r w:rsidRPr="00A46C52">
        <w:rPr>
          <w:rStyle w:val="FootnoteReference"/>
        </w:rPr>
        <w:footnoteReference w:id="9"/>
      </w:r>
      <w:r w:rsidRPr="00A46C52">
        <w:t>,</w:t>
      </w:r>
    </w:p>
    <w:p w:rsidR="00773BB6" w:rsidRPr="00A46C52" w:rsidRDefault="00773BB6" w:rsidP="00A46C52">
      <w:pPr>
        <w:pStyle w:val="NormalHanging12a"/>
        <w:widowControl/>
      </w:pPr>
      <w:r w:rsidRPr="00A46C52">
        <w:t>–</w:t>
      </w:r>
      <w:r w:rsidRPr="00A46C52">
        <w:tab/>
        <w:t>med beaktande av artikel 5a.3 b och 5a.5 i rådets beslut 1999/468/EG av den 28 juni 1999 om de förfaranden som skall tillämpas vid utövandet av kommissionens genomförandebefogenheter</w:t>
      </w:r>
      <w:r w:rsidRPr="00A46C52">
        <w:rPr>
          <w:rStyle w:val="FootnoteReference"/>
        </w:rPr>
        <w:footnoteReference w:id="10"/>
      </w:r>
      <w:r w:rsidRPr="00A46C52">
        <w:t>,</w:t>
      </w:r>
    </w:p>
    <w:p w:rsidR="00773BB6" w:rsidRPr="00A46C52" w:rsidRDefault="00773BB6" w:rsidP="00A46C52">
      <w:pPr>
        <w:pStyle w:val="NormalHanging12a"/>
        <w:widowControl/>
      </w:pPr>
      <w:r w:rsidRPr="00A46C52">
        <w:t>–</w:t>
      </w:r>
      <w:r w:rsidRPr="00A46C52">
        <w:tab/>
        <w:t>med beaktande av artikel 115.2, 115.3 och 115.4 c i arbetsordningen,</w:t>
      </w:r>
    </w:p>
    <w:p w:rsidR="00773BB6" w:rsidRPr="00A46C52" w:rsidRDefault="00773BB6" w:rsidP="00A46C52">
      <w:pPr>
        <w:pStyle w:val="NormalHanging12a"/>
        <w:widowControl/>
      </w:pPr>
      <w:r w:rsidRPr="00A46C52">
        <w:t>–</w:t>
      </w:r>
      <w:r w:rsidRPr="00A46C52">
        <w:tab/>
        <w:t>med beaktande av förslaget till resolution från utskottet för miljö, folkhälsa och livsmedelssäkerhet, och av följande skäl:</w:t>
      </w:r>
    </w:p>
    <w:p w:rsidR="00773BB6" w:rsidRPr="00A46C52" w:rsidRDefault="00773BB6" w:rsidP="00A46C52">
      <w:pPr>
        <w:pStyle w:val="NormalHanging12a"/>
        <w:widowControl/>
      </w:pPr>
      <w:r w:rsidRPr="00A46C52">
        <w:lastRenderedPageBreak/>
        <w:t>A.</w:t>
      </w:r>
      <w:r w:rsidRPr="00A46C52">
        <w:tab/>
        <w:t>I jordbrukarnas protester under första halvåret 2024 var ett av de grundläggande kraven en rättvis och lika behandling av produkter som importeras från tredjeländer, vilka bör följa samma normer som produkter som produceras i unionen.</w:t>
      </w:r>
    </w:p>
    <w:p w:rsidR="00773BB6" w:rsidRPr="00A46C52" w:rsidRDefault="00773BB6" w:rsidP="00A46C52">
      <w:pPr>
        <w:pStyle w:val="NormalHanging12a"/>
        <w:widowControl/>
      </w:pPr>
      <w:r w:rsidRPr="00A46C52">
        <w:t>B.</w:t>
      </w:r>
      <w:r w:rsidRPr="00A46C52">
        <w:tab/>
        <w:t>Antagandet av utkastet till kommissionens förordning skulle möjliggöra fortsatt import till unionen som inte uppfyller de normer som unionens jordbrukare följer.</w:t>
      </w:r>
    </w:p>
    <w:p w:rsidR="00773BB6" w:rsidRPr="00A46C52" w:rsidRDefault="00773BB6" w:rsidP="00A46C52">
      <w:pPr>
        <w:pStyle w:val="NormalHanging12a"/>
        <w:widowControl/>
      </w:pPr>
      <w:r w:rsidRPr="00A46C52">
        <w:t>C.</w:t>
      </w:r>
      <w:r w:rsidRPr="00A46C52">
        <w:tab/>
        <w:t>En sådan situation skulle innebära en konkurrensnackdel för unionens jordbrukare.</w:t>
      </w:r>
    </w:p>
    <w:p w:rsidR="00773BB6" w:rsidRPr="00A46C52" w:rsidRDefault="00773BB6" w:rsidP="00A46C52">
      <w:pPr>
        <w:pStyle w:val="NormalHanging12a"/>
        <w:widowControl/>
      </w:pPr>
      <w:r w:rsidRPr="00A46C52">
        <w:t>D.</w:t>
      </w:r>
      <w:r w:rsidRPr="00A46C52">
        <w:tab/>
        <w:t>Godkännandet av det verksamma ämnet karbendazim löpte ut den 30 november 2014, och ingen ansökan om att förnya godkännandet lämnades in.</w:t>
      </w:r>
    </w:p>
    <w:p w:rsidR="00773BB6" w:rsidRPr="00A46C52" w:rsidRDefault="00773BB6" w:rsidP="00A46C52">
      <w:pPr>
        <w:pStyle w:val="NormalHanging12a"/>
        <w:widowControl/>
      </w:pPr>
      <w:r w:rsidRPr="00A46C52">
        <w:t>E.</w:t>
      </w:r>
      <w:r w:rsidRPr="00A46C52">
        <w:tab/>
        <w:t>Karbendazim uppfyller kriterierna för att klassificeras som mutagent i kategori 1B och reproduktionstoxiskt i kategori 1B i enlighet med Europaparlamentets och rådets förordning (EG) nr 1272/2008</w:t>
      </w:r>
      <w:r w:rsidRPr="00A46C52">
        <w:rPr>
          <w:rStyle w:val="FootnoteReference"/>
        </w:rPr>
        <w:footnoteReference w:id="11"/>
      </w:r>
      <w:r w:rsidRPr="00A46C52">
        <w:t xml:space="preserve"> och två av kriterierna för att vara ett persistent, bioackumulerande och toxiskt ämne (PBT) (nämligen P och T: persistent och toxiskt) i enlighet med punkt 3.7.2 i bilaga II till förordning (EG) nr 1107/2009.</w:t>
      </w:r>
    </w:p>
    <w:p w:rsidR="00773BB6" w:rsidRPr="00A46C52" w:rsidRDefault="00773BB6" w:rsidP="00A46C52">
      <w:pPr>
        <w:pStyle w:val="NormalHanging12a"/>
        <w:widowControl/>
      </w:pPr>
      <w:r w:rsidRPr="00A46C52">
        <w:t>F.</w:t>
      </w:r>
      <w:r w:rsidRPr="00A46C52">
        <w:tab/>
        <w:t>Karbendazim klassificeras också i enlighet med förordning (EG) nr 1272/2008 som mycket giftigt för vattenlevande organismer, är mycket giftigt för vattenlevande organismer med långvariga effekter och kan orsaka en allergisk hudreaktion.</w:t>
      </w:r>
    </w:p>
    <w:p w:rsidR="00773BB6" w:rsidRPr="00A46C52" w:rsidRDefault="00773BB6" w:rsidP="00A46C52">
      <w:pPr>
        <w:pStyle w:val="NormalHanging12a"/>
        <w:widowControl/>
      </w:pPr>
      <w:r w:rsidRPr="00A46C52">
        <w:t>G.</w:t>
      </w:r>
      <w:r w:rsidRPr="00A46C52">
        <w:tab/>
        <w:t>Det är därför lämpligt att de befintliga gränsvärden som fastställs för karbendazim i bilaga II till förordning (EG) nr 396/2005 stryks i enlighet med artiklarna 14.1 a och 17 i den förordningen.</w:t>
      </w:r>
    </w:p>
    <w:p w:rsidR="00773BB6" w:rsidRPr="00A46C52" w:rsidRDefault="00773BB6" w:rsidP="00A46C52">
      <w:pPr>
        <w:pStyle w:val="NormalHanging12a"/>
        <w:widowControl/>
      </w:pPr>
      <w:r w:rsidRPr="00A46C52">
        <w:t>H.</w:t>
      </w:r>
      <w:r w:rsidRPr="00A46C52">
        <w:tab/>
        <w:t>I utkastet till kommissionens förordning föreslår kommissionen dock att gränsvärdena baserade på importtoleranser för karbendazim ska bibehållas över bestämningsgränsen för användning i citroner, limefrukter, mandariner och okra/gumbo för importändamål på grundval av Efsas motiverade yttrande av den 5 juli 2021.</w:t>
      </w:r>
    </w:p>
    <w:p w:rsidR="00773BB6" w:rsidRPr="00A46C52" w:rsidRDefault="00773BB6" w:rsidP="00A46C52">
      <w:pPr>
        <w:pStyle w:val="NormalHanging12a"/>
        <w:widowControl/>
      </w:pPr>
      <w:r w:rsidRPr="00A46C52">
        <w:t>I.</w:t>
      </w:r>
      <w:r w:rsidRPr="00A46C52">
        <w:tab/>
        <w:t xml:space="preserve">I utkastet till kommissionens förordning föreslår kommissionen att gränsvärdena baserade på importtoleranser för citroner, limefrukter och mandariner bibehålls på den befintliga nivån 0,7 mg/kg, och att gränsvärdena för okra/gumbo ska ligga på en ny nivå som fastställts av Efsa: 1,5 mg/kg. </w:t>
      </w:r>
    </w:p>
    <w:p w:rsidR="00773BB6" w:rsidRPr="00A46C52" w:rsidRDefault="00773BB6" w:rsidP="00A46C52">
      <w:pPr>
        <w:pStyle w:val="NormalHanging12a"/>
        <w:widowControl/>
      </w:pPr>
      <w:r w:rsidRPr="00A46C52">
        <w:t>J.</w:t>
      </w:r>
      <w:r w:rsidRPr="00A46C52">
        <w:tab/>
        <w:t>Godkännandet av det verksamma ämnet tiofanatmetyl förnyades inte den 15 oktober 2020 efter det att en ansökan om förnyat godkännande dragits tillbaka av sökanden.</w:t>
      </w:r>
    </w:p>
    <w:p w:rsidR="00773BB6" w:rsidRPr="00A46C52" w:rsidRDefault="00773BB6" w:rsidP="00A46C52">
      <w:pPr>
        <w:pStyle w:val="NormalHanging12a"/>
        <w:widowControl/>
      </w:pPr>
      <w:r w:rsidRPr="00A46C52">
        <w:t>K.</w:t>
      </w:r>
      <w:r w:rsidRPr="00A46C52">
        <w:tab/>
        <w:t>Tiofanatmetyl uppfyller kriterierna för att klassificeras som mutagent ämne i kategori 2 och reproduktionstoxiskt i kategori 2 i enlighet med förordning (EG) nr 1272/2008</w:t>
      </w:r>
      <w:r w:rsidRPr="00A46C52">
        <w:rPr>
          <w:rStyle w:val="FootnoteReference"/>
        </w:rPr>
        <w:footnoteReference w:id="12"/>
      </w:r>
      <w:r w:rsidRPr="00A46C52">
        <w:t>.</w:t>
      </w:r>
    </w:p>
    <w:p w:rsidR="00773BB6" w:rsidRPr="00A46C52" w:rsidRDefault="00773BB6" w:rsidP="00A46C52">
      <w:pPr>
        <w:pStyle w:val="NormalHanging12a"/>
        <w:widowControl/>
      </w:pPr>
      <w:r w:rsidRPr="00A46C52">
        <w:lastRenderedPageBreak/>
        <w:t>L.</w:t>
      </w:r>
      <w:r w:rsidRPr="00A46C52">
        <w:tab/>
        <w:t>I sitt uppdaterade motiverade yttrande av den 10 januari 2024 identifierade Efsa tiofanatmetyl som ett hormonstörande ämne (T-modalitet) av relevans för människor enligt de vetenskapliga kriterier för att fastställa hormonstörande egenskaper som anges i kommissionens förordning (EU) 2018/605</w:t>
      </w:r>
      <w:r w:rsidRPr="00A46C52">
        <w:rPr>
          <w:rStyle w:val="FootnoteReference"/>
        </w:rPr>
        <w:footnoteReference w:id="13"/>
      </w:r>
      <w:r w:rsidRPr="00A46C52">
        <w:t>.</w:t>
      </w:r>
    </w:p>
    <w:p w:rsidR="00773BB6" w:rsidRPr="00A46C52" w:rsidRDefault="00773BB6" w:rsidP="00A46C52">
      <w:pPr>
        <w:pStyle w:val="NormalHanging12a"/>
        <w:widowControl/>
      </w:pPr>
      <w:r w:rsidRPr="00A46C52">
        <w:t>M.</w:t>
      </w:r>
      <w:r w:rsidRPr="00A46C52">
        <w:tab/>
        <w:t>Karbendazim är en viktig växtmetabolit av tiofanatmetyl.</w:t>
      </w:r>
    </w:p>
    <w:p w:rsidR="00773BB6" w:rsidRPr="00A46C52" w:rsidRDefault="00773BB6" w:rsidP="00A46C52">
      <w:pPr>
        <w:pStyle w:val="NormalHanging12a"/>
        <w:widowControl/>
      </w:pPr>
      <w:r w:rsidRPr="00A46C52">
        <w:t>N.</w:t>
      </w:r>
      <w:r w:rsidRPr="00A46C52">
        <w:tab/>
        <w:t>I Efsas slutsats om expertgranskning av bekämpningsmedel av den 8 december 2017 konstaterades att det, med tanke på tiofanatmetyls clastogena potential, inte gick att härleda toxikologiska referensvärden för riskbedömning för konsumenter och användare.</w:t>
      </w:r>
    </w:p>
    <w:p w:rsidR="00773BB6" w:rsidRPr="00A46C52" w:rsidRDefault="00773BB6" w:rsidP="00A46C52">
      <w:pPr>
        <w:pStyle w:val="NormalHanging12a"/>
        <w:widowControl/>
      </w:pPr>
      <w:r w:rsidRPr="00A46C52">
        <w:t>O.</w:t>
      </w:r>
      <w:r w:rsidRPr="00A46C52">
        <w:tab/>
        <w:t>Under 2024 har kommissionen sänkt gränsvärdena för tiakloprid, ett verksamt ämne som klassificeras som reproduktionstoxiskt i kategori 1B, till den relevanta bestämningsgränsen med motiveringen att gränsvärdena för dessa produkter bör sänkas tillfälligt i avvaktan på att myndighetens kompletterande riskbedömning om hormonstörande effekter slutförs, och med tanke på den information som finns tillgänglig om potentiellt skadliga effekter på människors hälsa.</w:t>
      </w:r>
      <w:r w:rsidRPr="00A46C52">
        <w:rPr>
          <w:rStyle w:val="FootnoteReference"/>
        </w:rPr>
        <w:footnoteReference w:id="14"/>
      </w:r>
    </w:p>
    <w:p w:rsidR="00773BB6" w:rsidRPr="00A46C52" w:rsidRDefault="00773BB6" w:rsidP="00A46C52">
      <w:pPr>
        <w:pStyle w:val="NormalHanging12a"/>
        <w:widowControl/>
      </w:pPr>
      <w:r w:rsidRPr="00A46C52">
        <w:t>P.</w:t>
      </w:r>
      <w:r w:rsidRPr="00A46C52">
        <w:tab/>
        <w:t>Det är därför lämpligt att de befintliga gränsvärden som fastställs för tiofanatmetyl i bilaga II till förordning (EG) nr 396/2005 stryks i enlighet med artiklarna 14.1 a och 17 i den förordningen.</w:t>
      </w:r>
    </w:p>
    <w:p w:rsidR="00773BB6" w:rsidRPr="00A46C52" w:rsidRDefault="00773BB6" w:rsidP="00A46C52">
      <w:pPr>
        <w:pStyle w:val="NormalHanging12a"/>
        <w:widowControl/>
      </w:pPr>
      <w:r w:rsidRPr="00A46C52">
        <w:t>Q.</w:t>
      </w:r>
      <w:r w:rsidRPr="00A46C52">
        <w:tab/>
        <w:t>I utkastet till kommissionens förordning föreslår kommissionen dock att gränsvärdena baserade på importtoleranser för tiofanatmetyl ska bibehållas över bestämningsgränsen för användning i limefrukter och okra/gumbo för importändamål på grundval av Efsas motiverade yttrande av den 5 juli 2021. Gränsvärdet för tiofanatmetyl i limefrukter har fastställts till 6 mg/kg, vilket är 600 gånger bestämningsgränsen.</w:t>
      </w:r>
    </w:p>
    <w:p w:rsidR="00773BB6" w:rsidRPr="00A46C52" w:rsidRDefault="00773BB6" w:rsidP="00A46C52">
      <w:pPr>
        <w:pStyle w:val="NormalHanging12a"/>
        <w:widowControl/>
      </w:pPr>
      <w:r w:rsidRPr="00A46C52">
        <w:t>R.</w:t>
      </w:r>
      <w:r w:rsidRPr="00A46C52">
        <w:tab/>
        <w:t xml:space="preserve">Enligt skäl 5 i förordning (EG) nr 396/2005 får resthalter inte förekomma på nivåer som utgör en oacceptabel risk för människor och, i förekommande fall, för djur. </w:t>
      </w:r>
    </w:p>
    <w:p w:rsidR="00773BB6" w:rsidRPr="00A46C52" w:rsidRDefault="00773BB6" w:rsidP="00A46C52">
      <w:pPr>
        <w:pStyle w:val="NormalHanging12a"/>
        <w:widowControl/>
      </w:pPr>
      <w:r w:rsidRPr="00A46C52">
        <w:t>S.</w:t>
      </w:r>
      <w:r w:rsidRPr="00A46C52">
        <w:tab/>
        <w:t xml:space="preserve">Enligt artikel 4.2 första stycket a i förordning (EG) nr 1107/2009 får resthalter av växtskyddsmedel inte ha skadliga hälsoeffekter på människor, inklusive känsliga befolkningsgrupper, eller på djur, med beaktande av kända kumulativa och synergistiska effekter. Enligt punkt 3.6.2 i bilaga II till den förordningen ska ett verksamt ämne som i enlighet med förordning (EG) nr 1272/2008 klassificeras som mutagent i kategori 1A eller 1B inte godkännas. Enligt punkt 3.6.4 i samma bilaga ska ett verksamt ämne som klassificeras som reproduktionstoxiskt i kategori 1A eller 1B i enlighet med förordning (EG) nr 1272/2008 endast godkännas om ”resthalterna av det berörda verksamma ämnet [...] i livsmedel och foder inte överskrider det standardvärde som fastställs i enlighet med artikel 18.1 b i förordning (EG) nr 396/2005”. Enligt punkt 3.6.5 i samma bilaga ska ett verksamt ämne som har hormonstörande egenskaper endast godkännas om ”resthalterna av det berörda verksamma ämnet [...] i livsmedel och foder inte överskrider det standardvärde som fastställs i enlighet med artikel 18.1 b i </w:t>
      </w:r>
      <w:r w:rsidRPr="00A46C52">
        <w:lastRenderedPageBreak/>
        <w:t xml:space="preserve">förordning (EG) nr 396/2005”. I artikel 18.1 b i förordning (EG) nr 396/2005 fastställs ett standardvärde på 0,01 mg/kg. </w:t>
      </w:r>
    </w:p>
    <w:p w:rsidR="00773BB6" w:rsidRPr="00A46C52" w:rsidRDefault="00773BB6" w:rsidP="00A46C52">
      <w:pPr>
        <w:pStyle w:val="NormalHanging12a"/>
        <w:widowControl/>
      </w:pPr>
      <w:r w:rsidRPr="00A46C52">
        <w:t>T.</w:t>
      </w:r>
      <w:r w:rsidRPr="00A46C52">
        <w:tab/>
        <w:t>Enligt artikel 3.2 g i förordning (EG) nr 396/2005 är importtolerans ett gränsvärde som fastställs för importerade produkter om ”användningen av det verksamma ämnet i ett växtskyddsmedel på en viss produkt inte är godkänd i gemenskapen av andra skäl än folkhälsoskäl för den specifika produkten och den specifika användningen”. Karbendazim uppfyller inte dessa kriterier eftersom det inte längre kan godkännas i unionen på grund av att det klassificerats som mutagent i kategori 1B och reproduktionstoxiskt i kategori 1B. Tiofanatmetyl uppfyller inte heller dessa kriterier eftersom det har identifierats som ett hormonstörande ämne (T-modalitet) av relevans för människor enligt de vetenskapliga kriterier för att fastställa hormonstörande egenskaper som anges i förordning (EU) 2018/605.</w:t>
      </w:r>
    </w:p>
    <w:p w:rsidR="00773BB6" w:rsidRPr="00A46C52" w:rsidRDefault="00773BB6" w:rsidP="00A46C52">
      <w:pPr>
        <w:pStyle w:val="NormalHanging12a"/>
        <w:widowControl/>
      </w:pPr>
      <w:r w:rsidRPr="00A46C52">
        <w:t>U.</w:t>
      </w:r>
      <w:r w:rsidRPr="00A46C52">
        <w:tab/>
        <w:t>Enligt artikel 5.1 i förordning (EG) nr 178/2002 är syftet med livsmedelslagstiftningen att uppnå ett eller flera av de allmänna målen om en hög skyddsnivå för människors liv och hälsa, skydd av konsumenternas intressen, inbegripet god sed inom handeln med livsmedel, i förekommande fall med beaktande av skydd av djurs hälsa och välbefinnande, växtskydd samt miljön.</w:t>
      </w:r>
    </w:p>
    <w:p w:rsidR="00773BB6" w:rsidRPr="00A46C52" w:rsidRDefault="00773BB6" w:rsidP="00A46C52">
      <w:pPr>
        <w:pStyle w:val="NormalHanging12a"/>
        <w:widowControl/>
      </w:pPr>
      <w:r w:rsidRPr="00A46C52">
        <w:t>V.</w:t>
      </w:r>
      <w:r w:rsidRPr="00A46C52">
        <w:tab/>
        <w:t xml:space="preserve">I sitt meddelande </w:t>
      </w:r>
      <w:r w:rsidRPr="00A46C52">
        <w:rPr>
          <w:i/>
          <w:iCs/>
        </w:rPr>
        <w:t>Från jord till bord-strategin för ett rättvisare, hälsosammare och miljövänligare livsmedelssystem</w:t>
      </w:r>
      <w:r w:rsidRPr="00A46C52">
        <w:t xml:space="preserve"> av den 20 maj 2020</w:t>
      </w:r>
      <w:r w:rsidRPr="00A46C52">
        <w:rPr>
          <w:vertAlign w:val="superscript"/>
        </w:rPr>
        <w:footnoteReference w:id="15"/>
      </w:r>
      <w:r w:rsidRPr="00A46C52">
        <w:t xml:space="preserve"> tillkännagav kommissionen att ”EU kommer att stödja den globala omställningen till hållbara jordbruksbaserade livsmedelssystem i linje med målen för denna strategi och FN:s mål för hållbar utveckling”, och att ”EU kan spela en nyckelroll genom att med denna strategi fastställa globala standarder”. I strategin angav kommissionen uttryckligen att ”ett mer hållbart livsmedelssystem i EU kräver också att våra handelspartner använder allt mer hållbara metoder. För att främja en gradvis utveckling mot säkrare växtskyddsmedel kommer EU att, i enlighet med WTO:s regler och efter en riskbedömning, se över importtoleranser för ämnen som uppfyller uteslutningskriterierna och som utgör en hög risk för människors hälsa”.</w:t>
      </w:r>
    </w:p>
    <w:p w:rsidR="00773BB6" w:rsidRPr="00A46C52" w:rsidRDefault="00773BB6" w:rsidP="00A46C52">
      <w:pPr>
        <w:pStyle w:val="NormalHanging12a"/>
        <w:widowControl/>
      </w:pPr>
      <w:r w:rsidRPr="00A46C52">
        <w:t>W.</w:t>
      </w:r>
      <w:r w:rsidRPr="00A46C52">
        <w:tab/>
        <w:t>Kommissionen måste skydda miljön och EU:s invånare på grundval av tillgänglig vetenskaplig information, med hjälp av de skyldigheter och rättsliga möjligheter som förordningarna (EG) nr 396/2005 och (EG) nr 178/2002 föreskriver för att säkerställa en hög skyddsnivå för människors och djurs hälsa samt för miljön.</w:t>
      </w:r>
    </w:p>
    <w:p w:rsidR="00773BB6" w:rsidRPr="00A46C52" w:rsidRDefault="00773BB6" w:rsidP="00A46C52">
      <w:pPr>
        <w:pStyle w:val="NormalHanging12a"/>
        <w:widowControl/>
      </w:pPr>
      <w:r w:rsidRPr="00A46C52">
        <w:t>X.</w:t>
      </w:r>
      <w:r w:rsidRPr="00A46C52">
        <w:tab/>
        <w:t>De föreslagna gränsvärdena skyddar inte EU-medborgarnas hälsa och strider därför mot förordningarna (EG) nr 396/2005 och (EG) nr 178/2002.</w:t>
      </w:r>
    </w:p>
    <w:p w:rsidR="00773BB6" w:rsidRPr="00A46C52" w:rsidRDefault="00773BB6" w:rsidP="00A46C52">
      <w:pPr>
        <w:pStyle w:val="NormalHanging12a"/>
        <w:widowControl/>
      </w:pPr>
      <w:r w:rsidRPr="00A46C52">
        <w:t xml:space="preserve">Y. </w:t>
      </w:r>
      <w:r w:rsidRPr="00A46C52">
        <w:tab/>
        <w:t>Gränsvärden bör inte fastställas för verksamma ämnen som inte är godkända i unionen på grund av betänkligheter vad gäller hälsa. Därför bör inga importtoleranser fastställas för tiofanatmetyl eftersom det har identifierats som ett hormonstörande ämne eller för karbendazim eftersom det klassificeras som mutagent i kategori 1B och reproduktionstoxiskt i kategori 1B.</w:t>
      </w:r>
    </w:p>
    <w:p w:rsidR="00773BB6" w:rsidRPr="00A46C52" w:rsidRDefault="00773BB6" w:rsidP="00A46C52">
      <w:pPr>
        <w:pStyle w:val="NormalHanging12a"/>
        <w:widowControl/>
      </w:pPr>
      <w:r w:rsidRPr="00A46C52">
        <w:t>Z.</w:t>
      </w:r>
      <w:r w:rsidRPr="00A46C52">
        <w:tab/>
        <w:t xml:space="preserve">Praxisen att fastställa höga gränsvärden skapar en dubbelmoral mellan unionens jordbrukare och jordbrukare i tredjeländer, eftersom jordbrukare utanför unionen kan fortsätta att producera de berörda livsmedlen med användning av karbendazim och </w:t>
      </w:r>
      <w:r w:rsidRPr="00A46C52">
        <w:lastRenderedPageBreak/>
        <w:t>tiofanatmetyl och exportera dem till unionen, vilket innebär en konkurrensnackdel för unionens jordbrukare. Användningen av dessa bekämpningsmedel äventyrar dessutom jordbruksarbetarnas hälsa, befolkningens hälsa i allmänhet och miljön i de producerande länderna.</w:t>
      </w:r>
    </w:p>
    <w:p w:rsidR="00773BB6" w:rsidRPr="00A46C52" w:rsidRDefault="00773BB6" w:rsidP="00A46C52">
      <w:pPr>
        <w:pStyle w:val="NormalHanging12a"/>
        <w:widowControl/>
      </w:pPr>
      <w:r w:rsidRPr="00A46C52">
        <w:t>1.</w:t>
      </w:r>
      <w:r w:rsidRPr="00A46C52">
        <w:tab/>
        <w:t>Europaparlamentet motsätter sig antagandet av utkastet till kommissionens förordning.</w:t>
      </w:r>
    </w:p>
    <w:p w:rsidR="00773BB6" w:rsidRPr="00A46C52" w:rsidRDefault="00773BB6" w:rsidP="00A46C52">
      <w:pPr>
        <w:pStyle w:val="NormalHanging12a"/>
        <w:widowControl/>
      </w:pPr>
      <w:r w:rsidRPr="00A46C52">
        <w:t>2.</w:t>
      </w:r>
      <w:r w:rsidRPr="00A46C52">
        <w:tab/>
        <w:t>Europaparlamentet anser att utkastet till kommissionens förordning inte är förenligt med syftet med och innehållet i förordningarna (EG) nr 396/2005 och (EG) nr 178/2002 samt med förordning (EG) nr 1107/2009, inbegripet punkterna 3.6.2, 3.6.4 och 3.6.5 i bilaga II till den förordningen.</w:t>
      </w:r>
    </w:p>
    <w:p w:rsidR="00773BB6" w:rsidRPr="00A46C52" w:rsidRDefault="00773BB6" w:rsidP="00A46C52">
      <w:pPr>
        <w:pStyle w:val="NormalHanging12a"/>
        <w:widowControl/>
      </w:pPr>
      <w:r w:rsidRPr="00A46C52">
        <w:t>3.</w:t>
      </w:r>
      <w:r w:rsidRPr="00A46C52">
        <w:tab/>
        <w:t>Europaparlamentet uppmanar kommissionen att dra tillbaka sitt utkast till förordning och att lägga fram ett nytt för kommittén.</w:t>
      </w:r>
    </w:p>
    <w:p w:rsidR="00773BB6" w:rsidRPr="00A46C52" w:rsidRDefault="00773BB6" w:rsidP="00A46C52">
      <w:pPr>
        <w:pStyle w:val="NormalHanging12a"/>
        <w:widowControl/>
      </w:pPr>
      <w:r w:rsidRPr="00A46C52">
        <w:t>4.</w:t>
      </w:r>
      <w:r w:rsidRPr="00A46C52">
        <w:tab/>
        <w:t>Europaparlamentet uppmanar kommissionen att lägga fram ett nytt utkast till förordning för kommittén om att sänka alla gränsvärden för karbendazim och tiofanatmetyl till den relevanta bestämningsgränsen för alla användningsområden och att avslå alla ansökningar om importtoleranser.</w:t>
      </w:r>
    </w:p>
    <w:p w:rsidR="00773BB6" w:rsidRPr="0073700D" w:rsidRDefault="00773BB6" w:rsidP="00A46C52">
      <w:pPr>
        <w:pStyle w:val="NormalHanging12a"/>
        <w:widowControl/>
        <w:rPr>
          <w:szCs w:val="24"/>
        </w:rPr>
      </w:pPr>
      <w:r w:rsidRPr="00A46C52">
        <w:t>5.</w:t>
      </w:r>
      <w:r w:rsidRPr="00A46C52">
        <w:tab/>
        <w:t>Europaparlamentet uppdrar åt talmannen att översända denna resolution till rådet och kommissionen samt till medlemsstaternas regeringar och parlament.</w:t>
      </w:r>
      <w:r w:rsidRPr="0073700D">
        <w:t xml:space="preserve"> </w:t>
      </w:r>
    </w:p>
    <w:p w:rsidR="00E365E1" w:rsidRPr="0073700D" w:rsidRDefault="00E365E1" w:rsidP="00FF0A95">
      <w:bookmarkStart w:id="9" w:name="TextBodyEnd"/>
      <w:bookmarkEnd w:id="9"/>
    </w:p>
    <w:sectPr w:rsidR="00E365E1" w:rsidRPr="0073700D" w:rsidSect="00E851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821" w:rsidRPr="00E8514A" w:rsidRDefault="002A2821">
      <w:r w:rsidRPr="00E8514A">
        <w:separator/>
      </w:r>
    </w:p>
  </w:endnote>
  <w:endnote w:type="continuationSeparator" w:id="0">
    <w:p w:rsidR="002A2821" w:rsidRPr="00E8514A" w:rsidRDefault="002A2821">
      <w:r w:rsidRPr="00E851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1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1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1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821" w:rsidRPr="00E8514A" w:rsidRDefault="002A2821">
      <w:r w:rsidRPr="00E8514A">
        <w:separator/>
      </w:r>
    </w:p>
  </w:footnote>
  <w:footnote w:type="continuationSeparator" w:id="0">
    <w:p w:rsidR="002A2821" w:rsidRPr="00E8514A" w:rsidRDefault="002A2821">
      <w:r w:rsidRPr="00E8514A">
        <w:continuationSeparator/>
      </w:r>
    </w:p>
  </w:footnote>
  <w:footnote w:id="1">
    <w:p w:rsidR="00773BB6" w:rsidRPr="00A46C52" w:rsidRDefault="00773BB6" w:rsidP="00E8514A">
      <w:pPr>
        <w:pStyle w:val="FootnoteText"/>
        <w:ind w:left="567" w:hanging="567"/>
        <w:rPr>
          <w:sz w:val="24"/>
        </w:rPr>
      </w:pPr>
      <w:r w:rsidRPr="00A46C52">
        <w:rPr>
          <w:rStyle w:val="FootnoteReference"/>
          <w:sz w:val="24"/>
          <w:lang w:val="sv-SE"/>
        </w:rPr>
        <w:footnoteRef/>
      </w:r>
      <w:r w:rsidR="00E8514A" w:rsidRPr="00A46C52">
        <w:rPr>
          <w:sz w:val="24"/>
        </w:rPr>
        <w:t xml:space="preserve"> </w:t>
      </w:r>
      <w:r w:rsidR="00E8514A" w:rsidRPr="00A46C52">
        <w:rPr>
          <w:sz w:val="24"/>
        </w:rPr>
        <w:tab/>
      </w:r>
      <w:r w:rsidRPr="00A46C52">
        <w:rPr>
          <w:sz w:val="24"/>
        </w:rPr>
        <w:t>EUT L 70, 16.3.2005, s. 1.</w:t>
      </w:r>
    </w:p>
  </w:footnote>
  <w:footnote w:id="2">
    <w:p w:rsidR="00773BB6" w:rsidRPr="00A46C52" w:rsidRDefault="00773BB6" w:rsidP="00E8514A">
      <w:pPr>
        <w:pStyle w:val="FootnoteText"/>
        <w:ind w:left="567" w:hanging="567"/>
        <w:rPr>
          <w:sz w:val="24"/>
        </w:rPr>
      </w:pPr>
      <w:r w:rsidRPr="00A46C52">
        <w:rPr>
          <w:rStyle w:val="FootnoteReference"/>
          <w:sz w:val="24"/>
          <w:lang w:val="sv-SE"/>
        </w:rPr>
        <w:footnoteRef/>
      </w:r>
      <w:r w:rsidR="00E8514A" w:rsidRPr="00A46C52">
        <w:rPr>
          <w:sz w:val="24"/>
        </w:rPr>
        <w:t xml:space="preserve"> </w:t>
      </w:r>
      <w:r w:rsidR="00E8514A" w:rsidRPr="00A46C52">
        <w:rPr>
          <w:sz w:val="24"/>
        </w:rPr>
        <w:tab/>
      </w:r>
      <w:r w:rsidRPr="00A46C52">
        <w:rPr>
          <w:sz w:val="24"/>
        </w:rPr>
        <w:t>EUT L 309, 24.11.2009, s. 1.</w:t>
      </w:r>
    </w:p>
  </w:footnote>
  <w:footnote w:id="3">
    <w:p w:rsidR="00773BB6" w:rsidRPr="00A46C52" w:rsidRDefault="00773BB6" w:rsidP="00E8514A">
      <w:pPr>
        <w:pStyle w:val="FootnoteText"/>
        <w:ind w:left="567" w:hanging="567"/>
        <w:rPr>
          <w:sz w:val="24"/>
        </w:rPr>
      </w:pPr>
      <w:r w:rsidRPr="00A46C52">
        <w:rPr>
          <w:rStyle w:val="FootnoteReference"/>
          <w:sz w:val="24"/>
          <w:lang w:val="sv-SE"/>
        </w:rPr>
        <w:footnoteRef/>
      </w:r>
      <w:r w:rsidR="00E8514A" w:rsidRPr="00A46C52">
        <w:rPr>
          <w:sz w:val="24"/>
        </w:rPr>
        <w:t xml:space="preserve"> </w:t>
      </w:r>
      <w:r w:rsidR="00E8514A" w:rsidRPr="00A46C52">
        <w:rPr>
          <w:sz w:val="24"/>
        </w:rPr>
        <w:tab/>
      </w:r>
      <w:r w:rsidRPr="00A46C52">
        <w:rPr>
          <w:sz w:val="24"/>
        </w:rPr>
        <w:t>EGT L 31, 1.2.2002, s. 1.</w:t>
      </w:r>
    </w:p>
  </w:footnote>
  <w:footnote w:id="4">
    <w:p w:rsidR="00773BB6" w:rsidRPr="00A46C52" w:rsidRDefault="00773BB6" w:rsidP="00E8514A">
      <w:pPr>
        <w:pStyle w:val="FootnoteText"/>
        <w:ind w:left="567" w:hanging="567"/>
        <w:rPr>
          <w:sz w:val="24"/>
        </w:rPr>
      </w:pPr>
      <w:r w:rsidRPr="00A46C52">
        <w:rPr>
          <w:rStyle w:val="FootnoteReference"/>
          <w:sz w:val="24"/>
          <w:lang w:val="sv-SE"/>
        </w:rPr>
        <w:footnoteRef/>
      </w:r>
      <w:r w:rsidR="00E8514A" w:rsidRPr="00A46C52">
        <w:rPr>
          <w:sz w:val="24"/>
        </w:rPr>
        <w:t xml:space="preserve"> </w:t>
      </w:r>
      <w:r w:rsidR="00E8514A" w:rsidRPr="00A46C52">
        <w:rPr>
          <w:sz w:val="24"/>
        </w:rPr>
        <w:tab/>
      </w:r>
      <w:r w:rsidRPr="00A46C52">
        <w:rPr>
          <w:sz w:val="24"/>
        </w:rPr>
        <w:t xml:space="preserve">Efsa, ”Reasoned opinion on the toxicological properties and maximum residue levels (MRLs) for the benzimidazole substances carbendazim and thiophanate-methyl”, </w:t>
      </w:r>
      <w:bookmarkStart w:id="8" w:name="_Hlk168311905"/>
      <w:r w:rsidRPr="00A46C52">
        <w:rPr>
          <w:i/>
          <w:iCs/>
          <w:sz w:val="24"/>
        </w:rPr>
        <w:t>EFSA Journal</w:t>
      </w:r>
      <w:r w:rsidRPr="00A46C52">
        <w:rPr>
          <w:sz w:val="24"/>
        </w:rPr>
        <w:t xml:space="preserve">, vol. 19(2021):8, </w:t>
      </w:r>
      <w:proofErr w:type="spellStart"/>
      <w:r w:rsidRPr="00A46C52">
        <w:rPr>
          <w:sz w:val="24"/>
        </w:rPr>
        <w:t>artikelnr</w:t>
      </w:r>
      <w:proofErr w:type="spellEnd"/>
      <w:r w:rsidRPr="00A46C52">
        <w:rPr>
          <w:sz w:val="24"/>
        </w:rPr>
        <w:t xml:space="preserve"> e06773</w:t>
      </w:r>
      <w:bookmarkEnd w:id="8"/>
      <w:r w:rsidRPr="00A46C52">
        <w:rPr>
          <w:sz w:val="24"/>
        </w:rPr>
        <w:t xml:space="preserve">, </w:t>
      </w:r>
      <w:hyperlink r:id="rId1" w:history="1">
        <w:r w:rsidRPr="00A46C52">
          <w:rPr>
            <w:rStyle w:val="Hyperlink"/>
            <w:sz w:val="24"/>
          </w:rPr>
          <w:t>https://doi.org/10.2903/j.efsa.2021.6773</w:t>
        </w:r>
      </w:hyperlink>
      <w:r w:rsidRPr="00A46C52">
        <w:rPr>
          <w:rStyle w:val="Hyperlink"/>
          <w:sz w:val="24"/>
        </w:rPr>
        <w:t>.</w:t>
      </w:r>
      <w:r w:rsidRPr="00A46C52">
        <w:rPr>
          <w:sz w:val="24"/>
        </w:rPr>
        <w:t xml:space="preserve"> </w:t>
      </w:r>
    </w:p>
  </w:footnote>
  <w:footnote w:id="5">
    <w:p w:rsidR="00773BB6" w:rsidRPr="00A46C52" w:rsidRDefault="00773BB6" w:rsidP="00E8514A">
      <w:pPr>
        <w:pStyle w:val="FootnoteText"/>
        <w:ind w:left="567" w:hanging="567"/>
        <w:rPr>
          <w:sz w:val="24"/>
        </w:rPr>
      </w:pPr>
      <w:r w:rsidRPr="00A46C52">
        <w:rPr>
          <w:rStyle w:val="FootnoteReference"/>
          <w:sz w:val="24"/>
          <w:lang w:val="sv-SE"/>
        </w:rPr>
        <w:footnoteRef/>
      </w:r>
      <w:r w:rsidR="00E8514A" w:rsidRPr="00A46C52">
        <w:rPr>
          <w:sz w:val="24"/>
        </w:rPr>
        <w:t xml:space="preserve"> </w:t>
      </w:r>
      <w:r w:rsidR="00E8514A" w:rsidRPr="00A46C52">
        <w:rPr>
          <w:sz w:val="24"/>
        </w:rPr>
        <w:tab/>
      </w:r>
      <w:r w:rsidRPr="00A46C52">
        <w:rPr>
          <w:sz w:val="24"/>
        </w:rPr>
        <w:t xml:space="preserve">Efsa, ”Updated reasoned opinion on the toxicological properties and maximum residue levels (MRLs) for the benzimidazole substances carbendazim and thiophanate-methyl”, </w:t>
      </w:r>
      <w:r w:rsidRPr="00A46C52">
        <w:rPr>
          <w:i/>
          <w:iCs/>
          <w:sz w:val="24"/>
        </w:rPr>
        <w:t>EFSA Journal</w:t>
      </w:r>
      <w:r w:rsidRPr="00A46C52">
        <w:rPr>
          <w:sz w:val="24"/>
        </w:rPr>
        <w:t xml:space="preserve">, vol. 22(2024):2, </w:t>
      </w:r>
      <w:proofErr w:type="spellStart"/>
      <w:r w:rsidRPr="00A46C52">
        <w:rPr>
          <w:sz w:val="24"/>
        </w:rPr>
        <w:t>artikelnr</w:t>
      </w:r>
      <w:proofErr w:type="spellEnd"/>
      <w:r w:rsidRPr="00A46C52">
        <w:rPr>
          <w:sz w:val="24"/>
        </w:rPr>
        <w:t xml:space="preserve"> e8569, </w:t>
      </w:r>
      <w:hyperlink r:id="rId2" w:history="1">
        <w:r w:rsidRPr="00A46C52">
          <w:rPr>
            <w:rStyle w:val="Hyperlink"/>
            <w:sz w:val="24"/>
          </w:rPr>
          <w:t>https://doi.org/10.2903/j.efsa.2024.8569</w:t>
        </w:r>
      </w:hyperlink>
      <w:r w:rsidRPr="00A46C52">
        <w:rPr>
          <w:sz w:val="24"/>
        </w:rPr>
        <w:t xml:space="preserve">. </w:t>
      </w:r>
    </w:p>
  </w:footnote>
  <w:footnote w:id="6">
    <w:p w:rsidR="00773BB6" w:rsidRPr="00A46C52" w:rsidRDefault="00773BB6" w:rsidP="00E8514A">
      <w:pPr>
        <w:pStyle w:val="FootnoteText"/>
        <w:ind w:left="567" w:hanging="567"/>
        <w:rPr>
          <w:sz w:val="24"/>
          <w:lang w:val="en-GB"/>
        </w:rPr>
      </w:pPr>
      <w:r w:rsidRPr="00A46C52">
        <w:rPr>
          <w:rStyle w:val="FootnoteReference"/>
          <w:sz w:val="24"/>
          <w:lang w:val="sv-SE"/>
        </w:rPr>
        <w:footnoteRef/>
      </w:r>
      <w:r w:rsidR="00E8514A" w:rsidRPr="00A46C52">
        <w:rPr>
          <w:sz w:val="24"/>
          <w:lang w:val="en-GB"/>
        </w:rPr>
        <w:t xml:space="preserve"> </w:t>
      </w:r>
      <w:r w:rsidR="00E8514A" w:rsidRPr="00A46C52">
        <w:rPr>
          <w:sz w:val="24"/>
          <w:lang w:val="en-GB"/>
        </w:rPr>
        <w:tab/>
      </w:r>
      <w:r w:rsidRPr="00A46C52">
        <w:rPr>
          <w:sz w:val="24"/>
          <w:lang w:val="en-GB"/>
        </w:rPr>
        <w:t>Efsa</w:t>
      </w:r>
      <w:proofErr w:type="gramStart"/>
      <w:r w:rsidRPr="00A46C52">
        <w:rPr>
          <w:sz w:val="24"/>
          <w:lang w:val="en-GB"/>
        </w:rPr>
        <w:t>, ”</w:t>
      </w:r>
      <w:proofErr w:type="gramEnd"/>
      <w:r w:rsidRPr="00A46C52">
        <w:rPr>
          <w:sz w:val="24"/>
          <w:lang w:val="en-GB"/>
        </w:rPr>
        <w:t xml:space="preserve">Conclusion on the peer review of the pesticide risk assessment of the active substance carbendazim”, </w:t>
      </w:r>
      <w:r w:rsidRPr="00A46C52">
        <w:rPr>
          <w:i/>
          <w:iCs/>
          <w:sz w:val="24"/>
          <w:lang w:val="en-GB"/>
        </w:rPr>
        <w:t>EFSA Journal</w:t>
      </w:r>
      <w:r w:rsidRPr="00A46C52">
        <w:rPr>
          <w:sz w:val="24"/>
          <w:lang w:val="en-GB"/>
        </w:rPr>
        <w:t xml:space="preserve">, vol. 8(2010):5, </w:t>
      </w:r>
      <w:proofErr w:type="spellStart"/>
      <w:r w:rsidRPr="00A46C52">
        <w:rPr>
          <w:sz w:val="24"/>
          <w:lang w:val="en-GB"/>
        </w:rPr>
        <w:t>artikelnr</w:t>
      </w:r>
      <w:proofErr w:type="spellEnd"/>
      <w:r w:rsidRPr="00A46C52">
        <w:rPr>
          <w:sz w:val="24"/>
          <w:lang w:val="en-GB"/>
        </w:rPr>
        <w:t xml:space="preserve"> 1598, </w:t>
      </w:r>
      <w:hyperlink r:id="rId3" w:history="1">
        <w:r w:rsidRPr="00A46C52">
          <w:rPr>
            <w:rStyle w:val="Hyperlink"/>
            <w:sz w:val="24"/>
            <w:lang w:val="en-GB"/>
          </w:rPr>
          <w:t>https://doi.org/10.2903/j.efsa.2010.1598</w:t>
        </w:r>
      </w:hyperlink>
      <w:r w:rsidRPr="00A46C52">
        <w:rPr>
          <w:sz w:val="24"/>
          <w:lang w:val="en-GB"/>
        </w:rPr>
        <w:t xml:space="preserve">. </w:t>
      </w:r>
    </w:p>
  </w:footnote>
  <w:footnote w:id="7">
    <w:p w:rsidR="00773BB6" w:rsidRPr="00A46C52" w:rsidRDefault="00773BB6" w:rsidP="00E8514A">
      <w:pPr>
        <w:pStyle w:val="FootnoteText"/>
        <w:ind w:left="567" w:hanging="567"/>
        <w:rPr>
          <w:sz w:val="24"/>
          <w:lang w:val="en-GB"/>
        </w:rPr>
      </w:pPr>
      <w:r w:rsidRPr="00A46C52">
        <w:rPr>
          <w:rStyle w:val="FootnoteReference"/>
          <w:sz w:val="24"/>
          <w:lang w:val="sv-SE"/>
        </w:rPr>
        <w:footnoteRef/>
      </w:r>
      <w:r w:rsidR="00E8514A" w:rsidRPr="00A46C52">
        <w:rPr>
          <w:sz w:val="24"/>
          <w:lang w:val="en-GB"/>
        </w:rPr>
        <w:t xml:space="preserve"> </w:t>
      </w:r>
      <w:r w:rsidR="00E8514A" w:rsidRPr="00A46C52">
        <w:rPr>
          <w:sz w:val="24"/>
          <w:lang w:val="en-GB"/>
        </w:rPr>
        <w:tab/>
      </w:r>
      <w:r w:rsidRPr="00A46C52">
        <w:rPr>
          <w:sz w:val="24"/>
          <w:lang w:val="en-GB"/>
        </w:rPr>
        <w:t>Efsa</w:t>
      </w:r>
      <w:proofErr w:type="gramStart"/>
      <w:r w:rsidRPr="00A46C52">
        <w:rPr>
          <w:sz w:val="24"/>
          <w:lang w:val="en-GB"/>
        </w:rPr>
        <w:t>, ”</w:t>
      </w:r>
      <w:proofErr w:type="gramEnd"/>
      <w:r w:rsidRPr="00A46C52">
        <w:rPr>
          <w:sz w:val="24"/>
          <w:lang w:val="en-GB"/>
        </w:rPr>
        <w:t xml:space="preserve">Conclusion on the peer review of the pesticide risk assessment of the active substance thiophanate-methyl”, </w:t>
      </w:r>
      <w:r w:rsidRPr="00A46C52">
        <w:rPr>
          <w:i/>
          <w:iCs/>
          <w:sz w:val="24"/>
          <w:lang w:val="en-GB"/>
        </w:rPr>
        <w:t>EFSA Journal</w:t>
      </w:r>
      <w:r w:rsidRPr="00A46C52">
        <w:rPr>
          <w:sz w:val="24"/>
          <w:lang w:val="en-GB"/>
        </w:rPr>
        <w:t xml:space="preserve">, vol. 16(2018):1, </w:t>
      </w:r>
      <w:proofErr w:type="spellStart"/>
      <w:r w:rsidRPr="00A46C52">
        <w:rPr>
          <w:sz w:val="24"/>
          <w:lang w:val="en-GB"/>
        </w:rPr>
        <w:t>artikelnr</w:t>
      </w:r>
      <w:proofErr w:type="spellEnd"/>
      <w:r w:rsidRPr="00A46C52">
        <w:rPr>
          <w:sz w:val="24"/>
          <w:lang w:val="en-GB"/>
        </w:rPr>
        <w:t xml:space="preserve"> e05133, </w:t>
      </w:r>
      <w:hyperlink r:id="rId4" w:history="1">
        <w:r w:rsidRPr="00A46C52">
          <w:rPr>
            <w:rStyle w:val="Hyperlink"/>
            <w:sz w:val="24"/>
            <w:lang w:val="en-GB"/>
          </w:rPr>
          <w:t>https://doi.org/10.2903/j.efsa.2018.5133</w:t>
        </w:r>
      </w:hyperlink>
      <w:r w:rsidRPr="00A46C52">
        <w:rPr>
          <w:sz w:val="24"/>
          <w:lang w:val="en-GB"/>
        </w:rPr>
        <w:t xml:space="preserve">. </w:t>
      </w:r>
    </w:p>
  </w:footnote>
  <w:footnote w:id="8">
    <w:p w:rsidR="00773BB6" w:rsidRPr="00A46C52" w:rsidRDefault="00773BB6" w:rsidP="00E8514A">
      <w:pPr>
        <w:pStyle w:val="FootnoteText"/>
        <w:ind w:left="567" w:hanging="567"/>
        <w:rPr>
          <w:sz w:val="24"/>
          <w:lang w:val="en-GB"/>
        </w:rPr>
      </w:pPr>
      <w:r w:rsidRPr="00A46C52">
        <w:rPr>
          <w:rStyle w:val="FootnoteReference"/>
          <w:sz w:val="24"/>
          <w:lang w:val="sv-SE"/>
        </w:rPr>
        <w:footnoteRef/>
      </w:r>
      <w:r w:rsidR="00E8514A" w:rsidRPr="00A46C52">
        <w:rPr>
          <w:sz w:val="24"/>
          <w:lang w:val="en-GB"/>
        </w:rPr>
        <w:t xml:space="preserve"> </w:t>
      </w:r>
      <w:r w:rsidR="00E8514A" w:rsidRPr="00A46C52">
        <w:rPr>
          <w:sz w:val="24"/>
          <w:lang w:val="en-GB"/>
        </w:rPr>
        <w:tab/>
      </w:r>
      <w:r w:rsidRPr="00A46C52">
        <w:rPr>
          <w:sz w:val="24"/>
          <w:lang w:val="en-GB"/>
        </w:rPr>
        <w:t>Efsa</w:t>
      </w:r>
      <w:proofErr w:type="gramStart"/>
      <w:r w:rsidRPr="00A46C52">
        <w:rPr>
          <w:sz w:val="24"/>
          <w:lang w:val="en-GB"/>
        </w:rPr>
        <w:t>, ”</w:t>
      </w:r>
      <w:proofErr w:type="gramEnd"/>
      <w:r w:rsidRPr="00A46C52">
        <w:rPr>
          <w:sz w:val="24"/>
          <w:lang w:val="en-GB"/>
        </w:rPr>
        <w:t xml:space="preserve">Statement on the assessment of quality of data available to EFSA to derive the health‐based guidance values for carbendazim”, </w:t>
      </w:r>
      <w:r w:rsidRPr="00A46C52">
        <w:rPr>
          <w:i/>
          <w:iCs/>
          <w:sz w:val="24"/>
          <w:lang w:val="en-GB"/>
        </w:rPr>
        <w:t>EFSA Journal</w:t>
      </w:r>
      <w:r w:rsidRPr="00A46C52">
        <w:rPr>
          <w:sz w:val="24"/>
          <w:lang w:val="en-GB"/>
        </w:rPr>
        <w:t xml:space="preserve">, vol. 22(2024):5, </w:t>
      </w:r>
      <w:proofErr w:type="spellStart"/>
      <w:r w:rsidRPr="00A46C52">
        <w:rPr>
          <w:sz w:val="24"/>
          <w:lang w:val="en-GB"/>
        </w:rPr>
        <w:t>artikelnr</w:t>
      </w:r>
      <w:proofErr w:type="spellEnd"/>
      <w:r w:rsidRPr="00A46C52">
        <w:rPr>
          <w:sz w:val="24"/>
          <w:lang w:val="en-GB"/>
        </w:rPr>
        <w:t xml:space="preserve"> e8756, </w:t>
      </w:r>
      <w:hyperlink r:id="rId5" w:history="1">
        <w:r w:rsidRPr="00A46C52">
          <w:rPr>
            <w:rStyle w:val="Hyperlink"/>
            <w:sz w:val="24"/>
            <w:lang w:val="en-GB"/>
          </w:rPr>
          <w:t>https://doi.org/10.2903/j.efsa.2024.8756</w:t>
        </w:r>
      </w:hyperlink>
      <w:r w:rsidRPr="00A46C52">
        <w:rPr>
          <w:sz w:val="24"/>
          <w:lang w:val="en-GB"/>
        </w:rPr>
        <w:t xml:space="preserve">. </w:t>
      </w:r>
    </w:p>
  </w:footnote>
  <w:footnote w:id="9">
    <w:p w:rsidR="00773BB6" w:rsidRPr="00A46C52" w:rsidRDefault="00773BB6" w:rsidP="00E8514A">
      <w:pPr>
        <w:pStyle w:val="FootnoteText"/>
        <w:ind w:left="567" w:hanging="567"/>
        <w:rPr>
          <w:sz w:val="24"/>
          <w:lang w:val="en-GB"/>
        </w:rPr>
      </w:pPr>
      <w:r w:rsidRPr="00A46C52">
        <w:rPr>
          <w:rStyle w:val="FootnoteReference"/>
          <w:sz w:val="24"/>
          <w:lang w:val="sv-SE"/>
        </w:rPr>
        <w:footnoteRef/>
      </w:r>
      <w:r w:rsidR="00E8514A" w:rsidRPr="00A46C52">
        <w:rPr>
          <w:sz w:val="24"/>
          <w:lang w:val="en-GB"/>
        </w:rPr>
        <w:t xml:space="preserve"> </w:t>
      </w:r>
      <w:r w:rsidR="00E8514A" w:rsidRPr="00A46C52">
        <w:rPr>
          <w:sz w:val="24"/>
          <w:lang w:val="en-GB"/>
        </w:rPr>
        <w:tab/>
      </w:r>
      <w:r w:rsidRPr="00A46C52">
        <w:rPr>
          <w:sz w:val="24"/>
          <w:lang w:val="en-GB"/>
        </w:rPr>
        <w:t>Riskbedömningskommittén</w:t>
      </w:r>
      <w:proofErr w:type="gramStart"/>
      <w:r w:rsidRPr="00A46C52">
        <w:rPr>
          <w:sz w:val="24"/>
          <w:lang w:val="en-GB"/>
        </w:rPr>
        <w:t>, ”</w:t>
      </w:r>
      <w:proofErr w:type="gramEnd"/>
      <w:r w:rsidRPr="00A46C52">
        <w:rPr>
          <w:sz w:val="24"/>
          <w:lang w:val="en-GB"/>
        </w:rPr>
        <w:t xml:space="preserve">Opinion proposing harmonised classification and labelling at EU level of carbendazim (ISO); methyl benzimidazol-2-ylcarbamate”, </w:t>
      </w:r>
      <w:hyperlink r:id="rId6" w:history="1">
        <w:r w:rsidRPr="00A46C52">
          <w:rPr>
            <w:rStyle w:val="Hyperlink"/>
            <w:sz w:val="24"/>
            <w:lang w:val="en-GB"/>
          </w:rPr>
          <w:t>https://www.echa.europa.eu/documents/10162/5eb9760e-6c73-7f2c-1226-98d92ed847d1</w:t>
        </w:r>
      </w:hyperlink>
      <w:r w:rsidRPr="00A46C52">
        <w:rPr>
          <w:sz w:val="24"/>
          <w:lang w:val="en-GB"/>
        </w:rPr>
        <w:t>.</w:t>
      </w:r>
    </w:p>
  </w:footnote>
  <w:footnote w:id="10">
    <w:p w:rsidR="00773BB6" w:rsidRPr="00A46C52" w:rsidRDefault="00773BB6" w:rsidP="00E8514A">
      <w:pPr>
        <w:pStyle w:val="FootnoteText"/>
        <w:ind w:left="567" w:hanging="567"/>
        <w:rPr>
          <w:sz w:val="24"/>
          <w:lang w:val="sv-SE"/>
        </w:rPr>
      </w:pPr>
      <w:r w:rsidRPr="00A46C52">
        <w:rPr>
          <w:rStyle w:val="FootnoteReference"/>
          <w:sz w:val="24"/>
          <w:lang w:val="sv-SE"/>
        </w:rPr>
        <w:footnoteRef/>
      </w:r>
      <w:r w:rsidR="00E8514A" w:rsidRPr="00A46C52">
        <w:rPr>
          <w:sz w:val="24"/>
          <w:lang w:val="sv-SE"/>
        </w:rPr>
        <w:t xml:space="preserve"> </w:t>
      </w:r>
      <w:r w:rsidR="00E8514A" w:rsidRPr="00A46C52">
        <w:rPr>
          <w:sz w:val="24"/>
          <w:lang w:val="sv-SE"/>
        </w:rPr>
        <w:tab/>
      </w:r>
      <w:r w:rsidRPr="00A46C52">
        <w:rPr>
          <w:sz w:val="24"/>
          <w:lang w:val="sv-SE"/>
        </w:rPr>
        <w:t>EGT L 184, 17.7.1999, s. 23.</w:t>
      </w:r>
    </w:p>
  </w:footnote>
  <w:footnote w:id="11">
    <w:p w:rsidR="00773BB6" w:rsidRPr="00A46C52" w:rsidRDefault="00773BB6" w:rsidP="00E8514A">
      <w:pPr>
        <w:pStyle w:val="FootnoteText"/>
        <w:ind w:left="567" w:hanging="567"/>
        <w:rPr>
          <w:sz w:val="24"/>
          <w:lang w:val="sv-SE"/>
        </w:rPr>
      </w:pPr>
      <w:r w:rsidRPr="00A46C52">
        <w:rPr>
          <w:rStyle w:val="FootnoteReference"/>
          <w:sz w:val="24"/>
          <w:lang w:val="sv-SE"/>
        </w:rPr>
        <w:footnoteRef/>
      </w:r>
      <w:r w:rsidR="00E8514A" w:rsidRPr="00A46C52">
        <w:rPr>
          <w:sz w:val="24"/>
          <w:lang w:val="sv-SE"/>
        </w:rPr>
        <w:t xml:space="preserve"> </w:t>
      </w:r>
      <w:r w:rsidR="00E8514A" w:rsidRPr="00A46C52">
        <w:rPr>
          <w:sz w:val="24"/>
          <w:lang w:val="sv-SE"/>
        </w:rPr>
        <w:tab/>
      </w:r>
      <w:r w:rsidRPr="00A46C52">
        <w:rPr>
          <w:sz w:val="24"/>
          <w:lang w:val="sv-SE"/>
        </w:rPr>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12">
    <w:p w:rsidR="00773BB6" w:rsidRPr="00A46C52" w:rsidRDefault="00773BB6" w:rsidP="00E8514A">
      <w:pPr>
        <w:pStyle w:val="FootnoteText"/>
        <w:ind w:left="567" w:hanging="567"/>
        <w:rPr>
          <w:sz w:val="24"/>
          <w:lang w:val="sv-SE"/>
        </w:rPr>
      </w:pPr>
      <w:r w:rsidRPr="00A46C52">
        <w:rPr>
          <w:rStyle w:val="FootnoteReference"/>
          <w:sz w:val="24"/>
          <w:lang w:val="sv-SE"/>
        </w:rPr>
        <w:footnoteRef/>
      </w:r>
      <w:r w:rsidR="00E8514A" w:rsidRPr="00A46C52">
        <w:rPr>
          <w:sz w:val="24"/>
          <w:lang w:val="sv-SE"/>
        </w:rPr>
        <w:t xml:space="preserve"> </w:t>
      </w:r>
      <w:r w:rsidR="00E8514A" w:rsidRPr="00A46C52">
        <w:rPr>
          <w:sz w:val="24"/>
          <w:lang w:val="sv-SE"/>
        </w:rPr>
        <w:tab/>
      </w:r>
      <w:r w:rsidRPr="00A46C52">
        <w:rPr>
          <w:sz w:val="24"/>
          <w:lang w:val="sv-SE"/>
        </w:rPr>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13">
    <w:p w:rsidR="00773BB6" w:rsidRPr="00A46C52" w:rsidRDefault="00773BB6" w:rsidP="00E8514A">
      <w:pPr>
        <w:pStyle w:val="FootnoteText"/>
        <w:ind w:left="567" w:hanging="567"/>
        <w:rPr>
          <w:sz w:val="24"/>
          <w:lang w:val="sv-SE"/>
        </w:rPr>
      </w:pPr>
      <w:r w:rsidRPr="00A46C52">
        <w:rPr>
          <w:rStyle w:val="FootnoteReference"/>
          <w:sz w:val="24"/>
          <w:lang w:val="sv-SE"/>
        </w:rPr>
        <w:footnoteRef/>
      </w:r>
      <w:r w:rsidR="00E8514A" w:rsidRPr="00A46C52">
        <w:rPr>
          <w:sz w:val="24"/>
          <w:lang w:val="sv-SE"/>
        </w:rPr>
        <w:t xml:space="preserve"> </w:t>
      </w:r>
      <w:r w:rsidR="00E8514A" w:rsidRPr="00A46C52">
        <w:rPr>
          <w:sz w:val="24"/>
          <w:lang w:val="sv-SE"/>
        </w:rPr>
        <w:tab/>
      </w:r>
      <w:r w:rsidRPr="00A46C52">
        <w:rPr>
          <w:sz w:val="24"/>
          <w:lang w:val="sv-SE"/>
        </w:rPr>
        <w:t>Kommissionens förordning (EU) 2018/605 av den 19 april 2018 om ändring av bilaga II till förordning (EG) nr 1107/2009 genom angivande av vetenskapliga kriterier för att fastställa hormonstörande egenskaper (EUT L 101, 20.4.2018, s. 33).</w:t>
      </w:r>
    </w:p>
  </w:footnote>
  <w:footnote w:id="14">
    <w:p w:rsidR="00773BB6" w:rsidRPr="00A46C52" w:rsidRDefault="00773BB6" w:rsidP="00E8514A">
      <w:pPr>
        <w:pStyle w:val="FootnoteText"/>
        <w:ind w:left="567" w:hanging="567"/>
        <w:rPr>
          <w:sz w:val="24"/>
          <w:lang w:val="sv-SE"/>
        </w:rPr>
      </w:pPr>
      <w:r w:rsidRPr="00A46C52">
        <w:rPr>
          <w:rStyle w:val="FootnoteReference"/>
          <w:sz w:val="24"/>
          <w:lang w:val="sv-SE"/>
        </w:rPr>
        <w:footnoteRef/>
      </w:r>
      <w:r w:rsidR="00E8514A" w:rsidRPr="00A46C52">
        <w:rPr>
          <w:rStyle w:val="Hyperlink"/>
          <w:sz w:val="24"/>
          <w:u w:val="none"/>
          <w:lang w:val="sv-SE"/>
        </w:rPr>
        <w:t xml:space="preserve"> </w:t>
      </w:r>
      <w:r w:rsidR="00E8514A" w:rsidRPr="00A46C52">
        <w:rPr>
          <w:rStyle w:val="Hyperlink"/>
          <w:sz w:val="24"/>
          <w:u w:val="none"/>
          <w:lang w:val="sv-SE"/>
        </w:rPr>
        <w:tab/>
      </w:r>
      <w:hyperlink r:id="rId7" w:history="1">
        <w:r w:rsidR="00D52716" w:rsidRPr="00A46C52">
          <w:rPr>
            <w:rStyle w:val="Hyperlink"/>
            <w:sz w:val="24"/>
            <w:lang w:val="sv-SE"/>
          </w:rPr>
          <w:t>https://ec.europa.eu/transparency/comitology-register/screen/documents</w:t>
        </w:r>
        <w:r w:rsidR="00D52716" w:rsidRPr="00A46C52">
          <w:rPr>
            <w:rStyle w:val="Hyperlink"/>
            <w:sz w:val="24"/>
            <w:lang w:val="sv-SE"/>
          </w:rPr>
          <w:br/>
          <w:t>/089880/5/</w:t>
        </w:r>
        <w:proofErr w:type="spellStart"/>
        <w:r w:rsidR="00D52716" w:rsidRPr="00A46C52">
          <w:rPr>
            <w:rStyle w:val="Hyperlink"/>
            <w:sz w:val="24"/>
            <w:lang w:val="sv-SE"/>
          </w:rPr>
          <w:t>consult?lang</w:t>
        </w:r>
        <w:proofErr w:type="spellEnd"/>
        <w:r w:rsidR="00D52716" w:rsidRPr="00A46C52">
          <w:rPr>
            <w:rStyle w:val="Hyperlink"/>
            <w:sz w:val="24"/>
            <w:lang w:val="sv-SE"/>
          </w:rPr>
          <w:t>=en</w:t>
        </w:r>
      </w:hyperlink>
      <w:r w:rsidR="00D52716" w:rsidRPr="00A46C52">
        <w:rPr>
          <w:rStyle w:val="Hyperlink"/>
          <w:sz w:val="24"/>
          <w:lang w:val="sv-SE"/>
        </w:rPr>
        <w:t>.</w:t>
      </w:r>
    </w:p>
  </w:footnote>
  <w:footnote w:id="15">
    <w:p w:rsidR="00773BB6" w:rsidRPr="00E8514A" w:rsidRDefault="00773BB6" w:rsidP="00E8514A">
      <w:pPr>
        <w:pStyle w:val="FootnoteText"/>
        <w:ind w:left="567" w:hanging="567"/>
        <w:rPr>
          <w:iCs/>
          <w:sz w:val="24"/>
          <w:lang w:val="sv-SE"/>
        </w:rPr>
      </w:pPr>
      <w:r w:rsidRPr="00A46C52">
        <w:rPr>
          <w:iCs/>
          <w:sz w:val="24"/>
          <w:vertAlign w:val="superscript"/>
          <w:lang w:val="sv-SE"/>
        </w:rPr>
        <w:footnoteRef/>
      </w:r>
      <w:r w:rsidR="00E8514A" w:rsidRPr="00A46C52">
        <w:rPr>
          <w:sz w:val="24"/>
          <w:lang w:val="sv-SE"/>
        </w:rPr>
        <w:t xml:space="preserve"> </w:t>
      </w:r>
      <w:r w:rsidR="00E8514A" w:rsidRPr="00A46C52">
        <w:rPr>
          <w:sz w:val="24"/>
          <w:lang w:val="sv-SE"/>
        </w:rPr>
        <w:tab/>
      </w:r>
      <w:r w:rsidRPr="00A46C52">
        <w:rPr>
          <w:sz w:val="24"/>
          <w:lang w:val="sv-SE"/>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1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1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1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SV"/>
    <w:docVar w:name="dvnumam" w:val="0"/>
    <w:docVar w:name="dvpe" w:val="763.090"/>
    <w:docVar w:name="dvtitre" w:val="Europaparlamentets resolution av den xx xx 2024 om utkastet till kommissionens förordning om ändring av bilagorna II, III och V till Europaparlamentets och rådets förordning (EG) nr 396/2005 vad gäller gränsvärden för benomyl, karbendazim och tiofanatmetyl i eller på vissa produkter (D089819/05 – 2024/2758(RPS))"/>
  </w:docVars>
  <w:rsids>
    <w:rsidRoot w:val="002A2821"/>
    <w:rsid w:val="00002272"/>
    <w:rsid w:val="00064002"/>
    <w:rsid w:val="000677B9"/>
    <w:rsid w:val="000831BA"/>
    <w:rsid w:val="000A42CC"/>
    <w:rsid w:val="000E7DD9"/>
    <w:rsid w:val="0010095E"/>
    <w:rsid w:val="00125B37"/>
    <w:rsid w:val="00187494"/>
    <w:rsid w:val="001F32AE"/>
    <w:rsid w:val="002767FF"/>
    <w:rsid w:val="002A2821"/>
    <w:rsid w:val="002B18FE"/>
    <w:rsid w:val="002B5493"/>
    <w:rsid w:val="00343214"/>
    <w:rsid w:val="00351C9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66C"/>
    <w:rsid w:val="00697365"/>
    <w:rsid w:val="006F74FA"/>
    <w:rsid w:val="00731ADD"/>
    <w:rsid w:val="00734777"/>
    <w:rsid w:val="0073700D"/>
    <w:rsid w:val="00747932"/>
    <w:rsid w:val="00751A4A"/>
    <w:rsid w:val="00756632"/>
    <w:rsid w:val="00762C74"/>
    <w:rsid w:val="00773BB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C52"/>
    <w:rsid w:val="00A778C7"/>
    <w:rsid w:val="00AB441E"/>
    <w:rsid w:val="00AB6293"/>
    <w:rsid w:val="00AB700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9FC"/>
    <w:rsid w:val="00D52716"/>
    <w:rsid w:val="00D56C11"/>
    <w:rsid w:val="00D834A0"/>
    <w:rsid w:val="00D872DF"/>
    <w:rsid w:val="00D91E21"/>
    <w:rsid w:val="00DA7FCD"/>
    <w:rsid w:val="00E365E1"/>
    <w:rsid w:val="00E820A4"/>
    <w:rsid w:val="00E8514A"/>
    <w:rsid w:val="00EB006A"/>
    <w:rsid w:val="00EB4772"/>
    <w:rsid w:val="00ED169E"/>
    <w:rsid w:val="00ED4235"/>
    <w:rsid w:val="00F04346"/>
    <w:rsid w:val="00F075DC"/>
    <w:rsid w:val="00F149E9"/>
    <w:rsid w:val="00F5134D"/>
    <w:rsid w:val="00F74202"/>
    <w:rsid w:val="00F87713"/>
    <w:rsid w:val="00FB4360"/>
    <w:rsid w:val="00FD0C70"/>
    <w:rsid w:val="00FF0A9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2FB0D"/>
  <w15:chartTrackingRefBased/>
  <w15:docId w15:val="{B250C30F-10A7-49F2-A3F3-569FDAAC8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3BB6"/>
    <w:pPr>
      <w:spacing w:before="480" w:after="240"/>
    </w:pPr>
  </w:style>
  <w:style w:type="paragraph" w:customStyle="1" w:styleId="NormalHanging12a">
    <w:name w:val="NormalHanging12a"/>
    <w:basedOn w:val="Normal"/>
    <w:rsid w:val="00773BB6"/>
    <w:pPr>
      <w:spacing w:after="240"/>
      <w:ind w:left="567" w:hanging="567"/>
    </w:pPr>
  </w:style>
  <w:style w:type="character" w:styleId="Hyperlink">
    <w:name w:val="Hyperlink"/>
    <w:basedOn w:val="DefaultParagraphFont"/>
    <w:uiPriority w:val="99"/>
    <w:rsid w:val="00773BB6"/>
    <w:rPr>
      <w:color w:val="0563C1" w:themeColor="hyperlink"/>
      <w:u w:val="single"/>
    </w:rPr>
  </w:style>
  <w:style w:type="paragraph" w:styleId="BalloonText">
    <w:name w:val="Balloon Text"/>
    <w:basedOn w:val="Normal"/>
    <w:link w:val="BalloonTextChar"/>
    <w:rsid w:val="00351C9B"/>
    <w:rPr>
      <w:rFonts w:ascii="Segoe UI" w:hAnsi="Segoe UI" w:cs="Segoe UI"/>
      <w:sz w:val="18"/>
      <w:szCs w:val="18"/>
    </w:rPr>
  </w:style>
  <w:style w:type="character" w:customStyle="1" w:styleId="BalloonTextChar">
    <w:name w:val="Balloon Text Char"/>
    <w:basedOn w:val="DefaultParagraphFont"/>
    <w:link w:val="BalloonText"/>
    <w:rsid w:val="00351C9B"/>
    <w:rPr>
      <w:rFonts w:ascii="Segoe UI" w:hAnsi="Segoe UI" w:cs="Segoe UI"/>
      <w:sz w:val="18"/>
      <w:szCs w:val="18"/>
      <w:lang w:val="sv-SE"/>
    </w:rPr>
  </w:style>
  <w:style w:type="character" w:styleId="FollowedHyperlink">
    <w:name w:val="FollowedHyperlink"/>
    <w:basedOn w:val="DefaultParagraphFont"/>
    <w:rsid w:val="00FF0A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7" Type="http://schemas.openxmlformats.org/officeDocument/2006/relationships/hyperlink" Target="https://ec.europa.eu/transparency/comitology-register/screen/documents/089880/5/consult?lang=en"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58C0E-BA70-45EB-A991-265717634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1829</Words>
  <Characters>11078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2024-09-18T10:31:00Z</dcterms:created>
  <dcterms:modified xsi:type="dcterms:W3CDTF">2024-09-18T10:31:00Z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B10-0020/2024</vt:lpwstr>
  </property>
  <property fmtid="{D5CDD505-2E9C-101B-9397-08002B2CF9AE}" pid="4" name="&lt;Type&gt;">
    <vt:lpwstr>RR</vt:lpwstr>
  </property>
</Properties>
</file>