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66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6662" w:rsidRDefault="00121AA2" w:rsidP="0010095E">
            <w:pPr>
              <w:pStyle w:val="EPName"/>
            </w:pPr>
            <w:r w:rsidRPr="00FB6662">
              <w:t>Evropský parlament</w:t>
            </w:r>
          </w:p>
          <w:p w:rsidR="00751A4A" w:rsidRPr="00FB66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6662">
              <w:t>2024</w:t>
            </w:r>
            <w:r w:rsidR="00817416" w:rsidRPr="00FB6662">
              <w:t>-202</w:t>
            </w:r>
            <w:r w:rsidRPr="00FB66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6662" w:rsidRDefault="00187494" w:rsidP="0010095E">
            <w:pPr>
              <w:pStyle w:val="EPLogo"/>
            </w:pPr>
            <w:r w:rsidRPr="00FB66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6662" w:rsidRDefault="00D058B8" w:rsidP="004C5D52">
      <w:pPr>
        <w:pStyle w:val="LineTop"/>
      </w:pPr>
    </w:p>
    <w:p w:rsidR="00680577" w:rsidRPr="00FB6662" w:rsidRDefault="00121AA2" w:rsidP="00680577">
      <w:pPr>
        <w:pStyle w:val="EPBodyTA1"/>
      </w:pPr>
      <w:r w:rsidRPr="00FB6662">
        <w:t>PŘIJATÉ TEXTY</w:t>
      </w:r>
    </w:p>
    <w:p w:rsidR="00D058B8" w:rsidRPr="00FB6662" w:rsidRDefault="00D058B8" w:rsidP="00D058B8">
      <w:pPr>
        <w:pStyle w:val="LineBottom"/>
      </w:pPr>
    </w:p>
    <w:p w:rsidR="00121AA2" w:rsidRPr="00FB6662" w:rsidRDefault="00121AA2" w:rsidP="00121AA2">
      <w:pPr>
        <w:pStyle w:val="ATHeading1"/>
      </w:pPr>
      <w:bookmarkStart w:id="0" w:name="TANumber"/>
      <w:r w:rsidRPr="00FB6662">
        <w:t>P10_TA(2024)000</w:t>
      </w:r>
      <w:r w:rsidR="00FB79A2">
        <w:t>7</w:t>
      </w:r>
      <w:bookmarkStart w:id="1" w:name="_GoBack"/>
      <w:bookmarkEnd w:id="0"/>
      <w:bookmarkEnd w:id="1"/>
    </w:p>
    <w:p w:rsidR="00121AA2" w:rsidRPr="00FB6662" w:rsidRDefault="00121AA2" w:rsidP="00121AA2">
      <w:pPr>
        <w:pStyle w:val="ATHeading2"/>
      </w:pPr>
      <w:bookmarkStart w:id="2" w:name="title"/>
      <w:r w:rsidRPr="00FB6662">
        <w:t xml:space="preserve">Námitka </w:t>
      </w:r>
      <w:r w:rsidR="00DF61A1" w:rsidRPr="00DF61A1">
        <w:t>vůči prováděcímu aktu</w:t>
      </w:r>
      <w:r w:rsidRPr="00FB6662">
        <w:t xml:space="preserve">: maximální limity reziduí pro </w:t>
      </w:r>
      <w:proofErr w:type="spellStart"/>
      <w:r w:rsidRPr="00FB6662">
        <w:t>cyprokonazol</w:t>
      </w:r>
      <w:bookmarkEnd w:id="2"/>
      <w:proofErr w:type="spellEnd"/>
    </w:p>
    <w:p w:rsidR="00121AA2" w:rsidRPr="00FB6662" w:rsidRDefault="00121AA2" w:rsidP="00121AA2">
      <w:pPr>
        <w:rPr>
          <w:i/>
          <w:vanish/>
        </w:rPr>
      </w:pPr>
      <w:r w:rsidRPr="00FB6662">
        <w:rPr>
          <w:i/>
        </w:rPr>
        <w:fldChar w:fldCharType="begin"/>
      </w:r>
      <w:r w:rsidRPr="00FB6662">
        <w:rPr>
          <w:i/>
        </w:rPr>
        <w:instrText xml:space="preserve"> TC"(</w:instrText>
      </w:r>
      <w:bookmarkStart w:id="3" w:name="DocNumber"/>
      <w:r w:rsidRPr="00FB6662">
        <w:rPr>
          <w:i/>
        </w:rPr>
        <w:instrText>B10-0021/2024</w:instrText>
      </w:r>
      <w:bookmarkEnd w:id="3"/>
      <w:r w:rsidRPr="00FB6662">
        <w:rPr>
          <w:i/>
        </w:rPr>
        <w:instrText xml:space="preserve">)"\l3 \n&gt; \* MERGEFORMAT </w:instrText>
      </w:r>
      <w:r w:rsidRPr="00FB6662">
        <w:rPr>
          <w:i/>
        </w:rPr>
        <w:fldChar w:fldCharType="end"/>
      </w:r>
    </w:p>
    <w:p w:rsidR="00121AA2" w:rsidRPr="00FB6662" w:rsidRDefault="00121AA2" w:rsidP="00121AA2">
      <w:pPr>
        <w:rPr>
          <w:vanish/>
        </w:rPr>
      </w:pPr>
      <w:bookmarkStart w:id="4" w:name="PE"/>
      <w:r w:rsidRPr="00FB6662">
        <w:rPr>
          <w:vanish/>
        </w:rPr>
        <w:t>PE763.091</w:t>
      </w:r>
      <w:bookmarkEnd w:id="4"/>
    </w:p>
    <w:p w:rsidR="00121AA2" w:rsidRPr="00FB6662" w:rsidRDefault="00121AA2" w:rsidP="00121AA2">
      <w:pPr>
        <w:pStyle w:val="ATHeading3"/>
      </w:pPr>
      <w:bookmarkStart w:id="5" w:name="Sujet"/>
      <w:r w:rsidRPr="00FB6662">
        <w:t xml:space="preserve">Usnesení Evropského parlamentu ze dne 18. září 2024 o návrhu nařízení Komise, kterým se mění přílohy II a III nařízení Evropského parlamentu a Rady (ES) č. 396/2005, pokud jde o maximální limity reziduí pro </w:t>
      </w:r>
      <w:proofErr w:type="spellStart"/>
      <w:r w:rsidRPr="00FB6662">
        <w:t>cyprokonazol</w:t>
      </w:r>
      <w:proofErr w:type="spellEnd"/>
      <w:r w:rsidRPr="00FB6662">
        <w:t xml:space="preserve"> a </w:t>
      </w:r>
      <w:proofErr w:type="spellStart"/>
      <w:r w:rsidRPr="00FB6662">
        <w:t>spirodiklofen</w:t>
      </w:r>
      <w:proofErr w:type="spellEnd"/>
      <w:r w:rsidRPr="00FB6662">
        <w:t xml:space="preserve"> v některých produktech a na jejich povrchu</w:t>
      </w:r>
      <w:bookmarkEnd w:id="5"/>
      <w:r w:rsidRPr="00FB6662">
        <w:t xml:space="preserve"> </w:t>
      </w:r>
      <w:bookmarkStart w:id="6" w:name="References"/>
      <w:r w:rsidRPr="00FB6662">
        <w:t>(D091952/05 – 2024/2759(RPS))</w:t>
      </w:r>
      <w:bookmarkEnd w:id="6"/>
    </w:p>
    <w:p w:rsidR="00D51FBF" w:rsidRPr="00FB6662" w:rsidRDefault="00D51FBF" w:rsidP="00D51FBF">
      <w:pPr>
        <w:pStyle w:val="EPComma"/>
      </w:pPr>
      <w:bookmarkStart w:id="7" w:name="TextBodyBegin"/>
      <w:bookmarkEnd w:id="7"/>
      <w:r w:rsidRPr="00FB6662">
        <w:rPr>
          <w:i/>
        </w:rPr>
        <w:t>Evropský parlament</w:t>
      </w:r>
      <w:r w:rsidRPr="00FB6662">
        <w:t>,</w:t>
      </w:r>
    </w:p>
    <w:p w:rsidR="00D51FBF" w:rsidRPr="00FB6662" w:rsidRDefault="00D51FBF" w:rsidP="00D51FBF">
      <w:pPr>
        <w:pStyle w:val="NormalHanging12a"/>
      </w:pPr>
      <w:r w:rsidRPr="00FB6662">
        <w:t>–</w:t>
      </w:r>
      <w:r w:rsidRPr="00FB6662">
        <w:tab/>
        <w:t xml:space="preserve">s ohledem na návrh nařízení Komise, kterým se mění přílohy II a III nařízení Evropského parlamentu a Rady (ES) č. 396/2005, pokud jde o maximální limity reziduí pro </w:t>
      </w:r>
      <w:proofErr w:type="spellStart"/>
      <w:r w:rsidRPr="00FB6662">
        <w:t>cyprokonazol</w:t>
      </w:r>
      <w:proofErr w:type="spellEnd"/>
      <w:r w:rsidRPr="00FB6662">
        <w:t xml:space="preserve"> a </w:t>
      </w:r>
      <w:proofErr w:type="spellStart"/>
      <w:r w:rsidRPr="00FB6662">
        <w:t>spirodiklofen</w:t>
      </w:r>
      <w:proofErr w:type="spellEnd"/>
      <w:r w:rsidRPr="00FB6662">
        <w:t xml:space="preserve"> v některých produktech a na jejich povrchu (D091952/05),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 ohledem na nařízení Evropského parlamentu a Rady (ES) č. 396/2005 ze dne 23. února 2005 o maximálních limitech reziduí pesticidů v potravinách a krmivech rostlinného a živočišného původu a na jejich povrchu a o změně směrnice Rady 91/414/EHS</w:t>
      </w:r>
      <w:r w:rsidRPr="00FB6662">
        <w:rPr>
          <w:rStyle w:val="FootnoteReference"/>
        </w:rPr>
        <w:footnoteReference w:id="1"/>
      </w:r>
      <w:r w:rsidRPr="00FB6662">
        <w:t>, a zejména na čl. 14 odst. 1 písm. a) a čl. 49 odst. 2 uvedeného nařízení,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 ohledem na nařízení Evropského parlamentu a Rady (ES) č. 1107/2009 ze dne 21. října 2009 o uvádění přípravků na ochranu rostlin na trh a o zrušení směrnic Rady 79/117/EHS a 91/414/EHS</w:t>
      </w:r>
      <w:r w:rsidRPr="00FB6662">
        <w:rPr>
          <w:rStyle w:val="FootnoteReference"/>
          <w:szCs w:val="24"/>
        </w:rPr>
        <w:footnoteReference w:id="2"/>
      </w:r>
      <w:r w:rsidRPr="00FB6662">
        <w:t>, a zejména na čl. 4 odst. 1 a čl. 4 odst. 2 první pododstavec písm. a) a bod 3.6.4 přílohy II,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 ohledem na nařízení Evropského parlamentu a Rady (ES) č. 178/2002 ze dne 28. ledna 2002, kterým se stanoví obecné zásady a požadavky potravinového práva, zřizuje se Evropský úřad pro bezpečnost potravin a stanoví postupy týkající se bezpečnosti potravin</w:t>
      </w:r>
      <w:r w:rsidRPr="00FB6662">
        <w:rPr>
          <w:rStyle w:val="FootnoteReference"/>
          <w:szCs w:val="24"/>
        </w:rPr>
        <w:footnoteReference w:id="3"/>
      </w:r>
      <w:r w:rsidRPr="00FB6662">
        <w:t>, a zejména na čl. 5 odst. 1 uvedeného nařízení,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 ohledem na články 11, 13, 168 a 191 Smlouvy o fungování Evropské unie (dále jen „S</w:t>
      </w:r>
      <w:r w:rsidR="00062B6F">
        <w:t xml:space="preserve">mlouva o fungování </w:t>
      </w:r>
      <w:r w:rsidRPr="00FB6662">
        <w:t>EU“),</w:t>
      </w:r>
    </w:p>
    <w:p w:rsidR="00D51FBF" w:rsidRPr="00FB6662" w:rsidRDefault="00D51FBF" w:rsidP="00D51FBF">
      <w:pPr>
        <w:pStyle w:val="NormalHanging12a"/>
      </w:pPr>
      <w:r w:rsidRPr="00FB6662">
        <w:lastRenderedPageBreak/>
        <w:t>–</w:t>
      </w:r>
      <w:r w:rsidRPr="00FB6662">
        <w:tab/>
        <w:t>s ohledem na odůvodněné stanovisko Evropského úřadu pro bezpečnost potravin (EFSA) ze dne 19. února 2021, zveřejněné dne 22. března 2021</w:t>
      </w:r>
      <w:r w:rsidRPr="00FB6662">
        <w:rPr>
          <w:rStyle w:val="FootnoteReference"/>
          <w:szCs w:val="24"/>
        </w:rPr>
        <w:footnoteReference w:id="4"/>
      </w:r>
      <w:r w:rsidRPr="00FB6662">
        <w:t>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 ohledem na závěry recenzního řízení pro pesticidy, které schválil úřad EFSA dne 8. listopadu 2010 a které byly zveřejněny dne 25. listopadu 2010</w:t>
      </w:r>
      <w:r w:rsidRPr="00FB6662">
        <w:rPr>
          <w:rStyle w:val="FootnoteReference"/>
        </w:rPr>
        <w:footnoteReference w:id="5"/>
      </w:r>
      <w:r w:rsidRPr="00FB6662">
        <w:t>,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–</w:t>
      </w:r>
      <w:r w:rsidRPr="00FB6662">
        <w:tab/>
        <w:t>s ohledem na stanovisko přijaté Výborem pro posuzování rizik Evropské agentury pro chemické látky dne 11. září 2015</w:t>
      </w:r>
      <w:r w:rsidRPr="00FB6662">
        <w:rPr>
          <w:rStyle w:val="FootnoteReference"/>
          <w:szCs w:val="24"/>
        </w:rPr>
        <w:footnoteReference w:id="6"/>
      </w:r>
      <w:r w:rsidRPr="00FB6662">
        <w:t>,</w:t>
      </w:r>
    </w:p>
    <w:p w:rsidR="00D51FBF" w:rsidRPr="00FB6662" w:rsidRDefault="00D51FBF" w:rsidP="00D51FBF">
      <w:pPr>
        <w:pStyle w:val="NormalHanging12a"/>
      </w:pPr>
      <w:r w:rsidRPr="00FB6662">
        <w:t>–</w:t>
      </w:r>
      <w:r w:rsidRPr="00FB6662">
        <w:tab/>
        <w:t>s ohledem na čl. 5a odst. 3 písm. b) a čl. 5a odst. 5 rozhodnutí Rady 1999/468/ES ze dne 28. června 1999 o postupech pro výkon prováděcích pravomocí svěřených Komisi</w:t>
      </w:r>
      <w:r w:rsidRPr="00FB6662">
        <w:rPr>
          <w:rStyle w:val="FootnoteReference"/>
        </w:rPr>
        <w:footnoteReference w:id="7"/>
      </w:r>
      <w:r w:rsidRPr="00FB6662">
        <w:t>,</w:t>
      </w:r>
    </w:p>
    <w:p w:rsidR="00D51FBF" w:rsidRPr="00FB6662" w:rsidRDefault="00D51FBF" w:rsidP="00D51FBF">
      <w:pPr>
        <w:pStyle w:val="NormalHanging12a"/>
      </w:pPr>
      <w:r w:rsidRPr="00FB6662">
        <w:t>–</w:t>
      </w:r>
      <w:r w:rsidRPr="00FB6662">
        <w:tab/>
        <w:t>s ohledem na čl. 115 odst. 2 a 3 a odst. 4 písm. c) jednacího řádu,</w:t>
      </w:r>
    </w:p>
    <w:p w:rsidR="00D51FBF" w:rsidRPr="00FB6662" w:rsidRDefault="00D51FBF" w:rsidP="00D51FBF">
      <w:pPr>
        <w:pStyle w:val="NormalHanging12a"/>
      </w:pPr>
      <w:r w:rsidRPr="00FB6662">
        <w:t>–</w:t>
      </w:r>
      <w:r w:rsidRPr="00FB6662">
        <w:tab/>
        <w:t>s ohledem na návrh usnesení Výboru pro životní prostředí, veřejné zdraví a bezpečnost potravin,</w:t>
      </w:r>
    </w:p>
    <w:p w:rsidR="00D51FBF" w:rsidRPr="00FB6662" w:rsidRDefault="00D51FBF" w:rsidP="00D51FBF">
      <w:pPr>
        <w:pStyle w:val="NormalHanging12a"/>
      </w:pPr>
      <w:r w:rsidRPr="00FB6662">
        <w:t>A.</w:t>
      </w:r>
      <w:r w:rsidRPr="00FB6662">
        <w:tab/>
        <w:t>vzhledem k tomu, že jedním z hlavních požadavků, které zazněly během protestů zemědělců v první polovině roku 2024, bylo spravedlivé a rovné zacházení s produkty dováženými ze třetích zemí, které by se měly řídit stejnými normami jako produkty vyrobené v Unii;</w:t>
      </w:r>
    </w:p>
    <w:p w:rsidR="00D51FBF" w:rsidRPr="00FB6662" w:rsidRDefault="00D51FBF" w:rsidP="00D51FBF">
      <w:pPr>
        <w:pStyle w:val="NormalHanging12a"/>
      </w:pPr>
      <w:r w:rsidRPr="00FB6662">
        <w:t>B.</w:t>
      </w:r>
      <w:r w:rsidRPr="00FB6662">
        <w:tab/>
        <w:t>vzhledem k tomu, že pokud by byl návrh nařízení Komise přijat, bylo by možné do Unie nadále dovážet produkty, které nesplňují normy, jimiž se musí řídit zemědělci v Unii;</w:t>
      </w:r>
    </w:p>
    <w:p w:rsidR="00D51FBF" w:rsidRPr="00FB6662" w:rsidRDefault="00D51FBF" w:rsidP="00D51FBF">
      <w:pPr>
        <w:pStyle w:val="NormalHanging12a"/>
      </w:pPr>
      <w:r w:rsidRPr="00FB6662">
        <w:t>C.</w:t>
      </w:r>
      <w:r w:rsidRPr="00FB6662">
        <w:tab/>
        <w:t>vzhledem k tomu, že taková situace by zemědělce v Unii konkurenčně znevýhodňovala;</w:t>
      </w:r>
    </w:p>
    <w:p w:rsidR="00D51FBF" w:rsidRPr="00FB6662" w:rsidRDefault="00D51FBF" w:rsidP="00D51FBF">
      <w:pPr>
        <w:pStyle w:val="NormalHanging12a"/>
      </w:pPr>
      <w:r w:rsidRPr="00FB6662">
        <w:t>D.</w:t>
      </w:r>
      <w:r w:rsidRPr="00FB6662">
        <w:tab/>
        <w:t xml:space="preserve">vzhledem k tomu, že </w:t>
      </w:r>
      <w:proofErr w:type="spellStart"/>
      <w:r w:rsidRPr="00FB6662">
        <w:t>cyprokonazol</w:t>
      </w:r>
      <w:proofErr w:type="spellEnd"/>
      <w:r w:rsidRPr="00FB6662">
        <w:t xml:space="preserve"> je fungicid ze skupiny azolů, který se používá zejména při pěstování obilovin, kávy, řepy cukrovky, jablek, hroznů a podzemnice olejné;</w:t>
      </w:r>
    </w:p>
    <w:p w:rsidR="00D51FBF" w:rsidRPr="00FB6662" w:rsidRDefault="00D51FBF" w:rsidP="00D51FBF">
      <w:pPr>
        <w:pStyle w:val="NormalHanging12a"/>
      </w:pPr>
      <w:r w:rsidRPr="00FB6662">
        <w:t>E.</w:t>
      </w:r>
      <w:r w:rsidRPr="00FB6662">
        <w:tab/>
        <w:t xml:space="preserve">vzhledem k tomu, že platnost schválení účinné látky </w:t>
      </w:r>
      <w:proofErr w:type="spellStart"/>
      <w:r w:rsidRPr="00FB6662">
        <w:t>cyprokonazol</w:t>
      </w:r>
      <w:proofErr w:type="spellEnd"/>
      <w:r w:rsidRPr="00FB6662">
        <w:t xml:space="preserve"> skončila dne 31. května 2021; vzhledem k tomu, že v září 2018 byla předložena žádost o její obnovení, ale v prosinci 2018 byla stažena; vzhledem k tomu, že všechna povolení pro </w:t>
      </w:r>
      <w:r w:rsidRPr="00FB6662">
        <w:lastRenderedPageBreak/>
        <w:t xml:space="preserve">přípravky na ochranu rostlin obsahujících </w:t>
      </w:r>
      <w:proofErr w:type="spellStart"/>
      <w:r w:rsidRPr="00FB6662">
        <w:t>cyprokonazol</w:t>
      </w:r>
      <w:proofErr w:type="spellEnd"/>
      <w:r w:rsidRPr="00FB6662">
        <w:t xml:space="preserve"> byla zrušena;</w:t>
      </w:r>
    </w:p>
    <w:p w:rsidR="00D51FBF" w:rsidRPr="00FB6662" w:rsidRDefault="00D51FBF" w:rsidP="00D51FBF">
      <w:pPr>
        <w:pStyle w:val="NormalHanging12a"/>
      </w:pPr>
      <w:r w:rsidRPr="00FB6662">
        <w:t>F.</w:t>
      </w:r>
      <w:r w:rsidRPr="00FB6662">
        <w:tab/>
        <w:t xml:space="preserve">vzhledem tomu, že </w:t>
      </w:r>
      <w:proofErr w:type="spellStart"/>
      <w:r w:rsidRPr="00FB6662">
        <w:t>cyprokonazol</w:t>
      </w:r>
      <w:proofErr w:type="spellEnd"/>
      <w:r w:rsidRPr="00FB6662">
        <w:t xml:space="preserve"> byl v souladu s nařízením Evropského parlamentu a Rady (ES) č. 1272/2008</w:t>
      </w:r>
      <w:r w:rsidRPr="00FB6662">
        <w:rPr>
          <w:rStyle w:val="FootnoteReference"/>
        </w:rPr>
        <w:footnoteReference w:id="8"/>
      </w:r>
      <w:r w:rsidRPr="00FB6662">
        <w:t xml:space="preserve"> označen za toxický pro reprodukci kategorie 1B, toxický při požití (akutní toxicita 3), toxický pro játra (STOT RE 2) a rovněž vysoce toxický pro vodní organismy (akutní toxicita pro vodní prostředí 1) a vysoce toxický pro vodní organismy, s dlouhodobými účinky (chronická toxicita pro vodní prostředí 1)</w:t>
      </w:r>
      <w:r w:rsidRPr="00FB6662">
        <w:rPr>
          <w:rStyle w:val="FootnoteReference"/>
        </w:rPr>
        <w:footnoteReference w:id="9"/>
      </w:r>
      <w:r w:rsidRPr="00FB6662">
        <w:t>;</w:t>
      </w:r>
    </w:p>
    <w:p w:rsidR="00D51FBF" w:rsidRPr="00FB6662" w:rsidRDefault="00D51FBF" w:rsidP="00D51FBF">
      <w:pPr>
        <w:pStyle w:val="NormalHanging12a"/>
      </w:pPr>
      <w:r w:rsidRPr="00FB6662">
        <w:t>G.</w:t>
      </w:r>
      <w:r w:rsidRPr="00FB6662">
        <w:tab/>
        <w:t xml:space="preserve">vzhledem k tomu, že </w:t>
      </w:r>
      <w:proofErr w:type="spellStart"/>
      <w:r w:rsidRPr="00FB6662">
        <w:t>cyprokonazol</w:t>
      </w:r>
      <w:proofErr w:type="spellEnd"/>
      <w:r w:rsidRPr="00FB6662">
        <w:t xml:space="preserve"> patří do skupiny </w:t>
      </w:r>
      <w:proofErr w:type="spellStart"/>
      <w:r w:rsidRPr="00FB6662">
        <w:t>triazolů</w:t>
      </w:r>
      <w:proofErr w:type="spellEnd"/>
      <w:r w:rsidRPr="00FB6662">
        <w:t xml:space="preserve"> blokujících biosyntézu ergosterolu, a může tak narušovat činnost žláz s vnitřní sekrecí</w:t>
      </w:r>
      <w:r w:rsidRPr="00FB6662">
        <w:rPr>
          <w:rStyle w:val="FootnoteReference"/>
        </w:rPr>
        <w:footnoteReference w:id="10"/>
      </w:r>
      <w:r w:rsidRPr="00FB6662">
        <w:t xml:space="preserve">; vzhledem k tomu, že úřad EFSA zatím neposoudil, zda </w:t>
      </w:r>
      <w:proofErr w:type="spellStart"/>
      <w:r w:rsidRPr="00FB6662">
        <w:t>cyprokonazol</w:t>
      </w:r>
      <w:proofErr w:type="spellEnd"/>
      <w:r w:rsidRPr="00FB6662">
        <w:t xml:space="preserve"> může být potenciálním endokrinním </w:t>
      </w:r>
      <w:proofErr w:type="spellStart"/>
      <w:r w:rsidRPr="00FB6662">
        <w:t>disruptorem</w:t>
      </w:r>
      <w:proofErr w:type="spellEnd"/>
      <w:r w:rsidRPr="00FB6662">
        <w:t xml:space="preserve"> podle vědeckých kritérií, na jejichž základě se určují endokrinně </w:t>
      </w:r>
      <w:proofErr w:type="spellStart"/>
      <w:r w:rsidRPr="00FB6662">
        <w:t>disruptivní</w:t>
      </w:r>
      <w:proofErr w:type="spellEnd"/>
      <w:r w:rsidRPr="00FB6662">
        <w:t xml:space="preserve"> vlastnosti podle nařízení Komise (EU) 2018/605</w:t>
      </w:r>
      <w:r w:rsidRPr="00FB6662">
        <w:rPr>
          <w:rStyle w:val="FootnoteReference"/>
        </w:rPr>
        <w:footnoteReference w:id="11"/>
      </w:r>
      <w:r w:rsidRPr="00FB6662">
        <w:t xml:space="preserve">, které se uplatňuje od 10. listopadu 2018; vzhledem k tomu, že endokrinně </w:t>
      </w:r>
      <w:proofErr w:type="spellStart"/>
      <w:r w:rsidRPr="00FB6662">
        <w:t>disruptivní</w:t>
      </w:r>
      <w:proofErr w:type="spellEnd"/>
      <w:r w:rsidRPr="00FB6662">
        <w:t xml:space="preserve"> vlastnosti se často projevují při nízkých dávkách a endokrinní </w:t>
      </w:r>
      <w:proofErr w:type="spellStart"/>
      <w:r w:rsidRPr="00FB6662">
        <w:t>disruptory</w:t>
      </w:r>
      <w:proofErr w:type="spellEnd"/>
      <w:r w:rsidRPr="00FB6662">
        <w:t xml:space="preserve"> často nemají bezpečnou prahovou hodnotu</w:t>
      </w:r>
      <w:r w:rsidRPr="00FB6662">
        <w:rPr>
          <w:rStyle w:val="FootnoteReference"/>
        </w:rPr>
        <w:footnoteReference w:id="12"/>
      </w:r>
      <w:r w:rsidRPr="00FB6662">
        <w:t>;</w:t>
      </w:r>
    </w:p>
    <w:p w:rsidR="00D51FBF" w:rsidRPr="00FB6662" w:rsidRDefault="00D51FBF" w:rsidP="00D51FBF">
      <w:pPr>
        <w:pStyle w:val="NormalHanging12a"/>
      </w:pPr>
      <w:r w:rsidRPr="00FB6662">
        <w:t>H.</w:t>
      </w:r>
      <w:r w:rsidRPr="00FB6662">
        <w:tab/>
        <w:t xml:space="preserve">vzhledem k tomu, že stále větší počet publikací upozorňuje na to, že v životním prostředí významně roste rezistence plísní rodu </w:t>
      </w:r>
      <w:proofErr w:type="spellStart"/>
      <w:r w:rsidRPr="00FB6662">
        <w:t>Aspergillus</w:t>
      </w:r>
      <w:proofErr w:type="spellEnd"/>
      <w:r w:rsidRPr="00FB6662">
        <w:t xml:space="preserve"> </w:t>
      </w:r>
      <w:proofErr w:type="spellStart"/>
      <w:r w:rsidRPr="00FB6662">
        <w:t>spp</w:t>
      </w:r>
      <w:proofErr w:type="spellEnd"/>
      <w:r w:rsidRPr="00FB6662">
        <w:t xml:space="preserve"> na </w:t>
      </w:r>
      <w:proofErr w:type="spellStart"/>
      <w:r w:rsidRPr="00FB6662">
        <w:t>azolové</w:t>
      </w:r>
      <w:proofErr w:type="spellEnd"/>
      <w:r w:rsidRPr="00FB6662">
        <w:t xml:space="preserve"> fungicidy</w:t>
      </w:r>
      <w:r w:rsidRPr="00FB6662">
        <w:rPr>
          <w:rStyle w:val="FootnoteReference"/>
        </w:rPr>
        <w:footnoteReference w:id="13"/>
      </w:r>
      <w:r w:rsidRPr="00FB6662">
        <w:t xml:space="preserve">; vzhledem k tomu, že Komise požádala úřad EFSA, aby posoudil dopad používání </w:t>
      </w:r>
      <w:proofErr w:type="spellStart"/>
      <w:r w:rsidRPr="00FB6662">
        <w:t>azolových</w:t>
      </w:r>
      <w:proofErr w:type="spellEnd"/>
      <w:r w:rsidRPr="00FB6662">
        <w:t xml:space="preserve"> fungicidů, které nejsou využívány jako humánní léčivé přípravky, na vývoj </w:t>
      </w:r>
      <w:r w:rsidRPr="00FB6662">
        <w:lastRenderedPageBreak/>
        <w:t xml:space="preserve">plísní </w:t>
      </w:r>
      <w:proofErr w:type="spellStart"/>
      <w:r w:rsidRPr="00FB6662">
        <w:t>Aspergillus</w:t>
      </w:r>
      <w:proofErr w:type="spellEnd"/>
      <w:r w:rsidRPr="00FB6662">
        <w:t xml:space="preserve"> </w:t>
      </w:r>
      <w:proofErr w:type="spellStart"/>
      <w:r w:rsidRPr="00FB6662">
        <w:t>spp</w:t>
      </w:r>
      <w:proofErr w:type="spellEnd"/>
      <w:r w:rsidRPr="00FB6662">
        <w:t xml:space="preserve">. odolných vůči </w:t>
      </w:r>
      <w:proofErr w:type="spellStart"/>
      <w:r w:rsidRPr="00FB6662">
        <w:t>azolovým</w:t>
      </w:r>
      <w:proofErr w:type="spellEnd"/>
      <w:r w:rsidRPr="00FB6662">
        <w:t xml:space="preserve"> fungicidům; vzhledem k tomu, že požadovaná vědecká zpráva dosud nebyla zveřejněna a očekává se, že bude dokončena až v prosinci 2024</w:t>
      </w:r>
      <w:r w:rsidRPr="00FB6662">
        <w:rPr>
          <w:rStyle w:val="FootnoteReference"/>
        </w:rPr>
        <w:footnoteReference w:id="14"/>
      </w:r>
      <w:r w:rsidRPr="00FB6662">
        <w:t>;</w:t>
      </w:r>
    </w:p>
    <w:p w:rsidR="00D51FBF" w:rsidRPr="00FB6662" w:rsidRDefault="00D51FBF" w:rsidP="00D51FBF">
      <w:pPr>
        <w:pStyle w:val="NormalHanging12a"/>
      </w:pPr>
      <w:r w:rsidRPr="00FB6662">
        <w:rPr>
          <w:color w:val="000000" w:themeColor="text1"/>
        </w:rPr>
        <w:t>I.</w:t>
      </w:r>
      <w:r w:rsidRPr="00FB6662">
        <w:rPr>
          <w:color w:val="000000" w:themeColor="text1"/>
        </w:rPr>
        <w:tab/>
      </w:r>
      <w:r w:rsidRPr="00FB6662">
        <w:t xml:space="preserve">vzhledem k tomu, že je proto vhodné zrušit stávající maximální limity reziduí (MLR), které jsou pro </w:t>
      </w:r>
      <w:proofErr w:type="spellStart"/>
      <w:r w:rsidRPr="00FB6662">
        <w:t>cyprokonazol</w:t>
      </w:r>
      <w:proofErr w:type="spellEnd"/>
      <w:r w:rsidRPr="00FB6662">
        <w:t xml:space="preserve"> stanoveny v příloze II nařízení (ES) č. 396/2005, v souladu s článkem 17 tohoto nařízení, podle něhož Komise může zrušit MLR, které jsou v přílohách II a III uvedeného nařízení stanoveny na standardní hodnotu 0,01 mg/kg nebo na příslušnou mez stanovitelnosti, aniž by si musela od úřadu EFSA vyžádat stanovisko pro účinnou látku, jejíž povolení bylo zrušeno;</w:t>
      </w:r>
    </w:p>
    <w:p w:rsidR="00D51FBF" w:rsidRPr="00FB6662" w:rsidRDefault="00D51FBF" w:rsidP="00D51FBF">
      <w:pPr>
        <w:pStyle w:val="NormalHanging12a"/>
      </w:pPr>
      <w:r w:rsidRPr="00FB6662">
        <w:t>J.</w:t>
      </w:r>
      <w:r w:rsidRPr="00FB6662">
        <w:tab/>
        <w:t xml:space="preserve">vzhledem k tomu, že Komise však v tomto návrhu nařízení navrhuje zachovat MLR u velkého množství produktů (obiloviny, semena, maso, játra a ledviny) nad příslušnou mezí stanovitelnosti nebo nad standardní hodnotou MLR 0,01 mg/kg na základě MLR stanovených Komisí pro </w:t>
      </w:r>
      <w:proofErr w:type="spellStart"/>
      <w:r w:rsidRPr="00FB6662">
        <w:t>Codex</w:t>
      </w:r>
      <w:proofErr w:type="spellEnd"/>
      <w:r w:rsidRPr="00FB6662">
        <w:t xml:space="preserve"> </w:t>
      </w:r>
      <w:proofErr w:type="spellStart"/>
      <w:r w:rsidRPr="00FB6662">
        <w:t>Alimentarius</w:t>
      </w:r>
      <w:proofErr w:type="spellEnd"/>
      <w:r w:rsidRPr="00FB6662">
        <w:t xml:space="preserve"> (hodnoty CXL);</w:t>
      </w:r>
    </w:p>
    <w:p w:rsidR="00D51FBF" w:rsidRPr="00FB6662" w:rsidRDefault="00D51FBF" w:rsidP="00D51FBF">
      <w:pPr>
        <w:pStyle w:val="NormalHanging12a"/>
      </w:pPr>
      <w:r w:rsidRPr="00FB6662">
        <w:t>K.</w:t>
      </w:r>
      <w:r w:rsidRPr="00FB6662">
        <w:tab/>
      </w:r>
      <w:r w:rsidRPr="00FB6662">
        <w:rPr>
          <w:color w:val="000000" w:themeColor="text1"/>
        </w:rPr>
        <w:t xml:space="preserve">vzhledem k tomu, že Komise navrhuje stanovit MLR pro vyluštěná hrachová zrna, fazole, hrách, ječmen, pohanku a jiné </w:t>
      </w:r>
      <w:proofErr w:type="spellStart"/>
      <w:r w:rsidRPr="00FB6662">
        <w:rPr>
          <w:color w:val="000000" w:themeColor="text1"/>
        </w:rPr>
        <w:t>pseudoobiloviny</w:t>
      </w:r>
      <w:proofErr w:type="spellEnd"/>
      <w:r w:rsidRPr="00FB6662">
        <w:rPr>
          <w:color w:val="000000" w:themeColor="text1"/>
        </w:rPr>
        <w:t xml:space="preserve">, kukuřici, proso, oves, žito, pšenici, kávová zrna a řepu cukrovku (kořen), svalovinu a tuk prasat, skotu, ovcí, koz a koní a svalovinu, tuk a játra drůbeže, mléko skotu, ovcí, koz a koní a ptačí vejce na úrovně, které pro ně stanovuje </w:t>
      </w:r>
      <w:proofErr w:type="spellStart"/>
      <w:r w:rsidRPr="00FB6662">
        <w:rPr>
          <w:color w:val="000000" w:themeColor="text1"/>
        </w:rPr>
        <w:t>Codex</w:t>
      </w:r>
      <w:proofErr w:type="spellEnd"/>
      <w:r w:rsidRPr="00FB6662">
        <w:rPr>
          <w:color w:val="000000" w:themeColor="text1"/>
        </w:rPr>
        <w:t xml:space="preserve"> (hodnoty CXL); vzhledem k tomu, že to by znamenalo, že MLR pro játra a ledviny prasat, skotu, ovcí, koz a koní by byly zachovány na stávající úrovni 0,5 mg/kg, pro semena řepky olejky na úrovni 0,4 mg/kg a pro sójové boby na úrovni 0,07 mg/kg; vzhledem k tomu, že u všech ostatních produktů, pro které neexistují hodnoty CXL ani přípustné odchylky pro dovoz, jsou MLR sníženy na meze stanovitelnosti specifické pro daný produkt, které se pohybují v rozmezí 0,01 až 0,05 mg/kg;</w:t>
      </w:r>
    </w:p>
    <w:p w:rsidR="00D51FBF" w:rsidRPr="00FB6662" w:rsidRDefault="00D51FBF" w:rsidP="00D51FBF">
      <w:pPr>
        <w:pStyle w:val="NormalHanging12a"/>
      </w:pPr>
      <w:r w:rsidRPr="00FB6662">
        <w:t>L.</w:t>
      </w:r>
      <w:r w:rsidRPr="00FB6662">
        <w:tab/>
        <w:t xml:space="preserve">vzhledem k tomu, že v roce 2024 snížila Komise MLR pro </w:t>
      </w:r>
      <w:proofErr w:type="spellStart"/>
      <w:r w:rsidRPr="00FB6662">
        <w:t>thiakloprid</w:t>
      </w:r>
      <w:proofErr w:type="spellEnd"/>
      <w:r w:rsidRPr="00FB6662">
        <w:t>, účinnou látku klasifikovanou jako toxická pro reprodukci kategorie 1B, na příslušnou mez stanovitelnosti, přičemž uvedla, že „do doby, než úřad dokončí dodatečné posouzení rizik [týkající se jeho účinků na endokrinní systém], a vzhledem k dostupným relevantním informacím, pokud jde o potenciálně škodlivé účinky na lidské zdraví, je vhodné MLR [pro tyto produkty] dočasně snížit“</w:t>
      </w:r>
      <w:r w:rsidRPr="00FB6662">
        <w:rPr>
          <w:rStyle w:val="FootnoteReference"/>
        </w:rPr>
        <w:footnoteReference w:id="15"/>
      </w:r>
      <w:r w:rsidRPr="00FB6662">
        <w:t>;</w:t>
      </w:r>
    </w:p>
    <w:p w:rsidR="00D51FBF" w:rsidRPr="00FB6662" w:rsidRDefault="00D51FBF" w:rsidP="00D51FBF">
      <w:pPr>
        <w:pStyle w:val="NormalHanging12a"/>
      </w:pPr>
      <w:r w:rsidRPr="00FB6662">
        <w:t>M.</w:t>
      </w:r>
      <w:r w:rsidRPr="00FB6662">
        <w:tab/>
        <w:t xml:space="preserve">vzhledem k tomu, že bod odůvodnění 5 nařízení (ES) č. 396/2005 stanoví, že přítomnost reziduí by neměla dosahovat úrovně představující nepřijatelné riziko pro člověka a případně pro zvířata; </w:t>
      </w:r>
    </w:p>
    <w:p w:rsidR="00D51FBF" w:rsidRPr="00FB6662" w:rsidRDefault="00D51FBF" w:rsidP="00D51FBF">
      <w:pPr>
        <w:pStyle w:val="NormalHanging12a"/>
      </w:pPr>
      <w:r w:rsidRPr="00FB6662">
        <w:t>N.</w:t>
      </w:r>
      <w:r w:rsidRPr="00FB6662">
        <w:tab/>
        <w:t xml:space="preserve">vzhledem k tomu, že čl. 4 odst. 2 první pododstavec písm. a) nařízení (ES) č. 1107/2009 stanoví, že rezidua přípravků na ochranu rostlin nesmí mít škodlivý účinek na lidské zdraví, včetně zdraví zranitelných skupin, nebo na zdraví zvířat, s přihlédnutím ke známým kumulativním a synergickým účinkům; vzhledem k tomu, že bod 3.6.4 přílohy II uvedeného nařízení stanoví, že účinná látka, která je v souladu s nařízením (ES) č. 1272/2008 klasifikována jako toxická pro reprodukci kategorie 1A nebo 1B, se neschválí, pokud „rezidua dotyčné účinné látky […] v potravinách a krmivech překročí standardní hodnotu stanovenou v souladu s čl. 18 odst. 1 písm. b) nařízení (ES) </w:t>
      </w:r>
      <w:r w:rsidRPr="00FB6662">
        <w:lastRenderedPageBreak/>
        <w:t>č. 396/2005“; vzhledem k tomu, že čl. 18 odst. 1 písm. b) nařízení (ES) č. 396/2005 stanoví standardní hodnotu 0,01 mg/kg;</w:t>
      </w:r>
    </w:p>
    <w:p w:rsidR="00D51FBF" w:rsidRPr="00FB6662" w:rsidRDefault="00D51FBF" w:rsidP="00D51FBF">
      <w:pPr>
        <w:pStyle w:val="NormalHanging12a"/>
      </w:pPr>
      <w:r w:rsidRPr="00FB6662">
        <w:t>O.</w:t>
      </w:r>
      <w:r w:rsidRPr="00FB6662">
        <w:tab/>
        <w:t xml:space="preserve">vzhledem k tomu, že čl. 3 odst. 2 písm. g) nařízení (ES) č. 396/2005 stanoví, že přípustnou odchylkou pro dovoz se rozumí MLR stanovený pro dovezené produkty, pokud „použití účinné látky v přípravku na ochranu rostlin není na daném produktu ve Společenství povoleno z důvodů jiných, než jsou důvody veřejného zdraví pro konkrétní produkt nebo konkrétní použití“; vzhledem k tomu, že </w:t>
      </w:r>
      <w:proofErr w:type="spellStart"/>
      <w:r w:rsidRPr="00FB6662">
        <w:t>cyprokonazol</w:t>
      </w:r>
      <w:proofErr w:type="spellEnd"/>
      <w:r w:rsidRPr="00FB6662">
        <w:t xml:space="preserve"> tato kritéria nesplňuje, neboť je zakázán ze zdravotních důvodů, jelikož je klasifikován jako toxický pro reprodukci kategorie 1B;</w:t>
      </w:r>
    </w:p>
    <w:p w:rsidR="00D51FBF" w:rsidRPr="00FB6662" w:rsidRDefault="00D51FBF" w:rsidP="00D51FBF">
      <w:pPr>
        <w:pStyle w:val="NormalHanging12a"/>
      </w:pPr>
      <w:r w:rsidRPr="00FB6662">
        <w:t>P.</w:t>
      </w:r>
      <w:r w:rsidRPr="00FB6662">
        <w:tab/>
        <w:t>vzhledem k tomu, že čl. 5 odst. 1 nařízení (ES) č. 178/2002 stanoví, že potravinové právo má sledovat jeden nebo více obecných cílů vysoké úrovně ochrany lidského života a zdraví a ochrany zájmů spotřebitelů, včetně poctivého jednání v obchodu s potravinami, a popřípadě zohledňovat ochranu zdraví a dobré životní podmínky zvířat, zdraví rostlin a ochranu životního prostředí;</w:t>
      </w:r>
    </w:p>
    <w:p w:rsidR="00D51FBF" w:rsidRPr="00FB6662" w:rsidRDefault="00D51FBF" w:rsidP="00D51FBF">
      <w:pPr>
        <w:pStyle w:val="NormalHanging12a"/>
      </w:pPr>
      <w:r w:rsidRPr="00FB6662">
        <w:t>Q.</w:t>
      </w:r>
      <w:r w:rsidRPr="00FB6662">
        <w:tab/>
        <w:t>vzhledem k tomu, že Komise ve svém sdělení ze dne 20. května 2020 nazvaném „Strategie „od zemědělce ke spotřebiteli“ pro spravedlivé, zdravé a ekologické potravinové systémy“</w:t>
      </w:r>
      <w:r w:rsidRPr="00FB6662">
        <w:rPr>
          <w:rStyle w:val="FootnoteReference"/>
        </w:rPr>
        <w:footnoteReference w:id="16"/>
      </w:r>
      <w:r w:rsidRPr="00FB6662">
        <w:t xml:space="preserve"> oznámila, že „EU bude podporovat globální transformaci směrem k udržitelným zemědělsko-potravinářským systémům v souladu s cíli této strategie a cíli udržitelného rozvoje“ a že „EU může sehrát zásadní úlohu tím, že v této strategii vymezí celosvětové standardy“; vzhledem k tomu, že Komise v této strategii výslovně uvedla, že „udržitelnější potravinový systém EU vyžaduje i udržitelnější postupy našich obchodních partnerů. S cílem podpořit postupný přechod k používání bezpečnějších přípravků na ochranu rostlin zváží EU v souladu s pravidly WTO a na základě posouzení rizik přezkum přípustných odchylek pro dovoz látek, které splňují kritéria pro schválení a představují vysokou míru rizika pro lidské zdraví“;</w:t>
      </w:r>
    </w:p>
    <w:p w:rsidR="00D51FBF" w:rsidRPr="00FB6662" w:rsidRDefault="00D51FBF" w:rsidP="00D51FBF">
      <w:pPr>
        <w:pStyle w:val="NormalHanging12a"/>
      </w:pPr>
      <w:r w:rsidRPr="00FB6662">
        <w:t>R.</w:t>
      </w:r>
      <w:r w:rsidRPr="00FB6662">
        <w:tab/>
        <w:t xml:space="preserve">vzhledem k tomu, že postup stanovování vysokých MLR vede k vytváření dvojích standardů pro zemědělce v Unii a zemědělce ve třetích zemích, neboť zemědělci ze zemí mimo Unii mohou dotčené potraviny nadále pěstovat za použití </w:t>
      </w:r>
      <w:proofErr w:type="spellStart"/>
      <w:r w:rsidRPr="00FB6662">
        <w:t>cyprokonazolu</w:t>
      </w:r>
      <w:proofErr w:type="spellEnd"/>
      <w:r w:rsidRPr="00FB6662">
        <w:t xml:space="preserve"> a vyvážet je do Unie, což zemědělce v Unii znevýhodňuje v hospodářské soutěži; vzhledem k tomu, že používání tohoto pesticidu na druhé straně ohrožuje zdraví pracovníků v zemědělství, zdraví obyvatel obecně a životní prostředí v producentských zemích;</w:t>
      </w:r>
    </w:p>
    <w:p w:rsidR="00D51FBF" w:rsidRPr="00FB6662" w:rsidRDefault="00D51FBF" w:rsidP="00D51FBF">
      <w:pPr>
        <w:pStyle w:val="NormalHanging12a"/>
      </w:pPr>
      <w:r w:rsidRPr="00FB6662">
        <w:t>S.</w:t>
      </w:r>
      <w:r w:rsidRPr="00FB6662">
        <w:tab/>
        <w:t>vzhledem k tomu, že čl. 191 odst. 2 S</w:t>
      </w:r>
      <w:r w:rsidR="00062B6F">
        <w:t>mlouv</w:t>
      </w:r>
      <w:r w:rsidR="007D7242">
        <w:t>y</w:t>
      </w:r>
      <w:r w:rsidR="00062B6F">
        <w:t xml:space="preserve"> o fungování </w:t>
      </w:r>
      <w:r w:rsidRPr="00FB6662">
        <w:t>EU stanoví zásadu předběžné opatrnosti jako jednu ze základních zásad Unie;</w:t>
      </w:r>
    </w:p>
    <w:p w:rsidR="00D51FBF" w:rsidRPr="00FB6662" w:rsidRDefault="00D51FBF" w:rsidP="00D51FBF">
      <w:pPr>
        <w:pStyle w:val="NormalHanging12a"/>
      </w:pPr>
      <w:r w:rsidRPr="00FB6662">
        <w:t>T.</w:t>
      </w:r>
      <w:r w:rsidRPr="00FB6662">
        <w:tab/>
        <w:t>vzhledem k tomu, že Komise musí chránit životní prostředí a evropské občany na základě dostupných vědeckých informací a že má k zajištění vysoké úrovně ochrany zdraví lidí a zvířat a životního prostředí uplatňovat povinnosti a právní možnosti, které stanoví nařízení (ES) č. 396/2005 a nařízení (ES) č. 178/2002;</w:t>
      </w:r>
    </w:p>
    <w:p w:rsidR="00D51FBF" w:rsidRPr="00FB6662" w:rsidRDefault="00D51FBF" w:rsidP="00D51FBF">
      <w:pPr>
        <w:pStyle w:val="NormalHanging12a"/>
      </w:pPr>
      <w:r w:rsidRPr="00FB6662">
        <w:t>U.</w:t>
      </w:r>
      <w:r w:rsidRPr="00FB6662">
        <w:tab/>
        <w:t>vzhledem k tomu, že navrhované MLR nechrání zdraví občanů v Evropě, a jsou proto v rozporu s nařízeními (ES) č. 396/2005 a (ES) č. 178/2002;</w:t>
      </w:r>
    </w:p>
    <w:p w:rsidR="00D51FBF" w:rsidRPr="00FB6662" w:rsidRDefault="00D51FBF" w:rsidP="00D51FBF">
      <w:pPr>
        <w:pStyle w:val="NormalHanging12a"/>
      </w:pPr>
      <w:r w:rsidRPr="00FB6662">
        <w:t>V.</w:t>
      </w:r>
      <w:r w:rsidRPr="00FB6662">
        <w:tab/>
        <w:t xml:space="preserve">vzhledem k tomu, že pro účinné látky, které nejsou v Unii schváleny kvůli obavám </w:t>
      </w:r>
      <w:r w:rsidRPr="00FB6662">
        <w:lastRenderedPageBreak/>
        <w:t xml:space="preserve">z ohrožení zdraví, by MLR neměly být stanovovány; vzhledem k tomu, že za bezpečné pro spotřebitele by proto neměly být považovány žádné hodnoty CXL překračující příslušnou mez stanovitelnosti nebo standardní hodnotu 0,01 mg/kg, neboť </w:t>
      </w:r>
      <w:proofErr w:type="spellStart"/>
      <w:r w:rsidRPr="00FB6662">
        <w:t>cyprokonazol</w:t>
      </w:r>
      <w:proofErr w:type="spellEnd"/>
      <w:r w:rsidRPr="00FB6662">
        <w:t xml:space="preserve"> je klasifikován jako toxický pro reprodukci kategorie 1B;</w:t>
      </w:r>
    </w:p>
    <w:p w:rsidR="00D51FBF" w:rsidRPr="00FB6662" w:rsidRDefault="00D51FBF" w:rsidP="00D51FBF">
      <w:pPr>
        <w:pStyle w:val="NormalHanging12a"/>
      </w:pPr>
      <w:r w:rsidRPr="00FB6662">
        <w:t>W.</w:t>
      </w:r>
      <w:r w:rsidRPr="00FB6662">
        <w:tab/>
        <w:t>vzhledem k tomu, že při stanovování MLR je třeba vzít v úvahu kumulativní a synergické účinky a je nanejvýš důležité urychlit vypracování vhodných metod pro toto posouzení;</w:t>
      </w:r>
    </w:p>
    <w:p w:rsidR="00D51FBF" w:rsidRPr="00FB6662" w:rsidRDefault="00D51FBF" w:rsidP="00D51FBF">
      <w:pPr>
        <w:pStyle w:val="NormalHanging12a"/>
      </w:pPr>
      <w:r w:rsidRPr="00FB6662">
        <w:t>1.</w:t>
      </w:r>
      <w:r w:rsidRPr="00FB6662">
        <w:tab/>
        <w:t>zamítá přijetí návrhu nařízení Komise;</w:t>
      </w:r>
    </w:p>
    <w:p w:rsidR="00D51FBF" w:rsidRPr="00FB6662" w:rsidRDefault="00D51FBF" w:rsidP="00D51FBF">
      <w:pPr>
        <w:pStyle w:val="NormalHanging12a"/>
        <w:rPr>
          <w:szCs w:val="24"/>
        </w:rPr>
      </w:pPr>
      <w:r w:rsidRPr="00FB6662">
        <w:t>2.</w:t>
      </w:r>
      <w:r w:rsidRPr="00FB6662">
        <w:tab/>
        <w:t>domnívá se, že návrh nařízení Komise není v souladu s cílem a obsahem nařízení (ES) č. 396/2005 a nařízení (ES) č. 178/2002 ani s nařízením (ES) č. 1107/2009, včetně bodu 3.6.4 přílohy II tohoto nařízení;</w:t>
      </w:r>
    </w:p>
    <w:p w:rsidR="00D51FBF" w:rsidRPr="00FB6662" w:rsidRDefault="00D51FBF" w:rsidP="00D51FBF">
      <w:pPr>
        <w:pStyle w:val="NormalHanging12a"/>
      </w:pPr>
      <w:r w:rsidRPr="00FB6662">
        <w:t>3.</w:t>
      </w:r>
      <w:r w:rsidRPr="00FB6662">
        <w:tab/>
        <w:t>vyzývá Komisi, aby uplatnila zásadu předběžné opatrnosti, vzala návrh nařízení zpět a předložila výboru nový návrh;</w:t>
      </w:r>
    </w:p>
    <w:p w:rsidR="00D51FBF" w:rsidRPr="00FB6662" w:rsidRDefault="00D51FBF" w:rsidP="00D51FBF">
      <w:pPr>
        <w:pStyle w:val="NormalHanging12a"/>
      </w:pPr>
      <w:r w:rsidRPr="00FB6662">
        <w:t>4.</w:t>
      </w:r>
      <w:r w:rsidRPr="00FB6662">
        <w:tab/>
        <w:t xml:space="preserve">vyzývá Komisi, aby výboru předložila nový návrh nařízení, kterým se sníží všechny MLR pro </w:t>
      </w:r>
      <w:proofErr w:type="spellStart"/>
      <w:r w:rsidRPr="00FB6662">
        <w:t>cyprokonazol</w:t>
      </w:r>
      <w:proofErr w:type="spellEnd"/>
      <w:r w:rsidRPr="00FB6662">
        <w:t xml:space="preserve"> na příslušnou mez stanovitelnosti nebo na standardní hodnotu 0,01 mg/kg pro všechna použití, a aby zamítla veškeré žádosti o odchylky pro dovoz;</w:t>
      </w:r>
    </w:p>
    <w:p w:rsidR="00D51FBF" w:rsidRPr="00FB6662" w:rsidRDefault="00D51FBF" w:rsidP="00D51FBF">
      <w:pPr>
        <w:pStyle w:val="NormalHanging12a"/>
      </w:pPr>
      <w:r w:rsidRPr="00FB6662">
        <w:t>5.</w:t>
      </w:r>
      <w:r w:rsidRPr="00FB6662">
        <w:tab/>
        <w:t>je si vědom toho, že úřad EFSA pracuje na metodách posuzování kumulativních rizik, nicméně také konstatuje, že o problému s posuzováním kumulativních účinků pesticidů a reziduí se ví již několik desetiletí; žádá proto úřad EFSA a Komisi, aby tento problém bezodkladně řešily jako prioritní záležitost;</w:t>
      </w:r>
    </w:p>
    <w:p w:rsidR="00E365E1" w:rsidRPr="00FB6662" w:rsidRDefault="00D51FBF" w:rsidP="007D7242">
      <w:pPr>
        <w:pStyle w:val="NormalHanging12a"/>
      </w:pPr>
      <w:r w:rsidRPr="00FB6662">
        <w:t>6.</w:t>
      </w:r>
      <w:r w:rsidRPr="00FB6662">
        <w:tab/>
        <w:t>pověřuje svou předsedkyni, aby předala toto usnesení Radě a Komisi, jakož i vládám</w:t>
      </w:r>
      <w:r w:rsidR="007D7242">
        <w:t xml:space="preserve"> a parlamentům členských států.</w:t>
      </w:r>
      <w:bookmarkStart w:id="8" w:name="TextBodyEnd"/>
      <w:bookmarkEnd w:id="8"/>
    </w:p>
    <w:sectPr w:rsidR="00E365E1" w:rsidRPr="00FB6662" w:rsidSect="00FB66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AA2" w:rsidRPr="00FB6662" w:rsidRDefault="00121AA2">
      <w:r w:rsidRPr="00FB6662">
        <w:separator/>
      </w:r>
    </w:p>
  </w:endnote>
  <w:endnote w:type="continuationSeparator" w:id="0">
    <w:p w:rsidR="00121AA2" w:rsidRPr="00FB6662" w:rsidRDefault="00121AA2">
      <w:r w:rsidRPr="00FB66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AA2" w:rsidRPr="00FB6662" w:rsidRDefault="00121AA2">
      <w:r w:rsidRPr="00FB6662">
        <w:separator/>
      </w:r>
    </w:p>
  </w:footnote>
  <w:footnote w:type="continuationSeparator" w:id="0">
    <w:p w:rsidR="00121AA2" w:rsidRPr="00FB6662" w:rsidRDefault="00121AA2">
      <w:r w:rsidRPr="00FB6662">
        <w:continuationSeparator/>
      </w:r>
    </w:p>
  </w:footnote>
  <w:footnote w:id="1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 xml:space="preserve">. L 70, </w:t>
      </w:r>
      <w:proofErr w:type="gramStart"/>
      <w:r w:rsidRPr="00FB6662">
        <w:rPr>
          <w:sz w:val="24"/>
          <w:lang w:val="cs-CZ"/>
        </w:rPr>
        <w:t>16.3.2005</w:t>
      </w:r>
      <w:proofErr w:type="gramEnd"/>
      <w:r w:rsidRPr="00FB6662">
        <w:rPr>
          <w:sz w:val="24"/>
          <w:lang w:val="cs-CZ"/>
        </w:rPr>
        <w:t>, s. 1.</w:t>
      </w:r>
    </w:p>
  </w:footnote>
  <w:footnote w:id="2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 xml:space="preserve">. L 309, </w:t>
      </w:r>
      <w:proofErr w:type="gramStart"/>
      <w:r w:rsidRPr="00FB6662">
        <w:rPr>
          <w:sz w:val="24"/>
          <w:lang w:val="cs-CZ"/>
        </w:rPr>
        <w:t>24.11.2009</w:t>
      </w:r>
      <w:proofErr w:type="gramEnd"/>
      <w:r w:rsidRPr="00FB6662">
        <w:rPr>
          <w:sz w:val="24"/>
          <w:lang w:val="cs-CZ"/>
        </w:rPr>
        <w:t>, s. 1.</w:t>
      </w:r>
    </w:p>
  </w:footnote>
  <w:footnote w:id="3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 xml:space="preserve">. L 31, </w:t>
      </w:r>
      <w:proofErr w:type="gramStart"/>
      <w:r w:rsidRPr="00FB6662">
        <w:rPr>
          <w:sz w:val="24"/>
          <w:lang w:val="cs-CZ"/>
        </w:rPr>
        <w:t>1.2.2002</w:t>
      </w:r>
      <w:proofErr w:type="gramEnd"/>
      <w:r w:rsidRPr="00FB6662">
        <w:rPr>
          <w:sz w:val="24"/>
          <w:lang w:val="cs-CZ"/>
        </w:rPr>
        <w:t>, s. 1.</w:t>
      </w:r>
    </w:p>
  </w:footnote>
  <w:footnote w:id="4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i/>
          <w:iCs/>
          <w:sz w:val="24"/>
          <w:lang w:val="cs-CZ"/>
        </w:rPr>
        <w:t xml:space="preserve"> </w:t>
      </w:r>
      <w:r w:rsidR="00FB6662" w:rsidRPr="00FB6662">
        <w:rPr>
          <w:i/>
          <w:iCs/>
          <w:sz w:val="24"/>
          <w:lang w:val="cs-CZ"/>
        </w:rPr>
        <w:tab/>
      </w:r>
      <w:r w:rsidRPr="00FB6662">
        <w:rPr>
          <w:i/>
          <w:iCs/>
          <w:sz w:val="24"/>
          <w:lang w:val="cs-CZ"/>
        </w:rPr>
        <w:t xml:space="preserve">EFSA </w:t>
      </w:r>
      <w:proofErr w:type="spellStart"/>
      <w:r w:rsidRPr="00FB6662">
        <w:rPr>
          <w:i/>
          <w:iCs/>
          <w:sz w:val="24"/>
          <w:lang w:val="cs-CZ"/>
        </w:rPr>
        <w:t>reasoned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opinion</w:t>
      </w:r>
      <w:proofErr w:type="spellEnd"/>
      <w:r w:rsidRPr="00FB6662">
        <w:rPr>
          <w:i/>
          <w:iCs/>
          <w:sz w:val="24"/>
          <w:lang w:val="cs-CZ"/>
        </w:rPr>
        <w:t xml:space="preserve"> on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review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existing</w:t>
      </w:r>
      <w:proofErr w:type="spellEnd"/>
      <w:r w:rsidRPr="00FB6662">
        <w:rPr>
          <w:i/>
          <w:iCs/>
          <w:sz w:val="24"/>
          <w:lang w:val="cs-CZ"/>
        </w:rPr>
        <w:t xml:space="preserve"> maximum </w:t>
      </w:r>
      <w:proofErr w:type="spellStart"/>
      <w:r w:rsidRPr="00FB6662">
        <w:rPr>
          <w:i/>
          <w:iCs/>
          <w:sz w:val="24"/>
          <w:lang w:val="cs-CZ"/>
        </w:rPr>
        <w:t>residue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levels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for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cyproconazole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according</w:t>
      </w:r>
      <w:proofErr w:type="spellEnd"/>
      <w:r w:rsidRPr="00FB6662">
        <w:rPr>
          <w:i/>
          <w:iCs/>
          <w:sz w:val="24"/>
          <w:lang w:val="cs-CZ"/>
        </w:rPr>
        <w:t xml:space="preserve"> to </w:t>
      </w:r>
      <w:proofErr w:type="spellStart"/>
      <w:r w:rsidRPr="00FB6662">
        <w:rPr>
          <w:i/>
          <w:iCs/>
          <w:sz w:val="24"/>
          <w:lang w:val="cs-CZ"/>
        </w:rPr>
        <w:t>Article</w:t>
      </w:r>
      <w:proofErr w:type="spellEnd"/>
      <w:r w:rsidRPr="00FB6662">
        <w:rPr>
          <w:i/>
          <w:iCs/>
          <w:sz w:val="24"/>
          <w:lang w:val="cs-CZ"/>
        </w:rPr>
        <w:t xml:space="preserve"> 12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Regulation</w:t>
      </w:r>
      <w:proofErr w:type="spellEnd"/>
      <w:r w:rsidRPr="00FB6662">
        <w:rPr>
          <w:i/>
          <w:iCs/>
          <w:sz w:val="24"/>
          <w:lang w:val="cs-CZ"/>
        </w:rPr>
        <w:t xml:space="preserve"> (EC) No 396/2005 </w:t>
      </w:r>
      <w:r w:rsidRPr="00FB6662">
        <w:rPr>
          <w:sz w:val="24"/>
          <w:lang w:val="cs-CZ"/>
        </w:rPr>
        <w:t xml:space="preserve">(Odůvodněné stanovisko úřadu EFSA k přezkumu stávajících maximálních limitů reziduí pro </w:t>
      </w:r>
      <w:proofErr w:type="spellStart"/>
      <w:r w:rsidRPr="00FB6662">
        <w:rPr>
          <w:sz w:val="24"/>
          <w:lang w:val="cs-CZ"/>
        </w:rPr>
        <w:t>cyprokonazol</w:t>
      </w:r>
      <w:proofErr w:type="spellEnd"/>
      <w:r w:rsidRPr="00FB6662">
        <w:rPr>
          <w:sz w:val="24"/>
          <w:lang w:val="cs-CZ"/>
        </w:rPr>
        <w:t xml:space="preserve"> v souladu s článkem 12 nařízení (ES) č. 396/2005), EFSA </w:t>
      </w:r>
      <w:proofErr w:type="spellStart"/>
      <w:r w:rsidRPr="00FB6662">
        <w:rPr>
          <w:sz w:val="24"/>
          <w:lang w:val="cs-CZ"/>
        </w:rPr>
        <w:t>Journal</w:t>
      </w:r>
      <w:proofErr w:type="spellEnd"/>
      <w:r w:rsidRPr="00FB6662">
        <w:rPr>
          <w:sz w:val="24"/>
          <w:lang w:val="cs-CZ"/>
        </w:rPr>
        <w:t xml:space="preserve"> 2021; 19(3):e06483,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"https://doi.org/10.2903/j.efsa.2021.6483"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https://doi.org/10.2903/j.efsa.2021.6483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5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i/>
          <w:iCs/>
          <w:sz w:val="24"/>
          <w:lang w:val="cs-CZ"/>
        </w:rPr>
        <w:t xml:space="preserve"> </w:t>
      </w:r>
      <w:r w:rsidR="00FB6662" w:rsidRPr="00FB6662">
        <w:rPr>
          <w:i/>
          <w:iCs/>
          <w:sz w:val="24"/>
          <w:lang w:val="cs-CZ"/>
        </w:rPr>
        <w:tab/>
      </w:r>
      <w:r w:rsidRPr="00FB6662">
        <w:rPr>
          <w:i/>
          <w:iCs/>
          <w:sz w:val="24"/>
          <w:lang w:val="cs-CZ"/>
        </w:rPr>
        <w:t xml:space="preserve">EFSA </w:t>
      </w:r>
      <w:proofErr w:type="spellStart"/>
      <w:r w:rsidRPr="00FB6662">
        <w:rPr>
          <w:i/>
          <w:iCs/>
          <w:sz w:val="24"/>
          <w:lang w:val="cs-CZ"/>
        </w:rPr>
        <w:t>conclusion</w:t>
      </w:r>
      <w:proofErr w:type="spellEnd"/>
      <w:r w:rsidRPr="00FB6662">
        <w:rPr>
          <w:i/>
          <w:iCs/>
          <w:sz w:val="24"/>
          <w:lang w:val="cs-CZ"/>
        </w:rPr>
        <w:t xml:space="preserve"> on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peer </w:t>
      </w:r>
      <w:proofErr w:type="spellStart"/>
      <w:r w:rsidRPr="00FB6662">
        <w:rPr>
          <w:i/>
          <w:iCs/>
          <w:sz w:val="24"/>
          <w:lang w:val="cs-CZ"/>
        </w:rPr>
        <w:t>review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proofErr w:type="gramStart"/>
      <w:r w:rsidRPr="00FB6662">
        <w:rPr>
          <w:i/>
          <w:iCs/>
          <w:sz w:val="24"/>
          <w:lang w:val="cs-CZ"/>
        </w:rPr>
        <w:t>the</w:t>
      </w:r>
      <w:proofErr w:type="spellEnd"/>
      <w:proofErr w:type="gramEnd"/>
      <w:r w:rsidRPr="00FB6662">
        <w:rPr>
          <w:i/>
          <w:iCs/>
          <w:sz w:val="24"/>
          <w:lang w:val="cs-CZ"/>
        </w:rPr>
        <w:t xml:space="preserve"> pesticide risk </w:t>
      </w:r>
      <w:proofErr w:type="spellStart"/>
      <w:r w:rsidRPr="00FB6662">
        <w:rPr>
          <w:i/>
          <w:iCs/>
          <w:sz w:val="24"/>
          <w:lang w:val="cs-CZ"/>
        </w:rPr>
        <w:t>assessment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active</w:t>
      </w:r>
      <w:proofErr w:type="spellEnd"/>
      <w:r w:rsidRPr="00FB6662">
        <w:rPr>
          <w:i/>
          <w:iCs/>
          <w:sz w:val="24"/>
          <w:lang w:val="cs-CZ"/>
        </w:rPr>
        <w:t xml:space="preserve"> substance </w:t>
      </w:r>
      <w:proofErr w:type="spellStart"/>
      <w:r w:rsidRPr="00FB6662">
        <w:rPr>
          <w:i/>
          <w:iCs/>
          <w:sz w:val="24"/>
          <w:lang w:val="cs-CZ"/>
        </w:rPr>
        <w:t>cyproconazole</w:t>
      </w:r>
      <w:proofErr w:type="spellEnd"/>
      <w:r w:rsidRPr="00FB6662">
        <w:rPr>
          <w:sz w:val="24"/>
          <w:lang w:val="cs-CZ"/>
        </w:rPr>
        <w:t xml:space="preserve"> (Závěry EFSA o recenzním řízení pro rizika účinné látky </w:t>
      </w:r>
      <w:proofErr w:type="spellStart"/>
      <w:r w:rsidRPr="00FB6662">
        <w:rPr>
          <w:sz w:val="24"/>
          <w:lang w:val="cs-CZ"/>
        </w:rPr>
        <w:t>cyprokonazol</w:t>
      </w:r>
      <w:proofErr w:type="spellEnd"/>
      <w:r w:rsidRPr="00FB6662">
        <w:rPr>
          <w:sz w:val="24"/>
          <w:lang w:val="cs-CZ"/>
        </w:rPr>
        <w:t xml:space="preserve">, je-li použita jako pesticid), EFSA </w:t>
      </w:r>
      <w:proofErr w:type="spellStart"/>
      <w:r w:rsidRPr="00FB6662">
        <w:rPr>
          <w:sz w:val="24"/>
          <w:lang w:val="cs-CZ"/>
        </w:rPr>
        <w:t>Journal</w:t>
      </w:r>
      <w:proofErr w:type="spellEnd"/>
      <w:r w:rsidRPr="00FB6662">
        <w:rPr>
          <w:sz w:val="24"/>
          <w:lang w:val="cs-CZ"/>
        </w:rPr>
        <w:t xml:space="preserve"> 2010;8(11):1897,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"https://doi.org/10.2903/j.efsa.2010.1897"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https://doi.org/10.2903/j.efsa.2010.1897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6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i/>
          <w:iCs/>
          <w:sz w:val="24"/>
          <w:lang w:val="cs-CZ"/>
        </w:rPr>
        <w:t xml:space="preserve"> </w:t>
      </w:r>
      <w:r w:rsidR="00FB6662" w:rsidRPr="00FB6662">
        <w:rPr>
          <w:i/>
          <w:iCs/>
          <w:sz w:val="24"/>
          <w:lang w:val="cs-CZ"/>
        </w:rPr>
        <w:tab/>
      </w:r>
      <w:r w:rsidRPr="00FB6662">
        <w:rPr>
          <w:i/>
          <w:iCs/>
          <w:sz w:val="24"/>
          <w:lang w:val="cs-CZ"/>
        </w:rPr>
        <w:t xml:space="preserve">RAC </w:t>
      </w:r>
      <w:proofErr w:type="spellStart"/>
      <w:r w:rsidRPr="00FB6662">
        <w:rPr>
          <w:i/>
          <w:iCs/>
          <w:sz w:val="24"/>
          <w:lang w:val="cs-CZ"/>
        </w:rPr>
        <w:t>opinion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proposing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harmonised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classification</w:t>
      </w:r>
      <w:proofErr w:type="spellEnd"/>
      <w:r w:rsidRPr="00FB6662">
        <w:rPr>
          <w:i/>
          <w:iCs/>
          <w:sz w:val="24"/>
          <w:lang w:val="cs-CZ"/>
        </w:rPr>
        <w:t xml:space="preserve"> and </w:t>
      </w:r>
      <w:proofErr w:type="spellStart"/>
      <w:r w:rsidRPr="00FB6662">
        <w:rPr>
          <w:i/>
          <w:iCs/>
          <w:sz w:val="24"/>
          <w:lang w:val="cs-CZ"/>
        </w:rPr>
        <w:t>labelling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at</w:t>
      </w:r>
      <w:proofErr w:type="spellEnd"/>
      <w:r w:rsidRPr="00FB6662">
        <w:rPr>
          <w:i/>
          <w:iCs/>
          <w:sz w:val="24"/>
          <w:lang w:val="cs-CZ"/>
        </w:rPr>
        <w:t xml:space="preserve"> EU </w:t>
      </w:r>
      <w:proofErr w:type="spellStart"/>
      <w:r w:rsidRPr="00FB6662">
        <w:rPr>
          <w:i/>
          <w:iCs/>
          <w:sz w:val="24"/>
          <w:lang w:val="cs-CZ"/>
        </w:rPr>
        <w:t>level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Cyproconazole</w:t>
      </w:r>
      <w:proofErr w:type="spellEnd"/>
      <w:r w:rsidRPr="00FB6662">
        <w:rPr>
          <w:i/>
          <w:iCs/>
          <w:sz w:val="24"/>
          <w:lang w:val="cs-CZ"/>
        </w:rPr>
        <w:t xml:space="preserve"> (ISO)</w:t>
      </w:r>
      <w:r w:rsidRPr="00FB6662">
        <w:rPr>
          <w:sz w:val="24"/>
          <w:lang w:val="cs-CZ"/>
        </w:rPr>
        <w:t>; (</w:t>
      </w:r>
      <w:r w:rsidRPr="00FB6662">
        <w:rPr>
          <w:i/>
          <w:iCs/>
          <w:sz w:val="24"/>
          <w:lang w:val="cs-CZ"/>
        </w:rPr>
        <w:t>2RS,3RS;2RS,3SR)-2-(4-chlorophenyl)-3-cyclopr opyl-1-(1H-1,2,4-triazol-1-yl)butan-2-ol</w:t>
      </w:r>
      <w:r w:rsidRPr="00FB6662">
        <w:rPr>
          <w:sz w:val="24"/>
          <w:lang w:val="cs-CZ"/>
        </w:rPr>
        <w:t xml:space="preserve"> (Stanovisko Výboru pro posuzování rizik o návrhu zavést pro </w:t>
      </w:r>
      <w:proofErr w:type="spellStart"/>
      <w:r w:rsidRPr="00FB6662">
        <w:rPr>
          <w:sz w:val="24"/>
          <w:lang w:val="cs-CZ"/>
        </w:rPr>
        <w:t>cyprokonazol</w:t>
      </w:r>
      <w:proofErr w:type="spellEnd"/>
      <w:r w:rsidRPr="00FB6662">
        <w:rPr>
          <w:sz w:val="24"/>
          <w:lang w:val="cs-CZ"/>
        </w:rPr>
        <w:t xml:space="preserve"> harmonizovanou klasifikaci a označování na úrovni EU (norma ISO); 2RS,3RS;2RS,3SR)-2-(4-chlorfenyl)-3-cyklopropyl-1-(1H-1,2,4-triazol-1-yl)butan-2-ol),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"https://echa.europa.eu/documents/10162/6d98baeb-24aa-a683-28ec-d8adabee5461"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https://echa.europa.eu/documents/10162/6d98baeb-24aa-a683-28ec-d8adabee5461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7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>. L 184</w:t>
      </w:r>
      <w:r w:rsidR="007D7242">
        <w:rPr>
          <w:sz w:val="24"/>
          <w:lang w:val="cs-CZ"/>
        </w:rPr>
        <w:t>,</w:t>
      </w:r>
      <w:r w:rsidRPr="00FB6662">
        <w:rPr>
          <w:sz w:val="24"/>
          <w:lang w:val="cs-CZ"/>
        </w:rPr>
        <w:t xml:space="preserve"> </w:t>
      </w:r>
      <w:proofErr w:type="gramStart"/>
      <w:r w:rsidRPr="00FB6662">
        <w:rPr>
          <w:sz w:val="24"/>
          <w:lang w:val="cs-CZ"/>
        </w:rPr>
        <w:t>17.7.1999</w:t>
      </w:r>
      <w:proofErr w:type="gramEnd"/>
      <w:r w:rsidRPr="00FB6662">
        <w:rPr>
          <w:sz w:val="24"/>
          <w:lang w:val="cs-CZ"/>
        </w:rPr>
        <w:t>, s. 23.</w:t>
      </w:r>
    </w:p>
  </w:footnote>
  <w:footnote w:id="8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Pr="00FB6662">
        <w:rPr>
          <w:sz w:val="24"/>
          <w:lang w:val="cs-CZ"/>
        </w:rPr>
        <w:t>Nařízení Evropského parlamentu a Rady (ES) č. 1272/2008 ze dne 16. prosince 2008 o klasifikaci, označování a balení látek a směsí, o změně a zrušení směrnic 67/548/EHS a 1999/45/ES a o změně nařízení (ES) č. 1907/2006 (</w:t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 xml:space="preserve">. L 353, </w:t>
      </w:r>
      <w:proofErr w:type="gramStart"/>
      <w:r w:rsidRPr="00FB6662">
        <w:rPr>
          <w:sz w:val="24"/>
          <w:lang w:val="cs-CZ"/>
        </w:rPr>
        <w:t>31.12.2008</w:t>
      </w:r>
      <w:proofErr w:type="gramEnd"/>
      <w:r w:rsidRPr="00FB6662">
        <w:rPr>
          <w:sz w:val="24"/>
          <w:lang w:val="cs-CZ"/>
        </w:rPr>
        <w:t>, s. 1).</w:t>
      </w:r>
    </w:p>
  </w:footnote>
  <w:footnote w:id="9">
    <w:p w:rsidR="00D51FBF" w:rsidRPr="00FB6662" w:rsidRDefault="00D51FBF" w:rsidP="00FB6662">
      <w:pPr>
        <w:pStyle w:val="FootnoteText"/>
        <w:ind w:left="567" w:hanging="567"/>
        <w:rPr>
          <w:sz w:val="24"/>
          <w:highlight w:val="magenta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"https://www.echa.europa.eu/substance-information/-/substanceinfo/100.130.443"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https://www.echa.europa.eu/substance-information/-/substanceinfo/100.130.443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10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Pr="00FB6662">
        <w:rPr>
          <w:sz w:val="24"/>
          <w:lang w:val="cs-CZ"/>
        </w:rPr>
        <w:t>Závěry EFSA o recenzním řízení pro pesticidy ze dne 8. listopadu 2010</w:t>
      </w:r>
      <w:r w:rsidRPr="00FB6662">
        <w:rPr>
          <w:rStyle w:val="Hyperlink"/>
          <w:sz w:val="24"/>
          <w:lang w:val="cs-CZ"/>
        </w:rPr>
        <w:t>;</w:t>
      </w:r>
      <w:r w:rsidRPr="00FB6662">
        <w:rPr>
          <w:sz w:val="24"/>
          <w:lang w:val="cs-CZ"/>
        </w:rPr>
        <w:t xml:space="preserve"> </w:t>
      </w:r>
      <w:proofErr w:type="spellStart"/>
      <w:r w:rsidRPr="00FB6662">
        <w:rPr>
          <w:sz w:val="24"/>
          <w:lang w:val="cs-CZ"/>
        </w:rPr>
        <w:t>Draskau</w:t>
      </w:r>
      <w:proofErr w:type="spellEnd"/>
      <w:r w:rsidRPr="00FB6662">
        <w:rPr>
          <w:sz w:val="24"/>
          <w:lang w:val="cs-CZ"/>
        </w:rPr>
        <w:t xml:space="preserve">, M. K. a </w:t>
      </w:r>
      <w:proofErr w:type="spellStart"/>
      <w:r w:rsidRPr="00FB6662">
        <w:rPr>
          <w:sz w:val="24"/>
          <w:lang w:val="cs-CZ"/>
        </w:rPr>
        <w:t>Svingen</w:t>
      </w:r>
      <w:proofErr w:type="spellEnd"/>
      <w:r w:rsidRPr="00FB6662">
        <w:rPr>
          <w:sz w:val="24"/>
          <w:lang w:val="cs-CZ"/>
        </w:rPr>
        <w:t xml:space="preserve">, T., </w:t>
      </w:r>
      <w:r w:rsidRPr="00FB6662">
        <w:rPr>
          <w:i/>
          <w:iCs/>
          <w:sz w:val="24"/>
          <w:lang w:val="cs-CZ"/>
        </w:rPr>
        <w:t xml:space="preserve">Azole </w:t>
      </w:r>
      <w:proofErr w:type="spellStart"/>
      <w:r w:rsidRPr="00FB6662">
        <w:rPr>
          <w:i/>
          <w:iCs/>
          <w:sz w:val="24"/>
          <w:lang w:val="cs-CZ"/>
        </w:rPr>
        <w:t>Fungicides</w:t>
      </w:r>
      <w:proofErr w:type="spellEnd"/>
      <w:r w:rsidRPr="00FB6662">
        <w:rPr>
          <w:i/>
          <w:iCs/>
          <w:sz w:val="24"/>
          <w:lang w:val="cs-CZ"/>
        </w:rPr>
        <w:t xml:space="preserve"> and </w:t>
      </w:r>
      <w:proofErr w:type="spellStart"/>
      <w:r w:rsidRPr="00FB6662">
        <w:rPr>
          <w:i/>
          <w:iCs/>
          <w:sz w:val="24"/>
          <w:lang w:val="cs-CZ"/>
        </w:rPr>
        <w:t>Their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Endocrine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Disrupting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Properties</w:t>
      </w:r>
      <w:proofErr w:type="spellEnd"/>
      <w:r w:rsidRPr="00FB6662">
        <w:rPr>
          <w:i/>
          <w:iCs/>
          <w:sz w:val="24"/>
          <w:lang w:val="cs-CZ"/>
        </w:rPr>
        <w:t>:</w:t>
      </w:r>
      <w:r w:rsidRPr="00FB6662">
        <w:rPr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Perspectives</w:t>
      </w:r>
      <w:proofErr w:type="spellEnd"/>
      <w:r w:rsidRPr="00FB6662">
        <w:rPr>
          <w:i/>
          <w:iCs/>
          <w:sz w:val="24"/>
          <w:lang w:val="cs-CZ"/>
        </w:rPr>
        <w:t xml:space="preserve"> on Sex Hormone-</w:t>
      </w:r>
      <w:proofErr w:type="spellStart"/>
      <w:r w:rsidRPr="00FB6662">
        <w:rPr>
          <w:i/>
          <w:iCs/>
          <w:sz w:val="24"/>
          <w:lang w:val="cs-CZ"/>
        </w:rPr>
        <w:t>Dependent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Reproductive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Development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r w:rsidRPr="00FB6662">
        <w:rPr>
          <w:sz w:val="24"/>
          <w:lang w:val="cs-CZ"/>
        </w:rPr>
        <w:t>(</w:t>
      </w:r>
      <w:proofErr w:type="spellStart"/>
      <w:r w:rsidRPr="00FB6662">
        <w:rPr>
          <w:sz w:val="24"/>
          <w:lang w:val="cs-CZ"/>
        </w:rPr>
        <w:t>Azolové</w:t>
      </w:r>
      <w:proofErr w:type="spellEnd"/>
      <w:r w:rsidRPr="00FB6662">
        <w:rPr>
          <w:sz w:val="24"/>
          <w:lang w:val="cs-CZ"/>
        </w:rPr>
        <w:t xml:space="preserve"> fungicidy a jejich endokrinně </w:t>
      </w:r>
      <w:proofErr w:type="spellStart"/>
      <w:r w:rsidRPr="00FB6662">
        <w:rPr>
          <w:sz w:val="24"/>
          <w:lang w:val="cs-CZ"/>
        </w:rPr>
        <w:t>disruptivní</w:t>
      </w:r>
      <w:proofErr w:type="spellEnd"/>
      <w:r w:rsidRPr="00FB6662">
        <w:rPr>
          <w:sz w:val="24"/>
          <w:lang w:val="cs-CZ"/>
        </w:rPr>
        <w:t xml:space="preserve"> vlastnosti: Z hlediska reprodukčního vývoje, pro nějž jsou nepostradatelné pohlavní hormony), </w:t>
      </w:r>
      <w:proofErr w:type="spellStart"/>
      <w:r w:rsidRPr="00FB6662">
        <w:rPr>
          <w:sz w:val="24"/>
          <w:lang w:val="cs-CZ"/>
        </w:rPr>
        <w:t>Frontiers</w:t>
      </w:r>
      <w:proofErr w:type="spellEnd"/>
      <w:r w:rsidRPr="00FB6662">
        <w:rPr>
          <w:sz w:val="24"/>
          <w:lang w:val="cs-CZ"/>
        </w:rPr>
        <w:t xml:space="preserve"> in </w:t>
      </w:r>
      <w:proofErr w:type="spellStart"/>
      <w:r w:rsidRPr="00FB6662">
        <w:rPr>
          <w:sz w:val="24"/>
          <w:lang w:val="cs-CZ"/>
        </w:rPr>
        <w:t>Toxicology</w:t>
      </w:r>
      <w:proofErr w:type="spellEnd"/>
      <w:r w:rsidRPr="00FB6662">
        <w:rPr>
          <w:sz w:val="24"/>
          <w:lang w:val="cs-CZ"/>
        </w:rPr>
        <w:t xml:space="preserve"> 2022, 4:883254,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"https://doi.org/10.3389/ftox.2022.883254" </w:instrText>
      </w:r>
      <w:r w:rsidR="00061289">
        <w:fldChar w:fldCharType="separate"/>
      </w:r>
      <w:r w:rsidRPr="00FB6662">
        <w:rPr>
          <w:rStyle w:val="Hyperlink"/>
          <w:color w:val="0000FF"/>
          <w:sz w:val="24"/>
          <w:shd w:val="clear" w:color="auto" w:fill="F7F7F7"/>
          <w:lang w:val="cs-CZ"/>
        </w:rPr>
        <w:t>https://doi.org/10.3389/ftox.2022.883254</w:t>
      </w:r>
      <w:r w:rsidR="00061289">
        <w:rPr>
          <w:rStyle w:val="Hyperlink"/>
          <w:color w:val="0000FF"/>
          <w:sz w:val="24"/>
          <w:shd w:val="clear" w:color="auto" w:fill="F7F7F7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11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Pr="00FB6662">
        <w:rPr>
          <w:sz w:val="24"/>
          <w:lang w:val="cs-CZ"/>
        </w:rPr>
        <w:t>Nařízení Komise (EU) 2018/605 ze dne 19. dubna 2018, kterým se mění příloha II nařízení (ES) č. 1107/2009 a stanoví se vědecká kritéria pro určení vlastností vyvolávajících narušení činnosti endokrinního systému (</w:t>
      </w:r>
      <w:proofErr w:type="spellStart"/>
      <w:r w:rsidRPr="00FB6662">
        <w:rPr>
          <w:sz w:val="24"/>
          <w:lang w:val="cs-CZ"/>
        </w:rPr>
        <w:t>Úř</w:t>
      </w:r>
      <w:proofErr w:type="spellEnd"/>
      <w:r w:rsidRPr="00FB6662">
        <w:rPr>
          <w:sz w:val="24"/>
          <w:lang w:val="cs-CZ"/>
        </w:rPr>
        <w:t xml:space="preserve">. </w:t>
      </w:r>
      <w:proofErr w:type="spellStart"/>
      <w:proofErr w:type="gramStart"/>
      <w:r w:rsidRPr="00FB6662">
        <w:rPr>
          <w:sz w:val="24"/>
          <w:lang w:val="cs-CZ"/>
        </w:rPr>
        <w:t>věst</w:t>
      </w:r>
      <w:proofErr w:type="spellEnd"/>
      <w:proofErr w:type="gramEnd"/>
      <w:r w:rsidRPr="00FB6662">
        <w:rPr>
          <w:sz w:val="24"/>
          <w:lang w:val="cs-CZ"/>
        </w:rPr>
        <w:t xml:space="preserve">. L 101, </w:t>
      </w:r>
      <w:proofErr w:type="gramStart"/>
      <w:r w:rsidRPr="00FB6662">
        <w:rPr>
          <w:sz w:val="24"/>
          <w:lang w:val="cs-CZ"/>
        </w:rPr>
        <w:t>20.4.2018</w:t>
      </w:r>
      <w:proofErr w:type="gramEnd"/>
      <w:r w:rsidRPr="00FB6662">
        <w:rPr>
          <w:sz w:val="24"/>
          <w:lang w:val="cs-CZ"/>
        </w:rPr>
        <w:t>, s. 33).</w:t>
      </w:r>
    </w:p>
  </w:footnote>
  <w:footnote w:id="12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i/>
          <w:iCs/>
          <w:sz w:val="24"/>
          <w:lang w:val="cs-CZ"/>
        </w:rPr>
        <w:t xml:space="preserve"> </w:t>
      </w:r>
      <w:r w:rsidR="00FB6662" w:rsidRPr="00FB6662">
        <w:rPr>
          <w:i/>
          <w:iCs/>
          <w:sz w:val="24"/>
          <w:lang w:val="cs-CZ"/>
        </w:rPr>
        <w:tab/>
      </w:r>
      <w:r w:rsidRPr="00FB6662">
        <w:rPr>
          <w:i/>
          <w:iCs/>
          <w:sz w:val="24"/>
          <w:lang w:val="cs-CZ"/>
        </w:rPr>
        <w:t xml:space="preserve">EFSA </w:t>
      </w:r>
      <w:proofErr w:type="spellStart"/>
      <w:r w:rsidRPr="00FB6662">
        <w:rPr>
          <w:i/>
          <w:iCs/>
          <w:sz w:val="24"/>
          <w:lang w:val="cs-CZ"/>
        </w:rPr>
        <w:t>scientific</w:t>
      </w:r>
      <w:proofErr w:type="spellEnd"/>
      <w:r w:rsidRPr="00FB6662">
        <w:rPr>
          <w:i/>
          <w:iCs/>
          <w:sz w:val="24"/>
          <w:lang w:val="cs-CZ"/>
        </w:rPr>
        <w:t xml:space="preserve"> report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Endocrine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Active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Substances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Task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Force</w:t>
      </w:r>
      <w:proofErr w:type="spellEnd"/>
      <w:r w:rsidRPr="00FB6662">
        <w:rPr>
          <w:sz w:val="24"/>
          <w:lang w:val="cs-CZ"/>
        </w:rPr>
        <w:t xml:space="preserve"> (Vědecká zpráva pracovní skupiny EFSA pro endokrinně aktivní látky), EFSA </w:t>
      </w:r>
      <w:proofErr w:type="spellStart"/>
      <w:r w:rsidRPr="00FB6662">
        <w:rPr>
          <w:sz w:val="24"/>
          <w:lang w:val="cs-CZ"/>
        </w:rPr>
        <w:t>Journal</w:t>
      </w:r>
      <w:proofErr w:type="spellEnd"/>
      <w:r w:rsidRPr="00FB6662">
        <w:rPr>
          <w:sz w:val="24"/>
          <w:lang w:val="cs-CZ"/>
        </w:rPr>
        <w:t xml:space="preserve"> 2010;8(11):1932,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"https://doi.org/10.2903/j.efsa.2010.1932"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https://doi.org/10.2903/j.efsa.2010.1932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 xml:space="preserve">. </w:t>
      </w:r>
    </w:p>
  </w:footnote>
  <w:footnote w:id="13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spellStart"/>
      <w:r w:rsidRPr="00FB6662">
        <w:rPr>
          <w:sz w:val="24"/>
          <w:lang w:val="cs-CZ"/>
        </w:rPr>
        <w:t>Zhang</w:t>
      </w:r>
      <w:proofErr w:type="spellEnd"/>
      <w:r w:rsidRPr="00FB6662">
        <w:rPr>
          <w:sz w:val="24"/>
          <w:lang w:val="cs-CZ"/>
        </w:rPr>
        <w:t xml:space="preserve">, J., </w:t>
      </w:r>
      <w:proofErr w:type="spellStart"/>
      <w:r w:rsidRPr="00FB6662">
        <w:rPr>
          <w:sz w:val="24"/>
          <w:lang w:val="cs-CZ"/>
        </w:rPr>
        <w:t>Jimenez</w:t>
      </w:r>
      <w:proofErr w:type="spellEnd"/>
      <w:r w:rsidRPr="00FB6662">
        <w:rPr>
          <w:sz w:val="24"/>
          <w:lang w:val="cs-CZ"/>
        </w:rPr>
        <w:t xml:space="preserve">, L. L., </w:t>
      </w:r>
      <w:proofErr w:type="spellStart"/>
      <w:r w:rsidRPr="00FB6662">
        <w:rPr>
          <w:sz w:val="24"/>
          <w:lang w:val="cs-CZ"/>
        </w:rPr>
        <w:t>Snelders</w:t>
      </w:r>
      <w:proofErr w:type="spellEnd"/>
      <w:r w:rsidRPr="00FB6662">
        <w:rPr>
          <w:sz w:val="24"/>
          <w:lang w:val="cs-CZ"/>
        </w:rPr>
        <w:t xml:space="preserve">, E., </w:t>
      </w:r>
      <w:proofErr w:type="spellStart"/>
      <w:r w:rsidRPr="00FB6662">
        <w:rPr>
          <w:sz w:val="24"/>
          <w:lang w:val="cs-CZ"/>
        </w:rPr>
        <w:t>Debets</w:t>
      </w:r>
      <w:proofErr w:type="spellEnd"/>
      <w:r w:rsidRPr="00FB6662">
        <w:rPr>
          <w:sz w:val="24"/>
          <w:lang w:val="cs-CZ"/>
        </w:rPr>
        <w:t xml:space="preserve">, A. J. M., </w:t>
      </w:r>
      <w:proofErr w:type="spellStart"/>
      <w:r w:rsidRPr="00FB6662">
        <w:rPr>
          <w:sz w:val="24"/>
          <w:lang w:val="cs-CZ"/>
        </w:rPr>
        <w:t>Rietveld</w:t>
      </w:r>
      <w:proofErr w:type="spellEnd"/>
      <w:r w:rsidRPr="00FB6662">
        <w:rPr>
          <w:sz w:val="24"/>
          <w:lang w:val="cs-CZ"/>
        </w:rPr>
        <w:t xml:space="preserve">, A. G., </w:t>
      </w:r>
      <w:proofErr w:type="spellStart"/>
      <w:r w:rsidRPr="00FB6662">
        <w:rPr>
          <w:sz w:val="24"/>
          <w:lang w:val="cs-CZ"/>
        </w:rPr>
        <w:t>Zwaan</w:t>
      </w:r>
      <w:proofErr w:type="spellEnd"/>
      <w:r w:rsidRPr="00FB6662">
        <w:rPr>
          <w:sz w:val="24"/>
          <w:lang w:val="cs-CZ"/>
        </w:rPr>
        <w:t xml:space="preserve">, B. J., </w:t>
      </w:r>
      <w:proofErr w:type="spellStart"/>
      <w:r w:rsidRPr="00FB6662">
        <w:rPr>
          <w:sz w:val="24"/>
          <w:lang w:val="cs-CZ"/>
        </w:rPr>
        <w:t>Verweij</w:t>
      </w:r>
      <w:proofErr w:type="spellEnd"/>
      <w:r w:rsidRPr="00FB6662">
        <w:rPr>
          <w:sz w:val="24"/>
          <w:lang w:val="cs-CZ"/>
        </w:rPr>
        <w:t xml:space="preserve">, P. E., </w:t>
      </w:r>
      <w:proofErr w:type="spellStart"/>
      <w:r w:rsidRPr="00FB6662">
        <w:rPr>
          <w:sz w:val="24"/>
          <w:lang w:val="cs-CZ"/>
        </w:rPr>
        <w:t>Schoustra</w:t>
      </w:r>
      <w:proofErr w:type="spellEnd"/>
      <w:r w:rsidRPr="00FB6662">
        <w:rPr>
          <w:sz w:val="24"/>
          <w:lang w:val="cs-CZ"/>
        </w:rPr>
        <w:t xml:space="preserve">, S. E., </w:t>
      </w:r>
      <w:r w:rsidRPr="00FB6662">
        <w:rPr>
          <w:i/>
          <w:iCs/>
          <w:sz w:val="24"/>
          <w:lang w:val="cs-CZ"/>
        </w:rPr>
        <w:t xml:space="preserve">Dynamics </w:t>
      </w:r>
      <w:proofErr w:type="spellStart"/>
      <w:r w:rsidRPr="00FB6662">
        <w:rPr>
          <w:i/>
          <w:iCs/>
          <w:sz w:val="24"/>
          <w:lang w:val="cs-CZ"/>
        </w:rPr>
        <w:t>of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Aspergillus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fumigatus</w:t>
      </w:r>
      <w:proofErr w:type="spellEnd"/>
      <w:r w:rsidRPr="00FB6662">
        <w:rPr>
          <w:i/>
          <w:iCs/>
          <w:sz w:val="24"/>
          <w:lang w:val="cs-CZ"/>
        </w:rPr>
        <w:t xml:space="preserve"> in Azole Fungicide-</w:t>
      </w:r>
      <w:proofErr w:type="spellStart"/>
      <w:r w:rsidRPr="00FB6662">
        <w:rPr>
          <w:i/>
          <w:iCs/>
          <w:sz w:val="24"/>
          <w:lang w:val="cs-CZ"/>
        </w:rPr>
        <w:t>Containing</w:t>
      </w:r>
      <w:proofErr w:type="spellEnd"/>
      <w:r w:rsidRPr="00FB6662">
        <w:rPr>
          <w:i/>
          <w:iCs/>
          <w:sz w:val="24"/>
          <w:lang w:val="cs-CZ"/>
        </w:rPr>
        <w:t xml:space="preserve"> Plant </w:t>
      </w:r>
      <w:proofErr w:type="spellStart"/>
      <w:r w:rsidRPr="00FB6662">
        <w:rPr>
          <w:i/>
          <w:iCs/>
          <w:sz w:val="24"/>
          <w:lang w:val="cs-CZ"/>
        </w:rPr>
        <w:t>Waste</w:t>
      </w:r>
      <w:proofErr w:type="spellEnd"/>
      <w:r w:rsidRPr="00FB6662">
        <w:rPr>
          <w:i/>
          <w:iCs/>
          <w:sz w:val="24"/>
          <w:lang w:val="cs-CZ"/>
        </w:rPr>
        <w:t xml:space="preserve"> in </w:t>
      </w:r>
      <w:proofErr w:type="spellStart"/>
      <w:r w:rsidRPr="00FB6662">
        <w:rPr>
          <w:i/>
          <w:iCs/>
          <w:sz w:val="24"/>
          <w:lang w:val="cs-CZ"/>
        </w:rPr>
        <w:t>the</w:t>
      </w:r>
      <w:proofErr w:type="spellEnd"/>
      <w:r w:rsidRPr="00FB6662">
        <w:rPr>
          <w:i/>
          <w:iCs/>
          <w:sz w:val="24"/>
          <w:lang w:val="cs-CZ"/>
        </w:rPr>
        <w:t xml:space="preserve"> </w:t>
      </w:r>
      <w:proofErr w:type="spellStart"/>
      <w:r w:rsidRPr="00FB6662">
        <w:rPr>
          <w:i/>
          <w:iCs/>
          <w:sz w:val="24"/>
          <w:lang w:val="cs-CZ"/>
        </w:rPr>
        <w:t>Netherlands</w:t>
      </w:r>
      <w:proofErr w:type="spellEnd"/>
      <w:r w:rsidRPr="00FB6662">
        <w:rPr>
          <w:sz w:val="24"/>
          <w:lang w:val="cs-CZ"/>
        </w:rPr>
        <w:t xml:space="preserve"> (2016-2017) (Rozvoj plísně </w:t>
      </w:r>
      <w:proofErr w:type="spellStart"/>
      <w:r w:rsidRPr="00FB6662">
        <w:rPr>
          <w:sz w:val="24"/>
          <w:lang w:val="cs-CZ"/>
        </w:rPr>
        <w:t>Aspergillus</w:t>
      </w:r>
      <w:proofErr w:type="spellEnd"/>
      <w:r w:rsidRPr="00FB6662">
        <w:rPr>
          <w:sz w:val="24"/>
          <w:lang w:val="cs-CZ"/>
        </w:rPr>
        <w:t xml:space="preserve"> </w:t>
      </w:r>
      <w:proofErr w:type="spellStart"/>
      <w:r w:rsidRPr="00FB6662">
        <w:rPr>
          <w:sz w:val="24"/>
          <w:lang w:val="cs-CZ"/>
        </w:rPr>
        <w:t>fumigatus</w:t>
      </w:r>
      <w:proofErr w:type="spellEnd"/>
      <w:r w:rsidRPr="00FB6662">
        <w:rPr>
          <w:sz w:val="24"/>
          <w:lang w:val="cs-CZ"/>
        </w:rPr>
        <w:t xml:space="preserve"> v rostlinném odpadu obsahujícím </w:t>
      </w:r>
      <w:proofErr w:type="spellStart"/>
      <w:r w:rsidRPr="00FB6662">
        <w:rPr>
          <w:sz w:val="24"/>
          <w:lang w:val="cs-CZ"/>
        </w:rPr>
        <w:t>azolové</w:t>
      </w:r>
      <w:proofErr w:type="spellEnd"/>
      <w:r w:rsidRPr="00FB6662">
        <w:rPr>
          <w:sz w:val="24"/>
          <w:lang w:val="cs-CZ"/>
        </w:rPr>
        <w:t xml:space="preserve"> fungicidy pozorovaný v Nizozemsku), </w:t>
      </w:r>
      <w:proofErr w:type="spellStart"/>
      <w:r w:rsidRPr="00FB6662">
        <w:rPr>
          <w:sz w:val="24"/>
          <w:lang w:val="cs-CZ"/>
        </w:rPr>
        <w:t>Applied</w:t>
      </w:r>
      <w:proofErr w:type="spellEnd"/>
      <w:r w:rsidRPr="00FB6662">
        <w:rPr>
          <w:sz w:val="24"/>
          <w:lang w:val="cs-CZ"/>
        </w:rPr>
        <w:t xml:space="preserve"> and </w:t>
      </w:r>
      <w:proofErr w:type="spellStart"/>
      <w:r w:rsidRPr="00FB6662">
        <w:rPr>
          <w:sz w:val="24"/>
          <w:lang w:val="cs-CZ"/>
        </w:rPr>
        <w:t>Environmental</w:t>
      </w:r>
      <w:proofErr w:type="spellEnd"/>
      <w:r w:rsidRPr="00FB6662">
        <w:rPr>
          <w:sz w:val="24"/>
          <w:lang w:val="cs-CZ"/>
        </w:rPr>
        <w:t xml:space="preserve"> </w:t>
      </w:r>
      <w:proofErr w:type="spellStart"/>
      <w:r w:rsidRPr="00FB6662">
        <w:rPr>
          <w:sz w:val="24"/>
          <w:lang w:val="cs-CZ"/>
        </w:rPr>
        <w:t>Microbiology</w:t>
      </w:r>
      <w:proofErr w:type="spellEnd"/>
      <w:r w:rsidRPr="00FB6662">
        <w:rPr>
          <w:sz w:val="24"/>
          <w:lang w:val="cs-CZ"/>
        </w:rPr>
        <w:t xml:space="preserve"> 2021, 87:e02295-20,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"https://doi.org/10.1128/AEM.02295-20"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https://doi.org/10.1128/AEM.02295-20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color w:val="000000"/>
          <w:sz w:val="24"/>
          <w:lang w:val="cs-CZ"/>
        </w:rPr>
        <w:t xml:space="preserve">; Dánský environmentální a potravinový výbor pro rezistenci vůči azolům, </w:t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"https://www.ft.dk/samling/20181/almdel/MOF/bilag/407/2016336.pdf"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https://www.ft.dk/samling/20181/almdel/MOF/bilag/407/2016336.pdf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color w:val="000000"/>
          <w:sz w:val="24"/>
          <w:lang w:val="cs-CZ"/>
        </w:rPr>
        <w:t xml:space="preserve">; </w:t>
      </w:r>
      <w:proofErr w:type="spellStart"/>
      <w:r w:rsidRPr="00FB6662">
        <w:rPr>
          <w:color w:val="000000"/>
          <w:sz w:val="24"/>
          <w:lang w:val="cs-CZ"/>
        </w:rPr>
        <w:t>Snelders</w:t>
      </w:r>
      <w:proofErr w:type="spellEnd"/>
      <w:r w:rsidRPr="00FB6662">
        <w:rPr>
          <w:color w:val="000000"/>
          <w:sz w:val="24"/>
          <w:lang w:val="cs-CZ"/>
        </w:rPr>
        <w:t xml:space="preserve">, E., </w:t>
      </w:r>
      <w:proofErr w:type="spellStart"/>
      <w:r w:rsidRPr="00FB6662">
        <w:rPr>
          <w:color w:val="000000"/>
          <w:sz w:val="24"/>
          <w:lang w:val="cs-CZ"/>
        </w:rPr>
        <w:t>Camps</w:t>
      </w:r>
      <w:proofErr w:type="spellEnd"/>
      <w:r w:rsidRPr="00FB6662">
        <w:rPr>
          <w:color w:val="000000"/>
          <w:sz w:val="24"/>
          <w:lang w:val="cs-CZ"/>
        </w:rPr>
        <w:t xml:space="preserve">, S. M. T., </w:t>
      </w:r>
      <w:proofErr w:type="spellStart"/>
      <w:r w:rsidRPr="00FB6662">
        <w:rPr>
          <w:color w:val="000000"/>
          <w:sz w:val="24"/>
          <w:lang w:val="cs-CZ"/>
        </w:rPr>
        <w:t>Karawajczyk</w:t>
      </w:r>
      <w:proofErr w:type="spellEnd"/>
      <w:r w:rsidRPr="00FB6662">
        <w:rPr>
          <w:color w:val="000000"/>
          <w:sz w:val="24"/>
          <w:lang w:val="cs-CZ"/>
        </w:rPr>
        <w:t xml:space="preserve">, A., </w:t>
      </w:r>
      <w:proofErr w:type="spellStart"/>
      <w:r w:rsidRPr="00FB6662">
        <w:rPr>
          <w:color w:val="000000"/>
          <w:sz w:val="24"/>
          <w:lang w:val="cs-CZ"/>
        </w:rPr>
        <w:t>Schaftenaar</w:t>
      </w:r>
      <w:proofErr w:type="spellEnd"/>
      <w:r w:rsidRPr="00FB6662">
        <w:rPr>
          <w:color w:val="000000"/>
          <w:sz w:val="24"/>
          <w:lang w:val="cs-CZ"/>
        </w:rPr>
        <w:t xml:space="preserve">, G., </w:t>
      </w:r>
      <w:proofErr w:type="spellStart"/>
      <w:r w:rsidRPr="00FB6662">
        <w:rPr>
          <w:color w:val="000000"/>
          <w:sz w:val="24"/>
          <w:lang w:val="cs-CZ"/>
        </w:rPr>
        <w:t>Kema</w:t>
      </w:r>
      <w:proofErr w:type="spellEnd"/>
      <w:r w:rsidRPr="00FB6662">
        <w:rPr>
          <w:color w:val="000000"/>
          <w:sz w:val="24"/>
          <w:lang w:val="cs-CZ"/>
        </w:rPr>
        <w:t xml:space="preserve">, G. H. J., van der </w:t>
      </w:r>
      <w:proofErr w:type="spellStart"/>
      <w:r w:rsidRPr="00FB6662">
        <w:rPr>
          <w:color w:val="000000"/>
          <w:sz w:val="24"/>
          <w:lang w:val="cs-CZ"/>
        </w:rPr>
        <w:t>Lee</w:t>
      </w:r>
      <w:proofErr w:type="spellEnd"/>
      <w:r w:rsidRPr="00FB6662">
        <w:rPr>
          <w:color w:val="000000"/>
          <w:sz w:val="24"/>
          <w:lang w:val="cs-CZ"/>
        </w:rPr>
        <w:t xml:space="preserve">, H. A., a kol., </w:t>
      </w:r>
      <w:proofErr w:type="spellStart"/>
      <w:r w:rsidRPr="00FB6662">
        <w:rPr>
          <w:i/>
          <w:iCs/>
          <w:color w:val="000000"/>
          <w:sz w:val="24"/>
          <w:lang w:val="cs-CZ"/>
        </w:rPr>
        <w:t>Triazole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</w:t>
      </w:r>
      <w:proofErr w:type="spellStart"/>
      <w:r w:rsidRPr="00FB6662">
        <w:rPr>
          <w:i/>
          <w:iCs/>
          <w:color w:val="000000"/>
          <w:sz w:val="24"/>
          <w:lang w:val="cs-CZ"/>
        </w:rPr>
        <w:t>Fungicides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</w:t>
      </w:r>
      <w:proofErr w:type="spellStart"/>
      <w:r w:rsidRPr="00FB6662">
        <w:rPr>
          <w:i/>
          <w:iCs/>
          <w:color w:val="000000"/>
          <w:sz w:val="24"/>
          <w:lang w:val="cs-CZ"/>
        </w:rPr>
        <w:t>Can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</w:t>
      </w:r>
      <w:proofErr w:type="spellStart"/>
      <w:r w:rsidRPr="00FB6662">
        <w:rPr>
          <w:i/>
          <w:iCs/>
          <w:color w:val="000000"/>
          <w:sz w:val="24"/>
          <w:lang w:val="cs-CZ"/>
        </w:rPr>
        <w:t>Induce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</w:t>
      </w:r>
      <w:proofErr w:type="spellStart"/>
      <w:r w:rsidRPr="00FB6662">
        <w:rPr>
          <w:i/>
          <w:iCs/>
          <w:color w:val="000000"/>
          <w:sz w:val="24"/>
          <w:lang w:val="cs-CZ"/>
        </w:rPr>
        <w:t>Cross-Resistance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to Medical </w:t>
      </w:r>
      <w:proofErr w:type="spellStart"/>
      <w:r w:rsidRPr="00FB6662">
        <w:rPr>
          <w:i/>
          <w:iCs/>
          <w:color w:val="000000"/>
          <w:sz w:val="24"/>
          <w:lang w:val="cs-CZ"/>
        </w:rPr>
        <w:t>Triazoles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in </w:t>
      </w:r>
      <w:proofErr w:type="spellStart"/>
      <w:r w:rsidRPr="00FB6662">
        <w:rPr>
          <w:i/>
          <w:iCs/>
          <w:color w:val="000000"/>
          <w:sz w:val="24"/>
          <w:lang w:val="cs-CZ"/>
        </w:rPr>
        <w:t>Aspergillus</w:t>
      </w:r>
      <w:proofErr w:type="spellEnd"/>
      <w:r w:rsidRPr="00FB6662">
        <w:rPr>
          <w:i/>
          <w:iCs/>
          <w:color w:val="000000"/>
          <w:sz w:val="24"/>
          <w:lang w:val="cs-CZ"/>
        </w:rPr>
        <w:t xml:space="preserve"> </w:t>
      </w:r>
      <w:proofErr w:type="spellStart"/>
      <w:r w:rsidRPr="00FB6662">
        <w:rPr>
          <w:i/>
          <w:iCs/>
          <w:color w:val="000000"/>
          <w:sz w:val="24"/>
          <w:lang w:val="cs-CZ"/>
        </w:rPr>
        <w:t>fumigatus</w:t>
      </w:r>
      <w:proofErr w:type="spellEnd"/>
      <w:r w:rsidRPr="00FB6662">
        <w:rPr>
          <w:color w:val="000000"/>
          <w:sz w:val="24"/>
          <w:lang w:val="cs-CZ"/>
        </w:rPr>
        <w:t xml:space="preserve"> (</w:t>
      </w:r>
      <w:proofErr w:type="spellStart"/>
      <w:r w:rsidRPr="00FB6662">
        <w:rPr>
          <w:color w:val="000000"/>
          <w:sz w:val="24"/>
          <w:lang w:val="cs-CZ"/>
        </w:rPr>
        <w:t>Triazolové</w:t>
      </w:r>
      <w:proofErr w:type="spellEnd"/>
      <w:r w:rsidRPr="00FB6662">
        <w:rPr>
          <w:color w:val="000000"/>
          <w:sz w:val="24"/>
          <w:lang w:val="cs-CZ"/>
        </w:rPr>
        <w:t xml:space="preserve"> fungicidy mohou způsobit křížovou rezistenci plísně </w:t>
      </w:r>
      <w:proofErr w:type="spellStart"/>
      <w:r w:rsidRPr="00FB6662">
        <w:rPr>
          <w:color w:val="000000"/>
          <w:sz w:val="24"/>
          <w:lang w:val="cs-CZ"/>
        </w:rPr>
        <w:t>Aspergillus</w:t>
      </w:r>
      <w:proofErr w:type="spellEnd"/>
      <w:r w:rsidRPr="00FB6662">
        <w:rPr>
          <w:color w:val="000000"/>
          <w:sz w:val="24"/>
          <w:lang w:val="cs-CZ"/>
        </w:rPr>
        <w:t xml:space="preserve"> </w:t>
      </w:r>
      <w:proofErr w:type="spellStart"/>
      <w:r w:rsidRPr="00FB6662">
        <w:rPr>
          <w:color w:val="000000"/>
          <w:sz w:val="24"/>
          <w:lang w:val="cs-CZ"/>
        </w:rPr>
        <w:t>fumigatus</w:t>
      </w:r>
      <w:proofErr w:type="spellEnd"/>
      <w:r w:rsidRPr="00FB6662">
        <w:rPr>
          <w:color w:val="000000"/>
          <w:sz w:val="24"/>
          <w:lang w:val="cs-CZ"/>
        </w:rPr>
        <w:t xml:space="preserve"> vůči </w:t>
      </w:r>
      <w:proofErr w:type="spellStart"/>
      <w:r w:rsidRPr="00FB6662">
        <w:rPr>
          <w:color w:val="000000"/>
          <w:sz w:val="24"/>
          <w:lang w:val="cs-CZ"/>
        </w:rPr>
        <w:t>triazolům</w:t>
      </w:r>
      <w:proofErr w:type="spellEnd"/>
      <w:r w:rsidRPr="00FB6662">
        <w:rPr>
          <w:color w:val="000000"/>
          <w:sz w:val="24"/>
          <w:lang w:val="cs-CZ"/>
        </w:rPr>
        <w:t xml:space="preserve"> používaným v medicíně).</w:t>
      </w:r>
      <w:r w:rsidR="00062B6F">
        <w:rPr>
          <w:color w:val="000000"/>
          <w:sz w:val="24"/>
          <w:lang w:val="cs-CZ"/>
        </w:rPr>
        <w:t xml:space="preserve"> </w:t>
      </w:r>
      <w:r w:rsidRPr="00FB6662">
        <w:rPr>
          <w:color w:val="000000"/>
          <w:sz w:val="24"/>
          <w:lang w:val="cs-CZ"/>
        </w:rPr>
        <w:t>e31801. https://doi.org/10.1371/journal.pone.0031801.</w:t>
      </w:r>
    </w:p>
  </w:footnote>
  <w:footnote w:id="14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"https://open.efsa.europa.eu/question/EFSA-Q-2022-00040"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https://open.efsa.europa.eu/question/EFSA-Q-2022-00040</w:t>
      </w:r>
      <w:r w:rsidR="00061289">
        <w:rPr>
          <w:rStyle w:val="Hyperlink"/>
          <w:sz w:val="24"/>
          <w:lang w:val="cs-CZ"/>
        </w:rPr>
        <w:fldChar w:fldCharType="end"/>
      </w:r>
      <w:r w:rsidRPr="00FB6662">
        <w:rPr>
          <w:sz w:val="24"/>
          <w:lang w:val="cs-CZ"/>
        </w:rPr>
        <w:t>.</w:t>
      </w:r>
    </w:p>
  </w:footnote>
  <w:footnote w:id="15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rStyle w:val="FootnoteReference"/>
          <w:sz w:val="24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r w:rsidR="00061289">
        <w:fldChar w:fldCharType="begin"/>
      </w:r>
      <w:r w:rsidR="00061289" w:rsidRPr="00FB79A2">
        <w:rPr>
          <w:lang w:val="cs-CZ"/>
        </w:rPr>
        <w:instrText xml:space="preserve"> HYPERLINK "https://ec.europa.eu/transparency/comitology-register/screen/documents/089880/5/consult?lang</w:instrText>
      </w:r>
      <w:r w:rsidR="00061289" w:rsidRPr="00FB79A2">
        <w:rPr>
          <w:lang w:val="cs-CZ"/>
        </w:rPr>
        <w:instrText xml:space="preserve">=cs" </w:instrText>
      </w:r>
      <w:r w:rsidR="00061289">
        <w:fldChar w:fldCharType="separate"/>
      </w:r>
      <w:r w:rsidRPr="00FB6662">
        <w:rPr>
          <w:rStyle w:val="Hyperlink"/>
          <w:sz w:val="24"/>
          <w:lang w:val="cs-CZ"/>
        </w:rPr>
        <w:t>https://ec.europa.eu/transparency/comitology-register/screen/documents/089880/5/consult?lang=cs</w:t>
      </w:r>
      <w:r w:rsidR="00061289">
        <w:rPr>
          <w:rStyle w:val="Hyperlink"/>
          <w:sz w:val="24"/>
          <w:lang w:val="cs-CZ"/>
        </w:rPr>
        <w:fldChar w:fldCharType="end"/>
      </w:r>
      <w:r w:rsidR="007D7242" w:rsidRPr="00FB6662">
        <w:rPr>
          <w:sz w:val="24"/>
          <w:lang w:val="cs-CZ"/>
        </w:rPr>
        <w:t>.</w:t>
      </w:r>
      <w:r w:rsidRPr="00FB6662">
        <w:rPr>
          <w:sz w:val="24"/>
          <w:lang w:val="cs-CZ"/>
        </w:rPr>
        <w:t xml:space="preserve"> </w:t>
      </w:r>
    </w:p>
  </w:footnote>
  <w:footnote w:id="16">
    <w:p w:rsidR="00D51FBF" w:rsidRPr="00FB6662" w:rsidRDefault="00D51FBF" w:rsidP="00FB6662">
      <w:pPr>
        <w:pStyle w:val="FootnoteText"/>
        <w:ind w:left="567" w:hanging="567"/>
        <w:rPr>
          <w:sz w:val="24"/>
          <w:lang w:val="cs-CZ"/>
        </w:rPr>
      </w:pPr>
      <w:r w:rsidRPr="00FB6662">
        <w:rPr>
          <w:sz w:val="24"/>
          <w:vertAlign w:val="superscript"/>
          <w:lang w:val="cs-CZ"/>
        </w:rPr>
        <w:footnoteRef/>
      </w:r>
      <w:r w:rsidR="00FB6662" w:rsidRPr="00FB6662">
        <w:rPr>
          <w:sz w:val="24"/>
          <w:lang w:val="cs-CZ"/>
        </w:rPr>
        <w:t xml:space="preserve"> </w:t>
      </w:r>
      <w:r w:rsidR="00FB6662" w:rsidRPr="00FB6662">
        <w:rPr>
          <w:sz w:val="24"/>
          <w:lang w:val="cs-CZ"/>
        </w:rPr>
        <w:tab/>
      </w:r>
      <w:proofErr w:type="gramStart"/>
      <w:r w:rsidRPr="00FB6662">
        <w:rPr>
          <w:sz w:val="24"/>
          <w:lang w:val="cs-CZ"/>
        </w:rPr>
        <w:t>COM(2020</w:t>
      </w:r>
      <w:proofErr w:type="gramEnd"/>
      <w:r w:rsidRPr="00FB6662">
        <w:rPr>
          <w:sz w:val="24"/>
          <w:lang w:val="cs-CZ"/>
        </w:rPr>
        <w:t>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6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CS"/>
    <w:docVar w:name="dvnumam" w:val="0"/>
    <w:docVar w:name="dvpe" w:val="763.091"/>
    <w:docVar w:name="dvtitre" w:val="Usnesení Evropského parlamentu ze dne 18. září 2024 o návrhu nařízení Komise, kterým se mění přílohy II a III nařízení Evropského parlamentu a Rady (ES) č. 396/2005, pokud jde o maximální limity reziduí pro cyprokonazol a spirodiklofen v některých produktech a na jejich povrchu(D091952/05 – 2024/2759(RPS))"/>
  </w:docVars>
  <w:rsids>
    <w:rsidRoot w:val="00121AA2"/>
    <w:rsid w:val="00002272"/>
    <w:rsid w:val="00061289"/>
    <w:rsid w:val="00062B6F"/>
    <w:rsid w:val="00064002"/>
    <w:rsid w:val="000677B9"/>
    <w:rsid w:val="000831BA"/>
    <w:rsid w:val="000A42CC"/>
    <w:rsid w:val="000E7DD9"/>
    <w:rsid w:val="0010095E"/>
    <w:rsid w:val="00121AA2"/>
    <w:rsid w:val="00125B37"/>
    <w:rsid w:val="00187494"/>
    <w:rsid w:val="001A629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BE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24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FBF"/>
    <w:rsid w:val="00D56C11"/>
    <w:rsid w:val="00D834A0"/>
    <w:rsid w:val="00D872DF"/>
    <w:rsid w:val="00D91E21"/>
    <w:rsid w:val="00DA7FCD"/>
    <w:rsid w:val="00DF61A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662"/>
    <w:rsid w:val="00FB79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BCC6B"/>
  <w15:chartTrackingRefBased/>
  <w15:docId w15:val="{7EFBEDB5-9CF6-45AB-A855-8F9BFCB2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1FBF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D51FB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51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10967-3DEF-4276-B7EB-992A3654E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1977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2024-09-18T10:54:00Z</dcterms:created>
  <dcterms:modified xsi:type="dcterms:W3CDTF">2024-09-18T10:54:00Z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