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1D73" w:rsidTr="0010095E">
        <w:trPr>
          <w:trHeight w:hRule="exact" w:val="1418"/>
        </w:trPr>
        <w:tc>
          <w:tcPr>
            <w:tcW w:w="6804" w:type="dxa"/>
            <w:shd w:val="clear" w:color="auto" w:fill="auto"/>
            <w:vAlign w:val="center"/>
          </w:tcPr>
          <w:p w:rsidR="00751A4A" w:rsidRPr="00041D73" w:rsidRDefault="0086312A" w:rsidP="0010095E">
            <w:pPr>
              <w:pStyle w:val="EPName"/>
            </w:pPr>
            <w:r w:rsidRPr="00041D73">
              <w:t>Europa-Parlamentet</w:t>
            </w:r>
          </w:p>
          <w:p w:rsidR="00751A4A" w:rsidRPr="00041D73" w:rsidRDefault="005F1B17" w:rsidP="005F1B17">
            <w:pPr>
              <w:pStyle w:val="EPTerm"/>
              <w:rPr>
                <w:rStyle w:val="HideTWBExt"/>
                <w:noProof w:val="0"/>
                <w:vanish w:val="0"/>
                <w:color w:val="auto"/>
              </w:rPr>
            </w:pPr>
            <w:r w:rsidRPr="00041D73">
              <w:t>2024</w:t>
            </w:r>
            <w:r w:rsidR="00817416" w:rsidRPr="00041D73">
              <w:t>-202</w:t>
            </w:r>
            <w:r w:rsidRPr="00041D73">
              <w:t>9</w:t>
            </w:r>
          </w:p>
        </w:tc>
        <w:tc>
          <w:tcPr>
            <w:tcW w:w="2268" w:type="dxa"/>
            <w:shd w:val="clear" w:color="auto" w:fill="auto"/>
          </w:tcPr>
          <w:p w:rsidR="00751A4A" w:rsidRPr="00041D73" w:rsidRDefault="00187494" w:rsidP="0010095E">
            <w:pPr>
              <w:pStyle w:val="EPLogo"/>
            </w:pPr>
            <w:r w:rsidRPr="00041D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1D73" w:rsidRDefault="00D058B8" w:rsidP="004C5D52">
      <w:pPr>
        <w:pStyle w:val="LineTop"/>
      </w:pPr>
    </w:p>
    <w:p w:rsidR="00680577" w:rsidRPr="00041D73" w:rsidRDefault="0086312A" w:rsidP="00680577">
      <w:pPr>
        <w:pStyle w:val="EPBodyTA1"/>
      </w:pPr>
      <w:r w:rsidRPr="00041D73">
        <w:t>VEDTAGNE TEKSTER</w:t>
      </w:r>
    </w:p>
    <w:p w:rsidR="00D058B8" w:rsidRPr="00041D73" w:rsidRDefault="00D058B8" w:rsidP="00D058B8">
      <w:pPr>
        <w:pStyle w:val="LineBottom"/>
      </w:pPr>
    </w:p>
    <w:p w:rsidR="0086312A" w:rsidRPr="00041D73" w:rsidRDefault="0086312A" w:rsidP="0086312A">
      <w:pPr>
        <w:pStyle w:val="ATHeading1"/>
      </w:pPr>
      <w:bookmarkStart w:id="0" w:name="TANumber"/>
      <w:r w:rsidRPr="00041D73">
        <w:t>P10_TA(2024)000</w:t>
      </w:r>
      <w:bookmarkEnd w:id="0"/>
      <w:r w:rsidR="00726B3B">
        <w:t>7</w:t>
      </w:r>
    </w:p>
    <w:p w:rsidR="0086312A" w:rsidRPr="00041D73" w:rsidRDefault="0086312A" w:rsidP="0086312A">
      <w:pPr>
        <w:pStyle w:val="ATHeading2"/>
      </w:pPr>
      <w:bookmarkStart w:id="1" w:name="title"/>
      <w:r w:rsidRPr="00041D73">
        <w:t>Indsigelse</w:t>
      </w:r>
      <w:r w:rsidR="004C05E5">
        <w:t xml:space="preserve"> mod en delegeret retsakt</w:t>
      </w:r>
      <w:r w:rsidRPr="00041D73">
        <w:t xml:space="preserve">: maksimalgrænseværdier for </w:t>
      </w:r>
      <w:proofErr w:type="spellStart"/>
      <w:r w:rsidRPr="00041D73">
        <w:t>cyproconazol</w:t>
      </w:r>
      <w:bookmarkEnd w:id="1"/>
      <w:proofErr w:type="spellEnd"/>
    </w:p>
    <w:p w:rsidR="0086312A" w:rsidRPr="00041D73" w:rsidRDefault="0086312A" w:rsidP="0086312A">
      <w:pPr>
        <w:rPr>
          <w:i/>
          <w:vanish/>
        </w:rPr>
      </w:pPr>
      <w:r w:rsidRPr="00041D73">
        <w:rPr>
          <w:i/>
        </w:rPr>
        <w:fldChar w:fldCharType="begin"/>
      </w:r>
      <w:r w:rsidRPr="00041D73">
        <w:rPr>
          <w:i/>
        </w:rPr>
        <w:instrText xml:space="preserve"> TC"(</w:instrText>
      </w:r>
      <w:bookmarkStart w:id="2" w:name="DocNumber"/>
      <w:r w:rsidRPr="00041D73">
        <w:rPr>
          <w:i/>
        </w:rPr>
        <w:instrText>B10-0021/2024</w:instrText>
      </w:r>
      <w:bookmarkEnd w:id="2"/>
      <w:r w:rsidRPr="00041D73">
        <w:rPr>
          <w:i/>
        </w:rPr>
        <w:instrText xml:space="preserve">)"\l3 \n&gt; \* MERGEFORMAT </w:instrText>
      </w:r>
      <w:r w:rsidRPr="00041D73">
        <w:rPr>
          <w:i/>
        </w:rPr>
        <w:fldChar w:fldCharType="end"/>
      </w:r>
    </w:p>
    <w:p w:rsidR="0086312A" w:rsidRPr="00041D73" w:rsidRDefault="0086312A" w:rsidP="0086312A">
      <w:pPr>
        <w:rPr>
          <w:vanish/>
        </w:rPr>
      </w:pPr>
      <w:bookmarkStart w:id="3" w:name="PE"/>
      <w:r w:rsidRPr="00041D73">
        <w:rPr>
          <w:vanish/>
        </w:rPr>
        <w:t>PE763.091</w:t>
      </w:r>
      <w:bookmarkEnd w:id="3"/>
    </w:p>
    <w:p w:rsidR="0086312A" w:rsidRPr="00041D73" w:rsidRDefault="0086312A" w:rsidP="0086312A">
      <w:pPr>
        <w:pStyle w:val="ATHeading3"/>
      </w:pPr>
      <w:bookmarkStart w:id="4" w:name="Sujet"/>
      <w:r w:rsidRPr="00041D73">
        <w:t xml:space="preserve">Europa-Parlamentets beslutning af </w:t>
      </w:r>
      <w:r w:rsidR="004C05E5">
        <w:t>18</w:t>
      </w:r>
      <w:r w:rsidRPr="00041D73">
        <w:t xml:space="preserve">. september 2024 om udkast til Kommissionens forordning om ændring af bilag II og III til Europa-Parlamentets og Rådets forordning (EF) nr. 396/2005 for så vidt angår maksimalgrænseværdierne for </w:t>
      </w:r>
      <w:proofErr w:type="spellStart"/>
      <w:r w:rsidRPr="00041D73">
        <w:t>cyproconazol</w:t>
      </w:r>
      <w:proofErr w:type="spellEnd"/>
      <w:r w:rsidRPr="00041D73">
        <w:t xml:space="preserve"> og </w:t>
      </w:r>
      <w:proofErr w:type="spellStart"/>
      <w:r w:rsidRPr="00041D73">
        <w:t>spirodiclofen</w:t>
      </w:r>
      <w:proofErr w:type="spellEnd"/>
      <w:r w:rsidRPr="00041D73">
        <w:t xml:space="preserve"> i eller på visse produkter</w:t>
      </w:r>
      <w:bookmarkEnd w:id="4"/>
      <w:r w:rsidRPr="00041D73">
        <w:t xml:space="preserve"> </w:t>
      </w:r>
      <w:bookmarkStart w:id="5" w:name="References"/>
      <w:r w:rsidRPr="00041D73">
        <w:t>(D091952/05 – 2024/2759(RPS))</w:t>
      </w:r>
      <w:bookmarkEnd w:id="5"/>
    </w:p>
    <w:p w:rsidR="00265F5F" w:rsidRPr="00041D73" w:rsidRDefault="00265F5F" w:rsidP="00265F5F">
      <w:pPr>
        <w:pStyle w:val="EPComma"/>
      </w:pPr>
      <w:bookmarkStart w:id="6" w:name="TextBodyBegin"/>
      <w:bookmarkEnd w:id="6"/>
      <w:r w:rsidRPr="00041D73">
        <w:rPr>
          <w:i/>
        </w:rPr>
        <w:t>Europa-Parlamentet</w:t>
      </w:r>
      <w:r w:rsidRPr="00041D73">
        <w:t>,</w:t>
      </w:r>
    </w:p>
    <w:p w:rsidR="00265F5F" w:rsidRPr="00041D73" w:rsidRDefault="00265F5F" w:rsidP="00265F5F">
      <w:pPr>
        <w:pStyle w:val="NormalHanging12a"/>
      </w:pPr>
      <w:r w:rsidRPr="00041D73">
        <w:t>–</w:t>
      </w:r>
      <w:r w:rsidRPr="00041D73">
        <w:tab/>
        <w:t xml:space="preserve">der henviser til Kommissionens forordning om ændring af bilag II og III til Europa-Parlamentets og Rådets forordning (EF) nr. 396/2005 for så vidt angår maksimalgrænseværdierne for </w:t>
      </w:r>
      <w:proofErr w:type="spellStart"/>
      <w:r w:rsidRPr="00041D73">
        <w:t>cyproconazol</w:t>
      </w:r>
      <w:proofErr w:type="spellEnd"/>
      <w:r w:rsidRPr="00041D73">
        <w:t xml:space="preserve"> og </w:t>
      </w:r>
      <w:proofErr w:type="spellStart"/>
      <w:r w:rsidRPr="00041D73">
        <w:t>spirodiclofen</w:t>
      </w:r>
      <w:proofErr w:type="spellEnd"/>
      <w:r w:rsidRPr="00041D73">
        <w:t xml:space="preserve"> i eller på visse produkter (D091952/05),</w:t>
      </w:r>
    </w:p>
    <w:p w:rsidR="00265F5F" w:rsidRPr="00041D73" w:rsidRDefault="00265F5F" w:rsidP="00265F5F">
      <w:pPr>
        <w:pStyle w:val="NormalHanging12a"/>
        <w:rPr>
          <w:szCs w:val="24"/>
        </w:rPr>
      </w:pPr>
      <w:r w:rsidRPr="00041D73">
        <w:t>–</w:t>
      </w:r>
      <w:r w:rsidRPr="00041D73">
        <w:tab/>
        <w:t>der henviser til Europa-Parlamentets og Rådets forordning (EF) nr. 396/2005 af 23. februar 2005 om maksimalgrænseværdier for pesticidrester i eller på vegetabilske og animalske fødevarer og foderstoffer og om ændring af Rådets direktiv 91/414/EØF</w:t>
      </w:r>
      <w:r w:rsidRPr="00041D73">
        <w:rPr>
          <w:rStyle w:val="FootnoteReference"/>
        </w:rPr>
        <w:footnoteReference w:id="1"/>
      </w:r>
      <w:r w:rsidRPr="00041D73">
        <w:t>, særlig artikel 14, stk. 1, litra a), og artikel 49, stk. 2,</w:t>
      </w:r>
    </w:p>
    <w:p w:rsidR="00265F5F" w:rsidRPr="00041D73" w:rsidRDefault="00265F5F" w:rsidP="00265F5F">
      <w:pPr>
        <w:pStyle w:val="NormalHanging12a"/>
        <w:rPr>
          <w:szCs w:val="24"/>
        </w:rPr>
      </w:pPr>
      <w:r w:rsidRPr="00041D73">
        <w:t>–</w:t>
      </w:r>
      <w:r w:rsidRPr="00041D73">
        <w:tab/>
        <w:t>der henviser til Europa-Parlamentets og Rådets forordning (EF) nr. 1107/2009 af 21. oktober 2009 om markedsføring af plantebeskyttelsesmidler og om ophævelse af Rådets direktiv 79/117/EØF og 91/414/EØF</w:t>
      </w:r>
      <w:r w:rsidRPr="00041D73">
        <w:rPr>
          <w:rStyle w:val="FootnoteReference"/>
          <w:szCs w:val="24"/>
        </w:rPr>
        <w:footnoteReference w:id="2"/>
      </w:r>
      <w:r w:rsidRPr="00041D73">
        <w:t>, særlig artikel 4, stk. 1, og artikel 4, stk. 2, første afsnit, litra a), samt punkt 3.6.4 i bilag II,</w:t>
      </w:r>
    </w:p>
    <w:p w:rsidR="00265F5F" w:rsidRPr="00041D73" w:rsidRDefault="00265F5F" w:rsidP="00265F5F">
      <w:pPr>
        <w:pStyle w:val="NormalHanging12a"/>
        <w:rPr>
          <w:szCs w:val="24"/>
        </w:rPr>
      </w:pPr>
      <w:r w:rsidRPr="00041D73">
        <w:t>–</w:t>
      </w:r>
      <w:r w:rsidRPr="00041D73">
        <w:tab/>
        <w:t>der henviser til Europa-Parlamentets og Rådets forordning (EF) nr. 178/2002 af 28. januar 2002 om generelle principper og krav i fødevarelovgivningen, om oprettelse af Den Europæiske Fødevaresikkerhedsautoritet og om procedurer vedrørende fødevaresikkerhed</w:t>
      </w:r>
      <w:r w:rsidRPr="00041D73">
        <w:rPr>
          <w:rStyle w:val="FootnoteReference"/>
          <w:szCs w:val="24"/>
        </w:rPr>
        <w:footnoteReference w:id="3"/>
      </w:r>
      <w:r w:rsidRPr="00041D73">
        <w:t>, særlig artikel 5, stk. 1,</w:t>
      </w:r>
    </w:p>
    <w:p w:rsidR="00265F5F" w:rsidRPr="00041D73" w:rsidRDefault="00265F5F" w:rsidP="00265F5F">
      <w:pPr>
        <w:pStyle w:val="NormalHanging12a"/>
        <w:rPr>
          <w:szCs w:val="24"/>
        </w:rPr>
      </w:pPr>
      <w:r w:rsidRPr="00041D73">
        <w:t>–</w:t>
      </w:r>
      <w:r w:rsidRPr="00041D73">
        <w:tab/>
        <w:t>der henviser til artikel 11, 13, 168 og 191 i traktaten om Den Europæiske Unions funktionsmåde,</w:t>
      </w:r>
    </w:p>
    <w:p w:rsidR="00265F5F" w:rsidRPr="00041D73" w:rsidRDefault="00265F5F" w:rsidP="00265F5F">
      <w:pPr>
        <w:pStyle w:val="NormalHanging12a"/>
      </w:pPr>
      <w:r w:rsidRPr="00041D73">
        <w:lastRenderedPageBreak/>
        <w:t>–</w:t>
      </w:r>
      <w:r w:rsidRPr="00041D73">
        <w:tab/>
        <w:t>der henviser til den udtalelse, der blev vedtaget af Den Europæiske Fødevaresikkerhedsautoritet (EFSA) den 19. februar 2021 og offentliggjort den 22. marts 2021</w:t>
      </w:r>
      <w:r w:rsidRPr="00041D73">
        <w:rPr>
          <w:rStyle w:val="FootnoteReference"/>
          <w:szCs w:val="24"/>
        </w:rPr>
        <w:footnoteReference w:id="4"/>
      </w:r>
      <w:r w:rsidRPr="00041D73">
        <w:t>,</w:t>
      </w:r>
    </w:p>
    <w:p w:rsidR="00265F5F" w:rsidRPr="00041D73" w:rsidRDefault="00265F5F" w:rsidP="00265F5F">
      <w:pPr>
        <w:pStyle w:val="NormalHanging12a"/>
        <w:rPr>
          <w:szCs w:val="24"/>
        </w:rPr>
      </w:pPr>
      <w:r w:rsidRPr="00041D73">
        <w:t>–</w:t>
      </w:r>
      <w:r w:rsidRPr="00041D73">
        <w:tab/>
        <w:t>der henviser til konklusionen om fagfællebedømmelser af pesticider, der blev vedtaget af EFSA den 8. november 2010 og offentliggjort den 25. november 2010</w:t>
      </w:r>
      <w:r w:rsidRPr="00041D73">
        <w:rPr>
          <w:rStyle w:val="FootnoteReference"/>
        </w:rPr>
        <w:footnoteReference w:id="5"/>
      </w:r>
      <w:r w:rsidRPr="00041D73">
        <w:t>,</w:t>
      </w:r>
    </w:p>
    <w:p w:rsidR="00265F5F" w:rsidRPr="00041D73" w:rsidRDefault="00265F5F" w:rsidP="00265F5F">
      <w:pPr>
        <w:pStyle w:val="NormalHanging12a"/>
        <w:rPr>
          <w:szCs w:val="24"/>
        </w:rPr>
      </w:pPr>
      <w:r w:rsidRPr="00041D73">
        <w:t>–</w:t>
      </w:r>
      <w:r w:rsidRPr="00041D73">
        <w:tab/>
        <w:t>der henviser til udtalelse vedtaget af Udvalget for Risikovurdering (RAC) under Det Europæiske Kemikalieagentur den 11. september 2015</w:t>
      </w:r>
      <w:r w:rsidRPr="00041D73">
        <w:rPr>
          <w:rStyle w:val="FootnoteReference"/>
          <w:szCs w:val="24"/>
        </w:rPr>
        <w:footnoteReference w:id="6"/>
      </w:r>
      <w:r w:rsidRPr="00041D73">
        <w:t>,</w:t>
      </w:r>
    </w:p>
    <w:p w:rsidR="00265F5F" w:rsidRPr="00041D73" w:rsidRDefault="00265F5F" w:rsidP="00265F5F">
      <w:pPr>
        <w:pStyle w:val="NormalHanging12a"/>
      </w:pPr>
      <w:r w:rsidRPr="00041D73">
        <w:t>–</w:t>
      </w:r>
      <w:r w:rsidRPr="00041D73">
        <w:tab/>
        <w:t>der henviser til artikel 5a, stk. 3, litra b), og artikel 5a, stk. 5, i Rådets afgørelse 1999/468/EF af 28. juni 1999 om fastsættelse af de nærmere vilkår for udøvelsen af de gennemførelsesbeføjelser, der tillægges Kommissionen</w:t>
      </w:r>
      <w:r w:rsidRPr="00041D73">
        <w:rPr>
          <w:rStyle w:val="FootnoteReference"/>
        </w:rPr>
        <w:footnoteReference w:id="7"/>
      </w:r>
      <w:r w:rsidRPr="00041D73">
        <w:t>,</w:t>
      </w:r>
    </w:p>
    <w:p w:rsidR="00265F5F" w:rsidRPr="00041D73" w:rsidRDefault="00265F5F" w:rsidP="00265F5F">
      <w:pPr>
        <w:pStyle w:val="NormalHanging12a"/>
      </w:pPr>
      <w:r w:rsidRPr="00041D73">
        <w:t>–</w:t>
      </w:r>
      <w:r w:rsidRPr="00041D73">
        <w:tab/>
        <w:t>der henviser til forretningsordenens artikel 115, stk. 2, 3 og 4, litra c),</w:t>
      </w:r>
    </w:p>
    <w:p w:rsidR="00265F5F" w:rsidRPr="00041D73" w:rsidRDefault="00265F5F" w:rsidP="00265F5F">
      <w:pPr>
        <w:pStyle w:val="NormalHanging12a"/>
      </w:pPr>
      <w:r w:rsidRPr="00041D73">
        <w:t>–</w:t>
      </w:r>
      <w:r w:rsidRPr="00041D73">
        <w:tab/>
        <w:t>der henviser til forslag til beslutning fra Udvalget om Miljø, Folkesundhed og Fødevaresikkerhed,</w:t>
      </w:r>
    </w:p>
    <w:p w:rsidR="00265F5F" w:rsidRPr="00041D73" w:rsidRDefault="00265F5F" w:rsidP="00265F5F">
      <w:pPr>
        <w:pStyle w:val="NormalHanging12a"/>
      </w:pPr>
      <w:r w:rsidRPr="00041D73">
        <w:t>A.</w:t>
      </w:r>
      <w:r w:rsidRPr="00041D73">
        <w:tab/>
        <w:t>der henviser til, at landbrugerne, som et af deres centrale krav i forbindelse med de protester, der fandt sted i første halvdel af 2024, krævede en retfærdig og lige behandling af produkter importeret fra tredjelande, som bør følge de samme standarder som produkter produceret i Unionen;</w:t>
      </w:r>
    </w:p>
    <w:p w:rsidR="00265F5F" w:rsidRPr="00041D73" w:rsidRDefault="00265F5F" w:rsidP="00265F5F">
      <w:pPr>
        <w:pStyle w:val="NormalHanging12a"/>
      </w:pPr>
      <w:r w:rsidRPr="00041D73">
        <w:t>B.</w:t>
      </w:r>
      <w:r w:rsidRPr="00041D73">
        <w:tab/>
        <w:t>der henviser til, at vedtagelsen af udkastet til Kommissionens forordning vil give mulighed for fortsat import til Unionen, som ikke overholder de standarder, som Unionens landbrugere overholder;</w:t>
      </w:r>
    </w:p>
    <w:p w:rsidR="00265F5F" w:rsidRPr="00041D73" w:rsidRDefault="00265F5F" w:rsidP="00265F5F">
      <w:pPr>
        <w:pStyle w:val="NormalHanging12a"/>
      </w:pPr>
      <w:r w:rsidRPr="00041D73">
        <w:t>C.</w:t>
      </w:r>
      <w:r w:rsidRPr="00041D73">
        <w:tab/>
        <w:t>der henviser til, at en sådan situation ville give Unionens landbrugere en konkurrencemæssig ulempe;</w:t>
      </w:r>
    </w:p>
    <w:p w:rsidR="00265F5F" w:rsidRPr="00041D73" w:rsidRDefault="00265F5F" w:rsidP="00265F5F">
      <w:pPr>
        <w:pStyle w:val="NormalHanging12a"/>
      </w:pPr>
      <w:r w:rsidRPr="00041D73">
        <w:t>D.</w:t>
      </w:r>
      <w:r w:rsidRPr="00041D73">
        <w:tab/>
        <w:t xml:space="preserve">der henviser til, at </w:t>
      </w:r>
      <w:proofErr w:type="spellStart"/>
      <w:r w:rsidRPr="00041D73">
        <w:t>cyproconazol</w:t>
      </w:r>
      <w:proofErr w:type="spellEnd"/>
      <w:r w:rsidRPr="00041D73">
        <w:t xml:space="preserve"> er et fungicid (svampemiddel) fra kategorien </w:t>
      </w:r>
      <w:proofErr w:type="spellStart"/>
      <w:r w:rsidRPr="00041D73">
        <w:t>azoler</w:t>
      </w:r>
      <w:proofErr w:type="spellEnd"/>
      <w:r w:rsidRPr="00041D73">
        <w:t>, der hovedsagelig anvendes til kornafgrøder, kaffe, sukkerroer, æbler og druer samt jordnødder;</w:t>
      </w:r>
    </w:p>
    <w:p w:rsidR="00265F5F" w:rsidRPr="00041D73" w:rsidRDefault="00265F5F" w:rsidP="00265F5F">
      <w:pPr>
        <w:pStyle w:val="NormalHanging12a"/>
      </w:pPr>
      <w:r w:rsidRPr="00041D73">
        <w:t>E.</w:t>
      </w:r>
      <w:r w:rsidRPr="00041D73">
        <w:tab/>
        <w:t xml:space="preserve">der henviser til, at godkendelsen af aktivstoffet </w:t>
      </w:r>
      <w:proofErr w:type="spellStart"/>
      <w:r w:rsidRPr="00041D73">
        <w:t>cyproconazol</w:t>
      </w:r>
      <w:proofErr w:type="spellEnd"/>
      <w:r w:rsidRPr="00041D73">
        <w:t xml:space="preserve"> udløb den 31. maj 2021; der henviser til, at der blev indgivet en ansøgning om fornyelse i september 2018, som blev trukket tilbage i december 2018; der henviser til, at alle godkendelser af </w:t>
      </w:r>
      <w:r w:rsidRPr="00041D73">
        <w:lastRenderedPageBreak/>
        <w:t xml:space="preserve">plantebeskyttelsesmidler, der indeholder </w:t>
      </w:r>
      <w:proofErr w:type="spellStart"/>
      <w:r w:rsidRPr="00041D73">
        <w:t>cyproconazol</w:t>
      </w:r>
      <w:proofErr w:type="spellEnd"/>
      <w:r w:rsidRPr="00041D73">
        <w:t>, er blevet kaldt tilbage;</w:t>
      </w:r>
    </w:p>
    <w:p w:rsidR="00265F5F" w:rsidRPr="00041D73" w:rsidRDefault="00265F5F" w:rsidP="00265F5F">
      <w:pPr>
        <w:pStyle w:val="NormalHanging12a"/>
      </w:pPr>
      <w:r w:rsidRPr="00041D73">
        <w:t>F.</w:t>
      </w:r>
      <w:r w:rsidRPr="00041D73">
        <w:tab/>
        <w:t xml:space="preserve">der henviser til, at </w:t>
      </w:r>
      <w:proofErr w:type="spellStart"/>
      <w:r w:rsidRPr="00041D73">
        <w:t>cyproconazol</w:t>
      </w:r>
      <w:proofErr w:type="spellEnd"/>
      <w:r w:rsidRPr="00041D73">
        <w:t xml:space="preserve"> i overensstemmelse med Europa-Parlamentets og Rådets forordning (EF) nr. 1272/2008</w:t>
      </w:r>
      <w:r w:rsidRPr="00041D73">
        <w:rPr>
          <w:rStyle w:val="FootnoteReference"/>
        </w:rPr>
        <w:footnoteReference w:id="8"/>
      </w:r>
      <w:r w:rsidRPr="00041D73">
        <w:t xml:space="preserve"> er klassificeret som reproduktionstoksisk i kategori 1B, giftigt ved indtagelse (akut toksin; 3), giftig for leveren (STOT RE 2) samt meget giftig for vandlevende organismer (vandmiljø akut 1) og meget giftig for vandlevende organismer med langvarige virkninger (vandmiljø kronisk 1)</w:t>
      </w:r>
      <w:r w:rsidRPr="00041D73">
        <w:rPr>
          <w:rStyle w:val="FootnoteReference"/>
        </w:rPr>
        <w:footnoteReference w:id="9"/>
      </w:r>
    </w:p>
    <w:p w:rsidR="00265F5F" w:rsidRPr="00041D73" w:rsidRDefault="00265F5F" w:rsidP="00265F5F">
      <w:pPr>
        <w:pStyle w:val="NormalHanging12a"/>
      </w:pPr>
      <w:r w:rsidRPr="00041D73">
        <w:t>G.</w:t>
      </w:r>
      <w:r w:rsidRPr="00041D73">
        <w:tab/>
        <w:t xml:space="preserve">der henviser til, at </w:t>
      </w:r>
      <w:proofErr w:type="spellStart"/>
      <w:r w:rsidRPr="00041D73">
        <w:t>cyproconazol</w:t>
      </w:r>
      <w:proofErr w:type="spellEnd"/>
      <w:r w:rsidRPr="00041D73">
        <w:t xml:space="preserve"> tilhører </w:t>
      </w:r>
      <w:proofErr w:type="spellStart"/>
      <w:r w:rsidRPr="00041D73">
        <w:t>triazolgruppen</w:t>
      </w:r>
      <w:proofErr w:type="spellEnd"/>
      <w:r w:rsidRPr="00041D73">
        <w:t xml:space="preserve"> af </w:t>
      </w:r>
      <w:proofErr w:type="spellStart"/>
      <w:r w:rsidRPr="00041D73">
        <w:t>ergosterol-biosyntesehæmmere</w:t>
      </w:r>
      <w:proofErr w:type="spellEnd"/>
      <w:r w:rsidRPr="00041D73">
        <w:t xml:space="preserve"> og dermed kan forårsage hormonforstyrrende virkninger</w:t>
      </w:r>
      <w:r w:rsidRPr="00041D73">
        <w:rPr>
          <w:rStyle w:val="FootnoteReference"/>
        </w:rPr>
        <w:footnoteReference w:id="10"/>
      </w:r>
      <w:r w:rsidRPr="00041D73">
        <w:t>; der henviser til, at EFSA ikke har vurderet dets potentielt hormonforstyrrende egenskaber i henhold til de videnskabelige kriterier til bestemmelse af hormonforstyrrende egenskaber, der er fastsat i Kommissionens forordning (EU) 2018/605</w:t>
      </w:r>
      <w:r w:rsidRPr="00041D73">
        <w:rPr>
          <w:rStyle w:val="FootnoteReference"/>
        </w:rPr>
        <w:footnoteReference w:id="11"/>
      </w:r>
      <w:r w:rsidRPr="00041D73">
        <w:t>, som har fundet anvendelse siden den 10. november 2018; der henviser til, at hormonforstyrrende virkninger ofte forekommer ved lavdosisniveauer, og at hormonforstyrrende stoffer ofte ikke har en sikker tærskelværdi</w:t>
      </w:r>
      <w:r w:rsidRPr="00041D73">
        <w:rPr>
          <w:rStyle w:val="FootnoteReference"/>
        </w:rPr>
        <w:footnoteReference w:id="12"/>
      </w:r>
      <w:r w:rsidRPr="00041D73">
        <w:t>;</w:t>
      </w:r>
    </w:p>
    <w:p w:rsidR="00265F5F" w:rsidRPr="00041D73" w:rsidRDefault="00265F5F" w:rsidP="00265F5F">
      <w:pPr>
        <w:pStyle w:val="NormalHanging12a"/>
      </w:pPr>
      <w:r w:rsidRPr="00041D73">
        <w:t>H.</w:t>
      </w:r>
      <w:r w:rsidRPr="00041D73">
        <w:tab/>
        <w:t xml:space="preserve">der henviser til, at et stigende antal publikationer fremhæver, at </w:t>
      </w:r>
      <w:proofErr w:type="spellStart"/>
      <w:r w:rsidRPr="00041D73">
        <w:t>azolfungicider</w:t>
      </w:r>
      <w:proofErr w:type="spellEnd"/>
      <w:r w:rsidRPr="00041D73">
        <w:t xml:space="preserve"> udgør en betydelig kilde til den stigende forekomst af miljøresistens over for </w:t>
      </w:r>
      <w:proofErr w:type="spellStart"/>
      <w:r w:rsidRPr="00041D73">
        <w:rPr>
          <w:i/>
        </w:rPr>
        <w:t>Aspergillus</w:t>
      </w:r>
      <w:proofErr w:type="spellEnd"/>
      <w:r w:rsidRPr="00041D73">
        <w:rPr>
          <w:i/>
        </w:rPr>
        <w:t xml:space="preserve"> </w:t>
      </w:r>
      <w:proofErr w:type="spellStart"/>
      <w:r w:rsidRPr="00041D73">
        <w:rPr>
          <w:i/>
        </w:rPr>
        <w:t>spp</w:t>
      </w:r>
      <w:proofErr w:type="spellEnd"/>
      <w:r w:rsidRPr="00041D73">
        <w:rPr>
          <w:rStyle w:val="FootnoteReference"/>
        </w:rPr>
        <w:footnoteReference w:id="13"/>
      </w:r>
      <w:r w:rsidRPr="00041D73">
        <w:t xml:space="preserve">; der henviser til, at Kommissionen har anmodet EFSA om at vurdere virkningen af anvendelsen af </w:t>
      </w:r>
      <w:proofErr w:type="spellStart"/>
      <w:r w:rsidRPr="00041D73">
        <w:t>azolfungicider</w:t>
      </w:r>
      <w:proofErr w:type="spellEnd"/>
      <w:r w:rsidRPr="00041D73">
        <w:t xml:space="preserve">, der ikke anvendes som lægemidler til mennesker, på udviklingen af </w:t>
      </w:r>
      <w:proofErr w:type="spellStart"/>
      <w:r w:rsidRPr="00041D73">
        <w:t>azolresistent</w:t>
      </w:r>
      <w:proofErr w:type="spellEnd"/>
      <w:r w:rsidRPr="00041D73">
        <w:t xml:space="preserve"> </w:t>
      </w:r>
      <w:r w:rsidRPr="00041D73">
        <w:rPr>
          <w:i/>
        </w:rPr>
        <w:t xml:space="preserve"> </w:t>
      </w:r>
      <w:proofErr w:type="spellStart"/>
      <w:r w:rsidRPr="00041D73">
        <w:rPr>
          <w:i/>
        </w:rPr>
        <w:t>Aspergillus</w:t>
      </w:r>
      <w:proofErr w:type="spellEnd"/>
      <w:r w:rsidRPr="00041D73">
        <w:rPr>
          <w:i/>
        </w:rPr>
        <w:t xml:space="preserve"> </w:t>
      </w:r>
      <w:proofErr w:type="spellStart"/>
      <w:r w:rsidRPr="00041D73">
        <w:rPr>
          <w:i/>
        </w:rPr>
        <w:t>spp</w:t>
      </w:r>
      <w:proofErr w:type="spellEnd"/>
      <w:r w:rsidRPr="00041D73">
        <w:t xml:space="preserve">; der henviser til, at den videnskabelige rapport, der anmodes om, endnu ikke er offentliggjort og først forventes færdiggjort i </w:t>
      </w:r>
      <w:r w:rsidRPr="00041D73">
        <w:lastRenderedPageBreak/>
        <w:t>december 2024</w:t>
      </w:r>
      <w:r w:rsidRPr="00041D73">
        <w:rPr>
          <w:rStyle w:val="FootnoteReference"/>
        </w:rPr>
        <w:footnoteReference w:id="14"/>
      </w:r>
      <w:r w:rsidRPr="00041D73">
        <w:t>;</w:t>
      </w:r>
    </w:p>
    <w:p w:rsidR="00265F5F" w:rsidRPr="00041D73" w:rsidRDefault="00265F5F" w:rsidP="00265F5F">
      <w:pPr>
        <w:pStyle w:val="NormalHanging12a"/>
      </w:pPr>
      <w:r w:rsidRPr="00041D73">
        <w:rPr>
          <w:color w:val="000000" w:themeColor="text1"/>
        </w:rPr>
        <w:t>I.</w:t>
      </w:r>
      <w:r w:rsidRPr="00041D73">
        <w:rPr>
          <w:color w:val="000000" w:themeColor="text1"/>
        </w:rPr>
        <w:tab/>
        <w:t>der henviser til</w:t>
      </w:r>
      <w:r w:rsidRPr="00041D73">
        <w:t>, at de eksisterende maksimalgrænseværdier for restkoncentrationer (</w:t>
      </w:r>
      <w:proofErr w:type="spellStart"/>
      <w:r w:rsidRPr="00041D73">
        <w:t>MRL'er</w:t>
      </w:r>
      <w:proofErr w:type="spellEnd"/>
      <w:r w:rsidRPr="00041D73">
        <w:t xml:space="preserve">) af </w:t>
      </w:r>
      <w:proofErr w:type="spellStart"/>
      <w:r w:rsidRPr="00041D73">
        <w:t>cyproconazol</w:t>
      </w:r>
      <w:proofErr w:type="spellEnd"/>
      <w:r w:rsidRPr="00041D73">
        <w:t xml:space="preserve">, der er fastsat i bilag II til forordning (EF) nr. 396/2005, derfor bør udgå jf. nævnte forordnings artikel 17, i henhold til hvilken Kommissionen sletter </w:t>
      </w:r>
      <w:proofErr w:type="spellStart"/>
      <w:r w:rsidRPr="00041D73">
        <w:t>MRL'er</w:t>
      </w:r>
      <w:proofErr w:type="spellEnd"/>
      <w:r w:rsidRPr="00041D73">
        <w:t>, der i bilag II og III til nævnte forordning er fastsat til standardværdien på 0,01 mg/kg eller den relevante bestemmelsesgrænse, uden at der skal indhentes udtalelse fra EFSA for et aktivstof, hvis godkendelsen af stoffet er blevet tilbagekaldt;</w:t>
      </w:r>
    </w:p>
    <w:p w:rsidR="00265F5F" w:rsidRPr="00041D73" w:rsidRDefault="00265F5F" w:rsidP="00265F5F">
      <w:pPr>
        <w:pStyle w:val="NormalHanging12a"/>
      </w:pPr>
      <w:r w:rsidRPr="00041D73">
        <w:t>J.</w:t>
      </w:r>
      <w:r w:rsidRPr="00041D73">
        <w:tab/>
        <w:t xml:space="preserve">der henviser til, at Kommissionen i udkastet til Kommissionens forordning imidlertid foreslår at fastholde </w:t>
      </w:r>
      <w:proofErr w:type="spellStart"/>
      <w:r w:rsidRPr="00041D73">
        <w:t>MRL'erne</w:t>
      </w:r>
      <w:proofErr w:type="spellEnd"/>
      <w:r w:rsidRPr="00041D73">
        <w:t xml:space="preserve"> for en stor mængde produkter (korn, frø, kød, lever og nyre) over den relevante bestemmelsesgrænse eller standardmaksimalgrænseværdien på 0,01 mg/kg baseret på de </w:t>
      </w:r>
      <w:proofErr w:type="spellStart"/>
      <w:r w:rsidRPr="00041D73">
        <w:t>MRL'er</w:t>
      </w:r>
      <w:proofErr w:type="spellEnd"/>
      <w:r w:rsidRPr="00041D73">
        <w:t xml:space="preserve">, der er fastsat af </w:t>
      </w:r>
      <w:proofErr w:type="spellStart"/>
      <w:r w:rsidRPr="00041D73">
        <w:t>Codex</w:t>
      </w:r>
      <w:proofErr w:type="spellEnd"/>
      <w:r w:rsidRPr="00041D73">
        <w:t xml:space="preserve"> </w:t>
      </w:r>
      <w:proofErr w:type="spellStart"/>
      <w:r w:rsidRPr="00041D73">
        <w:t>Alimentarius</w:t>
      </w:r>
      <w:proofErr w:type="spellEnd"/>
      <w:r w:rsidRPr="00041D73">
        <w:t>-Kommissionen (CXL'er);</w:t>
      </w:r>
    </w:p>
    <w:p w:rsidR="00265F5F" w:rsidRPr="00041D73" w:rsidRDefault="00265F5F" w:rsidP="00265F5F">
      <w:pPr>
        <w:pStyle w:val="NormalHanging12a"/>
      </w:pPr>
      <w:r w:rsidRPr="00041D73">
        <w:t>K.</w:t>
      </w:r>
      <w:r w:rsidRPr="00041D73">
        <w:tab/>
      </w:r>
      <w:r w:rsidRPr="00041D73">
        <w:rPr>
          <w:color w:val="000000" w:themeColor="text1"/>
        </w:rPr>
        <w:t xml:space="preserve">der henviser til, at Kommissionen foreslår at fastsætte </w:t>
      </w:r>
      <w:proofErr w:type="spellStart"/>
      <w:r w:rsidRPr="00041D73">
        <w:rPr>
          <w:color w:val="000000" w:themeColor="text1"/>
        </w:rPr>
        <w:t>MRL'erne</w:t>
      </w:r>
      <w:proofErr w:type="spellEnd"/>
      <w:r w:rsidRPr="00041D73">
        <w:rPr>
          <w:color w:val="000000" w:themeColor="text1"/>
        </w:rPr>
        <w:t xml:space="preserve"> til deres niveau for CXL'er for ærter (uden bælg), bønner, ærter, byg, boghvede og andre pseudokornarter, majs, hirse/almindelig hirse, havre, rug, hvede, kaffebønner og sukkerroerødder, muskel og fedt af svin, kvæg, får, geder og heste, muskel, fedt og lever af fjerkræ, mælk fra kvæg, får, geder og heste samt fugleæg; der henviser til, at det betyder, at </w:t>
      </w:r>
      <w:proofErr w:type="spellStart"/>
      <w:r w:rsidRPr="00041D73">
        <w:rPr>
          <w:color w:val="000000" w:themeColor="text1"/>
        </w:rPr>
        <w:t>MRL'erne</w:t>
      </w:r>
      <w:proofErr w:type="spellEnd"/>
      <w:r w:rsidRPr="00041D73">
        <w:rPr>
          <w:color w:val="000000" w:themeColor="text1"/>
        </w:rPr>
        <w:t xml:space="preserve"> for lever og nyre fra svin, kvæg, får, geder og heste vil blive opretholdt på de eksisterende niveauer på 0,5 mg/kg, for rapsfrø på 0,4 mg/kg og sojabønner på 0,07 mg/kg; der henviser til, at </w:t>
      </w:r>
      <w:proofErr w:type="spellStart"/>
      <w:r w:rsidRPr="00041D73">
        <w:rPr>
          <w:color w:val="000000" w:themeColor="text1"/>
        </w:rPr>
        <w:t>MRL'erne</w:t>
      </w:r>
      <w:proofErr w:type="spellEnd"/>
      <w:r w:rsidRPr="00041D73">
        <w:rPr>
          <w:color w:val="000000" w:themeColor="text1"/>
        </w:rPr>
        <w:t xml:space="preserve"> for alle andre produkter, for hvilke der ikke er nogen CXL'er eller importtolerancer, sænkes til produktspecifikke bestemmelsesgrænser på mellem 0,01 og 0,05 mg/kg;</w:t>
      </w:r>
    </w:p>
    <w:p w:rsidR="00265F5F" w:rsidRPr="00041D73" w:rsidRDefault="00265F5F" w:rsidP="00265F5F">
      <w:pPr>
        <w:pStyle w:val="NormalHanging12a"/>
      </w:pPr>
      <w:r w:rsidRPr="00041D73">
        <w:t>L.</w:t>
      </w:r>
      <w:r w:rsidRPr="00041D73">
        <w:tab/>
        <w:t xml:space="preserve">der henviser til, at Kommissionen i 2024 sænkede </w:t>
      </w:r>
      <w:proofErr w:type="spellStart"/>
      <w:r w:rsidRPr="00041D73">
        <w:t>MRL'erne</w:t>
      </w:r>
      <w:proofErr w:type="spellEnd"/>
      <w:r w:rsidRPr="00041D73">
        <w:t xml:space="preserve"> for </w:t>
      </w:r>
      <w:proofErr w:type="spellStart"/>
      <w:r w:rsidRPr="00041D73">
        <w:t>thiacloprid</w:t>
      </w:r>
      <w:proofErr w:type="spellEnd"/>
      <w:r w:rsidRPr="00041D73">
        <w:t xml:space="preserve">, et aktivstof, der er klassificeret som reproduktionstoksisk i kategori 1B, til den relevante bestemmelsesgrænse, idet den hævdede, at "[v]ed afslutningen på autoritetens konklusion [om hormonforstyrrende virkninger] og i betragtning af de foreliggende relevante oplysninger om potentielt skadelige virkninger på menneskers sundhed er det hensigtsmæssigt midlertidigt at sænke </w:t>
      </w:r>
      <w:proofErr w:type="spellStart"/>
      <w:r w:rsidRPr="00041D73">
        <w:t>MRL'erne</w:t>
      </w:r>
      <w:proofErr w:type="spellEnd"/>
      <w:r w:rsidRPr="00041D73">
        <w:t xml:space="preserve"> [...] [for disse produkter]"</w:t>
      </w:r>
      <w:r w:rsidRPr="00041D73">
        <w:rPr>
          <w:rStyle w:val="FootnoteReference"/>
        </w:rPr>
        <w:footnoteReference w:id="15"/>
      </w:r>
      <w:r w:rsidRPr="00041D73">
        <w:t>;</w:t>
      </w:r>
    </w:p>
    <w:p w:rsidR="00265F5F" w:rsidRPr="00041D73" w:rsidRDefault="00265F5F" w:rsidP="00265F5F">
      <w:pPr>
        <w:pStyle w:val="NormalHanging12a"/>
      </w:pPr>
      <w:r w:rsidRPr="00041D73">
        <w:t>M.</w:t>
      </w:r>
      <w:r w:rsidRPr="00041D73">
        <w:tab/>
        <w:t xml:space="preserve">der henviser til, at forordning (EF) nr. 396/2005 fastsætter, at restkoncentrationer ikke bør forekomme i mængder, der udgør en uacceptabel risiko for mennesker og, hvor det er relevant, for dyr; </w:t>
      </w:r>
    </w:p>
    <w:p w:rsidR="00265F5F" w:rsidRPr="00041D73" w:rsidRDefault="00265F5F" w:rsidP="00265F5F">
      <w:pPr>
        <w:pStyle w:val="NormalHanging12a"/>
      </w:pPr>
      <w:r w:rsidRPr="00041D73">
        <w:t>N.</w:t>
      </w:r>
      <w:r w:rsidRPr="00041D73">
        <w:tab/>
        <w:t xml:space="preserve">der henviser til, at artikel 4, stk. 2, første afsnit, litra a), i forordning (EF) nr. 1107/2009 fastsætter, at restkoncentrationer af plantebeskyttelsesmidler ikke må have skadelige virkninger på menneskers sundhed, herunder sårbare gruppers, eller på dyrs sundhed, idet kendte kumulative og </w:t>
      </w:r>
      <w:proofErr w:type="spellStart"/>
      <w:r w:rsidRPr="00041D73">
        <w:t>synergistiske</w:t>
      </w:r>
      <w:proofErr w:type="spellEnd"/>
      <w:r w:rsidRPr="00041D73">
        <w:t xml:space="preserve"> virkninger tages i betragtning; der henviser til, at det i punkt 3.6.4 i bilag II til nævnte forordning fastsættes, at et aktivstof, der i overensstemmelse med forordning (EF) nr. 1272/2008 er klassificeret som reproduktionstoksicitet kategori 1A eller 1B, ikke godkendes, medmindre "restkoncentrationerne af det pågældende aktivstof i fødevarer og foder ikke overstiger den standardværdi, der er fastsat i henhold til artikel 18, stk. 1, litra b), i forordning (EF) nr. 396/2005"; der henviser til, at artikel 18, stk. 1, litra b), i forordning (EF) </w:t>
      </w:r>
      <w:r w:rsidRPr="00041D73">
        <w:lastRenderedPageBreak/>
        <w:t>nr. 396/2005 fastsætter en standardværdi på 0,01 mg/kg;</w:t>
      </w:r>
    </w:p>
    <w:p w:rsidR="00265F5F" w:rsidRPr="00041D73" w:rsidRDefault="00265F5F" w:rsidP="00265F5F">
      <w:pPr>
        <w:pStyle w:val="NormalHanging12a"/>
      </w:pPr>
      <w:r w:rsidRPr="00041D73">
        <w:t>O.</w:t>
      </w:r>
      <w:r w:rsidRPr="00041D73">
        <w:tab/>
        <w:t xml:space="preserve">der henviser til, at det i artikel 3, stk. 2, litra g), i forordning (EF) nr. 396/2005 er fastsat, at importtolerancen er en maksimalgrænseværdi for restkoncentration, der er fastsat for importerede produkter, når "anvendelsen af aktivstoffet i et plantebeskyttelsesmiddel på et givet produkt ikke er tilladt i Fællesskabet af andre årsager end folkesundhedsmæssige hensyn til det specifikke produkt og den specifikke anvendelse"; der henviser til, at </w:t>
      </w:r>
      <w:proofErr w:type="spellStart"/>
      <w:r w:rsidRPr="00041D73">
        <w:t>cyproconazol</w:t>
      </w:r>
      <w:proofErr w:type="spellEnd"/>
      <w:r w:rsidRPr="00041D73">
        <w:t xml:space="preserve"> ikke opfylder disse kriterier, da det er blevet forbudt af sundhedsmæssige årsager, fordi det er klassificeret som reproduktionstoksicitet kategori 1B;</w:t>
      </w:r>
    </w:p>
    <w:p w:rsidR="00265F5F" w:rsidRPr="00041D73" w:rsidRDefault="00265F5F" w:rsidP="00265F5F">
      <w:pPr>
        <w:pStyle w:val="NormalHanging12a"/>
      </w:pPr>
      <w:r w:rsidRPr="00041D73">
        <w:t>P.</w:t>
      </w:r>
      <w:r w:rsidRPr="00041D73">
        <w:tab/>
        <w:t>der henviser til, at fødevarelovgivningen i henhold til artikel 5, stk. 1, i forordning (EF) nr. 178/2002 skal forfølge en eller flere af de generelle målsætninger om et højt niveau for beskyttelse af menneskers liv og sundhed og beskyttelse af forbrugernes interesser, herunder redelig praksis i handelen med fødevarer, om nødvendigt under hensyntagen til beskyttelsen af dyrs sundhed og velfærd, planters sundhed og miljøet;</w:t>
      </w:r>
    </w:p>
    <w:p w:rsidR="00265F5F" w:rsidRPr="00041D73" w:rsidRDefault="00265F5F" w:rsidP="00265F5F">
      <w:pPr>
        <w:pStyle w:val="NormalHanging12a"/>
      </w:pPr>
      <w:r w:rsidRPr="00041D73">
        <w:t>Q.</w:t>
      </w:r>
      <w:r w:rsidRPr="00041D73">
        <w:tab/>
        <w:t>der henviser til, at Kommissionen i sin meddelelse af 20. maj 2020 om "En jord til bord-strategi for et fair, sundt og miljøvenligt fødevaresystem"</w:t>
      </w:r>
      <w:r w:rsidRPr="00041D73">
        <w:rPr>
          <w:rStyle w:val="FootnoteReference"/>
        </w:rPr>
        <w:footnoteReference w:id="16"/>
      </w:r>
      <w:r w:rsidRPr="00041D73">
        <w:t xml:space="preserve"> bebudede, at "EU vil støtte en global omstilling til bæredygtige landbrugsfødevaresystemer i overensstemmelse med målene i denne strategi og med verdensmålene for bæredygtig udvikling", og at "EU kan spille en nøglerolle i arbejdet med at fastsætte globale standarder med denne strategi"; der henviser til, at Kommissionen i strategien udtrykkeligt anførte, at "[e]n af forudsætningerne for et mere bæredygtigt EU-fødevaresystem er, at vore handelspartneres praksis også bliver stadig mere bæredygtig. For at befordre en gradvis overgang til brug af sikrere plantebeskyttelsesmidler vil EU – i overensstemmelse med WTO-reglerne og på grundlag af en risikovurdering – overveje at revurdere importtolerancerne for stoffer, der opfylder "afskæringskriterierne" og udgør en høj risiko for menneskers sundhed";</w:t>
      </w:r>
    </w:p>
    <w:p w:rsidR="00265F5F" w:rsidRPr="00041D73" w:rsidRDefault="00265F5F" w:rsidP="00265F5F">
      <w:pPr>
        <w:pStyle w:val="NormalHanging12a"/>
      </w:pPr>
      <w:r w:rsidRPr="00041D73">
        <w:t>R.</w:t>
      </w:r>
      <w:r w:rsidRPr="00041D73">
        <w:tab/>
        <w:t xml:space="preserve">der henviser til, at praksis med at fastsætte høje maksimalgrænseværdier fremmer en dobbelt standard mellem Unionens landbrugere og landbrugere i tredjelande, da landbrugere uden for Unionen kan fortsætte med at producere de pågældende fødevarer ved hjælp af </w:t>
      </w:r>
      <w:proofErr w:type="spellStart"/>
      <w:r w:rsidRPr="00041D73">
        <w:t>cyproconazol</w:t>
      </w:r>
      <w:proofErr w:type="spellEnd"/>
      <w:r w:rsidRPr="00041D73">
        <w:t xml:space="preserve"> og eksportere dem til Unionen, hvilket stiller Unionens landbrugere ringere i konkurrencen; der henviser til, at anvendelsen af dette pesticid på den anden side bringer landbrugsarbejdernes sundhed, befolkningens sundhed og miljøet i producentlandene i fare;</w:t>
      </w:r>
    </w:p>
    <w:p w:rsidR="00265F5F" w:rsidRPr="00041D73" w:rsidRDefault="00265F5F" w:rsidP="00265F5F">
      <w:pPr>
        <w:pStyle w:val="NormalHanging12a"/>
      </w:pPr>
      <w:r w:rsidRPr="00041D73">
        <w:t>S.</w:t>
      </w:r>
      <w:r w:rsidRPr="00041D73">
        <w:tab/>
        <w:t>der henviser til, at artikel 191, stk. 2, i TEUF fastsætter forsigtighedsprincippet som et af Unionens grundlæggende principper;</w:t>
      </w:r>
    </w:p>
    <w:p w:rsidR="00265F5F" w:rsidRPr="00041D73" w:rsidRDefault="00265F5F" w:rsidP="00265F5F">
      <w:pPr>
        <w:pStyle w:val="NormalHanging12a"/>
      </w:pPr>
      <w:r w:rsidRPr="00041D73">
        <w:t>T.</w:t>
      </w:r>
      <w:r w:rsidRPr="00041D73">
        <w:tab/>
        <w:t>der henviser til, at Kommissionen skal beskytte miljøet og de europæiske borgere på grundlag af de foreliggende videnskabelige oplysninger under anvendelse af de forpligtelser og retlige muligheder, som forordning (EF) nr. 396/2005 og forordning (EF) nr. 178/2002 giver for at sikre et højt beskyttelsesniveau for menneskers og dyrs sundhed og miljøet;</w:t>
      </w:r>
    </w:p>
    <w:p w:rsidR="00265F5F" w:rsidRPr="00041D73" w:rsidRDefault="00265F5F" w:rsidP="00265F5F">
      <w:pPr>
        <w:pStyle w:val="NormalHanging12a"/>
      </w:pPr>
      <w:r w:rsidRPr="00041D73">
        <w:t>U.</w:t>
      </w:r>
      <w:r w:rsidRPr="00041D73">
        <w:tab/>
        <w:t xml:space="preserve">der henviser til, at de foreslåede </w:t>
      </w:r>
      <w:proofErr w:type="spellStart"/>
      <w:r w:rsidRPr="00041D73">
        <w:t>MRL'er</w:t>
      </w:r>
      <w:proofErr w:type="spellEnd"/>
      <w:r w:rsidRPr="00041D73">
        <w:t xml:space="preserve"> ikke beskytter borgernes sundhed i Europa, og </w:t>
      </w:r>
      <w:r w:rsidRPr="00041D73">
        <w:lastRenderedPageBreak/>
        <w:t>at de derfor er i strid med forordning (EF) nr. 396/2005 og (EF) nr. 178/2002;</w:t>
      </w:r>
    </w:p>
    <w:p w:rsidR="00265F5F" w:rsidRPr="00041D73" w:rsidRDefault="00265F5F" w:rsidP="00265F5F">
      <w:pPr>
        <w:pStyle w:val="NormalHanging12a"/>
      </w:pPr>
      <w:r w:rsidRPr="00041D73">
        <w:t>V.</w:t>
      </w:r>
      <w:r w:rsidRPr="00041D73">
        <w:tab/>
        <w:t xml:space="preserve">der henviser til, at der ikke bør fastsættes </w:t>
      </w:r>
      <w:proofErr w:type="spellStart"/>
      <w:r w:rsidRPr="00041D73">
        <w:t>MRL'er</w:t>
      </w:r>
      <w:proofErr w:type="spellEnd"/>
      <w:r w:rsidRPr="00041D73">
        <w:t xml:space="preserve"> for aktivstoffer, der ikke er godkendt i Unionen på grund af sundhedsmæssige betænkeligheder; der henviser til, at ingen CXL'er, der overskrider den relevante bestemmelsesgrænse eller standardværdien på 0,01 mg/kg, bør betragtes som sikre for forbrugerne, da </w:t>
      </w:r>
      <w:proofErr w:type="spellStart"/>
      <w:r w:rsidRPr="00041D73">
        <w:t>cyproconazol</w:t>
      </w:r>
      <w:proofErr w:type="spellEnd"/>
      <w:r w:rsidRPr="00041D73">
        <w:t xml:space="preserve"> er klassificeret som reproduktionstoksisk i kategori 1B;</w:t>
      </w:r>
    </w:p>
    <w:p w:rsidR="00265F5F" w:rsidRPr="00041D73" w:rsidRDefault="00265F5F" w:rsidP="00265F5F">
      <w:pPr>
        <w:pStyle w:val="NormalHanging12a"/>
      </w:pPr>
      <w:r w:rsidRPr="00041D73">
        <w:t>W.</w:t>
      </w:r>
      <w:r w:rsidRPr="00041D73">
        <w:tab/>
        <w:t xml:space="preserve"> der henviser til, at der ved fastsættelse af </w:t>
      </w:r>
      <w:proofErr w:type="spellStart"/>
      <w:r w:rsidRPr="00041D73">
        <w:t>MRL'er</w:t>
      </w:r>
      <w:proofErr w:type="spellEnd"/>
      <w:r w:rsidRPr="00041D73">
        <w:t xml:space="preserve"> skal tages hensyn til kumulative og </w:t>
      </w:r>
      <w:proofErr w:type="spellStart"/>
      <w:r w:rsidRPr="00041D73">
        <w:t>synergistiske</w:t>
      </w:r>
      <w:proofErr w:type="spellEnd"/>
      <w:r w:rsidRPr="00041D73">
        <w:t xml:space="preserve"> virkninger, og at det er yderst vigtigt, at der hurtigst muligt udvikles passende metoder til at foretage denne vurdering;</w:t>
      </w:r>
    </w:p>
    <w:p w:rsidR="00265F5F" w:rsidRPr="00041D73" w:rsidRDefault="00265F5F" w:rsidP="00265F5F">
      <w:pPr>
        <w:pStyle w:val="NormalHanging12a"/>
      </w:pPr>
      <w:r w:rsidRPr="00041D73">
        <w:t>1.</w:t>
      </w:r>
      <w:r w:rsidRPr="00041D73">
        <w:tab/>
        <w:t>modsætter sig vedtagelse af udkastet til Kommissionens forordning;</w:t>
      </w:r>
    </w:p>
    <w:p w:rsidR="00265F5F" w:rsidRPr="00041D73" w:rsidRDefault="00265F5F" w:rsidP="00A72293">
      <w:pPr>
        <w:pStyle w:val="NormalHanging12a"/>
        <w:rPr>
          <w:szCs w:val="24"/>
        </w:rPr>
      </w:pPr>
      <w:r w:rsidRPr="00041D73">
        <w:t>2.</w:t>
      </w:r>
      <w:r w:rsidRPr="00041D73">
        <w:tab/>
        <w:t>mener, at udkastet til Kommissionens forordning hverken er i overensstemmelse med formålet og indholdet i forordning (EF) nr. 396/2005 og forordning (EF) nr. 178/2002 eller med forordning (EF) nr. 1</w:t>
      </w:r>
      <w:r w:rsidR="00A72293">
        <w:t>1</w:t>
      </w:r>
      <w:r w:rsidRPr="00041D73">
        <w:t>07/2009, herunder afsnit 3.6.4, i bilag II hertil;</w:t>
      </w:r>
    </w:p>
    <w:p w:rsidR="00265F5F" w:rsidRPr="00041D73" w:rsidRDefault="00265F5F" w:rsidP="00265F5F">
      <w:pPr>
        <w:pStyle w:val="NormalHanging12a"/>
      </w:pPr>
      <w:r w:rsidRPr="00041D73">
        <w:t>3.</w:t>
      </w:r>
      <w:r w:rsidRPr="00041D73">
        <w:tab/>
        <w:t>opfordrer Kommissionen til at anven</w:t>
      </w:r>
      <w:bookmarkStart w:id="7" w:name="_GoBack"/>
      <w:bookmarkEnd w:id="7"/>
      <w:r w:rsidRPr="00041D73">
        <w:t>de forsigtighedsprincippet og trække udkastet til forordning tilbage og forelægge udvalget et nyt;</w:t>
      </w:r>
    </w:p>
    <w:p w:rsidR="00265F5F" w:rsidRPr="00041D73" w:rsidRDefault="00265F5F" w:rsidP="00265F5F">
      <w:pPr>
        <w:pStyle w:val="NormalHanging12a"/>
      </w:pPr>
      <w:r w:rsidRPr="00041D73">
        <w:t>4.</w:t>
      </w:r>
      <w:r w:rsidRPr="00041D73">
        <w:tab/>
        <w:t xml:space="preserve">opfordrer Kommissionen til at forelægge udvalget et nyt udkast til forordning, der sænker alle </w:t>
      </w:r>
      <w:proofErr w:type="spellStart"/>
      <w:r w:rsidRPr="00041D73">
        <w:t>MRL'er</w:t>
      </w:r>
      <w:proofErr w:type="spellEnd"/>
      <w:r w:rsidRPr="00041D73">
        <w:t xml:space="preserve"> for </w:t>
      </w:r>
      <w:proofErr w:type="spellStart"/>
      <w:r w:rsidRPr="00041D73">
        <w:t>cyproconazol</w:t>
      </w:r>
      <w:proofErr w:type="spellEnd"/>
      <w:r w:rsidRPr="00041D73">
        <w:t xml:space="preserve"> til bestemmelsesgrænsen eller standardværdien på 0,01 mg/kg for alle anvendelser, og til at afslå enhver anmodning om importtolerancer;</w:t>
      </w:r>
    </w:p>
    <w:p w:rsidR="00265F5F" w:rsidRPr="00041D73" w:rsidRDefault="00265F5F" w:rsidP="00265F5F">
      <w:pPr>
        <w:pStyle w:val="NormalHanging12a"/>
      </w:pPr>
      <w:r w:rsidRPr="00041D73">
        <w:t>5.</w:t>
      </w:r>
      <w:r w:rsidRPr="00041D73">
        <w:tab/>
        <w:t>anerkender, at EFSA arbejder på at udvikle metoder til at vurdere kumulative risici, men bemærker også, at problemet med at vurdere kumulative virkninger af pesticider og restkoncentrationer har været kendt i årtier; anmoder derfor EFSA og Kommissionen om hurtigst muligt at tage hånd om problemet;</w:t>
      </w:r>
    </w:p>
    <w:p w:rsidR="00265F5F" w:rsidRPr="00041D73" w:rsidRDefault="00265F5F" w:rsidP="006A240F">
      <w:pPr>
        <w:ind w:left="567" w:hanging="567"/>
      </w:pPr>
      <w:r w:rsidRPr="00041D73">
        <w:t>6.</w:t>
      </w:r>
      <w:r w:rsidRPr="00041D73">
        <w:tab/>
        <w:t xml:space="preserve">pålægger sin formand at sende denne beslutning til Rådet og Kommissionen samt til medlemsstaternes regeringer og parlamenter. </w:t>
      </w:r>
    </w:p>
    <w:p w:rsidR="00E365E1" w:rsidRPr="00041D73" w:rsidRDefault="00E365E1" w:rsidP="0086312A">
      <w:bookmarkStart w:id="8" w:name="TextBodyEnd"/>
      <w:bookmarkEnd w:id="8"/>
    </w:p>
    <w:sectPr w:rsidR="00E365E1" w:rsidRPr="00041D73" w:rsidSect="00041D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12A" w:rsidRPr="00041D73" w:rsidRDefault="0086312A">
      <w:r w:rsidRPr="00041D73">
        <w:separator/>
      </w:r>
    </w:p>
  </w:endnote>
  <w:endnote w:type="continuationSeparator" w:id="0">
    <w:p w:rsidR="0086312A" w:rsidRPr="00041D73" w:rsidRDefault="0086312A">
      <w:r w:rsidRPr="00041D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12A" w:rsidRPr="00041D73" w:rsidRDefault="0086312A">
      <w:r w:rsidRPr="00041D73">
        <w:separator/>
      </w:r>
    </w:p>
  </w:footnote>
  <w:footnote w:type="continuationSeparator" w:id="0">
    <w:p w:rsidR="0086312A" w:rsidRPr="00041D73" w:rsidRDefault="0086312A">
      <w:r w:rsidRPr="00041D73">
        <w:continuationSeparator/>
      </w:r>
    </w:p>
  </w:footnote>
  <w:footnote w:id="1">
    <w:p w:rsidR="00265F5F" w:rsidRPr="00B721E5" w:rsidRDefault="00265F5F" w:rsidP="00A72293">
      <w:pPr>
        <w:pStyle w:val="FootnoteText"/>
        <w:ind w:left="567" w:hanging="567"/>
        <w:rPr>
          <w:sz w:val="24"/>
        </w:rPr>
      </w:pPr>
      <w:r w:rsidRPr="00041D73">
        <w:rPr>
          <w:rStyle w:val="FootnoteReference"/>
          <w:sz w:val="24"/>
          <w:lang w:val="da-DK"/>
        </w:rPr>
        <w:footnoteRef/>
      </w:r>
      <w:r w:rsidR="00041D73" w:rsidRPr="00B721E5">
        <w:rPr>
          <w:sz w:val="24"/>
        </w:rPr>
        <w:t xml:space="preserve"> </w:t>
      </w:r>
      <w:r w:rsidR="00041D73" w:rsidRPr="00B721E5">
        <w:rPr>
          <w:sz w:val="24"/>
        </w:rPr>
        <w:tab/>
      </w:r>
      <w:r w:rsidRPr="00B721E5">
        <w:rPr>
          <w:sz w:val="24"/>
        </w:rPr>
        <w:t>EUT L 70</w:t>
      </w:r>
      <w:r w:rsidR="00A72293">
        <w:rPr>
          <w:sz w:val="24"/>
        </w:rPr>
        <w:t xml:space="preserve"> </w:t>
      </w:r>
      <w:proofErr w:type="spellStart"/>
      <w:r w:rsidR="00A72293">
        <w:rPr>
          <w:sz w:val="24"/>
        </w:rPr>
        <w:t>af</w:t>
      </w:r>
      <w:proofErr w:type="spellEnd"/>
      <w:r w:rsidRPr="00B721E5">
        <w:rPr>
          <w:sz w:val="24"/>
        </w:rPr>
        <w:t xml:space="preserve"> 16.3.2005, s. 1.</w:t>
      </w:r>
    </w:p>
  </w:footnote>
  <w:footnote w:id="2">
    <w:p w:rsidR="00265F5F" w:rsidRPr="00B721E5" w:rsidRDefault="00265F5F" w:rsidP="00041D73">
      <w:pPr>
        <w:pStyle w:val="FootnoteText"/>
        <w:ind w:left="567" w:hanging="567"/>
        <w:rPr>
          <w:sz w:val="24"/>
        </w:rPr>
      </w:pPr>
      <w:r w:rsidRPr="00041D73">
        <w:rPr>
          <w:rStyle w:val="FootnoteReference"/>
          <w:sz w:val="24"/>
          <w:lang w:val="da-DK"/>
        </w:rPr>
        <w:footnoteRef/>
      </w:r>
      <w:r w:rsidR="00041D73" w:rsidRPr="00B721E5">
        <w:rPr>
          <w:sz w:val="24"/>
        </w:rPr>
        <w:t xml:space="preserve"> </w:t>
      </w:r>
      <w:r w:rsidR="00041D73" w:rsidRPr="00B721E5">
        <w:rPr>
          <w:sz w:val="24"/>
        </w:rPr>
        <w:tab/>
      </w:r>
      <w:r w:rsidR="00A72293">
        <w:rPr>
          <w:sz w:val="24"/>
        </w:rPr>
        <w:t xml:space="preserve">EUT L 309 </w:t>
      </w:r>
      <w:proofErr w:type="spellStart"/>
      <w:r w:rsidR="00A72293">
        <w:rPr>
          <w:sz w:val="24"/>
        </w:rPr>
        <w:t>af</w:t>
      </w:r>
      <w:proofErr w:type="spellEnd"/>
      <w:r w:rsidRPr="00B721E5">
        <w:rPr>
          <w:sz w:val="24"/>
        </w:rPr>
        <w:t xml:space="preserve"> 24.11.2009, s. 1.</w:t>
      </w:r>
    </w:p>
  </w:footnote>
  <w:footnote w:id="3">
    <w:p w:rsidR="00265F5F" w:rsidRPr="00041D73" w:rsidRDefault="00265F5F" w:rsidP="00A7229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r w:rsidRPr="00041D73">
        <w:rPr>
          <w:sz w:val="24"/>
          <w:lang w:val="da-DK"/>
        </w:rPr>
        <w:t>EFT L 31</w:t>
      </w:r>
      <w:r w:rsidR="00A72293">
        <w:rPr>
          <w:sz w:val="24"/>
          <w:lang w:val="da-DK"/>
        </w:rPr>
        <w:t xml:space="preserve"> af</w:t>
      </w:r>
      <w:r w:rsidRPr="00041D73">
        <w:rPr>
          <w:sz w:val="24"/>
          <w:lang w:val="da-DK"/>
        </w:rPr>
        <w:t xml:space="preserve"> 1.2.2002, s. 1.</w:t>
      </w:r>
    </w:p>
  </w:footnote>
  <w:footnote w:id="4">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proofErr w:type="spellStart"/>
      <w:r w:rsidRPr="00041D73">
        <w:rPr>
          <w:sz w:val="24"/>
          <w:lang w:val="da-DK"/>
        </w:rPr>
        <w:t>EFSA's</w:t>
      </w:r>
      <w:proofErr w:type="spellEnd"/>
      <w:r w:rsidRPr="00041D73">
        <w:rPr>
          <w:sz w:val="24"/>
          <w:lang w:val="da-DK"/>
        </w:rPr>
        <w:t xml:space="preserve"> begrundede udtalelse om gennemgang af de eksisterende maksimalgrænseværdier for restkoncentrationer (</w:t>
      </w:r>
      <w:proofErr w:type="spellStart"/>
      <w:r w:rsidRPr="00041D73">
        <w:rPr>
          <w:sz w:val="24"/>
          <w:lang w:val="da-DK"/>
        </w:rPr>
        <w:t>MRL'er</w:t>
      </w:r>
      <w:proofErr w:type="spellEnd"/>
      <w:r w:rsidRPr="00041D73">
        <w:rPr>
          <w:sz w:val="24"/>
          <w:lang w:val="da-DK"/>
        </w:rPr>
        <w:t xml:space="preserve">) af </w:t>
      </w:r>
      <w:proofErr w:type="spellStart"/>
      <w:r w:rsidRPr="00041D73">
        <w:rPr>
          <w:sz w:val="24"/>
          <w:lang w:val="da-DK"/>
        </w:rPr>
        <w:t>cyproconazol</w:t>
      </w:r>
      <w:proofErr w:type="spellEnd"/>
      <w:r w:rsidRPr="00041D73">
        <w:rPr>
          <w:sz w:val="24"/>
          <w:lang w:val="da-DK"/>
        </w:rPr>
        <w:t xml:space="preserve"> i henhold til artikel 12 i forordning (EF) nr. 396/2005, EFSA Journal 2021;19(3):e06483, </w:t>
      </w:r>
      <w:hyperlink r:id="rId1" w:history="1">
        <w:r w:rsidRPr="00041D73">
          <w:rPr>
            <w:rStyle w:val="Hyperlink"/>
            <w:sz w:val="24"/>
            <w:lang w:val="da-DK"/>
          </w:rPr>
          <w:t>https://doi.org/10.2903/j.efsa.2021.6483</w:t>
        </w:r>
      </w:hyperlink>
      <w:r w:rsidRPr="00041D73">
        <w:rPr>
          <w:sz w:val="24"/>
          <w:lang w:val="da-DK"/>
        </w:rPr>
        <w:t>.</w:t>
      </w:r>
    </w:p>
  </w:footnote>
  <w:footnote w:id="5">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r w:rsidRPr="00041D73">
        <w:rPr>
          <w:sz w:val="24"/>
          <w:lang w:val="da-DK"/>
        </w:rPr>
        <w:t>"</w:t>
      </w:r>
      <w:proofErr w:type="spellStart"/>
      <w:r w:rsidRPr="00041D73">
        <w:rPr>
          <w:sz w:val="24"/>
          <w:lang w:val="da-DK"/>
        </w:rPr>
        <w:t>Conclusion</w:t>
      </w:r>
      <w:proofErr w:type="spellEnd"/>
      <w:r w:rsidRPr="00041D73">
        <w:rPr>
          <w:sz w:val="24"/>
          <w:lang w:val="da-DK"/>
        </w:rPr>
        <w:t xml:space="preserve"> on the peer </w:t>
      </w:r>
      <w:proofErr w:type="spellStart"/>
      <w:r w:rsidRPr="00041D73">
        <w:rPr>
          <w:sz w:val="24"/>
          <w:lang w:val="da-DK"/>
        </w:rPr>
        <w:t>review</w:t>
      </w:r>
      <w:proofErr w:type="spellEnd"/>
      <w:r w:rsidRPr="00041D73">
        <w:rPr>
          <w:sz w:val="24"/>
          <w:lang w:val="da-DK"/>
        </w:rPr>
        <w:t xml:space="preserve"> of the </w:t>
      </w:r>
      <w:proofErr w:type="spellStart"/>
      <w:r w:rsidRPr="00041D73">
        <w:rPr>
          <w:sz w:val="24"/>
          <w:lang w:val="da-DK"/>
        </w:rPr>
        <w:t>pesticide</w:t>
      </w:r>
      <w:proofErr w:type="spellEnd"/>
      <w:r w:rsidRPr="00041D73">
        <w:rPr>
          <w:sz w:val="24"/>
          <w:lang w:val="da-DK"/>
        </w:rPr>
        <w:t xml:space="preserve"> </w:t>
      </w:r>
      <w:proofErr w:type="spellStart"/>
      <w:r w:rsidRPr="00041D73">
        <w:rPr>
          <w:sz w:val="24"/>
          <w:lang w:val="da-DK"/>
        </w:rPr>
        <w:t>risk</w:t>
      </w:r>
      <w:proofErr w:type="spellEnd"/>
      <w:r w:rsidRPr="00041D73">
        <w:rPr>
          <w:sz w:val="24"/>
          <w:lang w:val="da-DK"/>
        </w:rPr>
        <w:t xml:space="preserve"> </w:t>
      </w:r>
      <w:proofErr w:type="spellStart"/>
      <w:r w:rsidRPr="00041D73">
        <w:rPr>
          <w:sz w:val="24"/>
          <w:lang w:val="da-DK"/>
        </w:rPr>
        <w:t>assessment</w:t>
      </w:r>
      <w:proofErr w:type="spellEnd"/>
      <w:r w:rsidRPr="00041D73">
        <w:rPr>
          <w:sz w:val="24"/>
          <w:lang w:val="da-DK"/>
        </w:rPr>
        <w:t xml:space="preserve"> of the </w:t>
      </w:r>
      <w:proofErr w:type="spellStart"/>
      <w:r w:rsidRPr="00041D73">
        <w:rPr>
          <w:sz w:val="24"/>
          <w:lang w:val="da-DK"/>
        </w:rPr>
        <w:t>active</w:t>
      </w:r>
      <w:proofErr w:type="spellEnd"/>
      <w:r w:rsidRPr="00041D73">
        <w:rPr>
          <w:sz w:val="24"/>
          <w:lang w:val="da-DK"/>
        </w:rPr>
        <w:t xml:space="preserve"> </w:t>
      </w:r>
      <w:proofErr w:type="spellStart"/>
      <w:r w:rsidRPr="00041D73">
        <w:rPr>
          <w:sz w:val="24"/>
          <w:lang w:val="da-DK"/>
        </w:rPr>
        <w:t>substance</w:t>
      </w:r>
      <w:proofErr w:type="spellEnd"/>
      <w:r w:rsidRPr="00041D73">
        <w:rPr>
          <w:sz w:val="24"/>
          <w:lang w:val="da-DK"/>
        </w:rPr>
        <w:t xml:space="preserve"> </w:t>
      </w:r>
      <w:proofErr w:type="spellStart"/>
      <w:r w:rsidRPr="00041D73">
        <w:rPr>
          <w:sz w:val="24"/>
          <w:lang w:val="da-DK"/>
        </w:rPr>
        <w:t>cyproconazole</w:t>
      </w:r>
      <w:proofErr w:type="spellEnd"/>
      <w:r w:rsidRPr="00041D73">
        <w:rPr>
          <w:sz w:val="24"/>
          <w:lang w:val="da-DK"/>
        </w:rPr>
        <w:t xml:space="preserve">" (EFSA: Konklusioner vedrørende fagfællebedømmelsen af pesticidrisikovurderingen for aktivstoffet </w:t>
      </w:r>
      <w:proofErr w:type="spellStart"/>
      <w:r w:rsidRPr="00041D73">
        <w:rPr>
          <w:sz w:val="24"/>
          <w:lang w:val="da-DK"/>
        </w:rPr>
        <w:t>cyproconazol</w:t>
      </w:r>
      <w:proofErr w:type="spellEnd"/>
      <w:r w:rsidRPr="00041D73">
        <w:rPr>
          <w:sz w:val="24"/>
          <w:lang w:val="da-DK"/>
        </w:rPr>
        <w:t xml:space="preserve">), EFSA Journal 2010;8(11):1897, </w:t>
      </w:r>
      <w:hyperlink r:id="rId2" w:history="1">
        <w:r w:rsidRPr="00041D73">
          <w:rPr>
            <w:rStyle w:val="Hyperlink"/>
            <w:sz w:val="24"/>
            <w:lang w:val="da-DK"/>
          </w:rPr>
          <w:t>https://doi.org/10.2903/j.efsa.2010.1897</w:t>
        </w:r>
      </w:hyperlink>
      <w:r w:rsidRPr="00041D73">
        <w:rPr>
          <w:sz w:val="24"/>
          <w:lang w:val="da-DK"/>
        </w:rPr>
        <w:t>.</w:t>
      </w:r>
    </w:p>
  </w:footnote>
  <w:footnote w:id="6">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r w:rsidRPr="00041D73">
        <w:rPr>
          <w:sz w:val="24"/>
          <w:lang w:val="da-DK"/>
        </w:rPr>
        <w:t>RAC-udtalelse om forslag til harmoniseret klassificering og mærkning på EU-plan af "</w:t>
      </w:r>
      <w:proofErr w:type="spellStart"/>
      <w:r w:rsidRPr="00041D73">
        <w:rPr>
          <w:sz w:val="24"/>
          <w:lang w:val="da-DK"/>
        </w:rPr>
        <w:t>Cyproconazol</w:t>
      </w:r>
      <w:proofErr w:type="spellEnd"/>
      <w:r w:rsidRPr="00041D73">
        <w:rPr>
          <w:sz w:val="24"/>
          <w:lang w:val="da-DK"/>
        </w:rPr>
        <w:t xml:space="preserve"> (ISO); (2RS,3RS;2RS,3SR)-2-(4-chlorophenyl)-3-cyclopr opyl-1-(1H-1,2,4-triazol-1-yl)butan-2-ol, </w:t>
      </w:r>
      <w:hyperlink r:id="rId3" w:history="1">
        <w:r w:rsidRPr="00041D73">
          <w:rPr>
            <w:rStyle w:val="Hyperlink"/>
            <w:sz w:val="24"/>
            <w:lang w:val="da-DK"/>
          </w:rPr>
          <w:t>https://echa.europa.eu/documents/10162/6d98baeb-24aa-a683-28ec-d8adabee5461</w:t>
        </w:r>
      </w:hyperlink>
      <w:r w:rsidRPr="00041D73">
        <w:rPr>
          <w:sz w:val="24"/>
          <w:lang w:val="da-DK"/>
        </w:rPr>
        <w:t>.</w:t>
      </w:r>
    </w:p>
  </w:footnote>
  <w:footnote w:id="7">
    <w:p w:rsidR="00265F5F" w:rsidRPr="00041D73" w:rsidRDefault="00265F5F" w:rsidP="00A7229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r w:rsidRPr="00041D73">
        <w:rPr>
          <w:sz w:val="24"/>
          <w:lang w:val="da-DK"/>
        </w:rPr>
        <w:t>EFT L 184</w:t>
      </w:r>
      <w:r w:rsidR="00A72293">
        <w:rPr>
          <w:sz w:val="24"/>
          <w:lang w:val="da-DK"/>
        </w:rPr>
        <w:t xml:space="preserve"> af</w:t>
      </w:r>
      <w:r w:rsidRPr="00041D73">
        <w:rPr>
          <w:sz w:val="24"/>
          <w:lang w:val="da-DK"/>
        </w:rPr>
        <w:t xml:space="preserve"> 17.7.1999, s. 23.</w:t>
      </w:r>
    </w:p>
  </w:footnote>
  <w:footnote w:id="8">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r w:rsidRPr="00041D73">
        <w:rPr>
          <w:sz w:val="24"/>
          <w:lang w:val="da-DK"/>
        </w:rPr>
        <w:t xml:space="preserve">Europa-Parlamentets og Rådets forordning (EF) nr. 1272/2008 af 16. december 2008 om klassificering, mærkning og emballering af stoffer og blandinger og om ændring og ophævelse af direktiv 67/548/EØF og 1999/45/EF og om ændring af forordning (EF) nr. 1907/2006 </w:t>
      </w:r>
      <w:r w:rsidR="00A72293">
        <w:rPr>
          <w:sz w:val="24"/>
          <w:lang w:val="da-DK"/>
        </w:rPr>
        <w:t>(EØS-relevant tekst) (EUT L 353 af</w:t>
      </w:r>
      <w:r w:rsidRPr="00041D73">
        <w:rPr>
          <w:sz w:val="24"/>
          <w:lang w:val="da-DK"/>
        </w:rPr>
        <w:t xml:space="preserve"> 31.12.2008, s. 1).</w:t>
      </w:r>
    </w:p>
  </w:footnote>
  <w:footnote w:id="9">
    <w:p w:rsidR="00265F5F" w:rsidRPr="00041D73" w:rsidRDefault="00265F5F" w:rsidP="00041D73">
      <w:pPr>
        <w:pStyle w:val="FootnoteText"/>
        <w:ind w:left="567" w:hanging="567"/>
        <w:rPr>
          <w:sz w:val="24"/>
          <w:highlight w:val="magenta"/>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hyperlink r:id="rId4" w:history="1">
        <w:r w:rsidRPr="00041D73">
          <w:rPr>
            <w:rStyle w:val="Hyperlink"/>
            <w:sz w:val="24"/>
            <w:lang w:val="da-DK"/>
          </w:rPr>
          <w:t>https://www.echa.europa.eu/substance-information/-/substanceinfo/100.130.443</w:t>
        </w:r>
      </w:hyperlink>
      <w:r w:rsidRPr="00041D73">
        <w:rPr>
          <w:sz w:val="24"/>
          <w:lang w:val="da-DK"/>
        </w:rPr>
        <w:t>.</w:t>
      </w:r>
    </w:p>
  </w:footnote>
  <w:footnote w:id="10">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proofErr w:type="spellStart"/>
      <w:r w:rsidRPr="00041D73">
        <w:rPr>
          <w:sz w:val="24"/>
          <w:lang w:val="da-DK"/>
        </w:rPr>
        <w:t>EFSA's</w:t>
      </w:r>
      <w:proofErr w:type="spellEnd"/>
      <w:r w:rsidRPr="00041D73">
        <w:rPr>
          <w:sz w:val="24"/>
          <w:lang w:val="da-DK"/>
        </w:rPr>
        <w:t xml:space="preserve"> konklusioner om fagfællebedømmelser af pesticider af 8. november 2010</w:t>
      </w:r>
      <w:r w:rsidRPr="00041D73">
        <w:rPr>
          <w:rStyle w:val="Hyperlink"/>
          <w:sz w:val="24"/>
          <w:lang w:val="da-DK"/>
        </w:rPr>
        <w:t>;</w:t>
      </w:r>
      <w:r w:rsidRPr="00041D73">
        <w:rPr>
          <w:sz w:val="24"/>
          <w:lang w:val="da-DK"/>
        </w:rPr>
        <w:t xml:space="preserve"> </w:t>
      </w:r>
      <w:proofErr w:type="spellStart"/>
      <w:r w:rsidRPr="00041D73">
        <w:rPr>
          <w:sz w:val="24"/>
          <w:lang w:val="da-DK"/>
        </w:rPr>
        <w:t>Draskau</w:t>
      </w:r>
      <w:proofErr w:type="spellEnd"/>
      <w:r w:rsidRPr="00041D73">
        <w:rPr>
          <w:sz w:val="24"/>
          <w:lang w:val="da-DK"/>
        </w:rPr>
        <w:t xml:space="preserve">, M.K., og </w:t>
      </w:r>
      <w:proofErr w:type="spellStart"/>
      <w:r w:rsidRPr="00041D73">
        <w:rPr>
          <w:sz w:val="24"/>
          <w:lang w:val="da-DK"/>
        </w:rPr>
        <w:t>Svingen</w:t>
      </w:r>
      <w:proofErr w:type="spellEnd"/>
      <w:r w:rsidRPr="00041D73">
        <w:rPr>
          <w:sz w:val="24"/>
          <w:lang w:val="da-DK"/>
        </w:rPr>
        <w:t>, T., "</w:t>
      </w:r>
      <w:proofErr w:type="spellStart"/>
      <w:r w:rsidRPr="00041D73">
        <w:rPr>
          <w:sz w:val="24"/>
          <w:lang w:val="da-DK"/>
        </w:rPr>
        <w:t>Azole</w:t>
      </w:r>
      <w:proofErr w:type="spellEnd"/>
      <w:r w:rsidRPr="00041D73">
        <w:rPr>
          <w:sz w:val="24"/>
          <w:lang w:val="da-DK"/>
        </w:rPr>
        <w:t xml:space="preserve"> Fungicides and </w:t>
      </w:r>
      <w:proofErr w:type="spellStart"/>
      <w:r w:rsidRPr="00041D73">
        <w:rPr>
          <w:sz w:val="24"/>
          <w:lang w:val="da-DK"/>
        </w:rPr>
        <w:t>Their</w:t>
      </w:r>
      <w:proofErr w:type="spellEnd"/>
      <w:r w:rsidRPr="00041D73">
        <w:rPr>
          <w:sz w:val="24"/>
          <w:lang w:val="da-DK"/>
        </w:rPr>
        <w:t xml:space="preserve"> </w:t>
      </w:r>
      <w:proofErr w:type="spellStart"/>
      <w:r w:rsidRPr="00041D73">
        <w:rPr>
          <w:sz w:val="24"/>
          <w:lang w:val="da-DK"/>
        </w:rPr>
        <w:t>Endocrine</w:t>
      </w:r>
      <w:proofErr w:type="spellEnd"/>
      <w:r w:rsidRPr="00041D73">
        <w:rPr>
          <w:sz w:val="24"/>
          <w:lang w:val="da-DK"/>
        </w:rPr>
        <w:t xml:space="preserve"> </w:t>
      </w:r>
      <w:proofErr w:type="spellStart"/>
      <w:r w:rsidRPr="00041D73">
        <w:rPr>
          <w:sz w:val="24"/>
          <w:lang w:val="da-DK"/>
        </w:rPr>
        <w:t>Disrupting</w:t>
      </w:r>
      <w:proofErr w:type="spellEnd"/>
      <w:r w:rsidRPr="00041D73">
        <w:rPr>
          <w:sz w:val="24"/>
          <w:lang w:val="da-DK"/>
        </w:rPr>
        <w:t xml:space="preserve"> Properties: </w:t>
      </w:r>
      <w:proofErr w:type="spellStart"/>
      <w:r w:rsidRPr="00041D73">
        <w:rPr>
          <w:sz w:val="24"/>
          <w:lang w:val="da-DK"/>
        </w:rPr>
        <w:t>Perspectives</w:t>
      </w:r>
      <w:proofErr w:type="spellEnd"/>
      <w:r w:rsidRPr="00041D73">
        <w:rPr>
          <w:sz w:val="24"/>
          <w:lang w:val="da-DK"/>
        </w:rPr>
        <w:t xml:space="preserve"> on Sex </w:t>
      </w:r>
      <w:proofErr w:type="spellStart"/>
      <w:r w:rsidRPr="00041D73">
        <w:rPr>
          <w:sz w:val="24"/>
          <w:lang w:val="da-DK"/>
        </w:rPr>
        <w:t>Hormone</w:t>
      </w:r>
      <w:proofErr w:type="spellEnd"/>
      <w:r w:rsidRPr="00041D73">
        <w:rPr>
          <w:sz w:val="24"/>
          <w:lang w:val="da-DK"/>
        </w:rPr>
        <w:t xml:space="preserve">-Dependent </w:t>
      </w:r>
      <w:proofErr w:type="spellStart"/>
      <w:r w:rsidRPr="00041D73">
        <w:rPr>
          <w:sz w:val="24"/>
          <w:lang w:val="da-DK"/>
        </w:rPr>
        <w:t>Reproductive</w:t>
      </w:r>
      <w:proofErr w:type="spellEnd"/>
      <w:r w:rsidRPr="00041D73">
        <w:rPr>
          <w:sz w:val="24"/>
          <w:lang w:val="da-DK"/>
        </w:rPr>
        <w:t xml:space="preserve"> Development", </w:t>
      </w:r>
      <w:proofErr w:type="spellStart"/>
      <w:r w:rsidRPr="00041D73">
        <w:rPr>
          <w:sz w:val="24"/>
          <w:lang w:val="da-DK"/>
        </w:rPr>
        <w:t>Frontiers</w:t>
      </w:r>
      <w:proofErr w:type="spellEnd"/>
      <w:r w:rsidRPr="00041D73">
        <w:rPr>
          <w:sz w:val="24"/>
          <w:lang w:val="da-DK"/>
        </w:rPr>
        <w:t xml:space="preserve"> in </w:t>
      </w:r>
      <w:proofErr w:type="spellStart"/>
      <w:r w:rsidRPr="00041D73">
        <w:rPr>
          <w:sz w:val="24"/>
          <w:lang w:val="da-DK"/>
        </w:rPr>
        <w:t>Toxicology</w:t>
      </w:r>
      <w:proofErr w:type="spellEnd"/>
      <w:r w:rsidRPr="00041D73">
        <w:rPr>
          <w:sz w:val="24"/>
          <w:lang w:val="da-DK"/>
        </w:rPr>
        <w:t xml:space="preserve"> 2022, 4:883254, </w:t>
      </w:r>
      <w:hyperlink r:id="rId5" w:history="1">
        <w:r w:rsidRPr="00041D73">
          <w:rPr>
            <w:rStyle w:val="Hyperlink"/>
            <w:color w:val="0000FF"/>
            <w:sz w:val="24"/>
            <w:shd w:val="clear" w:color="auto" w:fill="F7F7F7"/>
            <w:lang w:val="da-DK"/>
          </w:rPr>
          <w:t>https://doi.org/10.3389/ftox.2022.883254</w:t>
        </w:r>
      </w:hyperlink>
      <w:r w:rsidRPr="00041D73">
        <w:rPr>
          <w:sz w:val="24"/>
          <w:lang w:val="da-DK"/>
        </w:rPr>
        <w:t>.</w:t>
      </w:r>
    </w:p>
  </w:footnote>
  <w:footnote w:id="11">
    <w:p w:rsidR="00265F5F" w:rsidRPr="00041D73" w:rsidRDefault="00265F5F" w:rsidP="00A7229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r w:rsidRPr="00041D73">
        <w:rPr>
          <w:sz w:val="24"/>
          <w:lang w:val="da-DK"/>
        </w:rPr>
        <w:t>Kommissionens forordning (EU) 2018/605 af 19. april 2018 om ændring af bilag II til forordning (EF) nr. 1107/2009 ved at fastlægge videnskabelige kriterier til bestemmelse af hormonforstyrrende egenskaber (EØS-relevant tekst) (EUT L 101</w:t>
      </w:r>
      <w:r w:rsidR="00A72293">
        <w:rPr>
          <w:sz w:val="24"/>
          <w:lang w:val="da-DK"/>
        </w:rPr>
        <w:t xml:space="preserve"> af</w:t>
      </w:r>
      <w:r w:rsidRPr="00041D73">
        <w:rPr>
          <w:sz w:val="24"/>
          <w:lang w:val="da-DK"/>
        </w:rPr>
        <w:t xml:space="preserve"> 20.4.2018, s. 33).</w:t>
      </w:r>
    </w:p>
  </w:footnote>
  <w:footnote w:id="12">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proofErr w:type="spellStart"/>
      <w:r w:rsidRPr="00041D73">
        <w:rPr>
          <w:sz w:val="24"/>
          <w:lang w:val="da-DK"/>
        </w:rPr>
        <w:t>EFSA's</w:t>
      </w:r>
      <w:proofErr w:type="spellEnd"/>
      <w:r w:rsidRPr="00041D73">
        <w:rPr>
          <w:sz w:val="24"/>
          <w:lang w:val="da-DK"/>
        </w:rPr>
        <w:t xml:space="preserve"> videnskabelige rapport fra </w:t>
      </w:r>
      <w:proofErr w:type="spellStart"/>
      <w:r w:rsidRPr="00041D73">
        <w:rPr>
          <w:sz w:val="24"/>
          <w:lang w:val="da-DK"/>
        </w:rPr>
        <w:t>taskforcen</w:t>
      </w:r>
      <w:proofErr w:type="spellEnd"/>
      <w:r w:rsidRPr="00041D73">
        <w:rPr>
          <w:sz w:val="24"/>
          <w:lang w:val="da-DK"/>
        </w:rPr>
        <w:t xml:space="preserve"> for hormonforstyrrende stoffer, EFSA Journal 2010; 8(11): 1932, </w:t>
      </w:r>
      <w:hyperlink r:id="rId6" w:history="1">
        <w:r w:rsidRPr="00041D73">
          <w:rPr>
            <w:rStyle w:val="Hyperlink"/>
            <w:sz w:val="24"/>
            <w:lang w:val="da-DK"/>
          </w:rPr>
          <w:t>https://doi.org/10.2903/j.efsa.2010.1932</w:t>
        </w:r>
      </w:hyperlink>
      <w:r w:rsidRPr="00041D73">
        <w:rPr>
          <w:sz w:val="24"/>
          <w:lang w:val="da-DK"/>
        </w:rPr>
        <w:t xml:space="preserve">. </w:t>
      </w:r>
    </w:p>
  </w:footnote>
  <w:footnote w:id="13">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r w:rsidRPr="00041D73">
        <w:rPr>
          <w:sz w:val="24"/>
          <w:lang w:val="da-DK"/>
        </w:rPr>
        <w:t xml:space="preserve">Zhang, J., </w:t>
      </w:r>
      <w:proofErr w:type="spellStart"/>
      <w:r w:rsidRPr="00041D73">
        <w:rPr>
          <w:sz w:val="24"/>
          <w:lang w:val="da-DK"/>
        </w:rPr>
        <w:t>Jimenez</w:t>
      </w:r>
      <w:proofErr w:type="spellEnd"/>
      <w:r w:rsidRPr="00041D73">
        <w:rPr>
          <w:sz w:val="24"/>
          <w:lang w:val="da-DK"/>
        </w:rPr>
        <w:t xml:space="preserve">, L.L., </w:t>
      </w:r>
      <w:proofErr w:type="spellStart"/>
      <w:r w:rsidRPr="00041D73">
        <w:rPr>
          <w:sz w:val="24"/>
          <w:lang w:val="da-DK"/>
        </w:rPr>
        <w:t>Snelders</w:t>
      </w:r>
      <w:proofErr w:type="spellEnd"/>
      <w:r w:rsidRPr="00041D73">
        <w:rPr>
          <w:sz w:val="24"/>
          <w:lang w:val="da-DK"/>
        </w:rPr>
        <w:t xml:space="preserve">, E., Debets, A.J.M., </w:t>
      </w:r>
      <w:proofErr w:type="spellStart"/>
      <w:r w:rsidRPr="00041D73">
        <w:rPr>
          <w:sz w:val="24"/>
          <w:lang w:val="da-DK"/>
        </w:rPr>
        <w:t>Rietveld</w:t>
      </w:r>
      <w:proofErr w:type="spellEnd"/>
      <w:r w:rsidRPr="00041D73">
        <w:rPr>
          <w:sz w:val="24"/>
          <w:lang w:val="da-DK"/>
        </w:rPr>
        <w:t xml:space="preserve">, A.G., </w:t>
      </w:r>
      <w:proofErr w:type="spellStart"/>
      <w:r w:rsidRPr="00041D73">
        <w:rPr>
          <w:sz w:val="24"/>
          <w:lang w:val="da-DK"/>
        </w:rPr>
        <w:t>Zwaan</w:t>
      </w:r>
      <w:proofErr w:type="spellEnd"/>
      <w:r w:rsidRPr="00041D73">
        <w:rPr>
          <w:sz w:val="24"/>
          <w:lang w:val="da-DK"/>
        </w:rPr>
        <w:t xml:space="preserve">, B.J., </w:t>
      </w:r>
      <w:proofErr w:type="spellStart"/>
      <w:r w:rsidRPr="00041D73">
        <w:rPr>
          <w:sz w:val="24"/>
          <w:lang w:val="da-DK"/>
        </w:rPr>
        <w:t>Verweij</w:t>
      </w:r>
      <w:proofErr w:type="spellEnd"/>
      <w:r w:rsidRPr="00041D73">
        <w:rPr>
          <w:sz w:val="24"/>
          <w:lang w:val="da-DK"/>
        </w:rPr>
        <w:t xml:space="preserve">, P.E., </w:t>
      </w:r>
      <w:proofErr w:type="spellStart"/>
      <w:r w:rsidRPr="00041D73">
        <w:rPr>
          <w:sz w:val="24"/>
          <w:lang w:val="da-DK"/>
        </w:rPr>
        <w:t>Schoustra</w:t>
      </w:r>
      <w:proofErr w:type="spellEnd"/>
      <w:r w:rsidRPr="00041D73">
        <w:rPr>
          <w:sz w:val="24"/>
          <w:lang w:val="da-DK"/>
        </w:rPr>
        <w:t xml:space="preserve">, S.E., "Dynamics of </w:t>
      </w:r>
      <w:proofErr w:type="spellStart"/>
      <w:r w:rsidRPr="00041D73">
        <w:rPr>
          <w:i/>
          <w:sz w:val="24"/>
          <w:lang w:val="da-DK"/>
        </w:rPr>
        <w:t>Aspergillus</w:t>
      </w:r>
      <w:proofErr w:type="spellEnd"/>
      <w:r w:rsidRPr="00041D73">
        <w:rPr>
          <w:i/>
          <w:sz w:val="24"/>
          <w:lang w:val="da-DK"/>
        </w:rPr>
        <w:t xml:space="preserve"> </w:t>
      </w:r>
      <w:proofErr w:type="spellStart"/>
      <w:r w:rsidRPr="00041D73">
        <w:rPr>
          <w:i/>
          <w:sz w:val="24"/>
          <w:lang w:val="da-DK"/>
        </w:rPr>
        <w:t>fumigatus</w:t>
      </w:r>
      <w:proofErr w:type="spellEnd"/>
      <w:r w:rsidRPr="00041D73">
        <w:rPr>
          <w:sz w:val="24"/>
          <w:lang w:val="da-DK"/>
        </w:rPr>
        <w:t xml:space="preserve"> in </w:t>
      </w:r>
      <w:proofErr w:type="spellStart"/>
      <w:r w:rsidRPr="00041D73">
        <w:rPr>
          <w:sz w:val="24"/>
          <w:lang w:val="da-DK"/>
        </w:rPr>
        <w:t>Azole</w:t>
      </w:r>
      <w:proofErr w:type="spellEnd"/>
      <w:r w:rsidRPr="00041D73">
        <w:rPr>
          <w:sz w:val="24"/>
          <w:lang w:val="da-DK"/>
        </w:rPr>
        <w:t xml:space="preserve"> Fungicide-</w:t>
      </w:r>
      <w:proofErr w:type="spellStart"/>
      <w:r w:rsidRPr="00041D73">
        <w:rPr>
          <w:sz w:val="24"/>
          <w:lang w:val="da-DK"/>
        </w:rPr>
        <w:t>Containing</w:t>
      </w:r>
      <w:proofErr w:type="spellEnd"/>
      <w:r w:rsidRPr="00041D73">
        <w:rPr>
          <w:sz w:val="24"/>
          <w:lang w:val="da-DK"/>
        </w:rPr>
        <w:t xml:space="preserve"> Plant Waste in the </w:t>
      </w:r>
      <w:proofErr w:type="spellStart"/>
      <w:r w:rsidRPr="00041D73">
        <w:rPr>
          <w:sz w:val="24"/>
          <w:lang w:val="da-DK"/>
        </w:rPr>
        <w:t>Netherlands</w:t>
      </w:r>
      <w:proofErr w:type="spellEnd"/>
      <w:r w:rsidRPr="00041D73">
        <w:rPr>
          <w:sz w:val="24"/>
          <w:lang w:val="da-DK"/>
        </w:rPr>
        <w:t xml:space="preserve"> (2016-2017)", Applied and </w:t>
      </w:r>
      <w:proofErr w:type="spellStart"/>
      <w:r w:rsidRPr="00041D73">
        <w:rPr>
          <w:sz w:val="24"/>
          <w:lang w:val="da-DK"/>
        </w:rPr>
        <w:t>Environmental</w:t>
      </w:r>
      <w:proofErr w:type="spellEnd"/>
      <w:r w:rsidRPr="00041D73">
        <w:rPr>
          <w:sz w:val="24"/>
          <w:lang w:val="da-DK"/>
        </w:rPr>
        <w:t xml:space="preserve"> </w:t>
      </w:r>
      <w:proofErr w:type="spellStart"/>
      <w:r w:rsidRPr="00041D73">
        <w:rPr>
          <w:sz w:val="24"/>
          <w:lang w:val="da-DK"/>
        </w:rPr>
        <w:t>Microbiology</w:t>
      </w:r>
      <w:proofErr w:type="spellEnd"/>
      <w:r w:rsidRPr="00041D73">
        <w:rPr>
          <w:sz w:val="24"/>
          <w:lang w:val="da-DK"/>
        </w:rPr>
        <w:t xml:space="preserve"> 2021, 87:e02295-20, </w:t>
      </w:r>
      <w:hyperlink r:id="rId7" w:history="1">
        <w:r w:rsidRPr="00041D73">
          <w:rPr>
            <w:rStyle w:val="Hyperlink"/>
            <w:sz w:val="24"/>
            <w:lang w:val="da-DK"/>
          </w:rPr>
          <w:t>https://doi.org/10.1128/AEM.02295-20</w:t>
        </w:r>
      </w:hyperlink>
      <w:r w:rsidRPr="00041D73">
        <w:rPr>
          <w:color w:val="000000"/>
          <w:sz w:val="24"/>
          <w:lang w:val="da-DK"/>
        </w:rPr>
        <w:t xml:space="preserve">; Det danske Miljø- og Fødevareudvalgs arbejdsgruppe vedrørende </w:t>
      </w:r>
      <w:proofErr w:type="spellStart"/>
      <w:r w:rsidRPr="00041D73">
        <w:rPr>
          <w:color w:val="000000"/>
          <w:sz w:val="24"/>
          <w:lang w:val="da-DK"/>
        </w:rPr>
        <w:t>azolresistens</w:t>
      </w:r>
      <w:proofErr w:type="spellEnd"/>
      <w:r w:rsidRPr="00041D73">
        <w:rPr>
          <w:color w:val="000000"/>
          <w:sz w:val="24"/>
          <w:lang w:val="da-DK"/>
        </w:rPr>
        <w:t xml:space="preserve">, </w:t>
      </w:r>
      <w:hyperlink r:id="rId8" w:history="1">
        <w:r w:rsidRPr="00041D73">
          <w:rPr>
            <w:rStyle w:val="Hyperlink"/>
            <w:sz w:val="24"/>
            <w:lang w:val="da-DK"/>
          </w:rPr>
          <w:t>https://www.ft.dk/samling/20181/almdel/MOF/bilag/407/2016336.pdf</w:t>
        </w:r>
      </w:hyperlink>
      <w:r w:rsidRPr="00041D73">
        <w:rPr>
          <w:color w:val="000000"/>
          <w:sz w:val="24"/>
          <w:lang w:val="da-DK"/>
        </w:rPr>
        <w:t xml:space="preserve">; </w:t>
      </w:r>
      <w:proofErr w:type="spellStart"/>
      <w:r w:rsidRPr="00041D73">
        <w:rPr>
          <w:color w:val="000000"/>
          <w:sz w:val="24"/>
          <w:lang w:val="da-DK"/>
        </w:rPr>
        <w:t>Snelders</w:t>
      </w:r>
      <w:proofErr w:type="spellEnd"/>
      <w:r w:rsidRPr="00041D73">
        <w:rPr>
          <w:color w:val="000000"/>
          <w:sz w:val="24"/>
          <w:lang w:val="da-DK"/>
        </w:rPr>
        <w:t xml:space="preserve">, E., Camps, S.M.T., </w:t>
      </w:r>
      <w:proofErr w:type="spellStart"/>
      <w:r w:rsidRPr="00041D73">
        <w:rPr>
          <w:color w:val="000000"/>
          <w:sz w:val="24"/>
          <w:lang w:val="da-DK"/>
        </w:rPr>
        <w:t>Karawajczyk</w:t>
      </w:r>
      <w:proofErr w:type="spellEnd"/>
      <w:r w:rsidRPr="00041D73">
        <w:rPr>
          <w:color w:val="000000"/>
          <w:sz w:val="24"/>
          <w:lang w:val="da-DK"/>
        </w:rPr>
        <w:t xml:space="preserve">, A., </w:t>
      </w:r>
      <w:proofErr w:type="spellStart"/>
      <w:r w:rsidRPr="00041D73">
        <w:rPr>
          <w:color w:val="000000"/>
          <w:sz w:val="24"/>
          <w:lang w:val="da-DK"/>
        </w:rPr>
        <w:t>Schaftenaar</w:t>
      </w:r>
      <w:proofErr w:type="spellEnd"/>
      <w:r w:rsidRPr="00041D73">
        <w:rPr>
          <w:color w:val="000000"/>
          <w:sz w:val="24"/>
          <w:lang w:val="da-DK"/>
        </w:rPr>
        <w:t>, G., Kema, G.H.J., van der Lee, H.A., et al., "</w:t>
      </w:r>
      <w:proofErr w:type="spellStart"/>
      <w:r w:rsidRPr="00041D73">
        <w:rPr>
          <w:color w:val="000000"/>
          <w:sz w:val="24"/>
          <w:lang w:val="da-DK"/>
        </w:rPr>
        <w:t>Triazole</w:t>
      </w:r>
      <w:proofErr w:type="spellEnd"/>
      <w:r w:rsidRPr="00041D73">
        <w:rPr>
          <w:color w:val="000000"/>
          <w:sz w:val="24"/>
          <w:lang w:val="da-DK"/>
        </w:rPr>
        <w:t xml:space="preserve"> Fungicides Can </w:t>
      </w:r>
      <w:proofErr w:type="spellStart"/>
      <w:r w:rsidRPr="00041D73">
        <w:rPr>
          <w:color w:val="000000"/>
          <w:sz w:val="24"/>
          <w:lang w:val="da-DK"/>
        </w:rPr>
        <w:t>Induce</w:t>
      </w:r>
      <w:proofErr w:type="spellEnd"/>
      <w:r w:rsidRPr="00041D73">
        <w:rPr>
          <w:color w:val="000000"/>
          <w:sz w:val="24"/>
          <w:lang w:val="da-DK"/>
        </w:rPr>
        <w:t xml:space="preserve"> Cross-</w:t>
      </w:r>
      <w:proofErr w:type="spellStart"/>
      <w:r w:rsidRPr="00041D73">
        <w:rPr>
          <w:color w:val="000000"/>
          <w:sz w:val="24"/>
          <w:lang w:val="da-DK"/>
        </w:rPr>
        <w:t>Resistance</w:t>
      </w:r>
      <w:proofErr w:type="spellEnd"/>
      <w:r w:rsidRPr="00041D73">
        <w:rPr>
          <w:color w:val="000000"/>
          <w:sz w:val="24"/>
          <w:lang w:val="da-DK"/>
        </w:rPr>
        <w:t xml:space="preserve"> to Medical </w:t>
      </w:r>
      <w:proofErr w:type="spellStart"/>
      <w:r w:rsidRPr="00041D73">
        <w:rPr>
          <w:color w:val="000000"/>
          <w:sz w:val="24"/>
          <w:lang w:val="da-DK"/>
        </w:rPr>
        <w:t>Triazoles</w:t>
      </w:r>
      <w:proofErr w:type="spellEnd"/>
      <w:r w:rsidRPr="00041D73">
        <w:rPr>
          <w:color w:val="000000"/>
          <w:sz w:val="24"/>
          <w:lang w:val="da-DK"/>
        </w:rPr>
        <w:t xml:space="preserve"> in </w:t>
      </w:r>
      <w:proofErr w:type="spellStart"/>
      <w:r w:rsidRPr="00041D73">
        <w:rPr>
          <w:i/>
          <w:color w:val="000000"/>
          <w:sz w:val="24"/>
          <w:lang w:val="da-DK"/>
        </w:rPr>
        <w:t>Aspergillus</w:t>
      </w:r>
      <w:proofErr w:type="spellEnd"/>
      <w:r w:rsidRPr="00041D73">
        <w:rPr>
          <w:i/>
          <w:color w:val="000000"/>
          <w:sz w:val="24"/>
          <w:lang w:val="da-DK"/>
        </w:rPr>
        <w:t xml:space="preserve"> </w:t>
      </w:r>
      <w:proofErr w:type="spellStart"/>
      <w:r w:rsidRPr="00041D73">
        <w:rPr>
          <w:i/>
          <w:color w:val="000000"/>
          <w:sz w:val="24"/>
          <w:lang w:val="da-DK"/>
        </w:rPr>
        <w:t>fumigatus</w:t>
      </w:r>
      <w:proofErr w:type="spellEnd"/>
      <w:r w:rsidRPr="00041D73">
        <w:rPr>
          <w:i/>
          <w:color w:val="000000"/>
          <w:sz w:val="24"/>
          <w:lang w:val="da-DK"/>
        </w:rPr>
        <w:t>"</w:t>
      </w:r>
      <w:r w:rsidRPr="00041D73">
        <w:rPr>
          <w:color w:val="000000"/>
          <w:sz w:val="24"/>
          <w:lang w:val="da-DK"/>
        </w:rPr>
        <w:t xml:space="preserve">. </w:t>
      </w:r>
      <w:proofErr w:type="spellStart"/>
      <w:r w:rsidRPr="00041D73">
        <w:rPr>
          <w:color w:val="000000"/>
          <w:sz w:val="24"/>
          <w:lang w:val="da-DK"/>
        </w:rPr>
        <w:t>PLoS</w:t>
      </w:r>
      <w:proofErr w:type="spellEnd"/>
      <w:r w:rsidRPr="00041D73">
        <w:rPr>
          <w:color w:val="000000"/>
          <w:sz w:val="24"/>
          <w:lang w:val="da-DK"/>
        </w:rPr>
        <w:t xml:space="preserve"> ONE 2012, 7(3): e31801. https://doi.org/10.1371/journal.pone.0031801.</w:t>
      </w:r>
    </w:p>
  </w:footnote>
  <w:footnote w:id="14">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hyperlink r:id="rId9" w:history="1">
        <w:r w:rsidRPr="00041D73">
          <w:rPr>
            <w:rStyle w:val="Hyperlink"/>
            <w:sz w:val="24"/>
            <w:lang w:val="da-DK"/>
          </w:rPr>
          <w:t>https://open.efsa.europa.eu/question/EFSA-Q-2022-00040</w:t>
        </w:r>
      </w:hyperlink>
      <w:r w:rsidRPr="00041D73">
        <w:rPr>
          <w:sz w:val="24"/>
          <w:lang w:val="da-DK"/>
        </w:rPr>
        <w:t>.</w:t>
      </w:r>
    </w:p>
  </w:footnote>
  <w:footnote w:id="15">
    <w:p w:rsidR="00265F5F" w:rsidRPr="00041D73" w:rsidRDefault="00265F5F" w:rsidP="00041D73">
      <w:pPr>
        <w:pStyle w:val="FootnoteText"/>
        <w:ind w:left="567" w:hanging="567"/>
        <w:rPr>
          <w:sz w:val="24"/>
          <w:lang w:val="da-DK"/>
        </w:rPr>
      </w:pPr>
      <w:r w:rsidRPr="00041D73">
        <w:rPr>
          <w:rStyle w:val="FootnoteReference"/>
          <w:sz w:val="24"/>
          <w:lang w:val="da-DK"/>
        </w:rPr>
        <w:footnoteRef/>
      </w:r>
      <w:r w:rsidR="00041D73" w:rsidRPr="00041D73">
        <w:rPr>
          <w:sz w:val="24"/>
          <w:lang w:val="da-DK"/>
        </w:rPr>
        <w:t xml:space="preserve"> </w:t>
      </w:r>
      <w:r w:rsidR="00041D73" w:rsidRPr="00041D73">
        <w:rPr>
          <w:sz w:val="24"/>
          <w:lang w:val="da-DK"/>
        </w:rPr>
        <w:tab/>
      </w:r>
      <w:hyperlink r:id="rId10" w:history="1">
        <w:r w:rsidRPr="00041D73">
          <w:rPr>
            <w:rStyle w:val="Hyperlink"/>
            <w:sz w:val="24"/>
            <w:lang w:val="da-DK"/>
          </w:rPr>
          <w:t>https://ec.europa.eu/transparency/comitology-register/screen/documents/089880/5/consult?lang=da</w:t>
        </w:r>
      </w:hyperlink>
      <w:r w:rsidRPr="00041D73">
        <w:rPr>
          <w:rStyle w:val="Hyperlink"/>
          <w:sz w:val="24"/>
          <w:lang w:val="da-DK"/>
        </w:rPr>
        <w:t>.</w:t>
      </w:r>
      <w:r w:rsidRPr="00041D73">
        <w:rPr>
          <w:sz w:val="24"/>
          <w:lang w:val="da-DK"/>
        </w:rPr>
        <w:t xml:space="preserve"> </w:t>
      </w:r>
    </w:p>
  </w:footnote>
  <w:footnote w:id="16">
    <w:p w:rsidR="00265F5F" w:rsidRPr="00041D73" w:rsidRDefault="00265F5F" w:rsidP="00041D73">
      <w:pPr>
        <w:pStyle w:val="FootnoteText"/>
        <w:ind w:left="567" w:hanging="567"/>
        <w:rPr>
          <w:sz w:val="24"/>
          <w:lang w:val="da-DK"/>
        </w:rPr>
      </w:pPr>
      <w:r w:rsidRPr="00041D73">
        <w:rPr>
          <w:sz w:val="24"/>
          <w:vertAlign w:val="superscript"/>
          <w:lang w:val="da-DK"/>
        </w:rPr>
        <w:footnoteRef/>
      </w:r>
      <w:r w:rsidR="00041D73" w:rsidRPr="00041D73">
        <w:rPr>
          <w:sz w:val="24"/>
          <w:lang w:val="da-DK"/>
        </w:rPr>
        <w:t xml:space="preserve"> </w:t>
      </w:r>
      <w:r w:rsidR="00041D73" w:rsidRPr="00041D73">
        <w:rPr>
          <w:sz w:val="24"/>
          <w:lang w:val="da-DK"/>
        </w:rPr>
        <w:tab/>
      </w:r>
      <w:proofErr w:type="gramStart"/>
      <w:r w:rsidRPr="00041D73">
        <w:rPr>
          <w:sz w:val="24"/>
          <w:lang w:val="da-DK"/>
        </w:rPr>
        <w:t>COM(</w:t>
      </w:r>
      <w:proofErr w:type="gramEnd"/>
      <w:r w:rsidRPr="00041D73">
        <w:rPr>
          <w:sz w:val="24"/>
          <w:lang w:val="da-DK"/>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D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DA"/>
    <w:docVar w:name="dvnumam" w:val="0"/>
    <w:docVar w:name="dvpe" w:val="763.091"/>
    <w:docVar w:name="dvtitre" w:val="Europa-Parlamentets beslutning af xx. september 2024 om udkast til Kommissionens forordning om ændring af bilag II og III til Europa-Parlamentets og Rådets forordning (EF) nr. 396/2005 for så vidt angår maksimalgrænseværdierne for cyproconazol og spirodiclofen i eller på visse produkter(D091952/05 – 2024/2759(RPS))"/>
  </w:docVars>
  <w:rsids>
    <w:rsidRoot w:val="0086312A"/>
    <w:rsid w:val="00002272"/>
    <w:rsid w:val="00041D73"/>
    <w:rsid w:val="00064002"/>
    <w:rsid w:val="000677B9"/>
    <w:rsid w:val="000831BA"/>
    <w:rsid w:val="000A42CC"/>
    <w:rsid w:val="000E7DD9"/>
    <w:rsid w:val="0010095E"/>
    <w:rsid w:val="00125B37"/>
    <w:rsid w:val="00187494"/>
    <w:rsid w:val="001F32AE"/>
    <w:rsid w:val="00265F5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5E5"/>
    <w:rsid w:val="004C5D52"/>
    <w:rsid w:val="0050519A"/>
    <w:rsid w:val="005072A1"/>
    <w:rsid w:val="00514517"/>
    <w:rsid w:val="00545827"/>
    <w:rsid w:val="00560270"/>
    <w:rsid w:val="00585F7E"/>
    <w:rsid w:val="005C2568"/>
    <w:rsid w:val="005F1B17"/>
    <w:rsid w:val="006037C0"/>
    <w:rsid w:val="006631B6"/>
    <w:rsid w:val="00680577"/>
    <w:rsid w:val="006A240F"/>
    <w:rsid w:val="006F74FA"/>
    <w:rsid w:val="00726B3B"/>
    <w:rsid w:val="00731ADD"/>
    <w:rsid w:val="00734777"/>
    <w:rsid w:val="00747932"/>
    <w:rsid w:val="00751A4A"/>
    <w:rsid w:val="00756632"/>
    <w:rsid w:val="00762C74"/>
    <w:rsid w:val="00786EC0"/>
    <w:rsid w:val="007D1690"/>
    <w:rsid w:val="007E22AD"/>
    <w:rsid w:val="00817416"/>
    <w:rsid w:val="00842779"/>
    <w:rsid w:val="0086312A"/>
    <w:rsid w:val="00865F67"/>
    <w:rsid w:val="00881A7B"/>
    <w:rsid w:val="008840E5"/>
    <w:rsid w:val="00887B3E"/>
    <w:rsid w:val="008C2AC6"/>
    <w:rsid w:val="00930C23"/>
    <w:rsid w:val="0093193B"/>
    <w:rsid w:val="009509D8"/>
    <w:rsid w:val="00950B64"/>
    <w:rsid w:val="00981893"/>
    <w:rsid w:val="00A1687D"/>
    <w:rsid w:val="00A43E52"/>
    <w:rsid w:val="00A4678D"/>
    <w:rsid w:val="00A72293"/>
    <w:rsid w:val="00A778C7"/>
    <w:rsid w:val="00AB441E"/>
    <w:rsid w:val="00AB6293"/>
    <w:rsid w:val="00AE0928"/>
    <w:rsid w:val="00AF3B82"/>
    <w:rsid w:val="00B12E95"/>
    <w:rsid w:val="00B22876"/>
    <w:rsid w:val="00B558F0"/>
    <w:rsid w:val="00B721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D6757"/>
  <w15:chartTrackingRefBased/>
  <w15:docId w15:val="{E81286F9-882E-4B38-A020-27C41757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5F5F"/>
    <w:pPr>
      <w:spacing w:before="480" w:after="240"/>
    </w:pPr>
  </w:style>
  <w:style w:type="paragraph" w:customStyle="1" w:styleId="NormalHanging12a">
    <w:name w:val="NormalHanging12a"/>
    <w:basedOn w:val="Normal"/>
    <w:uiPriority w:val="99"/>
    <w:rsid w:val="00265F5F"/>
    <w:pPr>
      <w:spacing w:after="240"/>
      <w:ind w:left="567" w:hanging="567"/>
    </w:pPr>
  </w:style>
  <w:style w:type="character" w:styleId="Hyperlink">
    <w:name w:val="Hyperlink"/>
    <w:basedOn w:val="DefaultParagraphFont"/>
    <w:uiPriority w:val="99"/>
    <w:rsid w:val="00265F5F"/>
    <w:rPr>
      <w:color w:val="0563C1" w:themeColor="hyperlink"/>
      <w:u w:val="single"/>
    </w:rPr>
  </w:style>
  <w:style w:type="paragraph" w:styleId="BalloonText">
    <w:name w:val="Balloon Text"/>
    <w:basedOn w:val="Normal"/>
    <w:link w:val="BalloonTextChar"/>
    <w:rsid w:val="00585F7E"/>
    <w:rPr>
      <w:rFonts w:ascii="Segoe UI" w:hAnsi="Segoe UI" w:cs="Segoe UI"/>
      <w:sz w:val="18"/>
      <w:szCs w:val="18"/>
    </w:rPr>
  </w:style>
  <w:style w:type="character" w:customStyle="1" w:styleId="BalloonTextChar">
    <w:name w:val="Balloon Text Char"/>
    <w:basedOn w:val="DefaultParagraphFont"/>
    <w:link w:val="BalloonText"/>
    <w:rsid w:val="00585F7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da"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03E5F-1118-42C8-A4F9-FEED8D4AA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1947</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RORMAND Mia</cp:lastModifiedBy>
  <cp:revision>2</cp:revision>
  <cp:lastPrinted>2004-11-19T15:42:00Z</cp:lastPrinted>
  <dcterms:created xsi:type="dcterms:W3CDTF">2024-10-21T11:58:00Z</dcterms:created>
  <dcterms:modified xsi:type="dcterms:W3CDTF">2024-10-21T11:58:00Z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P10_TA-PROV(2024)0007_B10-0021_2024_</vt:lpwstr>
  </property>
  <property fmtid="{D5CDD505-2E9C-101B-9397-08002B2CF9AE}" pid="4" name="&lt;Type&gt;">
    <vt:lpwstr>RR</vt:lpwstr>
  </property>
</Properties>
</file>