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05CF" w:rsidTr="0010095E">
        <w:trPr>
          <w:trHeight w:hRule="exact" w:val="1418"/>
        </w:trPr>
        <w:tc>
          <w:tcPr>
            <w:tcW w:w="6804" w:type="dxa"/>
            <w:shd w:val="clear" w:color="auto" w:fill="auto"/>
            <w:vAlign w:val="center"/>
          </w:tcPr>
          <w:p w:rsidR="00751A4A" w:rsidRPr="00E105CF" w:rsidRDefault="00C07B96" w:rsidP="0010095E">
            <w:pPr>
              <w:pStyle w:val="EPName"/>
            </w:pPr>
            <w:bookmarkStart w:id="0" w:name="_GoBack"/>
            <w:bookmarkEnd w:id="0"/>
            <w:r w:rsidRPr="00E105CF">
              <w:t>Ευρωπαϊκό Κοινοβούλιο</w:t>
            </w:r>
          </w:p>
          <w:p w:rsidR="00751A4A" w:rsidRPr="00E105CF" w:rsidRDefault="005F1B17" w:rsidP="005F1B17">
            <w:pPr>
              <w:pStyle w:val="EPTerm"/>
              <w:rPr>
                <w:rStyle w:val="HideTWBExt"/>
                <w:noProof w:val="0"/>
                <w:vanish w:val="0"/>
                <w:color w:val="auto"/>
              </w:rPr>
            </w:pPr>
            <w:r w:rsidRPr="00E105CF">
              <w:t>2024</w:t>
            </w:r>
            <w:r w:rsidR="00817416" w:rsidRPr="00E105CF">
              <w:t>-202</w:t>
            </w:r>
            <w:r w:rsidRPr="00E105CF">
              <w:t>9</w:t>
            </w:r>
          </w:p>
        </w:tc>
        <w:tc>
          <w:tcPr>
            <w:tcW w:w="2268" w:type="dxa"/>
            <w:shd w:val="clear" w:color="auto" w:fill="auto"/>
          </w:tcPr>
          <w:p w:rsidR="00751A4A" w:rsidRPr="00E105CF" w:rsidRDefault="00187494" w:rsidP="0010095E">
            <w:pPr>
              <w:pStyle w:val="EPLogo"/>
            </w:pPr>
            <w:r w:rsidRPr="00E105C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105CF" w:rsidRDefault="00D058B8" w:rsidP="004C5D52">
      <w:pPr>
        <w:pStyle w:val="LineTop"/>
      </w:pPr>
    </w:p>
    <w:p w:rsidR="00680577" w:rsidRPr="00E105CF" w:rsidRDefault="00C07B96" w:rsidP="00680577">
      <w:pPr>
        <w:pStyle w:val="EPBodyTA1"/>
      </w:pPr>
      <w:r w:rsidRPr="00E105CF">
        <w:t>ΚΕΙΜΕΝΑ ΠΟΥ ΕΓΚΡΙΘΗΚΑΝ</w:t>
      </w:r>
    </w:p>
    <w:p w:rsidR="00D058B8" w:rsidRPr="00E105CF" w:rsidRDefault="00D058B8" w:rsidP="00D058B8">
      <w:pPr>
        <w:pStyle w:val="LineBottom"/>
      </w:pPr>
    </w:p>
    <w:p w:rsidR="00C07B96" w:rsidRPr="00E105CF" w:rsidRDefault="00C07B96" w:rsidP="00C07B96">
      <w:pPr>
        <w:pStyle w:val="ATHeading1"/>
      </w:pPr>
      <w:bookmarkStart w:id="1" w:name="TANumber"/>
      <w:r w:rsidRPr="00E105CF">
        <w:t>P10_TA(2024)000</w:t>
      </w:r>
      <w:r w:rsidR="00E105CF" w:rsidRPr="00E105CF">
        <w:t>7</w:t>
      </w:r>
      <w:bookmarkEnd w:id="1"/>
    </w:p>
    <w:p w:rsidR="00C07B96" w:rsidRPr="00E105CF" w:rsidRDefault="00C57CE2" w:rsidP="00C07B96">
      <w:pPr>
        <w:pStyle w:val="ATHeading2"/>
      </w:pPr>
      <w:r w:rsidRPr="00E105CF">
        <w:t xml:space="preserve">Αντίρρηση σε εκτελεστική πράξη: ανώτατα όρια καταλοίπων για την ουσία </w:t>
      </w:r>
      <w:proofErr w:type="spellStart"/>
      <w:r w:rsidRPr="00E105CF">
        <w:t>cyproconazole</w:t>
      </w:r>
      <w:proofErr w:type="spellEnd"/>
      <w:r w:rsidRPr="00E105CF">
        <w:t xml:space="preserve"> (</w:t>
      </w:r>
      <w:proofErr w:type="spellStart"/>
      <w:r w:rsidRPr="00E105CF">
        <w:t>κυπροκοναζόλη</w:t>
      </w:r>
      <w:proofErr w:type="spellEnd"/>
      <w:r w:rsidRPr="00E105CF">
        <w:t>)</w:t>
      </w:r>
    </w:p>
    <w:p w:rsidR="00C07B96" w:rsidRPr="00E105CF" w:rsidRDefault="00C07B96" w:rsidP="00C07B96">
      <w:pPr>
        <w:rPr>
          <w:i/>
          <w:vanish/>
        </w:rPr>
      </w:pPr>
      <w:r w:rsidRPr="00E105CF">
        <w:rPr>
          <w:i/>
        </w:rPr>
        <w:fldChar w:fldCharType="begin"/>
      </w:r>
      <w:r w:rsidRPr="00E105CF">
        <w:rPr>
          <w:i/>
        </w:rPr>
        <w:instrText xml:space="preserve"> TC"(</w:instrText>
      </w:r>
      <w:bookmarkStart w:id="2" w:name="DocNumber"/>
      <w:r w:rsidRPr="00E105CF">
        <w:rPr>
          <w:i/>
        </w:rPr>
        <w:instrText>B10-0021/2024</w:instrText>
      </w:r>
      <w:bookmarkEnd w:id="2"/>
      <w:r w:rsidRPr="00E105CF">
        <w:rPr>
          <w:i/>
        </w:rPr>
        <w:instrText xml:space="preserve">)"\l3 \n&gt; \* MERGEFORMAT </w:instrText>
      </w:r>
      <w:r w:rsidRPr="00E105CF">
        <w:rPr>
          <w:i/>
        </w:rPr>
        <w:fldChar w:fldCharType="end"/>
      </w:r>
    </w:p>
    <w:p w:rsidR="00C07B96" w:rsidRPr="00E105CF" w:rsidRDefault="00C07B96" w:rsidP="00C07B96">
      <w:pPr>
        <w:rPr>
          <w:vanish/>
        </w:rPr>
      </w:pPr>
      <w:bookmarkStart w:id="3" w:name="PE"/>
      <w:r w:rsidRPr="00E105CF">
        <w:rPr>
          <w:vanish/>
        </w:rPr>
        <w:t>PE763.091</w:t>
      </w:r>
      <w:bookmarkEnd w:id="3"/>
    </w:p>
    <w:p w:rsidR="00C07B96" w:rsidRPr="00E105CF" w:rsidRDefault="00C07B96" w:rsidP="00C07B96">
      <w:pPr>
        <w:pStyle w:val="ATHeading3"/>
      </w:pPr>
      <w:bookmarkStart w:id="4" w:name="Sujet"/>
      <w:r w:rsidRPr="00E105CF">
        <w:t xml:space="preserve">Ψήφισμα του Ευρωπαϊκού Κοινοβουλίου </w:t>
      </w:r>
      <w:r w:rsidR="00C57CE2" w:rsidRPr="00E105CF">
        <w:t xml:space="preserve">της 18ης Σεπτεμβρίου 2024 </w:t>
      </w:r>
      <w:r w:rsidRPr="00E105CF">
        <w:t xml:space="preserve">σχετικά με το σχέδιο κανονισμού της Επιτροπής για την τροποποίηση των παραρτημάτων II και III του κανονισμού (ΕΚ) αριθ. 396/2005 του Ευρωπαϊκού Κοινοβουλίου και του Συμβουλίου όσον αφορά τα ανώτατα όρια καταλοίπων για τις ουσίες </w:t>
      </w:r>
      <w:proofErr w:type="spellStart"/>
      <w:r w:rsidRPr="00E105CF">
        <w:t>cyproconazole</w:t>
      </w:r>
      <w:proofErr w:type="spellEnd"/>
      <w:r w:rsidRPr="00E105CF">
        <w:t xml:space="preserve"> (</w:t>
      </w:r>
      <w:proofErr w:type="spellStart"/>
      <w:r w:rsidRPr="00E105CF">
        <w:t>κυπροκοναζόλη</w:t>
      </w:r>
      <w:proofErr w:type="spellEnd"/>
      <w:r w:rsidRPr="00E105CF">
        <w:t xml:space="preserve">) και </w:t>
      </w:r>
      <w:proofErr w:type="spellStart"/>
      <w:r w:rsidRPr="00E105CF">
        <w:t>spirodiclofen</w:t>
      </w:r>
      <w:proofErr w:type="spellEnd"/>
      <w:r w:rsidRPr="00E105CF">
        <w:t xml:space="preserve"> (</w:t>
      </w:r>
      <w:proofErr w:type="spellStart"/>
      <w:r w:rsidRPr="00E105CF">
        <w:t>σπιροδικλοφαίνη</w:t>
      </w:r>
      <w:proofErr w:type="spellEnd"/>
      <w:r w:rsidRPr="00E105CF">
        <w:t>) μέσα ή πάνω σε ορισμένα προϊόντα</w:t>
      </w:r>
      <w:bookmarkEnd w:id="4"/>
      <w:r w:rsidRPr="00E105CF">
        <w:t xml:space="preserve"> </w:t>
      </w:r>
      <w:bookmarkStart w:id="5" w:name="References"/>
      <w:r w:rsidRPr="00E105CF">
        <w:t>(D091952/05 – 2024/2759(RPS))</w:t>
      </w:r>
      <w:bookmarkEnd w:id="5"/>
    </w:p>
    <w:p w:rsidR="00CE1177" w:rsidRPr="00E105CF" w:rsidRDefault="00CE1177" w:rsidP="00CE1177">
      <w:pPr>
        <w:pStyle w:val="EPComma"/>
      </w:pPr>
      <w:bookmarkStart w:id="6" w:name="TextBodyBegin"/>
      <w:bookmarkEnd w:id="6"/>
      <w:r w:rsidRPr="00E105CF">
        <w:rPr>
          <w:i/>
        </w:rPr>
        <w:t>Το Ευρωπαϊκό Κοινοβούλιο</w:t>
      </w:r>
      <w:r w:rsidRPr="00E105CF">
        <w:t>,</w:t>
      </w:r>
    </w:p>
    <w:p w:rsidR="00CE1177" w:rsidRPr="00E105CF" w:rsidRDefault="00CE1177" w:rsidP="00CE1177">
      <w:pPr>
        <w:pStyle w:val="NormalHanging12a"/>
      </w:pPr>
      <w:r w:rsidRPr="00E105CF">
        <w:t>–</w:t>
      </w:r>
      <w:r w:rsidRPr="00E105CF">
        <w:tab/>
        <w:t xml:space="preserve">έχοντας υπόψη το σχέδιο κανονισμού της Επιτροπής για την τροποποίηση των παραρτημάτων II και III του κανονισμού (ΕΚ) αριθ. 396/2005 του Ευρωπαϊκού Κοινοβουλίου και του Συμβουλίου όσον αφορά τα ανώτατα όρια καταλοίπων για τις ουσίες </w:t>
      </w:r>
      <w:proofErr w:type="spellStart"/>
      <w:r w:rsidRPr="00E105CF">
        <w:t>cyproconazole</w:t>
      </w:r>
      <w:proofErr w:type="spellEnd"/>
      <w:r w:rsidRPr="00E105CF">
        <w:t xml:space="preserve"> (</w:t>
      </w:r>
      <w:proofErr w:type="spellStart"/>
      <w:r w:rsidRPr="00E105CF">
        <w:t>κυπροκοναζόλη</w:t>
      </w:r>
      <w:proofErr w:type="spellEnd"/>
      <w:r w:rsidRPr="00E105CF">
        <w:t xml:space="preserve">) και </w:t>
      </w:r>
      <w:proofErr w:type="spellStart"/>
      <w:r w:rsidRPr="00E105CF">
        <w:t>spirodiclofen</w:t>
      </w:r>
      <w:proofErr w:type="spellEnd"/>
      <w:r w:rsidRPr="00E105CF">
        <w:t xml:space="preserve"> (</w:t>
      </w:r>
      <w:proofErr w:type="spellStart"/>
      <w:r w:rsidRPr="00E105CF">
        <w:t>σπιροδικλοφαίνη</w:t>
      </w:r>
      <w:proofErr w:type="spellEnd"/>
      <w:r w:rsidRPr="00E105CF">
        <w:t>) μέσα ή πάνω σε ορισμένα προϊόντα (D091952/05),</w:t>
      </w:r>
    </w:p>
    <w:p w:rsidR="00CE1177" w:rsidRPr="00E105CF" w:rsidRDefault="00CE1177" w:rsidP="00CE1177">
      <w:pPr>
        <w:pStyle w:val="NormalHanging12a"/>
        <w:rPr>
          <w:szCs w:val="24"/>
        </w:rPr>
      </w:pPr>
      <w:r w:rsidRPr="00E105CF">
        <w:t>–</w:t>
      </w:r>
      <w:r w:rsidRPr="00E105CF">
        <w:tab/>
        <w:t>έχοντας υπόψη τον κανονισμό (ΕΚ) αριθ. 396/2005 του Ευρωπαϊκού Κοινοβουλίου και του Συμβουλίου, της 23ης Φεβρουαρίου 2005, για τα ανώτατα όρια καταλοίπων φυτοφαρμάκων μέσα ή πάνω στα τρόφιμα και τις ζωοτροφές φυτικής και ζωικής προέλευσης και για την τροποποίηση της οδηγίας 91/414/ΕΟΚ του Συμβουλίου</w:t>
      </w:r>
      <w:r w:rsidRPr="00E105CF">
        <w:rPr>
          <w:rStyle w:val="FootnoteReference"/>
        </w:rPr>
        <w:footnoteReference w:id="1"/>
      </w:r>
      <w:r w:rsidRPr="00E105CF">
        <w:t>, και ιδίως το άρθρο 14 παράγραφος 1 στοιχείο α) και το άρθρο 49 παράγραφος 2,</w:t>
      </w:r>
    </w:p>
    <w:p w:rsidR="00CE1177" w:rsidRPr="00E105CF" w:rsidRDefault="00CE1177" w:rsidP="00CE1177">
      <w:pPr>
        <w:pStyle w:val="NormalHanging12a"/>
        <w:rPr>
          <w:szCs w:val="24"/>
        </w:rPr>
      </w:pPr>
      <w:r w:rsidRPr="00E105CF">
        <w:t>–</w:t>
      </w:r>
      <w:r w:rsidRPr="00E105CF">
        <w:tab/>
        <w:t xml:space="preserve">έχοντας υπόψη τον κανονισμό (ΕΚ) αριθ. 1107/2009 του Ευρωπαϊκού Κοινοβουλίου και του Συμβουλίου, της 21ης Οκτωβρίου 2009, σχετικά με τη διάθεση </w:t>
      </w:r>
      <w:proofErr w:type="spellStart"/>
      <w:r w:rsidRPr="00E105CF">
        <w:t>φυτοπροστατευτικών</w:t>
      </w:r>
      <w:proofErr w:type="spellEnd"/>
      <w:r w:rsidRPr="00E105CF">
        <w:t xml:space="preserve"> προϊόντων στην αγορά και την κατάργηση των οδηγιών 79/117/ΕΟΚ και 91/414/ΕΟΚ του Συμβουλίου</w:t>
      </w:r>
      <w:r w:rsidRPr="00E105CF">
        <w:rPr>
          <w:rStyle w:val="FootnoteReference"/>
          <w:szCs w:val="24"/>
        </w:rPr>
        <w:footnoteReference w:id="2"/>
      </w:r>
      <w:r w:rsidRPr="00E105CF">
        <w:t>, και ιδίως το άρθρο 4 παράγραφος 1 και το άρθρο 4 παράγραφος 2 πρώτο εδάφιο στοιχείο α) και το σημείο 3.6.4 του παραρτήματος II,</w:t>
      </w:r>
    </w:p>
    <w:p w:rsidR="00CE1177" w:rsidRPr="00E105CF" w:rsidRDefault="00CE1177" w:rsidP="00CE1177">
      <w:pPr>
        <w:pStyle w:val="NormalHanging12a"/>
        <w:rPr>
          <w:szCs w:val="24"/>
        </w:rPr>
      </w:pPr>
      <w:r w:rsidRPr="00E105CF">
        <w:t>–</w:t>
      </w:r>
      <w:r w:rsidRPr="00E105CF">
        <w:tab/>
        <w:t xml:space="preserve">έχοντας υπόψη τον κανονισμό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w:t>
      </w:r>
      <w:r w:rsidRPr="00E105CF">
        <w:lastRenderedPageBreak/>
        <w:t>τροφίμων</w:t>
      </w:r>
      <w:r w:rsidRPr="00E105CF">
        <w:rPr>
          <w:rStyle w:val="FootnoteReference"/>
          <w:szCs w:val="24"/>
        </w:rPr>
        <w:footnoteReference w:id="3"/>
      </w:r>
      <w:r w:rsidRPr="00E105CF">
        <w:t>, και ιδίως το άρθρο 5 παράγραφος 1,</w:t>
      </w:r>
    </w:p>
    <w:p w:rsidR="00CE1177" w:rsidRPr="00E105CF" w:rsidRDefault="00CE1177" w:rsidP="00CE1177">
      <w:pPr>
        <w:pStyle w:val="NormalHanging12a"/>
        <w:rPr>
          <w:szCs w:val="24"/>
        </w:rPr>
      </w:pPr>
      <w:r w:rsidRPr="00E105CF">
        <w:t>–</w:t>
      </w:r>
      <w:r w:rsidRPr="00E105CF">
        <w:tab/>
        <w:t>έχοντας υπόψη τα άρθρα 11, 13, 168 και 191 της Συνθήκης για τη λειτουργία της Ευρωπαϊκής Ένωσης (ΣΛΕΕ),</w:t>
      </w:r>
    </w:p>
    <w:p w:rsidR="00CE1177" w:rsidRPr="00E105CF" w:rsidRDefault="00CE1177" w:rsidP="00CE1177">
      <w:pPr>
        <w:pStyle w:val="NormalHanging12a"/>
      </w:pPr>
      <w:r w:rsidRPr="00E105CF">
        <w:t>–</w:t>
      </w:r>
      <w:r w:rsidRPr="00E105CF">
        <w:tab/>
        <w:t>έχοντας υπόψη την αιτιολογημένη γνώμη που εκδόθηκε από την Ευρωπαϊκή Αρχή για την Ασφάλεια των Τροφίμων (EFSA) στις 19 Φεβρουαρίου 2021 και δημοσιεύθηκε στις 22 Μαρτίου 2021</w:t>
      </w:r>
      <w:r w:rsidRPr="00E105CF">
        <w:rPr>
          <w:rStyle w:val="FootnoteReference"/>
          <w:szCs w:val="24"/>
        </w:rPr>
        <w:footnoteReference w:id="4"/>
      </w:r>
      <w:r w:rsidRPr="00E105CF">
        <w:t>,</w:t>
      </w:r>
    </w:p>
    <w:p w:rsidR="00CE1177" w:rsidRPr="00E105CF" w:rsidRDefault="00CE1177" w:rsidP="00CE1177">
      <w:pPr>
        <w:pStyle w:val="NormalHanging12a"/>
        <w:rPr>
          <w:szCs w:val="24"/>
        </w:rPr>
      </w:pPr>
      <w:r w:rsidRPr="00E105CF">
        <w:t>–</w:t>
      </w:r>
      <w:r w:rsidRPr="00E105CF">
        <w:tab/>
        <w:t>έχοντας υπόψη το συμπέρασμα σχετικά με την επιστημονική επανεξέταση για τα φυτοφάρμακα που εκδόθηκε από την EFSA στις 8 Νοεμβρίου 2010 και δημοσιεύθηκε στις 25 Νοεμβρίου 2010</w:t>
      </w:r>
      <w:r w:rsidRPr="00E105CF">
        <w:rPr>
          <w:rStyle w:val="FootnoteReference"/>
        </w:rPr>
        <w:footnoteReference w:id="5"/>
      </w:r>
      <w:r w:rsidRPr="00E105CF">
        <w:t>,</w:t>
      </w:r>
    </w:p>
    <w:p w:rsidR="00CE1177" w:rsidRPr="00E105CF" w:rsidRDefault="00CE1177" w:rsidP="00CE1177">
      <w:pPr>
        <w:pStyle w:val="NormalHanging12a"/>
        <w:rPr>
          <w:szCs w:val="24"/>
        </w:rPr>
      </w:pPr>
      <w:r w:rsidRPr="00E105CF">
        <w:t>–</w:t>
      </w:r>
      <w:r w:rsidRPr="00E105CF">
        <w:tab/>
        <w:t>έχοντας υπόψη τη γνώμη που εξέδωσε η επιτροπή αξιολόγησης κινδύνων (RAC) του Ευρωπαϊκού Οργανισμού Χημικών Προϊόντων (ECHA) στις 11 Σεπτεμβρίου 2015</w:t>
      </w:r>
      <w:r w:rsidRPr="00E105CF">
        <w:rPr>
          <w:rStyle w:val="FootnoteReference"/>
          <w:szCs w:val="24"/>
        </w:rPr>
        <w:footnoteReference w:id="6"/>
      </w:r>
      <w:r w:rsidRPr="00E105CF">
        <w:t>,</w:t>
      </w:r>
    </w:p>
    <w:p w:rsidR="00CE1177" w:rsidRPr="00E105CF" w:rsidRDefault="00CE1177" w:rsidP="00CE1177">
      <w:pPr>
        <w:pStyle w:val="NormalHanging12a"/>
      </w:pPr>
      <w:r w:rsidRPr="00E105CF">
        <w:t>–</w:t>
      </w:r>
      <w:r w:rsidRPr="00E105CF">
        <w:tab/>
        <w:t>έχοντας υπόψη το άρθρο 5α παράγραφος 3 στοιχείο β) και το άρθρο 5α παράγραφος 5 της απόφασης 1999/468/ΕΚ του Συμβουλίου, της 28ης Ιουνίου 1999, για τον καθορισμό των όρων άσκησης των εκτελεστικών αρμοδιοτήτων που ανατίθενται στην Επιτροπή</w:t>
      </w:r>
      <w:r w:rsidRPr="00E105CF">
        <w:rPr>
          <w:rStyle w:val="FootnoteReference"/>
        </w:rPr>
        <w:footnoteReference w:id="7"/>
      </w:r>
      <w:r w:rsidRPr="00E105CF">
        <w:t>,</w:t>
      </w:r>
    </w:p>
    <w:p w:rsidR="00CE1177" w:rsidRPr="00E105CF" w:rsidRDefault="00CE1177" w:rsidP="00CE1177">
      <w:pPr>
        <w:pStyle w:val="NormalHanging12a"/>
      </w:pPr>
      <w:r w:rsidRPr="00E105CF">
        <w:t>–</w:t>
      </w:r>
      <w:r w:rsidRPr="00E105CF">
        <w:tab/>
        <w:t>έχοντας υπόψη το άρθρο 115 παράγραφοι 2, 3 και παράγραφος 4 στοιχείο γ) του Κανονισμού του,</w:t>
      </w:r>
    </w:p>
    <w:p w:rsidR="00CE1177" w:rsidRPr="00E105CF" w:rsidRDefault="00CE1177" w:rsidP="00CE1177">
      <w:pPr>
        <w:pStyle w:val="NormalHanging12a"/>
      </w:pPr>
      <w:r w:rsidRPr="00E105CF">
        <w:t>–</w:t>
      </w:r>
      <w:r w:rsidRPr="00E105CF">
        <w:tab/>
        <w:t>έχοντας υπόψη την πρόταση ψηφίσματος της Επιτροπής Περιβάλλοντος, Δημόσιας Υγείας και Ασφάλειας των Τροφίμων,</w:t>
      </w:r>
    </w:p>
    <w:p w:rsidR="00CE1177" w:rsidRPr="00E105CF" w:rsidRDefault="00CE1177" w:rsidP="00CE1177">
      <w:pPr>
        <w:pStyle w:val="NormalHanging12a"/>
      </w:pPr>
      <w:r w:rsidRPr="00E105CF">
        <w:t>Α.</w:t>
      </w:r>
      <w:r w:rsidRPr="00E105CF">
        <w:tab/>
        <w:t xml:space="preserve">λαμβάνοντας υπόψη ότι ένα από τα βασικά αιτήματα που διατυπώθηκαν κατά τις διαδηλώσεις των γεωργών το πρώτο εξάμηνο του 2024 ήταν μια δίκαιη και επί </w:t>
      </w:r>
      <w:proofErr w:type="spellStart"/>
      <w:r w:rsidRPr="00E105CF">
        <w:t>ίσοις</w:t>
      </w:r>
      <w:proofErr w:type="spellEnd"/>
      <w:r w:rsidRPr="00E105CF">
        <w:t xml:space="preserve"> </w:t>
      </w:r>
      <w:proofErr w:type="spellStart"/>
      <w:r w:rsidRPr="00E105CF">
        <w:t>όροις</w:t>
      </w:r>
      <w:proofErr w:type="spellEnd"/>
      <w:r w:rsidRPr="00E105CF">
        <w:t xml:space="preserve"> μεταχείριση των προϊόντων που εισάγονται στην ΕΕ από τρίτες χώρες, τα οποία θα πρέπει να τηρούν τα ίδια πρότυπα με τα προϊόντα που παράγονται στην Ένωση·</w:t>
      </w:r>
    </w:p>
    <w:p w:rsidR="00CE1177" w:rsidRPr="00E105CF" w:rsidRDefault="00CE1177" w:rsidP="00CE1177">
      <w:pPr>
        <w:pStyle w:val="NormalHanging12a"/>
      </w:pPr>
      <w:r w:rsidRPr="00E105CF">
        <w:t>Β.</w:t>
      </w:r>
      <w:r w:rsidRPr="00E105CF">
        <w:tab/>
        <w:t>λαμβάνοντας υπόψη ότι η έγκριση του σχεδίου κανονισμού της Επιτροπής θα επιτρέψει να συνεχιστούν στην Ένωση εισαγωγές οι οποίες δεν συμμορφώνονται με τα πρότυπα που τηρούν οι γεωργοί της Ένωσης·</w:t>
      </w:r>
    </w:p>
    <w:p w:rsidR="00CE1177" w:rsidRPr="00E105CF" w:rsidRDefault="00CE1177" w:rsidP="00CE1177">
      <w:pPr>
        <w:pStyle w:val="NormalHanging12a"/>
      </w:pPr>
      <w:r w:rsidRPr="00E105CF">
        <w:lastRenderedPageBreak/>
        <w:t>Γ.</w:t>
      </w:r>
      <w:r w:rsidRPr="00E105CF">
        <w:tab/>
        <w:t>λαμβάνοντας υπόψη ότι μια τέτοια κατάσταση θα έθετε τους γεωργούς της Ένωσης σε ανταγωνιστικά μειονεκτική θέση·</w:t>
      </w:r>
    </w:p>
    <w:p w:rsidR="00CE1177" w:rsidRPr="00E105CF" w:rsidRDefault="00CE1177" w:rsidP="00CE1177">
      <w:pPr>
        <w:pStyle w:val="NormalHanging12a"/>
      </w:pPr>
      <w:r w:rsidRPr="00E105CF">
        <w:t>Δ.</w:t>
      </w:r>
      <w:r w:rsidRPr="00E105CF">
        <w:tab/>
        <w:t xml:space="preserve">λαμβάνοντας υπόψη ότι η ουσία </w:t>
      </w:r>
      <w:proofErr w:type="spellStart"/>
      <w:r w:rsidRPr="00E105CF">
        <w:t>cyproconazole</w:t>
      </w:r>
      <w:proofErr w:type="spellEnd"/>
      <w:r w:rsidRPr="00E105CF">
        <w:t xml:space="preserve"> είναι μυκητοκτόνο της κατηγορίας των </w:t>
      </w:r>
      <w:proofErr w:type="spellStart"/>
      <w:r w:rsidRPr="00E105CF">
        <w:t>αζολίων</w:t>
      </w:r>
      <w:proofErr w:type="spellEnd"/>
      <w:r w:rsidRPr="00E105CF">
        <w:t>, που χρησιμοποιείται κυρίως σε καλλιέργειες δημητριακών, καφέ, ζαχαρότευτλου, μήλων και σταφυλιών, καθώς και αραχίδων·</w:t>
      </w:r>
    </w:p>
    <w:p w:rsidR="00CE1177" w:rsidRPr="00E105CF" w:rsidRDefault="00CE1177" w:rsidP="00CE1177">
      <w:pPr>
        <w:pStyle w:val="NormalHanging12a"/>
      </w:pPr>
      <w:r w:rsidRPr="00E105CF">
        <w:t>Ε.</w:t>
      </w:r>
      <w:r w:rsidRPr="00E105CF">
        <w:tab/>
        <w:t xml:space="preserve">λαμβάνοντας υπόψη ότι η έγκριση της δραστικής ουσίας </w:t>
      </w:r>
      <w:proofErr w:type="spellStart"/>
      <w:r w:rsidRPr="00E105CF">
        <w:t>cyproconazole</w:t>
      </w:r>
      <w:proofErr w:type="spellEnd"/>
      <w:r w:rsidRPr="00E105CF">
        <w:t xml:space="preserve"> έληξε στις 31 Μαΐου 2021· λαμβάνοντας υπόψη ότι τον Σεπτέμβριο του 2018 υποβλήθηκε αίτηση ανανέωσης, η οποία αποσύρθηκε όμως τον Δεκέμβριο του 2018· λαμβάνοντας υπόψη ότι όλες οι ισχύουσες άδειες για τα </w:t>
      </w:r>
      <w:proofErr w:type="spellStart"/>
      <w:r w:rsidRPr="00E105CF">
        <w:t>φυτοπροστατευτικά</w:t>
      </w:r>
      <w:proofErr w:type="spellEnd"/>
      <w:r w:rsidRPr="00E105CF">
        <w:t xml:space="preserve"> προϊόντα που περιέχουν </w:t>
      </w:r>
      <w:proofErr w:type="spellStart"/>
      <w:r w:rsidRPr="00E105CF">
        <w:t>cyproconazole</w:t>
      </w:r>
      <w:proofErr w:type="spellEnd"/>
      <w:r w:rsidRPr="00E105CF">
        <w:t xml:space="preserve"> έχουν ανακληθεί·</w:t>
      </w:r>
    </w:p>
    <w:p w:rsidR="00CE1177" w:rsidRPr="00E105CF" w:rsidRDefault="00CE1177" w:rsidP="00CE1177">
      <w:pPr>
        <w:pStyle w:val="NormalHanging12a"/>
      </w:pPr>
      <w:r w:rsidRPr="00E105CF">
        <w:t>ΣΤ.</w:t>
      </w:r>
      <w:r w:rsidRPr="00E105CF">
        <w:tab/>
        <w:t xml:space="preserve">λαμβάνοντας υπόψη ότι η ουσία </w:t>
      </w:r>
      <w:proofErr w:type="spellStart"/>
      <w:r w:rsidRPr="00E105CF">
        <w:t>cyproconazole</w:t>
      </w:r>
      <w:proofErr w:type="spellEnd"/>
      <w:r w:rsidRPr="00E105CF">
        <w:t xml:space="preserve"> ταξινομείται σύμφωνα με τον κανονισμό (ΕΚ) αριθ. 1272/2008 του Ευρωπαϊκού Κοινοβουλίου και του Συμβουλίου</w:t>
      </w:r>
      <w:r w:rsidRPr="00E105CF">
        <w:rPr>
          <w:rStyle w:val="FootnoteReference"/>
        </w:rPr>
        <w:footnoteReference w:id="8"/>
      </w:r>
      <w:r w:rsidRPr="00E105CF">
        <w:t xml:space="preserve"> ως τοξική για την αναπαραγωγή κατηγορίας 1Β, τοξική σε περίπτωση κατάποσης (οξεία τοξικότητα κατηγορία κινδύνου 3), τοξική για το ήπαρ (STOT RE 2), καθώς και πολύ τοξική για τους υδρόβιους οργανισμούς (κατηγορία </w:t>
      </w:r>
      <w:proofErr w:type="spellStart"/>
      <w:r w:rsidRPr="00E105CF">
        <w:t>Aquatic</w:t>
      </w:r>
      <w:proofErr w:type="spellEnd"/>
      <w:r w:rsidRPr="00E105CF">
        <w:t xml:space="preserve"> </w:t>
      </w:r>
      <w:proofErr w:type="spellStart"/>
      <w:r w:rsidRPr="00E105CF">
        <w:t>Acute</w:t>
      </w:r>
      <w:proofErr w:type="spellEnd"/>
      <w:r w:rsidRPr="00E105CF">
        <w:t xml:space="preserve"> 1) και πολύ τοξική για τους υδρόβιους οργανισμούς με μακροχρόνιες επιπτώσεις (κατηγορία </w:t>
      </w:r>
      <w:proofErr w:type="spellStart"/>
      <w:r w:rsidRPr="00E105CF">
        <w:t>Aquatic</w:t>
      </w:r>
      <w:proofErr w:type="spellEnd"/>
      <w:r w:rsidRPr="00E105CF">
        <w:t xml:space="preserve"> </w:t>
      </w:r>
      <w:proofErr w:type="spellStart"/>
      <w:r w:rsidRPr="00E105CF">
        <w:t>Chronic</w:t>
      </w:r>
      <w:proofErr w:type="spellEnd"/>
      <w:r w:rsidRPr="00E105CF">
        <w:t xml:space="preserve"> 1)</w:t>
      </w:r>
      <w:r w:rsidRPr="00E105CF">
        <w:rPr>
          <w:rStyle w:val="FootnoteReference"/>
        </w:rPr>
        <w:footnoteReference w:id="9"/>
      </w:r>
      <w:r w:rsidRPr="00E105CF">
        <w:t>·</w:t>
      </w:r>
    </w:p>
    <w:p w:rsidR="00CE1177" w:rsidRPr="00E105CF" w:rsidRDefault="00CE1177" w:rsidP="00CE1177">
      <w:pPr>
        <w:pStyle w:val="NormalHanging12a"/>
      </w:pPr>
      <w:r w:rsidRPr="00E105CF">
        <w:t>Ζ.</w:t>
      </w:r>
      <w:r w:rsidRPr="00E105CF">
        <w:tab/>
        <w:t xml:space="preserve">λαμβάνοντας υπόψη ότι η ουσία </w:t>
      </w:r>
      <w:proofErr w:type="spellStart"/>
      <w:r w:rsidRPr="00E105CF">
        <w:t>cyproconazole</w:t>
      </w:r>
      <w:proofErr w:type="spellEnd"/>
      <w:r w:rsidRPr="00E105CF">
        <w:t xml:space="preserve"> ανήκει στην ομάδα των </w:t>
      </w:r>
      <w:proofErr w:type="spellStart"/>
      <w:r w:rsidRPr="00E105CF">
        <w:t>τριαζολών</w:t>
      </w:r>
      <w:proofErr w:type="spellEnd"/>
      <w:r w:rsidRPr="00E105CF">
        <w:t xml:space="preserve"> οι οποίες είναι αναστολείς της βιοσύνθεσης της </w:t>
      </w:r>
      <w:proofErr w:type="spellStart"/>
      <w:r w:rsidRPr="00E105CF">
        <w:t>εργοστερόλης</w:t>
      </w:r>
      <w:proofErr w:type="spellEnd"/>
      <w:r w:rsidRPr="00E105CF">
        <w:t xml:space="preserve"> και, ως εκ τούτου, μπορεί να προκαλέσει ενδοκρινικές διαταραχές</w:t>
      </w:r>
      <w:r w:rsidRPr="00E105CF">
        <w:rPr>
          <w:rStyle w:val="FootnoteReference"/>
        </w:rPr>
        <w:footnoteReference w:id="10"/>
      </w:r>
      <w:r w:rsidRPr="00E105CF">
        <w:t>· λαμβάνοντας υπόψη ότι η ικανότητα της ουσίας να προκαλεί ενδοκρινική διαταραχή δεν έχει εκτιμηθεί από την EFSA σύμφωνα με τα επιστημονικά κριτήρια για τον προσδιορισμό των ιδιοτήτων ενδοκρινικής διαταραχής που καθορίζονται στον κανονισμό (ΕΕ) 2018/605 της Επιτροπής</w:t>
      </w:r>
      <w:r w:rsidR="00E105CF" w:rsidRPr="00E105CF">
        <w:rPr>
          <w:rStyle w:val="FootnoteReference"/>
        </w:rPr>
        <w:footnoteReference w:id="11"/>
      </w:r>
      <w:r w:rsidRPr="00E105CF">
        <w:t>, ο οποίος εφαρμόζεται από την 10η Νοεμβρίου 2018· λαμβάνοντας υπόψη ότι οι ενδοκρινικές επιδράσεις εμφανίζονται συχνά σε χαμηλά επίπεδα δόσης και ότι για τις ουσίες που προκαλούν ενδοκρινική διαταραχή συχνά δεν υπάρχει ασφαλές όριο</w:t>
      </w:r>
      <w:r w:rsidRPr="00E105CF">
        <w:rPr>
          <w:rStyle w:val="FootnoteReference"/>
        </w:rPr>
        <w:footnoteReference w:id="12"/>
      </w:r>
      <w:r w:rsidRPr="00E105CF">
        <w:t>·</w:t>
      </w:r>
    </w:p>
    <w:p w:rsidR="00CE1177" w:rsidRPr="00E105CF" w:rsidRDefault="00CE1177" w:rsidP="00CE1177">
      <w:pPr>
        <w:pStyle w:val="NormalHanging12a"/>
      </w:pPr>
      <w:r w:rsidRPr="00E105CF">
        <w:t>Η.</w:t>
      </w:r>
      <w:r w:rsidRPr="00E105CF">
        <w:tab/>
        <w:t xml:space="preserve">λαμβάνοντας υπόψη ότι όλο και περισσότερες δημοσιεύσεις επισημαίνουν ότι τα </w:t>
      </w:r>
      <w:proofErr w:type="spellStart"/>
      <w:r w:rsidRPr="00E105CF">
        <w:t>αζολικά</w:t>
      </w:r>
      <w:proofErr w:type="spellEnd"/>
      <w:r w:rsidRPr="00E105CF">
        <w:t xml:space="preserve"> μυκητοκτόνα αποτελούν σημαντική αιτία της αυξανόμενης επίπτωσης της </w:t>
      </w:r>
      <w:r w:rsidRPr="00E105CF">
        <w:lastRenderedPageBreak/>
        <w:t xml:space="preserve">αντίστασης των περιβαλλοντικών παραγόντων στον </w:t>
      </w:r>
      <w:proofErr w:type="spellStart"/>
      <w:r w:rsidRPr="00E105CF">
        <w:rPr>
          <w:i/>
          <w:iCs/>
        </w:rPr>
        <w:t>Aspergillus</w:t>
      </w:r>
      <w:proofErr w:type="spellEnd"/>
      <w:r w:rsidRPr="00E105CF">
        <w:rPr>
          <w:i/>
          <w:iCs/>
        </w:rPr>
        <w:t xml:space="preserve"> </w:t>
      </w:r>
      <w:proofErr w:type="spellStart"/>
      <w:r w:rsidRPr="00E105CF">
        <w:rPr>
          <w:i/>
          <w:iCs/>
        </w:rPr>
        <w:t>spp</w:t>
      </w:r>
      <w:proofErr w:type="spellEnd"/>
      <w:r w:rsidRPr="00E105CF">
        <w:rPr>
          <w:rStyle w:val="FootnoteReference"/>
        </w:rPr>
        <w:footnoteReference w:id="13"/>
      </w:r>
      <w:r w:rsidRPr="00E105CF">
        <w:t xml:space="preserve">· λαμβάνοντας υπόψη ότι η EFSA έχει ζητήσει από την Επιτροπή να εκτιμήσει τις επιπτώσεις της χρήσης των </w:t>
      </w:r>
      <w:proofErr w:type="spellStart"/>
      <w:r w:rsidRPr="00E105CF">
        <w:t>αζολικών</w:t>
      </w:r>
      <w:proofErr w:type="spellEnd"/>
      <w:r w:rsidRPr="00E105CF">
        <w:t xml:space="preserve"> μυκητοκτόνων, μη συμπεριλαμβανομένης της χρήσης τους ως φαρμάκων για ανθρώπινη χρήση, στην ανάπτυξη </w:t>
      </w:r>
      <w:proofErr w:type="spellStart"/>
      <w:r w:rsidRPr="00E105CF">
        <w:rPr>
          <w:i/>
          <w:iCs/>
        </w:rPr>
        <w:t>Aspergillus</w:t>
      </w:r>
      <w:proofErr w:type="spellEnd"/>
      <w:r w:rsidRPr="00E105CF">
        <w:rPr>
          <w:i/>
          <w:iCs/>
        </w:rPr>
        <w:t xml:space="preserve"> </w:t>
      </w:r>
      <w:proofErr w:type="spellStart"/>
      <w:r w:rsidRPr="00E105CF">
        <w:rPr>
          <w:i/>
          <w:iCs/>
        </w:rPr>
        <w:t>spp</w:t>
      </w:r>
      <w:proofErr w:type="spellEnd"/>
      <w:r w:rsidRPr="00E105CF">
        <w:rPr>
          <w:i/>
          <w:iCs/>
        </w:rPr>
        <w:t xml:space="preserve">. </w:t>
      </w:r>
      <w:r w:rsidRPr="00E105CF">
        <w:t xml:space="preserve">ανθεκτικού στα </w:t>
      </w:r>
      <w:proofErr w:type="spellStart"/>
      <w:r w:rsidRPr="00E105CF">
        <w:t>αζόλια</w:t>
      </w:r>
      <w:proofErr w:type="spellEnd"/>
      <w:r w:rsidRPr="00E105CF">
        <w:rPr>
          <w:i/>
          <w:iCs/>
        </w:rPr>
        <w:t>·</w:t>
      </w:r>
      <w:r w:rsidRPr="00E105CF">
        <w:t xml:space="preserve"> λαμβάνοντας υπόψη ότι η ζητηθείσα επιστημονική έκθεση δεν έχει ακόμη δημοσιευθεί και αναμένεται να ολοκληρωθεί τον Δεκέμβριο του 2024</w:t>
      </w:r>
      <w:r w:rsidRPr="00E105CF">
        <w:rPr>
          <w:rStyle w:val="FootnoteReference"/>
        </w:rPr>
        <w:footnoteReference w:id="14"/>
      </w:r>
      <w:r w:rsidRPr="00E105CF">
        <w:t>·</w:t>
      </w:r>
    </w:p>
    <w:p w:rsidR="00CE1177" w:rsidRPr="00E105CF" w:rsidRDefault="00CE1177" w:rsidP="00CE1177">
      <w:pPr>
        <w:pStyle w:val="NormalHanging12a"/>
      </w:pPr>
      <w:r w:rsidRPr="00E105CF">
        <w:rPr>
          <w:color w:val="000000" w:themeColor="text1"/>
        </w:rPr>
        <w:t>Θ.</w:t>
      </w:r>
      <w:r w:rsidRPr="00E105CF">
        <w:rPr>
          <w:color w:val="000000" w:themeColor="text1"/>
        </w:rPr>
        <w:tab/>
      </w:r>
      <w:r w:rsidRPr="00E105CF">
        <w:t xml:space="preserve">λαμβάνοντας υπόψη ότι, ως εκ τούτου, τα υφιστάμενα ανώτατα όρια καταλοίπων (ΑΟΚ) που καθορίζονται για την ουσία </w:t>
      </w:r>
      <w:proofErr w:type="spellStart"/>
      <w:r w:rsidRPr="00E105CF">
        <w:t>cyproconazole</w:t>
      </w:r>
      <w:proofErr w:type="spellEnd"/>
      <w:r w:rsidRPr="00E105CF">
        <w:t xml:space="preserve"> στο παράρτημα II του κανονισμού (ΕΚ) αριθ. 396/2005 είναι σκόπιμο να διαγραφούν βάσει του άρθρου 17 του εν λόγω κανονισμού, σύμφωνα με το οποίο η Επιτροπή διαγράφει τα ΑΟΚ που καθορίζονται στα παραρτήματα II και III του εν λόγω κανονισμού στην προκαθορισμένη τιμή του 0,01 </w:t>
      </w:r>
      <w:proofErr w:type="spellStart"/>
      <w:r w:rsidRPr="00E105CF">
        <w:t>mg</w:t>
      </w:r>
      <w:proofErr w:type="spellEnd"/>
      <w:r w:rsidRPr="00E105CF">
        <w:t>/</w:t>
      </w:r>
      <w:proofErr w:type="spellStart"/>
      <w:r w:rsidRPr="00E105CF">
        <w:t>kg</w:t>
      </w:r>
      <w:proofErr w:type="spellEnd"/>
      <w:r w:rsidRPr="00E105CF">
        <w:t xml:space="preserve"> ή στο σχετικό όριο προσδιορισμού χωρίς να ζητά τη γνώμη της EFSA για μια δραστική ουσία, εάν η άδειά της έχει ανακληθεί·</w:t>
      </w:r>
    </w:p>
    <w:p w:rsidR="00CE1177" w:rsidRPr="00E105CF" w:rsidRDefault="00CE1177" w:rsidP="00CE1177">
      <w:pPr>
        <w:pStyle w:val="NormalHanging12a"/>
      </w:pPr>
      <w:r w:rsidRPr="00E105CF">
        <w:t>Ι.</w:t>
      </w:r>
      <w:r w:rsidRPr="00E105CF">
        <w:tab/>
        <w:t xml:space="preserve">λαμβάνοντας υπόψη ότι, στο σχέδιο κανονισμού της, η Επιτροπή προτείνει, ωστόσο, να διατηρηθούν τα ΑΟΚ για πλήθος προϊόντων (δημητριακά, σπόρους, κρέας, ήπαρ και </w:t>
      </w:r>
      <w:proofErr w:type="spellStart"/>
      <w:r w:rsidRPr="00E105CF">
        <w:t>νεφρούς</w:t>
      </w:r>
      <w:proofErr w:type="spellEnd"/>
      <w:r w:rsidRPr="00E105CF">
        <w:t>) πάνω από το σχετικό όριο προσδιορισμού ή την προκαθορισμένη τιμή ΑΟΚ του 0,01 </w:t>
      </w:r>
      <w:proofErr w:type="spellStart"/>
      <w:r w:rsidRPr="00E105CF">
        <w:t>mg</w:t>
      </w:r>
      <w:proofErr w:type="spellEnd"/>
      <w:r w:rsidRPr="00E105CF">
        <w:t>/</w:t>
      </w:r>
      <w:proofErr w:type="spellStart"/>
      <w:r w:rsidRPr="00E105CF">
        <w:t>kg</w:t>
      </w:r>
      <w:proofErr w:type="spellEnd"/>
      <w:r w:rsidRPr="00E105CF">
        <w:t xml:space="preserve"> με βάση τα ΑΟΚ που έχει καθορίσει η Επιτροπή του </w:t>
      </w:r>
      <w:proofErr w:type="spellStart"/>
      <w:r w:rsidRPr="00E105CF">
        <w:t>Codex</w:t>
      </w:r>
      <w:proofErr w:type="spellEnd"/>
      <w:r w:rsidRPr="00E105CF">
        <w:t xml:space="preserve"> </w:t>
      </w:r>
      <w:proofErr w:type="spellStart"/>
      <w:r w:rsidRPr="00E105CF">
        <w:t>Alimentarius</w:t>
      </w:r>
      <w:proofErr w:type="spellEnd"/>
      <w:r w:rsidRPr="00E105CF">
        <w:t xml:space="preserve"> (CXL)·</w:t>
      </w:r>
    </w:p>
    <w:p w:rsidR="00CE1177" w:rsidRPr="00E105CF" w:rsidRDefault="00CE1177" w:rsidP="00CE1177">
      <w:pPr>
        <w:pStyle w:val="NormalHanging12a"/>
      </w:pPr>
      <w:r w:rsidRPr="00E105CF">
        <w:t>ΙΑ.</w:t>
      </w:r>
      <w:r w:rsidRPr="00E105CF">
        <w:tab/>
      </w:r>
      <w:r w:rsidRPr="00E105CF">
        <w:rPr>
          <w:color w:val="000000" w:themeColor="text1"/>
        </w:rPr>
        <w:t xml:space="preserve">λαμβάνοντας υπόψη ότι η Επιτροπή προτείνει να καθοριστούν τα ΑΟΚ στα επίπεδα CXL για τα μπιζέλια (χωρίς λοβό), τα φασόλια, τα μπιζέλια, το κριθάρι, το </w:t>
      </w:r>
      <w:proofErr w:type="spellStart"/>
      <w:r w:rsidRPr="00E105CF">
        <w:rPr>
          <w:color w:val="000000" w:themeColor="text1"/>
        </w:rPr>
        <w:t>φαγόπυρο</w:t>
      </w:r>
      <w:proofErr w:type="spellEnd"/>
      <w:r w:rsidRPr="00E105CF">
        <w:rPr>
          <w:color w:val="000000" w:themeColor="text1"/>
        </w:rPr>
        <w:t xml:space="preserve"> και άλλα </w:t>
      </w:r>
      <w:proofErr w:type="spellStart"/>
      <w:r w:rsidRPr="00E105CF">
        <w:rPr>
          <w:color w:val="000000" w:themeColor="text1"/>
        </w:rPr>
        <w:t>ψευδοδημητριακά</w:t>
      </w:r>
      <w:proofErr w:type="spellEnd"/>
      <w:r w:rsidRPr="00E105CF">
        <w:rPr>
          <w:color w:val="000000" w:themeColor="text1"/>
        </w:rPr>
        <w:t xml:space="preserve">, τον αραβόσιτο/καλαμπόκι, το κεχρί, τη </w:t>
      </w:r>
      <w:proofErr w:type="spellStart"/>
      <w:r w:rsidRPr="00E105CF">
        <w:rPr>
          <w:color w:val="000000" w:themeColor="text1"/>
        </w:rPr>
        <w:t>βρώμη</w:t>
      </w:r>
      <w:proofErr w:type="spellEnd"/>
      <w:r w:rsidRPr="00E105CF">
        <w:rPr>
          <w:color w:val="000000" w:themeColor="text1"/>
        </w:rPr>
        <w:t xml:space="preserve">, τη σίκαλη, το σιτάρι, τους κόκκους καφέ και τα ζαχαρότευτλα (ρίζα), τους μυς και το λίπος χοίρων, βοοειδών, προβάτων, αιγών και αλόγων, καθώς και τους μυς, το λίπος και το ήπαρ πουλερικών, το γάλα βοοειδών, προβάτων και αλόγων και τα αυγά πτηνών· λαμβάνοντας υπόψη ότι αυτό σημαίνει ότι τα ΑΟΚ για το ήπαρ και τους </w:t>
      </w:r>
      <w:proofErr w:type="spellStart"/>
      <w:r w:rsidRPr="00E105CF">
        <w:rPr>
          <w:color w:val="000000" w:themeColor="text1"/>
        </w:rPr>
        <w:t>νεφρούς</w:t>
      </w:r>
      <w:proofErr w:type="spellEnd"/>
      <w:r w:rsidRPr="00E105CF">
        <w:rPr>
          <w:color w:val="000000" w:themeColor="text1"/>
        </w:rPr>
        <w:t xml:space="preserve"> των χοίρων, των βοοειδών, των προβάτων, των αιγών και των αλόγων θα διατηρηθούν στα υφιστάμενα επίπεδα των 0,5 </w:t>
      </w:r>
      <w:proofErr w:type="spellStart"/>
      <w:r w:rsidRPr="00E105CF">
        <w:rPr>
          <w:color w:val="000000" w:themeColor="text1"/>
        </w:rPr>
        <w:t>mg</w:t>
      </w:r>
      <w:proofErr w:type="spellEnd"/>
      <w:r w:rsidRPr="00E105CF">
        <w:rPr>
          <w:color w:val="000000" w:themeColor="text1"/>
        </w:rPr>
        <w:t>/</w:t>
      </w:r>
      <w:proofErr w:type="spellStart"/>
      <w:r w:rsidRPr="00E105CF">
        <w:rPr>
          <w:color w:val="000000" w:themeColor="text1"/>
        </w:rPr>
        <w:t>kg</w:t>
      </w:r>
      <w:proofErr w:type="spellEnd"/>
      <w:r w:rsidRPr="00E105CF">
        <w:rPr>
          <w:color w:val="000000" w:themeColor="text1"/>
        </w:rPr>
        <w:t>, των 0,4 </w:t>
      </w:r>
      <w:proofErr w:type="spellStart"/>
      <w:r w:rsidRPr="00E105CF">
        <w:rPr>
          <w:color w:val="000000" w:themeColor="text1"/>
        </w:rPr>
        <w:t>mg</w:t>
      </w:r>
      <w:proofErr w:type="spellEnd"/>
      <w:r w:rsidRPr="00E105CF">
        <w:rPr>
          <w:color w:val="000000" w:themeColor="text1"/>
        </w:rPr>
        <w:t>/</w:t>
      </w:r>
      <w:proofErr w:type="spellStart"/>
      <w:r w:rsidRPr="00E105CF">
        <w:rPr>
          <w:color w:val="000000" w:themeColor="text1"/>
        </w:rPr>
        <w:t>kgγια</w:t>
      </w:r>
      <w:proofErr w:type="spellEnd"/>
      <w:r w:rsidRPr="00E105CF">
        <w:rPr>
          <w:color w:val="000000" w:themeColor="text1"/>
        </w:rPr>
        <w:t xml:space="preserve"> τους σπόρους </w:t>
      </w:r>
      <w:proofErr w:type="spellStart"/>
      <w:r w:rsidRPr="00E105CF">
        <w:rPr>
          <w:color w:val="000000" w:themeColor="text1"/>
        </w:rPr>
        <w:t>ελαιοκράμβης</w:t>
      </w:r>
      <w:proofErr w:type="spellEnd"/>
      <w:r w:rsidRPr="00E105CF">
        <w:rPr>
          <w:color w:val="000000" w:themeColor="text1"/>
        </w:rPr>
        <w:t xml:space="preserve"> και των 0,07 </w:t>
      </w:r>
      <w:proofErr w:type="spellStart"/>
      <w:r w:rsidRPr="00E105CF">
        <w:rPr>
          <w:color w:val="000000" w:themeColor="text1"/>
        </w:rPr>
        <w:t>mg</w:t>
      </w:r>
      <w:proofErr w:type="spellEnd"/>
      <w:r w:rsidRPr="00E105CF">
        <w:rPr>
          <w:color w:val="000000" w:themeColor="text1"/>
        </w:rPr>
        <w:t>/</w:t>
      </w:r>
      <w:proofErr w:type="spellStart"/>
      <w:r w:rsidRPr="00E105CF">
        <w:rPr>
          <w:color w:val="000000" w:themeColor="text1"/>
        </w:rPr>
        <w:t>kg</w:t>
      </w:r>
      <w:proofErr w:type="spellEnd"/>
      <w:r w:rsidRPr="00E105CF">
        <w:rPr>
          <w:color w:val="000000" w:themeColor="text1"/>
        </w:rPr>
        <w:t xml:space="preserve"> για τη σόγια· λαμβάνοντας υπόψη ότι για όλα τα άλλα προϊόντα, για τα οποία δεν υπάρχουν CXL ή ανοχές κατά την εισαγωγή, τα ΑΟΚ μειώνονται σε ειδικά ανά προϊόν όρια προσδιορισμού που κυμαίνονται μεταξύ 0,01 και 0,05 </w:t>
      </w:r>
      <w:proofErr w:type="spellStart"/>
      <w:r w:rsidRPr="00E105CF">
        <w:rPr>
          <w:color w:val="000000" w:themeColor="text1"/>
        </w:rPr>
        <w:t>mg</w:t>
      </w:r>
      <w:proofErr w:type="spellEnd"/>
      <w:r w:rsidRPr="00E105CF">
        <w:rPr>
          <w:color w:val="000000" w:themeColor="text1"/>
        </w:rPr>
        <w:t>/</w:t>
      </w:r>
      <w:proofErr w:type="spellStart"/>
      <w:r w:rsidRPr="00E105CF">
        <w:rPr>
          <w:color w:val="000000" w:themeColor="text1"/>
        </w:rPr>
        <w:t>kg</w:t>
      </w:r>
      <w:proofErr w:type="spellEnd"/>
      <w:r w:rsidRPr="00E105CF">
        <w:rPr>
          <w:color w:val="000000" w:themeColor="text1"/>
        </w:rPr>
        <w:t>·</w:t>
      </w:r>
    </w:p>
    <w:p w:rsidR="00CE1177" w:rsidRPr="00E105CF" w:rsidRDefault="00CE1177" w:rsidP="00CE1177">
      <w:pPr>
        <w:pStyle w:val="NormalHanging12a"/>
      </w:pPr>
      <w:r w:rsidRPr="00E105CF">
        <w:t>ΙΒ.</w:t>
      </w:r>
      <w:r w:rsidRPr="00E105CF">
        <w:tab/>
        <w:t xml:space="preserve">λαμβάνοντας υπόψη ότι το 2024 η Επιτροπή μείωσε τα ΑΟΚ για την ουσία </w:t>
      </w:r>
      <w:proofErr w:type="spellStart"/>
      <w:r w:rsidRPr="00E105CF">
        <w:t>thiacloprid</w:t>
      </w:r>
      <w:proofErr w:type="spellEnd"/>
      <w:r w:rsidRPr="00E105CF">
        <w:t xml:space="preserve"> (</w:t>
      </w:r>
      <w:proofErr w:type="spellStart"/>
      <w:r w:rsidRPr="00E105CF">
        <w:t>θειακλοπρίδη</w:t>
      </w:r>
      <w:proofErr w:type="spellEnd"/>
      <w:r w:rsidRPr="00E105CF">
        <w:t xml:space="preserve">), μια δραστική ουσία που έχει ταξινομηθεί ως τοξική για την αναπαραγωγή κατηγορίας 1Β, στο σχετικό όριο προσδιορισμού, υποστηρίζοντας ότι «[ε]ν αναμονή της ολοκλήρωσης της εν λόγω πρόσθετης εκτίμηση κινδύνου [για τις ενδοκρινικές επιδράσεις] από την Αρχή, και δεδομένων των διαθέσιμων σχετικών </w:t>
      </w:r>
      <w:r w:rsidRPr="00E105CF">
        <w:lastRenderedPageBreak/>
        <w:t>πληροφοριών όσον αφορά τις δυνητικά επιβλαβείς επιπτώσεις στην ανθρώπινη υγεία, είναι σκόπιμο να μειωθούν προσωρινά τα ΑΟΚ</w:t>
      </w:r>
      <w:r w:rsidR="00E105CF" w:rsidRPr="00E105CF">
        <w:t xml:space="preserve"> </w:t>
      </w:r>
      <w:r w:rsidRPr="00E105CF">
        <w:t>... [για τα εν λόγω προϊόντα]</w:t>
      </w:r>
      <w:r w:rsidRPr="00E105CF">
        <w:rPr>
          <w:rStyle w:val="FootnoteReference"/>
        </w:rPr>
        <w:footnoteReference w:id="15"/>
      </w:r>
      <w:r w:rsidRPr="00E105CF">
        <w:t>»·</w:t>
      </w:r>
    </w:p>
    <w:p w:rsidR="00CE1177" w:rsidRPr="00E105CF" w:rsidRDefault="00CE1177" w:rsidP="00CE1177">
      <w:pPr>
        <w:pStyle w:val="NormalHanging12a"/>
      </w:pPr>
      <w:r w:rsidRPr="00E105CF">
        <w:t>ΙΓ.</w:t>
      </w:r>
      <w:r w:rsidRPr="00E105CF">
        <w:tab/>
        <w:t xml:space="preserve">λαμβάνοντας υπόψη ότι η αιτιολογική σκέψη 5 του κανονισμού (ΕΚ) αριθ. 396/2005 προβλέπει ότι δεν θα πρέπει να υπάρχουν κατάλοιπα σε επίπεδα που παρουσιάζουν απαράδεκτο κίνδυνο για τον άνθρωπο και, κατά περίπτωση, για τα ζώα· </w:t>
      </w:r>
    </w:p>
    <w:p w:rsidR="00CE1177" w:rsidRPr="00E105CF" w:rsidRDefault="00CE1177" w:rsidP="00CE1177">
      <w:pPr>
        <w:pStyle w:val="NormalHanging12a"/>
      </w:pPr>
      <w:r w:rsidRPr="00E105CF">
        <w:t>ΙΔ.</w:t>
      </w:r>
      <w:r w:rsidRPr="00E105CF">
        <w:tab/>
        <w:t xml:space="preserve">λαμβάνοντας υπόψη ότι το άρθρο 4 παράγραφος 2 πρώτο εδάφιο στοιχείο α) του κανονισμού (ΕΚ) αριθ. 1107/2009 προβλέπει ότι τα υπολείμματα των </w:t>
      </w:r>
      <w:proofErr w:type="spellStart"/>
      <w:r w:rsidRPr="00E105CF">
        <w:t>φυτοπροστατευτικών</w:t>
      </w:r>
      <w:proofErr w:type="spellEnd"/>
      <w:r w:rsidRPr="00E105CF">
        <w:t xml:space="preserve"> προϊόντων δεν πρέπει να έχουν επιβλαβείς επιδράσεις στην υγεία των ανθρώπων, συμπεριλαμβανομένων των ευπαθών ομάδων, ή στην υγεία των ζώων, λαμβάνοντας υπόψη γνωστές συσσωρευτικές και </w:t>
      </w:r>
      <w:proofErr w:type="spellStart"/>
      <w:r w:rsidRPr="00E105CF">
        <w:t>συνεργιστικές</w:t>
      </w:r>
      <w:proofErr w:type="spellEnd"/>
      <w:r w:rsidRPr="00E105CF">
        <w:t xml:space="preserve"> επιδράσεις· λαμβάνοντας υπόψη ότι το σημείο 3.6.4 του παραρτήματος II του εν λόγω κανονισμού προβλέπει ότι μια δραστική ουσία που έχει ταξινομηθεί, σύμφωνα με τον κανονισμό (ΕΚ) αριθ. 1272/2008, ως τοξική για την αναπαραγωγή κατηγορίας 1Α ή 1Β, δεν εγκρίνεται εκτός εάν «τα υπολείμματα της σχετικής δραστικής ουσίας [...] στα τρόφιμα και τις ζωοτροφές δεν υπερβαίνουν την προκαθορισμένη τιμή που καθορίζεται σύμφωνα με το άρθρο 18 παράγραφος 1 στοιχείο β) του κανονισμού (ΕΚ) αριθ. 396/2005»· λαμβάνοντας υπόψη ότι το άρθρο 18 παράγραφος 1 στοιχείο β) του κανονισμού (ΕΚ) αριθ. 396/2005 καθορίζει την προκαθορισμένη τιμή σε 0,01 </w:t>
      </w:r>
      <w:proofErr w:type="spellStart"/>
      <w:r w:rsidRPr="00E105CF">
        <w:t>mg</w:t>
      </w:r>
      <w:proofErr w:type="spellEnd"/>
      <w:r w:rsidRPr="00E105CF">
        <w:t>/</w:t>
      </w:r>
      <w:proofErr w:type="spellStart"/>
      <w:r w:rsidRPr="00E105CF">
        <w:t>kg</w:t>
      </w:r>
      <w:proofErr w:type="spellEnd"/>
      <w:r w:rsidRPr="00E105CF">
        <w:t>·</w:t>
      </w:r>
    </w:p>
    <w:p w:rsidR="00CE1177" w:rsidRPr="00E105CF" w:rsidRDefault="00CE1177" w:rsidP="00CE1177">
      <w:pPr>
        <w:pStyle w:val="NormalHanging12a"/>
      </w:pPr>
      <w:r w:rsidRPr="00E105CF">
        <w:t>ΙΕ.</w:t>
      </w:r>
      <w:r w:rsidRPr="00E105CF">
        <w:tab/>
        <w:t xml:space="preserve">λαμβάνοντας υπόψη ότι το άρθρο 3 παράγραφος 2 στοιχείο ζ) του κανονισμού (ΕΚ) αριθ. 396/2005 προβλέπει ότι η ανοχή κατά την εισαγωγή είναι ΑΟΚ που καθορίζεται για εισαγόμενα προϊόντα «όταν η χρήση της δραστικής ουσίας σε </w:t>
      </w:r>
      <w:proofErr w:type="spellStart"/>
      <w:r w:rsidRPr="00E105CF">
        <w:t>φυτοπροστατευτικό</w:t>
      </w:r>
      <w:proofErr w:type="spellEnd"/>
      <w:r w:rsidRPr="00E105CF">
        <w:t xml:space="preserve"> προϊόν για συγκεκριμένο προϊόν δεν είναι εγκεκριμένη στην Κοινότητα, για λόγους άλλους πλην λόγων δημοσίας υγείας για το συγκεκριμένο προϊόν και τη συγκεκριμένη χρήση»· λαμβάνοντας υπόψη ότι η ουσία </w:t>
      </w:r>
      <w:proofErr w:type="spellStart"/>
      <w:r w:rsidRPr="00E105CF">
        <w:t>cyproconazole</w:t>
      </w:r>
      <w:proofErr w:type="spellEnd"/>
      <w:r w:rsidRPr="00E105CF">
        <w:t xml:space="preserve"> δεν πληροί τα κριτήρια αυτά, καθώς έχει απαγορευθεί για λόγους υγείας, δεδομένου ότι ταξινομείται ως τοξική για την αναπαραγωγή κατηγορίας 1Β·</w:t>
      </w:r>
    </w:p>
    <w:p w:rsidR="00CE1177" w:rsidRPr="00E105CF" w:rsidRDefault="00CE1177" w:rsidP="00CE1177">
      <w:pPr>
        <w:pStyle w:val="NormalHanging12a"/>
      </w:pPr>
      <w:r w:rsidRPr="00E105CF">
        <w:t>ΙΣΤ.</w:t>
      </w:r>
      <w:r w:rsidRPr="00E105CF">
        <w:tab/>
        <w:t>λαμβάνοντας υπόψη ότι το άρθρο 5 παράγραφος 1 του κανονισμού (ΕΚ) αριθ. 178/2002 προβλέπει ότι η νομοθεσία για τα τρόφιμα επιδιώκει έναν ή περισσότερους από τους γενικούς στόχους που αφορούν την υψηλού επιπέδου προστασία της ανθρώπινης ζωής και υγείας και την προστασία των συμφερόντων των καταναλωτών, περιλαμβανομένων των ορθών πρακτικών στο εμπόριο τροφίμων, λαμβάνοντας υπόψη, όπου συντρέχει λόγος, την προστασία της υγείας και της ορθής μεταχείρισης των ζώων, καθώς και την προστασία των φυτών και του περιβάλλοντος·</w:t>
      </w:r>
    </w:p>
    <w:p w:rsidR="00CE1177" w:rsidRPr="00E105CF" w:rsidRDefault="00CE1177" w:rsidP="00CE1177">
      <w:pPr>
        <w:pStyle w:val="NormalHanging12a"/>
      </w:pPr>
      <w:r w:rsidRPr="00E105CF">
        <w:t>ΙΖ.</w:t>
      </w:r>
      <w:r w:rsidRPr="00E105CF">
        <w:tab/>
        <w:t>λαμβάνοντας υπόψη ότι η Επιτροπή, στην ανακοίνωσή της, της 20ής Μαΐου 2020, με τίτλο «Από το αγρόκτημα στο πιάτο — Μια στρατηγική για ένα δίκαιο, υγιές και φιλικό προς το περιβάλλον σύστημα τροφίμων»</w:t>
      </w:r>
      <w:r w:rsidRPr="00E105CF">
        <w:rPr>
          <w:rStyle w:val="FootnoteReference"/>
        </w:rPr>
        <w:footnoteReference w:id="16"/>
      </w:r>
      <w:r w:rsidRPr="00E105CF">
        <w:t xml:space="preserve"> ανακοίνωσε ότι «[η] ΕΕ θα στηρίξει σε παγκόσμιο επίπεδο τη μετάβαση σε βιώσιμα συστήματα γεωργικών προϊόντων διατροφής, σύμφωνα με τους στόχους της παρούσας στρατηγικής και τους ΣΒΑ», και ότι «[η] ΕΕ μπορεί να διαδραματίσει καίριο ρόλο στον καθορισμό των προτύπων σε παγκόσμιο επίπεδο με την παρούσα στρατηγική»· λαμβάνοντας υπόψη ότι η Επιτροπή δήλωσε ρητά στη στρατηγική ότι «[ένα] πιο βιώσιμο σύστημα τροφίμων της ΕΕ απαιτεί επίσης ολοένα και πιο βιώσιμες πρακτικές από τους εμπορικούς εταίρους μας. Για να </w:t>
      </w:r>
      <w:r w:rsidRPr="00E105CF">
        <w:lastRenderedPageBreak/>
        <w:t xml:space="preserve">καταστεί δυνατή η σταδιακή μετάβαση προς τη χρήση ασφαλέστερων </w:t>
      </w:r>
      <w:proofErr w:type="spellStart"/>
      <w:r w:rsidRPr="00E105CF">
        <w:t>φυτοπροστατευτικών</w:t>
      </w:r>
      <w:proofErr w:type="spellEnd"/>
      <w:r w:rsidRPr="00E105CF">
        <w:t xml:space="preserve"> προϊόντων, η ΕΕ θα εξετάσει, σύμφωνα με τους κανόνες του ΠΟΕ και βάσει εκτίμησης επικινδυνότητας, το ενδεχόμενο να αναθεωρήσει τις ανοχές κατά την εισαγωγή ουσιών που πληρούν τα “κριτήρια αποκλεισμού” και οι οποίες παρουσιάζουν υψηλό επίπεδο κινδύνου για την ανθρώπινη υγεία.»·</w:t>
      </w:r>
    </w:p>
    <w:p w:rsidR="00CE1177" w:rsidRPr="00E105CF" w:rsidRDefault="00CE1177" w:rsidP="00CE1177">
      <w:pPr>
        <w:pStyle w:val="NormalHanging12a"/>
      </w:pPr>
      <w:r w:rsidRPr="00E105CF">
        <w:t>ΙΗ.</w:t>
      </w:r>
      <w:r w:rsidRPr="00E105CF">
        <w:tab/>
        <w:t xml:space="preserve">λαμβάνοντας υπόψη ότι με την πρακτική του καθορισμού υψηλών ΑΟΚ εφαρμόζονται δύο μέτρα και δύο σταθμά έναντι των γεωργών της Ευρωπαϊκής Ένωσης σε σχέση με τους γεωργούς σε τρίτες χώρες, δεδομένου ότι οι γεωργοί σε χώρες εκτός Ένωσης μπορούν να συνεχίσουν να παράγουν τα εν λόγω τρόφιμα χρησιμοποιώντας την ουσία </w:t>
      </w:r>
      <w:proofErr w:type="spellStart"/>
      <w:r w:rsidRPr="00E105CF">
        <w:t>cyproconazole</w:t>
      </w:r>
      <w:proofErr w:type="spellEnd"/>
      <w:r w:rsidRPr="00E105CF">
        <w:t xml:space="preserve"> και να τα εξάγουν στην Ένωση, κάτι το οποίο θέτει τους γεωργούς της Ένωσης σε ανταγωνιστικά μειονεκτική θέση· λαμβάνοντας υπόψη επίσης ότι η χρήση του εν λόγω φυτοφαρμάκου θέτει σε κίνδυνο την υγεία των εργαζομένων στον γεωργικό τομέα, την υγεία του γενικού πληθυσμού και το περιβάλλον στις χώρες παραγωγής·</w:t>
      </w:r>
    </w:p>
    <w:p w:rsidR="00CE1177" w:rsidRPr="00E105CF" w:rsidRDefault="00CE1177" w:rsidP="00CE1177">
      <w:pPr>
        <w:pStyle w:val="NormalHanging12a"/>
      </w:pPr>
      <w:r w:rsidRPr="00E105CF">
        <w:t>ΙΘ.</w:t>
      </w:r>
      <w:r w:rsidRPr="00E105CF">
        <w:tab/>
        <w:t>λαμβάνοντας υπόψη ότι το άρθρο 191 παράγραφος 2 ΣΛΕΕ ορίζει την αρχή της προφύλαξης ως μία από τις θεμελιώδεις αρχές της Ένωσης·</w:t>
      </w:r>
    </w:p>
    <w:p w:rsidR="00CE1177" w:rsidRPr="00E105CF" w:rsidRDefault="00CE1177" w:rsidP="00CE1177">
      <w:pPr>
        <w:pStyle w:val="NormalHanging12a"/>
      </w:pPr>
      <w:r w:rsidRPr="00E105CF">
        <w:t>Κ.</w:t>
      </w:r>
      <w:r w:rsidRPr="00E105CF">
        <w:tab/>
        <w:t>λαμβάνοντας υπόψη ότι η Επιτροπή πρέπει να προστατεύει το περιβάλλον και τους Ευρωπαίους πολίτες με βάση τις διαθέσιμες επιστημονικές πληροφορίες, χρησιμοποιώντας τις υποχρεώσεις και τις νομικές δυνατότητες που προβλέπουν ο κανονισμός (ΕΚ) αριθ. 396/2005 και ο κανονισμός (ΕΚ) αριθ. 178/2002 για τη διασφάλιση υψηλού επιπέδου προστασίας της υγείας των ανθρώπων και των ζώων και του περιβάλλοντος·</w:t>
      </w:r>
    </w:p>
    <w:p w:rsidR="00CE1177" w:rsidRPr="00E105CF" w:rsidRDefault="00CE1177" w:rsidP="00CE1177">
      <w:pPr>
        <w:pStyle w:val="NormalHanging12a"/>
      </w:pPr>
      <w:r w:rsidRPr="00E105CF">
        <w:t>ΚΑ.</w:t>
      </w:r>
      <w:r w:rsidRPr="00E105CF">
        <w:tab/>
        <w:t>λαμβάνοντας υπόψη ότι τα προτεινόμενα ΑΟΚ δεν προστατεύουν την υγεία των πολιτών στην Ευρώπη και, επομένως, αντιβαίνουν στους κανονισμούς (ΕΚ) αριθ. 396/2005 και (ΕΚ) αριθ. 178/2002·</w:t>
      </w:r>
    </w:p>
    <w:p w:rsidR="00CE1177" w:rsidRPr="00E105CF" w:rsidRDefault="00CE1177" w:rsidP="00CE1177">
      <w:pPr>
        <w:pStyle w:val="NormalHanging12a"/>
      </w:pPr>
      <w:r w:rsidRPr="00E105CF">
        <w:t>ΚΒ.</w:t>
      </w:r>
      <w:r w:rsidRPr="00E105CF">
        <w:tab/>
        <w:t>λαμβάνοντας υπόψη ότι δεν θα πρέπει να καθορίζονται ΑΟΚ για δραστικές ουσίες που δεν έχουν εγκριθεί στην Ένωση λόγω ανησυχιών για την υγεία· λαμβάνοντας υπόψη ότι, ως εκ τούτου, κανένα CXL που υπερβαίνει το σχετικό όριο προσδιορισμού ή την προκαθορισμένη τιμή του 0,01 </w:t>
      </w:r>
      <w:proofErr w:type="spellStart"/>
      <w:r w:rsidRPr="00E105CF">
        <w:t>mg</w:t>
      </w:r>
      <w:proofErr w:type="spellEnd"/>
      <w:r w:rsidRPr="00E105CF">
        <w:t>/</w:t>
      </w:r>
      <w:proofErr w:type="spellStart"/>
      <w:r w:rsidRPr="00E105CF">
        <w:t>kg</w:t>
      </w:r>
      <w:proofErr w:type="spellEnd"/>
      <w:r w:rsidRPr="00E105CF">
        <w:t xml:space="preserve"> δεν θα πρέπει να θεωρείται ασφαλές για τους καταναλωτές, δεδομένου ότι η ουσία </w:t>
      </w:r>
      <w:proofErr w:type="spellStart"/>
      <w:r w:rsidRPr="00E105CF">
        <w:t>cyproconazole</w:t>
      </w:r>
      <w:proofErr w:type="spellEnd"/>
      <w:r w:rsidRPr="00E105CF">
        <w:t xml:space="preserve"> ταξινομείται ως τοξική για την αναπαραγωγή κατηγορίας 1Β·</w:t>
      </w:r>
    </w:p>
    <w:p w:rsidR="00CE1177" w:rsidRPr="00E105CF" w:rsidRDefault="00CE1177" w:rsidP="00CE1177">
      <w:pPr>
        <w:pStyle w:val="NormalHanging12a"/>
      </w:pPr>
      <w:r w:rsidRPr="00E105CF">
        <w:t>ΚΓ.</w:t>
      </w:r>
      <w:r w:rsidRPr="00E105CF">
        <w:tab/>
        <w:t xml:space="preserve"> λαμβάνοντας υπόψη ότι κατά τον καθορισμό των ΑΟΚ πρέπει να συνεκτιμώνται οι σωρευτικές και </w:t>
      </w:r>
      <w:proofErr w:type="spellStart"/>
      <w:r w:rsidRPr="00E105CF">
        <w:t>συνεργιστικές</w:t>
      </w:r>
      <w:proofErr w:type="spellEnd"/>
      <w:r w:rsidRPr="00E105CF">
        <w:t xml:space="preserve"> επιδράσεις και ότι είναι εξαιρετικά σημαντικό να επιταχυνθεί επειγόντως η ανάπτυξη κατάλληλων μεθόδων για την εκτίμηση αυτή·</w:t>
      </w:r>
    </w:p>
    <w:p w:rsidR="00CE1177" w:rsidRPr="00E105CF" w:rsidRDefault="00CE1177" w:rsidP="00CE1177">
      <w:pPr>
        <w:pStyle w:val="NormalHanging12a"/>
      </w:pPr>
      <w:r w:rsidRPr="00E105CF">
        <w:t>1.</w:t>
      </w:r>
      <w:r w:rsidRPr="00E105CF">
        <w:tab/>
        <w:t>αντιτίθεται στην έκδοση του σχεδίου κανονισμού της Επιτροπής·</w:t>
      </w:r>
    </w:p>
    <w:p w:rsidR="00CE1177" w:rsidRPr="00E105CF" w:rsidRDefault="00CE1177" w:rsidP="00CE1177">
      <w:pPr>
        <w:pStyle w:val="NormalHanging12a"/>
        <w:rPr>
          <w:szCs w:val="24"/>
        </w:rPr>
      </w:pPr>
      <w:r w:rsidRPr="00E105CF">
        <w:t>2.</w:t>
      </w:r>
      <w:r w:rsidRPr="00E105CF">
        <w:tab/>
        <w:t>θεωρεί ότι το σχέδιο κανονισμού της Επιτροπής δεν συνάδει με τον σκοπό και το περιεχόμενο του κανονισμού (ΕΚ) αριθ. 396/2005 και του κανονισμού (ΕΚ) αριθ. 178/2002, ούτε με τον κανονισμό (ΕΚ) αριθ. 1107/2009, συμπεριλαμβανομένου του σημείου 3.6.4 του παραρτήματος II του εν λόγω κανονισμού·</w:t>
      </w:r>
    </w:p>
    <w:p w:rsidR="00CE1177" w:rsidRPr="00E105CF" w:rsidRDefault="00CE1177" w:rsidP="00CE1177">
      <w:pPr>
        <w:pStyle w:val="NormalHanging12a"/>
      </w:pPr>
      <w:r w:rsidRPr="00E105CF">
        <w:t>3.</w:t>
      </w:r>
      <w:r w:rsidRPr="00E105CF">
        <w:tab/>
        <w:t>ζητεί από την Επιτροπή να εφαρμόσει την αρχή της προφύλαξης και να αποσύρει το σχέδιο κανονισμού και να υποβάλει νέο σχέδιο στην επιτροπή·</w:t>
      </w:r>
    </w:p>
    <w:p w:rsidR="00CE1177" w:rsidRPr="00E105CF" w:rsidRDefault="00CE1177" w:rsidP="00CE1177">
      <w:pPr>
        <w:pStyle w:val="NormalHanging12a"/>
      </w:pPr>
      <w:r w:rsidRPr="00E105CF">
        <w:t>4.</w:t>
      </w:r>
      <w:r w:rsidRPr="00E105CF">
        <w:tab/>
        <w:t xml:space="preserve">ζητεί από την Επιτροπή να υποβάλει νέο σχέδιο κανονισμού στην επιτροπή, στο οποίο </w:t>
      </w:r>
      <w:r w:rsidRPr="00E105CF">
        <w:lastRenderedPageBreak/>
        <w:t xml:space="preserve">θα μειώνονται όλα τα ΑΟΚ για την ουσία </w:t>
      </w:r>
      <w:proofErr w:type="spellStart"/>
      <w:r w:rsidRPr="00E105CF">
        <w:t>cyproconazole</w:t>
      </w:r>
      <w:proofErr w:type="spellEnd"/>
      <w:r w:rsidRPr="00E105CF">
        <w:t xml:space="preserve"> στο όριο προσδιορισμού ή στην προκαθορισμένη τιμή του 0,01 </w:t>
      </w:r>
      <w:proofErr w:type="spellStart"/>
      <w:r w:rsidRPr="00E105CF">
        <w:t>mg</w:t>
      </w:r>
      <w:proofErr w:type="spellEnd"/>
      <w:r w:rsidRPr="00E105CF">
        <w:t>/</w:t>
      </w:r>
      <w:proofErr w:type="spellStart"/>
      <w:r w:rsidRPr="00E105CF">
        <w:t>kg</w:t>
      </w:r>
      <w:proofErr w:type="spellEnd"/>
      <w:r w:rsidRPr="00E105CF">
        <w:t xml:space="preserve"> για όλες τις χρήσεις, και να απορρίψει τυχόν αιτήματα για περιθώρια ανοχής κατά την εισαγωγή·</w:t>
      </w:r>
    </w:p>
    <w:p w:rsidR="00CE1177" w:rsidRPr="00E105CF" w:rsidRDefault="00CE1177" w:rsidP="00CE1177">
      <w:pPr>
        <w:pStyle w:val="NormalHanging12a"/>
      </w:pPr>
      <w:r w:rsidRPr="00E105CF">
        <w:t>5.</w:t>
      </w:r>
      <w:r w:rsidRPr="00E105CF">
        <w:tab/>
        <w:t>αναγνωρίζει ότι η EFSA επεξεργάζεται μεθόδους για την εκτίμηση των σωρευτικών κινδύνων, αλλά σημειώνει επίσης ότι το πρόβλημα της εκτίμησης των σωρευτικών επιδράσεων των γεωργικών φαρμάκων και των καταλοίπων είναι γνωστό εδώ και δεκαετίες· ζητεί, ως εκ τούτου, από την EFSA και την Επιτροπή να αντιμετωπίσουν το πρόβλημα ως απολύτως επείγον·</w:t>
      </w:r>
    </w:p>
    <w:p w:rsidR="00CE1177" w:rsidRPr="00E105CF" w:rsidRDefault="00CE1177" w:rsidP="00CE1177">
      <w:pPr>
        <w:pStyle w:val="NormalHanging12a"/>
      </w:pPr>
      <w:r w:rsidRPr="00E105CF">
        <w:t>6.</w:t>
      </w:r>
      <w:r w:rsidRPr="00E105CF">
        <w:tab/>
        <w:t xml:space="preserve">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 </w:t>
      </w:r>
    </w:p>
    <w:p w:rsidR="00E365E1" w:rsidRPr="00E105CF" w:rsidRDefault="00E365E1" w:rsidP="00C07B96">
      <w:bookmarkStart w:id="7" w:name="TextBodyEnd"/>
      <w:bookmarkEnd w:id="7"/>
    </w:p>
    <w:sectPr w:rsidR="00E365E1" w:rsidRPr="00E105CF" w:rsidSect="008C7A6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B96" w:rsidRPr="008C7A6C" w:rsidRDefault="00C07B96">
      <w:r w:rsidRPr="008C7A6C">
        <w:separator/>
      </w:r>
    </w:p>
  </w:endnote>
  <w:endnote w:type="continuationSeparator" w:id="0">
    <w:p w:rsidR="00C07B96" w:rsidRPr="008C7A6C" w:rsidRDefault="00C07B96">
      <w:r w:rsidRPr="008C7A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7A6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7A6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7A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B96" w:rsidRPr="008C7A6C" w:rsidRDefault="00C07B96">
      <w:r w:rsidRPr="008C7A6C">
        <w:separator/>
      </w:r>
    </w:p>
  </w:footnote>
  <w:footnote w:type="continuationSeparator" w:id="0">
    <w:p w:rsidR="00C07B96" w:rsidRPr="008C7A6C" w:rsidRDefault="00C07B96">
      <w:r w:rsidRPr="008C7A6C">
        <w:continuationSeparator/>
      </w:r>
    </w:p>
  </w:footnote>
  <w:footnote w:id="1">
    <w:p w:rsidR="00CE1177" w:rsidRPr="008C7A6C" w:rsidRDefault="00CE1177" w:rsidP="008C7A6C">
      <w:pPr>
        <w:pStyle w:val="FootnoteText"/>
        <w:ind w:left="567" w:hanging="567"/>
        <w:rPr>
          <w:sz w:val="24"/>
          <w:lang w:val="el-GR"/>
        </w:rPr>
      </w:pPr>
      <w:r w:rsidRPr="008C7A6C">
        <w:rPr>
          <w:rStyle w:val="FootnoteReference"/>
          <w:sz w:val="24"/>
          <w:lang w:val="el-GR"/>
        </w:rPr>
        <w:footnoteRef/>
      </w:r>
      <w:r w:rsidR="008C7A6C" w:rsidRPr="008C7A6C">
        <w:rPr>
          <w:sz w:val="24"/>
          <w:lang w:val="el-GR"/>
        </w:rPr>
        <w:t xml:space="preserve"> </w:t>
      </w:r>
      <w:r w:rsidR="008C7A6C" w:rsidRPr="008C7A6C">
        <w:rPr>
          <w:sz w:val="24"/>
          <w:lang w:val="el-GR"/>
        </w:rPr>
        <w:tab/>
      </w:r>
      <w:r w:rsidRPr="008C7A6C">
        <w:rPr>
          <w:sz w:val="24"/>
          <w:lang w:val="el-GR"/>
        </w:rPr>
        <w:t>ΕΕ L 70 της 16.3.2005, σ. 1.</w:t>
      </w:r>
    </w:p>
  </w:footnote>
  <w:footnote w:id="2">
    <w:p w:rsidR="00CE1177" w:rsidRPr="008C7A6C" w:rsidRDefault="00CE1177" w:rsidP="008C7A6C">
      <w:pPr>
        <w:pStyle w:val="FootnoteText"/>
        <w:ind w:left="567" w:hanging="567"/>
        <w:rPr>
          <w:sz w:val="24"/>
          <w:lang w:val="el-GR"/>
        </w:rPr>
      </w:pPr>
      <w:r w:rsidRPr="008C7A6C">
        <w:rPr>
          <w:rStyle w:val="FootnoteReference"/>
          <w:sz w:val="24"/>
          <w:lang w:val="el-GR"/>
        </w:rPr>
        <w:footnoteRef/>
      </w:r>
      <w:r w:rsidR="008C7A6C" w:rsidRPr="008C7A6C">
        <w:rPr>
          <w:sz w:val="24"/>
          <w:lang w:val="el-GR"/>
        </w:rPr>
        <w:t xml:space="preserve"> </w:t>
      </w:r>
      <w:r w:rsidR="008C7A6C" w:rsidRPr="008C7A6C">
        <w:rPr>
          <w:sz w:val="24"/>
          <w:lang w:val="el-GR"/>
        </w:rPr>
        <w:tab/>
      </w:r>
      <w:r w:rsidRPr="008C7A6C">
        <w:rPr>
          <w:sz w:val="24"/>
          <w:lang w:val="el-GR"/>
        </w:rPr>
        <w:t>ΕΕ L 309 της 24.11.2009, σ. 1.</w:t>
      </w:r>
    </w:p>
  </w:footnote>
  <w:footnote w:id="3">
    <w:p w:rsidR="00CE1177" w:rsidRPr="008C7A6C" w:rsidRDefault="00CE1177" w:rsidP="008C7A6C">
      <w:pPr>
        <w:pStyle w:val="FootnoteText"/>
        <w:ind w:left="567" w:hanging="567"/>
        <w:rPr>
          <w:sz w:val="24"/>
          <w:lang w:val="el-GR"/>
        </w:rPr>
      </w:pPr>
      <w:r w:rsidRPr="008C7A6C">
        <w:rPr>
          <w:rStyle w:val="FootnoteReference"/>
          <w:sz w:val="24"/>
          <w:lang w:val="el-GR"/>
        </w:rPr>
        <w:footnoteRef/>
      </w:r>
      <w:r w:rsidR="008C7A6C" w:rsidRPr="008C7A6C">
        <w:rPr>
          <w:sz w:val="24"/>
          <w:lang w:val="el-GR"/>
        </w:rPr>
        <w:t xml:space="preserve"> </w:t>
      </w:r>
      <w:r w:rsidR="008C7A6C" w:rsidRPr="008C7A6C">
        <w:rPr>
          <w:sz w:val="24"/>
          <w:lang w:val="el-GR"/>
        </w:rPr>
        <w:tab/>
      </w:r>
      <w:r w:rsidRPr="008C7A6C">
        <w:rPr>
          <w:sz w:val="24"/>
          <w:lang w:val="el-GR"/>
        </w:rPr>
        <w:t>ΕΕ L 31 της 1.2.2002, σ. 1.</w:t>
      </w:r>
    </w:p>
  </w:footnote>
  <w:footnote w:id="4">
    <w:p w:rsidR="00CE1177" w:rsidRPr="008C7A6C" w:rsidRDefault="00CE1177" w:rsidP="008C7A6C">
      <w:pPr>
        <w:pStyle w:val="FootnoteText"/>
        <w:ind w:left="567" w:hanging="567"/>
        <w:rPr>
          <w:sz w:val="24"/>
          <w:lang w:val="el-GR"/>
        </w:rPr>
      </w:pPr>
      <w:r w:rsidRPr="008C7A6C">
        <w:rPr>
          <w:rStyle w:val="FootnoteReference"/>
          <w:sz w:val="24"/>
          <w:lang w:val="el-GR"/>
        </w:rPr>
        <w:footnoteRef/>
      </w:r>
      <w:r w:rsidR="008C7A6C" w:rsidRPr="008C7A6C">
        <w:rPr>
          <w:sz w:val="24"/>
          <w:lang w:val="el-GR"/>
        </w:rPr>
        <w:t xml:space="preserve"> </w:t>
      </w:r>
      <w:r w:rsidR="008C7A6C" w:rsidRPr="008C7A6C">
        <w:rPr>
          <w:sz w:val="24"/>
          <w:lang w:val="el-GR"/>
        </w:rPr>
        <w:tab/>
      </w:r>
      <w:r w:rsidRPr="008C7A6C">
        <w:rPr>
          <w:sz w:val="24"/>
          <w:lang w:val="el-GR"/>
        </w:rPr>
        <w:t xml:space="preserve">Αιτιολογημένη γνώμη της EFSA σχετικά με την επανεξέταση των υφιστάμενων ανώτατων ορίων καταλοίπων για την ουσία </w:t>
      </w:r>
      <w:proofErr w:type="spellStart"/>
      <w:r w:rsidRPr="008C7A6C">
        <w:rPr>
          <w:sz w:val="24"/>
          <w:lang w:val="el-GR"/>
        </w:rPr>
        <w:t>cyproconazole</w:t>
      </w:r>
      <w:proofErr w:type="spellEnd"/>
      <w:r w:rsidRPr="008C7A6C">
        <w:rPr>
          <w:sz w:val="24"/>
          <w:lang w:val="el-GR"/>
        </w:rPr>
        <w:t xml:space="preserve"> σύμφωνα με το άρθρο 12 του κανονισμού (ΕΚ) αριθ. </w:t>
      </w:r>
      <w:r w:rsidRPr="008C7A6C">
        <w:rPr>
          <w:sz w:val="24"/>
          <w:lang w:val="el-GR"/>
        </w:rPr>
        <w:t xml:space="preserve">396/2005), EFSA Journal 2021, 19(3):e06483, </w:t>
      </w:r>
      <w:hyperlink r:id="rId1" w:history="1">
        <w:r w:rsidRPr="008C7A6C">
          <w:rPr>
            <w:rStyle w:val="Hyperlink"/>
            <w:sz w:val="24"/>
            <w:lang w:val="el-GR"/>
          </w:rPr>
          <w:t>https://doi.org/10.2903/j.efsa.2016.4652</w:t>
        </w:r>
      </w:hyperlink>
    </w:p>
  </w:footnote>
  <w:footnote w:id="5">
    <w:p w:rsidR="00CE1177" w:rsidRPr="008C7A6C" w:rsidRDefault="00CE1177" w:rsidP="008C7A6C">
      <w:pPr>
        <w:pStyle w:val="FootnoteText"/>
        <w:ind w:left="567" w:hanging="567"/>
        <w:rPr>
          <w:sz w:val="24"/>
          <w:lang w:val="el-GR"/>
        </w:rPr>
      </w:pPr>
      <w:r w:rsidRPr="008C7A6C">
        <w:rPr>
          <w:rStyle w:val="FootnoteReference"/>
          <w:sz w:val="24"/>
          <w:lang w:val="el-GR"/>
        </w:rPr>
        <w:footnoteRef/>
      </w:r>
      <w:r w:rsidR="008C7A6C" w:rsidRPr="008C7A6C">
        <w:rPr>
          <w:sz w:val="24"/>
          <w:lang w:val="el-GR"/>
        </w:rPr>
        <w:t xml:space="preserve"> </w:t>
      </w:r>
      <w:r w:rsidR="008C7A6C" w:rsidRPr="008C7A6C">
        <w:rPr>
          <w:sz w:val="24"/>
          <w:lang w:val="el-GR"/>
        </w:rPr>
        <w:tab/>
      </w:r>
      <w:r w:rsidRPr="008C7A6C">
        <w:rPr>
          <w:sz w:val="24"/>
          <w:lang w:val="el-GR"/>
        </w:rPr>
        <w:t xml:space="preserve">Συμπέρασμα της EFSA σχετικά με την επιστημονική επανεξέταση της εκτίμησης κινδύνου από </w:t>
      </w:r>
      <w:proofErr w:type="spellStart"/>
      <w:r w:rsidRPr="008C7A6C">
        <w:rPr>
          <w:sz w:val="24"/>
          <w:lang w:val="el-GR"/>
        </w:rPr>
        <w:t>φυτοπροστατευτικά</w:t>
      </w:r>
      <w:proofErr w:type="spellEnd"/>
      <w:r w:rsidRPr="008C7A6C">
        <w:rPr>
          <w:sz w:val="24"/>
          <w:lang w:val="el-GR"/>
        </w:rPr>
        <w:t xml:space="preserve"> προϊόντα όσον αφορά τη δραστική ουσία </w:t>
      </w:r>
      <w:proofErr w:type="spellStart"/>
      <w:r w:rsidRPr="008C7A6C">
        <w:rPr>
          <w:sz w:val="24"/>
          <w:lang w:val="el-GR"/>
        </w:rPr>
        <w:t>cyproconazole</w:t>
      </w:r>
      <w:proofErr w:type="spellEnd"/>
      <w:r w:rsidRPr="008C7A6C">
        <w:rPr>
          <w:sz w:val="24"/>
          <w:lang w:val="el-GR"/>
        </w:rPr>
        <w:t xml:space="preserve">, EFSA Journal 2010, 8(11):1897, </w:t>
      </w:r>
      <w:hyperlink r:id="rId2" w:history="1">
        <w:r w:rsidRPr="008C7A6C">
          <w:rPr>
            <w:rStyle w:val="Hyperlink"/>
            <w:sz w:val="24"/>
            <w:lang w:val="el-GR"/>
          </w:rPr>
          <w:t>https://doi.org/10.2903/j.efsa.2010.1897</w:t>
        </w:r>
      </w:hyperlink>
      <w:r w:rsidRPr="008C7A6C">
        <w:rPr>
          <w:sz w:val="24"/>
          <w:lang w:val="el-GR"/>
        </w:rPr>
        <w:t>.</w:t>
      </w:r>
    </w:p>
  </w:footnote>
  <w:footnote w:id="6">
    <w:p w:rsidR="00CE1177" w:rsidRPr="008C7A6C" w:rsidRDefault="00CE1177" w:rsidP="008C7A6C">
      <w:pPr>
        <w:pStyle w:val="FootnoteText"/>
        <w:ind w:left="567" w:hanging="567"/>
        <w:rPr>
          <w:sz w:val="24"/>
          <w:lang w:val="el-GR"/>
        </w:rPr>
      </w:pPr>
      <w:r w:rsidRPr="008C7A6C">
        <w:rPr>
          <w:rStyle w:val="FootnoteReference"/>
          <w:sz w:val="24"/>
          <w:lang w:val="el-GR"/>
        </w:rPr>
        <w:footnoteRef/>
      </w:r>
      <w:r w:rsidR="008C7A6C" w:rsidRPr="008C7A6C">
        <w:rPr>
          <w:sz w:val="24"/>
          <w:lang w:val="el-GR"/>
        </w:rPr>
        <w:t xml:space="preserve"> </w:t>
      </w:r>
      <w:r w:rsidR="008C7A6C" w:rsidRPr="008C7A6C">
        <w:rPr>
          <w:sz w:val="24"/>
          <w:lang w:val="el-GR"/>
        </w:rPr>
        <w:tab/>
      </w:r>
      <w:r w:rsidRPr="008C7A6C">
        <w:rPr>
          <w:sz w:val="24"/>
          <w:lang w:val="el-GR"/>
        </w:rPr>
        <w:t xml:space="preserve">Γνώμη της επιτροπής αξιολόγησης κινδύνων (RAC) που προτείνει εναρμονισμένη ταξινόμηση και επισήμανση σε επίπεδο ΕΕ της ουσίας </w:t>
      </w:r>
      <w:proofErr w:type="spellStart"/>
      <w:r w:rsidRPr="008C7A6C">
        <w:rPr>
          <w:sz w:val="24"/>
          <w:lang w:val="el-GR"/>
        </w:rPr>
        <w:t>cyproconazole</w:t>
      </w:r>
      <w:proofErr w:type="spellEnd"/>
      <w:r w:rsidRPr="008C7A6C">
        <w:rPr>
          <w:sz w:val="24"/>
          <w:lang w:val="el-GR"/>
        </w:rPr>
        <w:t xml:space="preserve"> (ISO)· (2RS,3RS;2RS,3SR)-2-(4-χλωροφαινυλο)-3-κυκλοπροπυλο-1-(1H-1,2,4-τριαζολ-1-υλο)βουταν-2-όλη, </w:t>
      </w:r>
      <w:hyperlink r:id="rId3" w:history="1">
        <w:r w:rsidRPr="008C7A6C">
          <w:rPr>
            <w:rStyle w:val="Hyperlink"/>
            <w:sz w:val="24"/>
            <w:lang w:val="el-GR"/>
          </w:rPr>
          <w:t>https://echa.europa.eu/documents/10162/6d98baeb-24aa-a683-28ec-d8adabee5461</w:t>
        </w:r>
      </w:hyperlink>
      <w:r w:rsidRPr="008C7A6C">
        <w:rPr>
          <w:sz w:val="24"/>
          <w:lang w:val="el-GR"/>
        </w:rPr>
        <w:t>.</w:t>
      </w:r>
    </w:p>
  </w:footnote>
  <w:footnote w:id="7">
    <w:p w:rsidR="00CE1177" w:rsidRPr="008C7A6C" w:rsidRDefault="00CE1177" w:rsidP="008C7A6C">
      <w:pPr>
        <w:pStyle w:val="FootnoteText"/>
        <w:ind w:left="567" w:hanging="567"/>
        <w:rPr>
          <w:sz w:val="24"/>
          <w:lang w:val="el-GR"/>
        </w:rPr>
      </w:pPr>
      <w:r w:rsidRPr="008C7A6C">
        <w:rPr>
          <w:rStyle w:val="FootnoteReference"/>
          <w:sz w:val="24"/>
          <w:lang w:val="el-GR"/>
        </w:rPr>
        <w:footnoteRef/>
      </w:r>
      <w:r w:rsidR="008C7A6C" w:rsidRPr="008C7A6C">
        <w:rPr>
          <w:sz w:val="24"/>
          <w:lang w:val="el-GR"/>
        </w:rPr>
        <w:t xml:space="preserve"> </w:t>
      </w:r>
      <w:r w:rsidR="008C7A6C" w:rsidRPr="008C7A6C">
        <w:rPr>
          <w:sz w:val="24"/>
          <w:lang w:val="el-GR"/>
        </w:rPr>
        <w:tab/>
      </w:r>
      <w:r w:rsidRPr="008C7A6C">
        <w:rPr>
          <w:sz w:val="24"/>
          <w:lang w:val="el-GR"/>
        </w:rPr>
        <w:t>ΕΕ L 184 της 17.7.1999, σ. 23.</w:t>
      </w:r>
    </w:p>
  </w:footnote>
  <w:footnote w:id="8">
    <w:p w:rsidR="00CE1177" w:rsidRPr="008C7A6C" w:rsidRDefault="00CE1177" w:rsidP="008C7A6C">
      <w:pPr>
        <w:pStyle w:val="FootnoteText"/>
        <w:ind w:left="567" w:hanging="567"/>
        <w:rPr>
          <w:sz w:val="24"/>
          <w:lang w:val="el-GR"/>
        </w:rPr>
      </w:pPr>
      <w:r w:rsidRPr="008C7A6C">
        <w:rPr>
          <w:rStyle w:val="FootnoteReference"/>
          <w:sz w:val="24"/>
          <w:lang w:val="el-GR"/>
        </w:rPr>
        <w:footnoteRef/>
      </w:r>
      <w:r w:rsidR="008C7A6C" w:rsidRPr="008C7A6C">
        <w:rPr>
          <w:sz w:val="24"/>
          <w:lang w:val="el-GR"/>
        </w:rPr>
        <w:t xml:space="preserve"> </w:t>
      </w:r>
      <w:r w:rsidR="008C7A6C" w:rsidRPr="008C7A6C">
        <w:rPr>
          <w:sz w:val="24"/>
          <w:lang w:val="el-GR"/>
        </w:rPr>
        <w:tab/>
      </w:r>
      <w:r w:rsidRPr="008C7A6C">
        <w:rPr>
          <w:sz w:val="24"/>
          <w:lang w:val="el-GR"/>
        </w:rPr>
        <w:t>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67/548/ΕΟΚ και 1999/45/ΕΚ και την τροποποίηση του κανονισμού (ΕΚ) αριθ. 1907/2006 (ΕΕ L 353 της 31.12.2008, σ. 1).</w:t>
      </w:r>
    </w:p>
  </w:footnote>
  <w:footnote w:id="9">
    <w:p w:rsidR="00CE1177" w:rsidRPr="008C7A6C" w:rsidRDefault="00CE1177" w:rsidP="008C7A6C">
      <w:pPr>
        <w:pStyle w:val="FootnoteText"/>
        <w:ind w:left="567" w:hanging="567"/>
        <w:rPr>
          <w:sz w:val="24"/>
          <w:highlight w:val="magenta"/>
          <w:lang w:val="el-GR"/>
        </w:rPr>
      </w:pPr>
      <w:r w:rsidRPr="008C7A6C">
        <w:rPr>
          <w:rStyle w:val="FootnoteReference"/>
          <w:sz w:val="24"/>
          <w:lang w:val="el-GR"/>
        </w:rPr>
        <w:footnoteRef/>
      </w:r>
      <w:r w:rsidR="008C7A6C" w:rsidRPr="008C7A6C">
        <w:rPr>
          <w:sz w:val="24"/>
          <w:lang w:val="el-GR"/>
        </w:rPr>
        <w:t xml:space="preserve"> </w:t>
      </w:r>
      <w:r w:rsidR="008C7A6C" w:rsidRPr="008C7A6C">
        <w:rPr>
          <w:sz w:val="24"/>
          <w:lang w:val="el-GR"/>
        </w:rPr>
        <w:tab/>
      </w:r>
      <w:hyperlink r:id="rId4" w:history="1">
        <w:r w:rsidRPr="008C7A6C">
          <w:rPr>
            <w:rStyle w:val="Hyperlink"/>
            <w:sz w:val="24"/>
            <w:lang w:val="el-GR"/>
          </w:rPr>
          <w:t>https://www.echa.europa.eu/substance-information/-/substanceinfo/100.130.443</w:t>
        </w:r>
      </w:hyperlink>
      <w:r w:rsidRPr="008C7A6C">
        <w:rPr>
          <w:sz w:val="24"/>
          <w:lang w:val="el-GR"/>
        </w:rPr>
        <w:t>.</w:t>
      </w:r>
    </w:p>
  </w:footnote>
  <w:footnote w:id="10">
    <w:p w:rsidR="00CE1177" w:rsidRPr="008C7A6C" w:rsidRDefault="00CE1177" w:rsidP="008C7A6C">
      <w:pPr>
        <w:pStyle w:val="FootnoteText"/>
        <w:ind w:left="567" w:hanging="567"/>
        <w:rPr>
          <w:sz w:val="24"/>
          <w:lang w:val="el-GR"/>
        </w:rPr>
      </w:pPr>
      <w:r w:rsidRPr="008C7A6C">
        <w:rPr>
          <w:rStyle w:val="FootnoteReference"/>
          <w:sz w:val="24"/>
          <w:lang w:val="el-GR"/>
        </w:rPr>
        <w:footnoteRef/>
      </w:r>
      <w:r w:rsidR="008C7A6C" w:rsidRPr="008C7A6C">
        <w:rPr>
          <w:sz w:val="24"/>
          <w:lang w:val="el-GR"/>
        </w:rPr>
        <w:t xml:space="preserve"> </w:t>
      </w:r>
      <w:r w:rsidR="008C7A6C" w:rsidRPr="008C7A6C">
        <w:rPr>
          <w:sz w:val="24"/>
          <w:lang w:val="el-GR"/>
        </w:rPr>
        <w:tab/>
      </w:r>
      <w:r w:rsidRPr="008C7A6C">
        <w:rPr>
          <w:sz w:val="24"/>
          <w:lang w:val="el-GR"/>
        </w:rPr>
        <w:t>Συμπέρασμα της EFSA σχετικά με την επιστημονική επανεξέταση φυτοφαρμάκων της 8ης Νοεμβρίου 2010</w:t>
      </w:r>
      <w:r w:rsidRPr="008C7A6C">
        <w:rPr>
          <w:rStyle w:val="Hyperlink"/>
          <w:sz w:val="24"/>
          <w:lang w:val="el-GR"/>
        </w:rPr>
        <w:t>·</w:t>
      </w:r>
      <w:r w:rsidRPr="008C7A6C">
        <w:rPr>
          <w:sz w:val="24"/>
          <w:lang w:val="el-GR"/>
        </w:rPr>
        <w:t xml:space="preserve"> </w:t>
      </w:r>
      <w:proofErr w:type="spellStart"/>
      <w:r w:rsidRPr="008C7A6C">
        <w:rPr>
          <w:sz w:val="24"/>
          <w:lang w:val="el-GR"/>
        </w:rPr>
        <w:t>Draskau</w:t>
      </w:r>
      <w:proofErr w:type="spellEnd"/>
      <w:r w:rsidRPr="008C7A6C">
        <w:rPr>
          <w:sz w:val="24"/>
          <w:lang w:val="el-GR"/>
        </w:rPr>
        <w:t xml:space="preserve">, M.K., and </w:t>
      </w:r>
      <w:proofErr w:type="spellStart"/>
      <w:r w:rsidRPr="008C7A6C">
        <w:rPr>
          <w:sz w:val="24"/>
          <w:lang w:val="el-GR"/>
        </w:rPr>
        <w:t>Svingen</w:t>
      </w:r>
      <w:proofErr w:type="spellEnd"/>
      <w:r w:rsidRPr="008C7A6C">
        <w:rPr>
          <w:sz w:val="24"/>
          <w:lang w:val="el-GR"/>
        </w:rPr>
        <w:t>, T., ‘</w:t>
      </w:r>
      <w:proofErr w:type="spellStart"/>
      <w:r w:rsidRPr="008C7A6C">
        <w:rPr>
          <w:sz w:val="24"/>
          <w:lang w:val="el-GR"/>
        </w:rPr>
        <w:t>Azole</w:t>
      </w:r>
      <w:proofErr w:type="spellEnd"/>
      <w:r w:rsidRPr="008C7A6C">
        <w:rPr>
          <w:sz w:val="24"/>
          <w:lang w:val="el-GR"/>
        </w:rPr>
        <w:t xml:space="preserve"> </w:t>
      </w:r>
      <w:proofErr w:type="spellStart"/>
      <w:r w:rsidRPr="008C7A6C">
        <w:rPr>
          <w:sz w:val="24"/>
          <w:lang w:val="el-GR"/>
        </w:rPr>
        <w:t>Fungicides</w:t>
      </w:r>
      <w:proofErr w:type="spellEnd"/>
      <w:r w:rsidRPr="008C7A6C">
        <w:rPr>
          <w:sz w:val="24"/>
          <w:lang w:val="el-GR"/>
        </w:rPr>
        <w:t xml:space="preserve"> and </w:t>
      </w:r>
      <w:proofErr w:type="spellStart"/>
      <w:r w:rsidRPr="008C7A6C">
        <w:rPr>
          <w:sz w:val="24"/>
          <w:lang w:val="el-GR"/>
        </w:rPr>
        <w:t>Their</w:t>
      </w:r>
      <w:proofErr w:type="spellEnd"/>
      <w:r w:rsidRPr="008C7A6C">
        <w:rPr>
          <w:sz w:val="24"/>
          <w:lang w:val="el-GR"/>
        </w:rPr>
        <w:t xml:space="preserve"> </w:t>
      </w:r>
      <w:proofErr w:type="spellStart"/>
      <w:r w:rsidRPr="008C7A6C">
        <w:rPr>
          <w:sz w:val="24"/>
          <w:lang w:val="el-GR"/>
        </w:rPr>
        <w:t>Endocrine</w:t>
      </w:r>
      <w:proofErr w:type="spellEnd"/>
      <w:r w:rsidRPr="008C7A6C">
        <w:rPr>
          <w:sz w:val="24"/>
          <w:lang w:val="el-GR"/>
        </w:rPr>
        <w:t xml:space="preserve"> </w:t>
      </w:r>
      <w:proofErr w:type="spellStart"/>
      <w:r w:rsidRPr="008C7A6C">
        <w:rPr>
          <w:sz w:val="24"/>
          <w:lang w:val="el-GR"/>
        </w:rPr>
        <w:t>Disrupting</w:t>
      </w:r>
      <w:proofErr w:type="spellEnd"/>
      <w:r w:rsidRPr="008C7A6C">
        <w:rPr>
          <w:sz w:val="24"/>
          <w:lang w:val="el-GR"/>
        </w:rPr>
        <w:t xml:space="preserve"> </w:t>
      </w:r>
      <w:proofErr w:type="spellStart"/>
      <w:r w:rsidRPr="008C7A6C">
        <w:rPr>
          <w:sz w:val="24"/>
          <w:lang w:val="el-GR"/>
        </w:rPr>
        <w:t>Properties</w:t>
      </w:r>
      <w:proofErr w:type="spellEnd"/>
      <w:r w:rsidRPr="008C7A6C">
        <w:rPr>
          <w:sz w:val="24"/>
          <w:lang w:val="el-GR"/>
        </w:rPr>
        <w:t xml:space="preserve">: </w:t>
      </w:r>
      <w:proofErr w:type="spellStart"/>
      <w:r w:rsidRPr="008C7A6C">
        <w:rPr>
          <w:sz w:val="24"/>
          <w:lang w:val="el-GR"/>
        </w:rPr>
        <w:t>Perspectives</w:t>
      </w:r>
      <w:proofErr w:type="spellEnd"/>
      <w:r w:rsidRPr="008C7A6C">
        <w:rPr>
          <w:sz w:val="24"/>
          <w:lang w:val="el-GR"/>
        </w:rPr>
        <w:t xml:space="preserve"> on </w:t>
      </w:r>
      <w:proofErr w:type="spellStart"/>
      <w:r w:rsidRPr="008C7A6C">
        <w:rPr>
          <w:sz w:val="24"/>
          <w:lang w:val="el-GR"/>
        </w:rPr>
        <w:t>Sex</w:t>
      </w:r>
      <w:proofErr w:type="spellEnd"/>
      <w:r w:rsidRPr="008C7A6C">
        <w:rPr>
          <w:sz w:val="24"/>
          <w:lang w:val="el-GR"/>
        </w:rPr>
        <w:t xml:space="preserve"> </w:t>
      </w:r>
      <w:proofErr w:type="spellStart"/>
      <w:r w:rsidRPr="008C7A6C">
        <w:rPr>
          <w:sz w:val="24"/>
          <w:lang w:val="el-GR"/>
        </w:rPr>
        <w:t>Hormone-Dependent</w:t>
      </w:r>
      <w:proofErr w:type="spellEnd"/>
      <w:r w:rsidRPr="008C7A6C">
        <w:rPr>
          <w:sz w:val="24"/>
          <w:lang w:val="el-GR"/>
        </w:rPr>
        <w:t xml:space="preserve"> </w:t>
      </w:r>
      <w:proofErr w:type="spellStart"/>
      <w:r w:rsidRPr="008C7A6C">
        <w:rPr>
          <w:sz w:val="24"/>
          <w:lang w:val="el-GR"/>
        </w:rPr>
        <w:t>Reproductive</w:t>
      </w:r>
      <w:proofErr w:type="spellEnd"/>
      <w:r w:rsidRPr="008C7A6C">
        <w:rPr>
          <w:sz w:val="24"/>
          <w:lang w:val="el-GR"/>
        </w:rPr>
        <w:t xml:space="preserve"> Development’, </w:t>
      </w:r>
      <w:proofErr w:type="spellStart"/>
      <w:r w:rsidRPr="008C7A6C">
        <w:rPr>
          <w:sz w:val="24"/>
          <w:lang w:val="el-GR"/>
        </w:rPr>
        <w:t>Frontiers</w:t>
      </w:r>
      <w:proofErr w:type="spellEnd"/>
      <w:r w:rsidRPr="008C7A6C">
        <w:rPr>
          <w:sz w:val="24"/>
          <w:lang w:val="el-GR"/>
        </w:rPr>
        <w:t xml:space="preserve"> in </w:t>
      </w:r>
      <w:proofErr w:type="spellStart"/>
      <w:r w:rsidRPr="008C7A6C">
        <w:rPr>
          <w:sz w:val="24"/>
          <w:lang w:val="el-GR"/>
        </w:rPr>
        <w:t>Toxicology</w:t>
      </w:r>
      <w:proofErr w:type="spellEnd"/>
      <w:r w:rsidRPr="008C7A6C">
        <w:rPr>
          <w:sz w:val="24"/>
          <w:lang w:val="el-GR"/>
        </w:rPr>
        <w:t xml:space="preserve"> 2022, 4:883254, </w:t>
      </w:r>
      <w:hyperlink r:id="rId5" w:history="1">
        <w:r w:rsidRPr="008C7A6C">
          <w:rPr>
            <w:rStyle w:val="Hyperlink"/>
            <w:color w:val="0000FF"/>
            <w:sz w:val="24"/>
            <w:shd w:val="clear" w:color="auto" w:fill="F7F7F7"/>
            <w:lang w:val="el-GR"/>
          </w:rPr>
          <w:t>https://doi.org/10.3389/ftox.2022.883254</w:t>
        </w:r>
      </w:hyperlink>
      <w:r w:rsidRPr="008C7A6C">
        <w:rPr>
          <w:sz w:val="24"/>
          <w:lang w:val="el-GR"/>
        </w:rPr>
        <w:t>.</w:t>
      </w:r>
    </w:p>
  </w:footnote>
  <w:footnote w:id="11">
    <w:p w:rsidR="00E105CF" w:rsidRPr="008C7A6C" w:rsidRDefault="00E105CF" w:rsidP="00E105CF">
      <w:pPr>
        <w:pStyle w:val="FootnoteText"/>
        <w:ind w:left="567" w:hanging="567"/>
        <w:rPr>
          <w:sz w:val="24"/>
          <w:lang w:val="el-GR"/>
        </w:rPr>
      </w:pPr>
      <w:r w:rsidRPr="008C7A6C">
        <w:rPr>
          <w:rStyle w:val="FootnoteReference"/>
          <w:sz w:val="24"/>
          <w:lang w:val="el-GR"/>
        </w:rPr>
        <w:footnoteRef/>
      </w:r>
      <w:r w:rsidRPr="008C7A6C">
        <w:rPr>
          <w:sz w:val="24"/>
          <w:lang w:val="el-GR"/>
        </w:rPr>
        <w:t xml:space="preserve"> </w:t>
      </w:r>
      <w:r w:rsidRPr="008C7A6C">
        <w:rPr>
          <w:sz w:val="24"/>
          <w:lang w:val="el-GR"/>
        </w:rPr>
        <w:tab/>
      </w:r>
      <w:r w:rsidRPr="008C7A6C">
        <w:rPr>
          <w:sz w:val="24"/>
          <w:lang w:val="el-GR"/>
        </w:rPr>
        <w:t>Κανονισμός (ΕΕ) 2018/605 της Επιτροπής, της 19ης Απριλίου 2018, για την τροποποίηση του παραρτήματος II του κανονισμού (ΕΚ) αριθ. 1107/2009 με τον καθορισμό επιστημονικών κριτηρίων για τον προσδιορισμό των ιδιοτήτων ενδοκρινικής διαταραχής (ΕΕ L 101 της 20.4.2018, σ. 33).</w:t>
      </w:r>
    </w:p>
  </w:footnote>
  <w:footnote w:id="12">
    <w:p w:rsidR="00CE1177" w:rsidRPr="008C7A6C" w:rsidRDefault="00CE1177" w:rsidP="008C7A6C">
      <w:pPr>
        <w:pStyle w:val="FootnoteText"/>
        <w:ind w:left="567" w:hanging="567"/>
        <w:rPr>
          <w:sz w:val="24"/>
          <w:lang w:val="el-GR"/>
        </w:rPr>
      </w:pPr>
      <w:r w:rsidRPr="008C7A6C">
        <w:rPr>
          <w:rStyle w:val="FootnoteReference"/>
          <w:sz w:val="24"/>
          <w:lang w:val="el-GR"/>
        </w:rPr>
        <w:footnoteRef/>
      </w:r>
      <w:r w:rsidR="008C7A6C" w:rsidRPr="008C7A6C">
        <w:rPr>
          <w:sz w:val="24"/>
          <w:lang w:val="el-GR"/>
        </w:rPr>
        <w:t xml:space="preserve"> </w:t>
      </w:r>
      <w:r w:rsidR="008C7A6C" w:rsidRPr="008C7A6C">
        <w:rPr>
          <w:sz w:val="24"/>
          <w:lang w:val="el-GR"/>
        </w:rPr>
        <w:tab/>
      </w:r>
      <w:r w:rsidRPr="008C7A6C">
        <w:rPr>
          <w:sz w:val="24"/>
          <w:lang w:val="el-GR"/>
        </w:rPr>
        <w:t xml:space="preserve">Επιστημονική έκθεση της ειδικής ομάδας για τις δραστικές ουσίες που αποτελούν ενδοκρινικούς </w:t>
      </w:r>
      <w:proofErr w:type="spellStart"/>
      <w:r w:rsidRPr="008C7A6C">
        <w:rPr>
          <w:sz w:val="24"/>
          <w:lang w:val="el-GR"/>
        </w:rPr>
        <w:t>διαταράκτες</w:t>
      </w:r>
      <w:proofErr w:type="spellEnd"/>
      <w:r w:rsidRPr="008C7A6C">
        <w:rPr>
          <w:sz w:val="24"/>
          <w:lang w:val="el-GR"/>
        </w:rPr>
        <w:t xml:space="preserve">, EFSA Journal 2010, 8(11): 1932, </w:t>
      </w:r>
      <w:hyperlink r:id="rId6" w:history="1">
        <w:r w:rsidRPr="008C7A6C">
          <w:rPr>
            <w:rStyle w:val="Hyperlink"/>
            <w:sz w:val="24"/>
            <w:lang w:val="el-GR"/>
          </w:rPr>
          <w:t>https://doi.org/10.2903/j.efsa.2010.1932</w:t>
        </w:r>
      </w:hyperlink>
      <w:r w:rsidRPr="008C7A6C">
        <w:rPr>
          <w:sz w:val="24"/>
          <w:lang w:val="el-GR"/>
        </w:rPr>
        <w:t xml:space="preserve">. </w:t>
      </w:r>
    </w:p>
  </w:footnote>
  <w:footnote w:id="13">
    <w:p w:rsidR="00CE1177" w:rsidRPr="008C7A6C" w:rsidRDefault="00CE1177" w:rsidP="008C7A6C">
      <w:pPr>
        <w:pStyle w:val="FootnoteText"/>
        <w:ind w:left="567" w:hanging="567"/>
        <w:rPr>
          <w:sz w:val="24"/>
          <w:lang w:val="el-GR"/>
        </w:rPr>
      </w:pPr>
      <w:r w:rsidRPr="008C7A6C">
        <w:rPr>
          <w:rStyle w:val="FootnoteReference"/>
          <w:sz w:val="24"/>
          <w:lang w:val="el-GR"/>
        </w:rPr>
        <w:footnoteRef/>
      </w:r>
      <w:r w:rsidR="008C7A6C" w:rsidRPr="008C7A6C">
        <w:rPr>
          <w:sz w:val="24"/>
          <w:lang w:val="el-GR"/>
        </w:rPr>
        <w:t xml:space="preserve"> </w:t>
      </w:r>
      <w:r w:rsidR="008C7A6C" w:rsidRPr="008C7A6C">
        <w:rPr>
          <w:sz w:val="24"/>
          <w:lang w:val="el-GR"/>
        </w:rPr>
        <w:tab/>
      </w:r>
      <w:proofErr w:type="spellStart"/>
      <w:r w:rsidRPr="008C7A6C">
        <w:rPr>
          <w:sz w:val="24"/>
          <w:lang w:val="el-GR"/>
        </w:rPr>
        <w:t>Zhang</w:t>
      </w:r>
      <w:proofErr w:type="spellEnd"/>
      <w:r w:rsidRPr="008C7A6C">
        <w:rPr>
          <w:sz w:val="24"/>
          <w:lang w:val="el-GR"/>
        </w:rPr>
        <w:t xml:space="preserve">, J., </w:t>
      </w:r>
      <w:proofErr w:type="spellStart"/>
      <w:r w:rsidRPr="008C7A6C">
        <w:rPr>
          <w:sz w:val="24"/>
          <w:lang w:val="el-GR"/>
        </w:rPr>
        <w:t>Jimenez</w:t>
      </w:r>
      <w:proofErr w:type="spellEnd"/>
      <w:r w:rsidRPr="008C7A6C">
        <w:rPr>
          <w:sz w:val="24"/>
          <w:lang w:val="el-GR"/>
        </w:rPr>
        <w:t xml:space="preserve">, L.L., </w:t>
      </w:r>
      <w:proofErr w:type="spellStart"/>
      <w:r w:rsidRPr="008C7A6C">
        <w:rPr>
          <w:sz w:val="24"/>
          <w:lang w:val="el-GR"/>
        </w:rPr>
        <w:t>Snelders</w:t>
      </w:r>
      <w:proofErr w:type="spellEnd"/>
      <w:r w:rsidRPr="008C7A6C">
        <w:rPr>
          <w:sz w:val="24"/>
          <w:lang w:val="el-GR"/>
        </w:rPr>
        <w:t xml:space="preserve">, E., </w:t>
      </w:r>
      <w:proofErr w:type="spellStart"/>
      <w:r w:rsidRPr="008C7A6C">
        <w:rPr>
          <w:sz w:val="24"/>
          <w:lang w:val="el-GR"/>
        </w:rPr>
        <w:t>Debets</w:t>
      </w:r>
      <w:proofErr w:type="spellEnd"/>
      <w:r w:rsidRPr="008C7A6C">
        <w:rPr>
          <w:sz w:val="24"/>
          <w:lang w:val="el-GR"/>
        </w:rPr>
        <w:t xml:space="preserve">, A.J.M., </w:t>
      </w:r>
      <w:proofErr w:type="spellStart"/>
      <w:r w:rsidRPr="008C7A6C">
        <w:rPr>
          <w:sz w:val="24"/>
          <w:lang w:val="el-GR"/>
        </w:rPr>
        <w:t>Rietveld</w:t>
      </w:r>
      <w:proofErr w:type="spellEnd"/>
      <w:r w:rsidRPr="008C7A6C">
        <w:rPr>
          <w:sz w:val="24"/>
          <w:lang w:val="el-GR"/>
        </w:rPr>
        <w:t xml:space="preserve">, A.G., </w:t>
      </w:r>
      <w:proofErr w:type="spellStart"/>
      <w:r w:rsidRPr="008C7A6C">
        <w:rPr>
          <w:sz w:val="24"/>
          <w:lang w:val="el-GR"/>
        </w:rPr>
        <w:t>Zwaan</w:t>
      </w:r>
      <w:proofErr w:type="spellEnd"/>
      <w:r w:rsidRPr="008C7A6C">
        <w:rPr>
          <w:sz w:val="24"/>
          <w:lang w:val="el-GR"/>
        </w:rPr>
        <w:t xml:space="preserve">, B.J., </w:t>
      </w:r>
      <w:proofErr w:type="spellStart"/>
      <w:r w:rsidRPr="008C7A6C">
        <w:rPr>
          <w:sz w:val="24"/>
          <w:lang w:val="el-GR"/>
        </w:rPr>
        <w:t>Verweij</w:t>
      </w:r>
      <w:proofErr w:type="spellEnd"/>
      <w:r w:rsidRPr="008C7A6C">
        <w:rPr>
          <w:sz w:val="24"/>
          <w:lang w:val="el-GR"/>
        </w:rPr>
        <w:t xml:space="preserve">, P.E., </w:t>
      </w:r>
      <w:proofErr w:type="spellStart"/>
      <w:r w:rsidRPr="008C7A6C">
        <w:rPr>
          <w:sz w:val="24"/>
          <w:lang w:val="el-GR"/>
        </w:rPr>
        <w:t>Schoustra</w:t>
      </w:r>
      <w:proofErr w:type="spellEnd"/>
      <w:r w:rsidRPr="008C7A6C">
        <w:rPr>
          <w:sz w:val="24"/>
          <w:lang w:val="el-GR"/>
        </w:rPr>
        <w:t xml:space="preserve">, S.E., ‘Dynamics of </w:t>
      </w:r>
      <w:proofErr w:type="spellStart"/>
      <w:r w:rsidRPr="008C7A6C">
        <w:rPr>
          <w:i/>
          <w:sz w:val="24"/>
          <w:lang w:val="el-GR"/>
        </w:rPr>
        <w:t>Aspergillus</w:t>
      </w:r>
      <w:proofErr w:type="spellEnd"/>
      <w:r w:rsidRPr="008C7A6C">
        <w:rPr>
          <w:i/>
          <w:sz w:val="24"/>
          <w:lang w:val="el-GR"/>
        </w:rPr>
        <w:t xml:space="preserve"> </w:t>
      </w:r>
      <w:proofErr w:type="spellStart"/>
      <w:r w:rsidRPr="008C7A6C">
        <w:rPr>
          <w:i/>
          <w:sz w:val="24"/>
          <w:lang w:val="el-GR"/>
        </w:rPr>
        <w:t>fumigatus</w:t>
      </w:r>
      <w:proofErr w:type="spellEnd"/>
      <w:r w:rsidRPr="008C7A6C">
        <w:rPr>
          <w:sz w:val="24"/>
          <w:lang w:val="el-GR"/>
        </w:rPr>
        <w:t xml:space="preserve"> in </w:t>
      </w:r>
      <w:proofErr w:type="spellStart"/>
      <w:r w:rsidRPr="008C7A6C">
        <w:rPr>
          <w:sz w:val="24"/>
          <w:lang w:val="el-GR"/>
        </w:rPr>
        <w:t>Azole</w:t>
      </w:r>
      <w:proofErr w:type="spellEnd"/>
      <w:r w:rsidRPr="008C7A6C">
        <w:rPr>
          <w:sz w:val="24"/>
          <w:lang w:val="el-GR"/>
        </w:rPr>
        <w:t xml:space="preserve"> </w:t>
      </w:r>
      <w:proofErr w:type="spellStart"/>
      <w:r w:rsidRPr="008C7A6C">
        <w:rPr>
          <w:sz w:val="24"/>
          <w:lang w:val="el-GR"/>
        </w:rPr>
        <w:t>Fungicide-Containing</w:t>
      </w:r>
      <w:proofErr w:type="spellEnd"/>
      <w:r w:rsidRPr="008C7A6C">
        <w:rPr>
          <w:sz w:val="24"/>
          <w:lang w:val="el-GR"/>
        </w:rPr>
        <w:t xml:space="preserve"> </w:t>
      </w:r>
      <w:proofErr w:type="spellStart"/>
      <w:r w:rsidRPr="008C7A6C">
        <w:rPr>
          <w:sz w:val="24"/>
          <w:lang w:val="el-GR"/>
        </w:rPr>
        <w:t>Plant</w:t>
      </w:r>
      <w:proofErr w:type="spellEnd"/>
      <w:r w:rsidRPr="008C7A6C">
        <w:rPr>
          <w:sz w:val="24"/>
          <w:lang w:val="el-GR"/>
        </w:rPr>
        <w:t xml:space="preserve"> </w:t>
      </w:r>
      <w:proofErr w:type="spellStart"/>
      <w:r w:rsidRPr="008C7A6C">
        <w:rPr>
          <w:sz w:val="24"/>
          <w:lang w:val="el-GR"/>
        </w:rPr>
        <w:t>Waste</w:t>
      </w:r>
      <w:proofErr w:type="spellEnd"/>
      <w:r w:rsidRPr="008C7A6C">
        <w:rPr>
          <w:sz w:val="24"/>
          <w:lang w:val="el-GR"/>
        </w:rPr>
        <w:t xml:space="preserve"> in the Netherlands (2016-2017)’, </w:t>
      </w:r>
      <w:proofErr w:type="spellStart"/>
      <w:r w:rsidRPr="008C7A6C">
        <w:rPr>
          <w:sz w:val="24"/>
          <w:lang w:val="el-GR"/>
        </w:rPr>
        <w:t>Applied</w:t>
      </w:r>
      <w:proofErr w:type="spellEnd"/>
      <w:r w:rsidRPr="008C7A6C">
        <w:rPr>
          <w:sz w:val="24"/>
          <w:lang w:val="el-GR"/>
        </w:rPr>
        <w:t xml:space="preserve"> and </w:t>
      </w:r>
      <w:proofErr w:type="spellStart"/>
      <w:r w:rsidRPr="008C7A6C">
        <w:rPr>
          <w:sz w:val="24"/>
          <w:lang w:val="el-GR"/>
        </w:rPr>
        <w:t>Environmental</w:t>
      </w:r>
      <w:proofErr w:type="spellEnd"/>
      <w:r w:rsidRPr="008C7A6C">
        <w:rPr>
          <w:sz w:val="24"/>
          <w:lang w:val="el-GR"/>
        </w:rPr>
        <w:t xml:space="preserve"> </w:t>
      </w:r>
      <w:proofErr w:type="spellStart"/>
      <w:r w:rsidRPr="008C7A6C">
        <w:rPr>
          <w:sz w:val="24"/>
          <w:lang w:val="el-GR"/>
        </w:rPr>
        <w:t>Microbiology</w:t>
      </w:r>
      <w:proofErr w:type="spellEnd"/>
      <w:r w:rsidRPr="008C7A6C">
        <w:rPr>
          <w:sz w:val="24"/>
          <w:lang w:val="el-GR"/>
        </w:rPr>
        <w:t xml:space="preserve"> 2021, 87:e02295-20, </w:t>
      </w:r>
      <w:hyperlink r:id="rId7" w:history="1">
        <w:r w:rsidRPr="008C7A6C">
          <w:rPr>
            <w:rStyle w:val="Hyperlink"/>
            <w:sz w:val="24"/>
            <w:lang w:val="el-GR"/>
          </w:rPr>
          <w:t>https://doi.org/10.1128/AEM.02295-20</w:t>
        </w:r>
      </w:hyperlink>
      <w:r w:rsidRPr="008C7A6C">
        <w:rPr>
          <w:sz w:val="24"/>
          <w:lang w:val="el-GR"/>
        </w:rPr>
        <w:t>·</w:t>
      </w:r>
      <w:r w:rsidRPr="008C7A6C">
        <w:rPr>
          <w:color w:val="000000"/>
          <w:sz w:val="24"/>
          <w:lang w:val="el-GR"/>
        </w:rPr>
        <w:t xml:space="preserve"> </w:t>
      </w:r>
      <w:r w:rsidRPr="008C7A6C">
        <w:rPr>
          <w:sz w:val="24"/>
          <w:lang w:val="el-GR"/>
        </w:rPr>
        <w:t xml:space="preserve">Επιτροπή Περιβάλλοντος και Τροφίμων της Δανίας για την αντοχή στα </w:t>
      </w:r>
      <w:proofErr w:type="spellStart"/>
      <w:r w:rsidRPr="008C7A6C">
        <w:rPr>
          <w:sz w:val="24"/>
          <w:lang w:val="el-GR"/>
        </w:rPr>
        <w:t>αζόλια</w:t>
      </w:r>
      <w:proofErr w:type="spellEnd"/>
      <w:r w:rsidRPr="008C7A6C">
        <w:rPr>
          <w:sz w:val="24"/>
          <w:lang w:val="el-GR"/>
        </w:rPr>
        <w:t xml:space="preserve">, </w:t>
      </w:r>
      <w:hyperlink r:id="rId8" w:history="1">
        <w:r w:rsidRPr="008C7A6C">
          <w:rPr>
            <w:rStyle w:val="Hyperlink"/>
            <w:sz w:val="24"/>
            <w:lang w:val="el-GR"/>
          </w:rPr>
          <w:t>https://www.ft.dk/samling/20181/almdel/MOF/bilag/407/2016336.pdf</w:t>
        </w:r>
      </w:hyperlink>
      <w:r w:rsidRPr="008C7A6C">
        <w:rPr>
          <w:sz w:val="24"/>
          <w:lang w:val="el-GR"/>
        </w:rPr>
        <w:t>·</w:t>
      </w:r>
      <w:r w:rsidRPr="008C7A6C">
        <w:rPr>
          <w:color w:val="000000"/>
          <w:sz w:val="24"/>
          <w:lang w:val="el-GR"/>
        </w:rPr>
        <w:t xml:space="preserve"> </w:t>
      </w:r>
      <w:proofErr w:type="spellStart"/>
      <w:r w:rsidRPr="008C7A6C">
        <w:rPr>
          <w:color w:val="000000"/>
          <w:sz w:val="24"/>
          <w:lang w:val="el-GR"/>
        </w:rPr>
        <w:t>Snelders</w:t>
      </w:r>
      <w:proofErr w:type="spellEnd"/>
      <w:r w:rsidRPr="008C7A6C">
        <w:rPr>
          <w:color w:val="000000"/>
          <w:sz w:val="24"/>
          <w:lang w:val="el-GR"/>
        </w:rPr>
        <w:t xml:space="preserve">, E., </w:t>
      </w:r>
      <w:proofErr w:type="spellStart"/>
      <w:r w:rsidRPr="008C7A6C">
        <w:rPr>
          <w:color w:val="000000"/>
          <w:sz w:val="24"/>
          <w:lang w:val="el-GR"/>
        </w:rPr>
        <w:t>Camps</w:t>
      </w:r>
      <w:proofErr w:type="spellEnd"/>
      <w:r w:rsidRPr="008C7A6C">
        <w:rPr>
          <w:color w:val="000000"/>
          <w:sz w:val="24"/>
          <w:lang w:val="el-GR"/>
        </w:rPr>
        <w:t xml:space="preserve">, S.M.T., </w:t>
      </w:r>
      <w:proofErr w:type="spellStart"/>
      <w:r w:rsidRPr="008C7A6C">
        <w:rPr>
          <w:color w:val="000000"/>
          <w:sz w:val="24"/>
          <w:lang w:val="el-GR"/>
        </w:rPr>
        <w:t>Karawajczyk</w:t>
      </w:r>
      <w:proofErr w:type="spellEnd"/>
      <w:r w:rsidRPr="008C7A6C">
        <w:rPr>
          <w:color w:val="000000"/>
          <w:sz w:val="24"/>
          <w:lang w:val="el-GR"/>
        </w:rPr>
        <w:t xml:space="preserve">, A., </w:t>
      </w:r>
      <w:proofErr w:type="spellStart"/>
      <w:r w:rsidRPr="008C7A6C">
        <w:rPr>
          <w:color w:val="000000"/>
          <w:sz w:val="24"/>
          <w:lang w:val="el-GR"/>
        </w:rPr>
        <w:t>Schaftenaar</w:t>
      </w:r>
      <w:proofErr w:type="spellEnd"/>
      <w:r w:rsidRPr="008C7A6C">
        <w:rPr>
          <w:color w:val="000000"/>
          <w:sz w:val="24"/>
          <w:lang w:val="el-GR"/>
        </w:rPr>
        <w:t xml:space="preserve">, G., </w:t>
      </w:r>
      <w:proofErr w:type="spellStart"/>
      <w:r w:rsidRPr="008C7A6C">
        <w:rPr>
          <w:color w:val="000000"/>
          <w:sz w:val="24"/>
          <w:lang w:val="el-GR"/>
        </w:rPr>
        <w:t>Kema</w:t>
      </w:r>
      <w:proofErr w:type="spellEnd"/>
      <w:r w:rsidRPr="008C7A6C">
        <w:rPr>
          <w:color w:val="000000"/>
          <w:sz w:val="24"/>
          <w:lang w:val="el-GR"/>
        </w:rPr>
        <w:t xml:space="preserve">, G.H.J., </w:t>
      </w:r>
      <w:proofErr w:type="spellStart"/>
      <w:r w:rsidRPr="008C7A6C">
        <w:rPr>
          <w:color w:val="000000"/>
          <w:sz w:val="24"/>
          <w:lang w:val="el-GR"/>
        </w:rPr>
        <w:t>van</w:t>
      </w:r>
      <w:proofErr w:type="spellEnd"/>
      <w:r w:rsidRPr="008C7A6C">
        <w:rPr>
          <w:color w:val="000000"/>
          <w:sz w:val="24"/>
          <w:lang w:val="el-GR"/>
        </w:rPr>
        <w:t xml:space="preserve"> </w:t>
      </w:r>
      <w:proofErr w:type="spellStart"/>
      <w:r w:rsidRPr="008C7A6C">
        <w:rPr>
          <w:color w:val="000000"/>
          <w:sz w:val="24"/>
          <w:lang w:val="el-GR"/>
        </w:rPr>
        <w:t>der</w:t>
      </w:r>
      <w:proofErr w:type="spellEnd"/>
      <w:r w:rsidRPr="008C7A6C">
        <w:rPr>
          <w:color w:val="000000"/>
          <w:sz w:val="24"/>
          <w:lang w:val="el-GR"/>
        </w:rPr>
        <w:t xml:space="preserve"> </w:t>
      </w:r>
      <w:proofErr w:type="spellStart"/>
      <w:r w:rsidRPr="008C7A6C">
        <w:rPr>
          <w:color w:val="000000"/>
          <w:sz w:val="24"/>
          <w:lang w:val="el-GR"/>
        </w:rPr>
        <w:t>Lee</w:t>
      </w:r>
      <w:proofErr w:type="spellEnd"/>
      <w:r w:rsidRPr="008C7A6C">
        <w:rPr>
          <w:color w:val="000000"/>
          <w:sz w:val="24"/>
          <w:lang w:val="el-GR"/>
        </w:rPr>
        <w:t xml:space="preserve">, H.A., </w:t>
      </w:r>
      <w:proofErr w:type="spellStart"/>
      <w:r w:rsidRPr="008C7A6C">
        <w:rPr>
          <w:color w:val="000000"/>
          <w:sz w:val="24"/>
          <w:lang w:val="el-GR"/>
        </w:rPr>
        <w:t>et</w:t>
      </w:r>
      <w:proofErr w:type="spellEnd"/>
      <w:r w:rsidRPr="008C7A6C">
        <w:rPr>
          <w:color w:val="000000"/>
          <w:sz w:val="24"/>
          <w:lang w:val="el-GR"/>
        </w:rPr>
        <w:t xml:space="preserve"> </w:t>
      </w:r>
      <w:proofErr w:type="spellStart"/>
      <w:r w:rsidRPr="008C7A6C">
        <w:rPr>
          <w:color w:val="000000"/>
          <w:sz w:val="24"/>
          <w:lang w:val="el-GR"/>
        </w:rPr>
        <w:t>al</w:t>
      </w:r>
      <w:proofErr w:type="spellEnd"/>
      <w:r w:rsidRPr="008C7A6C">
        <w:rPr>
          <w:color w:val="000000"/>
          <w:sz w:val="24"/>
          <w:lang w:val="el-GR"/>
        </w:rPr>
        <w:t>., ‘</w:t>
      </w:r>
      <w:proofErr w:type="spellStart"/>
      <w:r w:rsidRPr="008C7A6C">
        <w:rPr>
          <w:color w:val="000000"/>
          <w:sz w:val="24"/>
          <w:lang w:val="el-GR"/>
        </w:rPr>
        <w:t>Triazole</w:t>
      </w:r>
      <w:proofErr w:type="spellEnd"/>
      <w:r w:rsidRPr="008C7A6C">
        <w:rPr>
          <w:color w:val="000000"/>
          <w:sz w:val="24"/>
          <w:lang w:val="el-GR"/>
        </w:rPr>
        <w:t xml:space="preserve"> </w:t>
      </w:r>
      <w:proofErr w:type="spellStart"/>
      <w:r w:rsidRPr="008C7A6C">
        <w:rPr>
          <w:color w:val="000000"/>
          <w:sz w:val="24"/>
          <w:lang w:val="el-GR"/>
        </w:rPr>
        <w:t>Fungicides</w:t>
      </w:r>
      <w:proofErr w:type="spellEnd"/>
      <w:r w:rsidRPr="008C7A6C">
        <w:rPr>
          <w:color w:val="000000"/>
          <w:sz w:val="24"/>
          <w:lang w:val="el-GR"/>
        </w:rPr>
        <w:t xml:space="preserve"> Can </w:t>
      </w:r>
      <w:proofErr w:type="spellStart"/>
      <w:r w:rsidRPr="008C7A6C">
        <w:rPr>
          <w:color w:val="000000"/>
          <w:sz w:val="24"/>
          <w:lang w:val="el-GR"/>
        </w:rPr>
        <w:t>Induce</w:t>
      </w:r>
      <w:proofErr w:type="spellEnd"/>
      <w:r w:rsidRPr="008C7A6C">
        <w:rPr>
          <w:color w:val="000000"/>
          <w:sz w:val="24"/>
          <w:lang w:val="el-GR"/>
        </w:rPr>
        <w:t xml:space="preserve"> Cross-</w:t>
      </w:r>
      <w:proofErr w:type="spellStart"/>
      <w:r w:rsidRPr="008C7A6C">
        <w:rPr>
          <w:color w:val="000000"/>
          <w:sz w:val="24"/>
          <w:lang w:val="el-GR"/>
        </w:rPr>
        <w:t>Resistance</w:t>
      </w:r>
      <w:proofErr w:type="spellEnd"/>
      <w:r w:rsidRPr="008C7A6C">
        <w:rPr>
          <w:color w:val="000000"/>
          <w:sz w:val="24"/>
          <w:lang w:val="el-GR"/>
        </w:rPr>
        <w:t xml:space="preserve"> </w:t>
      </w:r>
      <w:proofErr w:type="spellStart"/>
      <w:r w:rsidRPr="008C7A6C">
        <w:rPr>
          <w:color w:val="000000"/>
          <w:sz w:val="24"/>
          <w:lang w:val="el-GR"/>
        </w:rPr>
        <w:t>to</w:t>
      </w:r>
      <w:proofErr w:type="spellEnd"/>
      <w:r w:rsidRPr="008C7A6C">
        <w:rPr>
          <w:color w:val="000000"/>
          <w:sz w:val="24"/>
          <w:lang w:val="el-GR"/>
        </w:rPr>
        <w:t xml:space="preserve"> </w:t>
      </w:r>
      <w:proofErr w:type="spellStart"/>
      <w:r w:rsidRPr="008C7A6C">
        <w:rPr>
          <w:color w:val="000000"/>
          <w:sz w:val="24"/>
          <w:lang w:val="el-GR"/>
        </w:rPr>
        <w:t>Medical</w:t>
      </w:r>
      <w:proofErr w:type="spellEnd"/>
      <w:r w:rsidRPr="008C7A6C">
        <w:rPr>
          <w:color w:val="000000"/>
          <w:sz w:val="24"/>
          <w:lang w:val="el-GR"/>
        </w:rPr>
        <w:t xml:space="preserve"> </w:t>
      </w:r>
      <w:proofErr w:type="spellStart"/>
      <w:r w:rsidRPr="008C7A6C">
        <w:rPr>
          <w:color w:val="000000"/>
          <w:sz w:val="24"/>
          <w:lang w:val="el-GR"/>
        </w:rPr>
        <w:t>Triazoles</w:t>
      </w:r>
      <w:proofErr w:type="spellEnd"/>
      <w:r w:rsidRPr="008C7A6C">
        <w:rPr>
          <w:color w:val="000000"/>
          <w:sz w:val="24"/>
          <w:lang w:val="el-GR"/>
        </w:rPr>
        <w:t xml:space="preserve"> in </w:t>
      </w:r>
      <w:proofErr w:type="spellStart"/>
      <w:r w:rsidRPr="008C7A6C">
        <w:rPr>
          <w:i/>
          <w:color w:val="000000"/>
          <w:sz w:val="24"/>
          <w:lang w:val="el-GR"/>
        </w:rPr>
        <w:t>Aspergillus</w:t>
      </w:r>
      <w:proofErr w:type="spellEnd"/>
      <w:r w:rsidRPr="008C7A6C">
        <w:rPr>
          <w:i/>
          <w:color w:val="000000"/>
          <w:sz w:val="24"/>
          <w:lang w:val="el-GR"/>
        </w:rPr>
        <w:t xml:space="preserve"> </w:t>
      </w:r>
      <w:proofErr w:type="spellStart"/>
      <w:r w:rsidRPr="008C7A6C">
        <w:rPr>
          <w:i/>
          <w:color w:val="000000"/>
          <w:sz w:val="24"/>
          <w:lang w:val="el-GR"/>
        </w:rPr>
        <w:t>fumigatus</w:t>
      </w:r>
      <w:proofErr w:type="spellEnd"/>
      <w:r w:rsidRPr="008C7A6C">
        <w:rPr>
          <w:i/>
          <w:color w:val="000000"/>
          <w:sz w:val="24"/>
          <w:lang w:val="el-GR"/>
        </w:rPr>
        <w:t>’</w:t>
      </w:r>
      <w:r w:rsidRPr="008C7A6C">
        <w:rPr>
          <w:color w:val="000000"/>
          <w:sz w:val="24"/>
          <w:lang w:val="el-GR"/>
        </w:rPr>
        <w:t xml:space="preserve">. </w:t>
      </w:r>
      <w:proofErr w:type="spellStart"/>
      <w:r w:rsidRPr="008C7A6C">
        <w:rPr>
          <w:color w:val="000000"/>
          <w:sz w:val="24"/>
          <w:lang w:val="el-GR"/>
        </w:rPr>
        <w:t>PLoS</w:t>
      </w:r>
      <w:proofErr w:type="spellEnd"/>
      <w:r w:rsidRPr="008C7A6C">
        <w:rPr>
          <w:color w:val="000000"/>
          <w:sz w:val="24"/>
          <w:lang w:val="el-GR"/>
        </w:rPr>
        <w:t xml:space="preserve"> ONE 2012, 7(3): e31801. </w:t>
      </w:r>
      <w:hyperlink r:id="rId9" w:history="1">
        <w:r w:rsidRPr="00E105CF">
          <w:rPr>
            <w:rStyle w:val="Hyperlink"/>
            <w:sz w:val="24"/>
            <w:lang w:val="el-GR"/>
          </w:rPr>
          <w:t>https://doi.org/10.1371/journal.pone.0031801</w:t>
        </w:r>
      </w:hyperlink>
      <w:r w:rsidRPr="008C7A6C">
        <w:rPr>
          <w:color w:val="000000"/>
          <w:sz w:val="24"/>
          <w:lang w:val="el-GR"/>
        </w:rPr>
        <w:t>.</w:t>
      </w:r>
    </w:p>
  </w:footnote>
  <w:footnote w:id="14">
    <w:p w:rsidR="00CE1177" w:rsidRPr="008C7A6C" w:rsidRDefault="00CE1177" w:rsidP="008C7A6C">
      <w:pPr>
        <w:pStyle w:val="FootnoteText"/>
        <w:ind w:left="567" w:hanging="567"/>
        <w:rPr>
          <w:sz w:val="24"/>
          <w:lang w:val="el-GR"/>
        </w:rPr>
      </w:pPr>
      <w:r w:rsidRPr="008C7A6C">
        <w:rPr>
          <w:rStyle w:val="FootnoteReference"/>
          <w:sz w:val="24"/>
          <w:lang w:val="el-GR"/>
        </w:rPr>
        <w:footnoteRef/>
      </w:r>
      <w:r w:rsidR="008C7A6C" w:rsidRPr="008C7A6C">
        <w:rPr>
          <w:sz w:val="24"/>
          <w:lang w:val="el-GR"/>
        </w:rPr>
        <w:t xml:space="preserve"> </w:t>
      </w:r>
      <w:r w:rsidR="008C7A6C" w:rsidRPr="008C7A6C">
        <w:rPr>
          <w:sz w:val="24"/>
          <w:lang w:val="el-GR"/>
        </w:rPr>
        <w:tab/>
      </w:r>
      <w:hyperlink r:id="rId10" w:history="1">
        <w:r w:rsidRPr="008C7A6C">
          <w:rPr>
            <w:rStyle w:val="Hyperlink"/>
            <w:sz w:val="24"/>
            <w:lang w:val="el-GR"/>
          </w:rPr>
          <w:t>https://open.efsa.europa.eu/question/EFSA-Q-2022-00040</w:t>
        </w:r>
      </w:hyperlink>
      <w:r w:rsidRPr="008C7A6C">
        <w:rPr>
          <w:sz w:val="24"/>
          <w:lang w:val="el-GR"/>
        </w:rPr>
        <w:t>.</w:t>
      </w:r>
    </w:p>
  </w:footnote>
  <w:footnote w:id="15">
    <w:p w:rsidR="00CE1177" w:rsidRPr="008C7A6C" w:rsidRDefault="00CE1177" w:rsidP="008C7A6C">
      <w:pPr>
        <w:pStyle w:val="FootnoteText"/>
        <w:ind w:left="567" w:hanging="567"/>
        <w:rPr>
          <w:sz w:val="24"/>
          <w:lang w:val="el-GR"/>
        </w:rPr>
      </w:pPr>
      <w:r w:rsidRPr="008C7A6C">
        <w:rPr>
          <w:rStyle w:val="FootnoteReference"/>
          <w:sz w:val="24"/>
          <w:lang w:val="el-GR"/>
        </w:rPr>
        <w:footnoteRef/>
      </w:r>
      <w:r w:rsidR="008C7A6C" w:rsidRPr="008C7A6C">
        <w:rPr>
          <w:sz w:val="24"/>
          <w:lang w:val="el-GR"/>
        </w:rPr>
        <w:t xml:space="preserve"> </w:t>
      </w:r>
      <w:r w:rsidR="008C7A6C" w:rsidRPr="008C7A6C">
        <w:rPr>
          <w:sz w:val="24"/>
          <w:lang w:val="el-GR"/>
        </w:rPr>
        <w:tab/>
      </w:r>
      <w:hyperlink r:id="rId11" w:history="1">
        <w:r w:rsidRPr="008C7A6C">
          <w:rPr>
            <w:rStyle w:val="Hyperlink"/>
            <w:sz w:val="24"/>
            <w:lang w:val="el-GR"/>
          </w:rPr>
          <w:t>https://ec.europa.eu/transparency/comitology-register/screen/documents/089880/5/consult?lang=el</w:t>
        </w:r>
      </w:hyperlink>
      <w:r w:rsidRPr="008C7A6C">
        <w:rPr>
          <w:rStyle w:val="Hyperlink"/>
          <w:sz w:val="24"/>
          <w:lang w:val="el-GR"/>
        </w:rPr>
        <w:t>.</w:t>
      </w:r>
      <w:r w:rsidRPr="008C7A6C">
        <w:rPr>
          <w:sz w:val="24"/>
          <w:lang w:val="el-GR"/>
        </w:rPr>
        <w:t xml:space="preserve"> </w:t>
      </w:r>
    </w:p>
  </w:footnote>
  <w:footnote w:id="16">
    <w:p w:rsidR="00CE1177" w:rsidRPr="008C7A6C" w:rsidRDefault="00CE1177" w:rsidP="008C7A6C">
      <w:pPr>
        <w:pStyle w:val="FootnoteText"/>
        <w:ind w:left="567" w:hanging="567"/>
        <w:rPr>
          <w:sz w:val="24"/>
          <w:lang w:val="el-GR"/>
        </w:rPr>
      </w:pPr>
      <w:r w:rsidRPr="008C7A6C">
        <w:rPr>
          <w:sz w:val="24"/>
          <w:vertAlign w:val="superscript"/>
          <w:lang w:val="el-GR"/>
        </w:rPr>
        <w:footnoteRef/>
      </w:r>
      <w:r w:rsidR="008C7A6C" w:rsidRPr="008C7A6C">
        <w:rPr>
          <w:sz w:val="24"/>
          <w:lang w:val="el-GR"/>
        </w:rPr>
        <w:t xml:space="preserve"> </w:t>
      </w:r>
      <w:r w:rsidR="008C7A6C" w:rsidRPr="008C7A6C">
        <w:rPr>
          <w:sz w:val="24"/>
          <w:lang w:val="el-GR"/>
        </w:rPr>
        <w:tab/>
      </w:r>
      <w:r w:rsidRPr="008C7A6C">
        <w:rPr>
          <w:sz w:val="24"/>
          <w:lang w:val="el-GR"/>
        </w:rPr>
        <w:t>COM(2020)0381.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7A6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7A6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7A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1/2024"/>
    <w:docVar w:name="dvlangue" w:val="EL"/>
    <w:docVar w:name="dvnumam" w:val="0"/>
    <w:docVar w:name="dvpe" w:val="763.091"/>
    <w:docVar w:name="dvtitre" w:val="Ψήφισμα του Ευρωπαϊκού Κοινοβουλίου σχετικά με το σχέδιο κανονισμού της Επιτροπής για την τροποποίηση των παραρτημάτων II και III του κανονισμού (ΕΚ) αριθ. 396/2005 του Ευρωπαϊκού Κοινοβουλίου και του Συμβουλίου όσον αφορά τα ανώτατα όρια καταλοίπων για τις ουσίες cyproconazole (κυπροκοναζόλη) και spirodiclofen (σπιροδικλοφαίνη) μέσα ή πάνω σε ορισμένα προϊόντα(D091952/05 – 2024/2759(RPS))"/>
  </w:docVars>
  <w:rsids>
    <w:rsidRoot w:val="00C07B9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A6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7B96"/>
    <w:rsid w:val="00C23CD4"/>
    <w:rsid w:val="00C57CE2"/>
    <w:rsid w:val="00C61C0C"/>
    <w:rsid w:val="00C941CB"/>
    <w:rsid w:val="00CC2357"/>
    <w:rsid w:val="00CE1177"/>
    <w:rsid w:val="00CF071A"/>
    <w:rsid w:val="00D058B8"/>
    <w:rsid w:val="00D56C11"/>
    <w:rsid w:val="00D834A0"/>
    <w:rsid w:val="00D872DF"/>
    <w:rsid w:val="00D91E21"/>
    <w:rsid w:val="00DA7FCD"/>
    <w:rsid w:val="00E105C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8F4E26"/>
  <w15:chartTrackingRefBased/>
  <w15:docId w15:val="{142EDECD-3DF6-4D7D-BEC2-5BBF3D6A1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E1177"/>
    <w:pPr>
      <w:spacing w:before="480" w:after="240"/>
    </w:pPr>
  </w:style>
  <w:style w:type="paragraph" w:customStyle="1" w:styleId="NormalHanging12a">
    <w:name w:val="NormalHanging12a"/>
    <w:basedOn w:val="Normal"/>
    <w:uiPriority w:val="99"/>
    <w:rsid w:val="00CE1177"/>
    <w:pPr>
      <w:spacing w:after="240"/>
      <w:ind w:left="567" w:hanging="567"/>
    </w:pPr>
  </w:style>
  <w:style w:type="character" w:styleId="Hyperlink">
    <w:name w:val="Hyperlink"/>
    <w:basedOn w:val="DefaultParagraphFont"/>
    <w:uiPriority w:val="99"/>
    <w:rsid w:val="00CE1177"/>
    <w:rPr>
      <w:color w:val="0563C1" w:themeColor="hyperlink"/>
      <w:u w:val="single"/>
    </w:rPr>
  </w:style>
  <w:style w:type="paragraph" w:styleId="BalloonText">
    <w:name w:val="Balloon Text"/>
    <w:basedOn w:val="Normal"/>
    <w:link w:val="BalloonTextChar"/>
    <w:rsid w:val="00E105CF"/>
    <w:rPr>
      <w:rFonts w:ascii="Segoe UI" w:hAnsi="Segoe UI" w:cs="Segoe UI"/>
      <w:sz w:val="18"/>
      <w:szCs w:val="18"/>
    </w:rPr>
  </w:style>
  <w:style w:type="character" w:customStyle="1" w:styleId="BalloonTextChar">
    <w:name w:val="Balloon Text Char"/>
    <w:basedOn w:val="DefaultParagraphFont"/>
    <w:link w:val="BalloonText"/>
    <w:rsid w:val="00E105CF"/>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ft.dk/samling/20181/almdel/MOF/bilag/407/2016336.pdf" TargetMode="External"/><Relationship Id="rId3" Type="http://schemas.openxmlformats.org/officeDocument/2006/relationships/hyperlink" Target="https://echa.europa.eu/documents/10162/6d98baeb-24aa-a683-28ec-d8adabee5461" TargetMode="External"/><Relationship Id="rId7" Type="http://schemas.openxmlformats.org/officeDocument/2006/relationships/hyperlink" Target="https://doi.org/10.1128/AEM.02295-20" TargetMode="External"/><Relationship Id="rId2" Type="http://schemas.openxmlformats.org/officeDocument/2006/relationships/hyperlink" Target="https://doi.org/10.2903/j.efsa.2010.1897" TargetMode="External"/><Relationship Id="rId1" Type="http://schemas.openxmlformats.org/officeDocument/2006/relationships/hyperlink" Target="https://doi.org/10.2903/j.efsa.2021.6483" TargetMode="External"/><Relationship Id="rId6" Type="http://schemas.openxmlformats.org/officeDocument/2006/relationships/hyperlink" Target="https://doi.org/10.2903/j.efsa.2010.1932" TargetMode="External"/><Relationship Id="rId11" Type="http://schemas.openxmlformats.org/officeDocument/2006/relationships/hyperlink" Target="https://ec.europa.eu/transparency/comitology-register/screen/documents/089880/5/consult?lang=el" TargetMode="External"/><Relationship Id="rId5" Type="http://schemas.openxmlformats.org/officeDocument/2006/relationships/hyperlink" Target="https://doi.org/10.3389/ftox.2022.883254" TargetMode="External"/><Relationship Id="rId10" Type="http://schemas.openxmlformats.org/officeDocument/2006/relationships/hyperlink" Target="https://open.efsa.europa.eu/question/EFSA-Q-2022-00040" TargetMode="External"/><Relationship Id="rId4" Type="http://schemas.openxmlformats.org/officeDocument/2006/relationships/hyperlink" Target="https://www.echa.europa.eu/substance-information/-/substanceinfo/100.130.443" TargetMode="External"/><Relationship Id="rId9" Type="http://schemas.openxmlformats.org/officeDocument/2006/relationships/hyperlink" Target="https://doi.org/10.1371/journal.pone.00318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5D0B6-ADF2-4C61-B840-ECB2470A7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2312</Words>
  <Characters>13034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2024-09-18T10:50:00Z</dcterms:created>
  <dcterms:modified xsi:type="dcterms:W3CDTF">2024-09-18T10:50:00Z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B10-0021/2024</vt:lpwstr>
  </property>
  <property fmtid="{D5CDD505-2E9C-101B-9397-08002B2CF9AE}" pid="4" name="&lt;Type&gt;">
    <vt:lpwstr>RR</vt:lpwstr>
  </property>
</Properties>
</file>