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C0D" w:rsidTr="0010095E">
        <w:trPr>
          <w:trHeight w:hRule="exact" w:val="1418"/>
        </w:trPr>
        <w:tc>
          <w:tcPr>
            <w:tcW w:w="6804" w:type="dxa"/>
            <w:shd w:val="clear" w:color="auto" w:fill="auto"/>
            <w:vAlign w:val="center"/>
          </w:tcPr>
          <w:p w:rsidR="00751A4A" w:rsidRPr="009F5C0D" w:rsidRDefault="00EB4D77" w:rsidP="0010095E">
            <w:pPr>
              <w:pStyle w:val="EPName"/>
            </w:pPr>
            <w:r w:rsidRPr="009F5C0D">
              <w:t>Euroopa Parlament</w:t>
            </w:r>
          </w:p>
          <w:p w:rsidR="00751A4A" w:rsidRPr="009F5C0D" w:rsidRDefault="005F1B17" w:rsidP="005F1B17">
            <w:pPr>
              <w:pStyle w:val="EPTerm"/>
              <w:rPr>
                <w:rStyle w:val="HideTWBExt"/>
                <w:noProof w:val="0"/>
                <w:vanish w:val="0"/>
                <w:color w:val="auto"/>
              </w:rPr>
            </w:pPr>
            <w:r w:rsidRPr="009F5C0D">
              <w:t>2024</w:t>
            </w:r>
            <w:r w:rsidR="00817416" w:rsidRPr="009F5C0D">
              <w:t>-202</w:t>
            </w:r>
            <w:r w:rsidRPr="009F5C0D">
              <w:t>9</w:t>
            </w:r>
          </w:p>
        </w:tc>
        <w:tc>
          <w:tcPr>
            <w:tcW w:w="2268" w:type="dxa"/>
            <w:shd w:val="clear" w:color="auto" w:fill="auto"/>
          </w:tcPr>
          <w:p w:rsidR="00751A4A" w:rsidRPr="009F5C0D" w:rsidRDefault="00187494" w:rsidP="0010095E">
            <w:pPr>
              <w:pStyle w:val="EPLogo"/>
            </w:pPr>
            <w:r w:rsidRPr="009F5C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5C0D" w:rsidRDefault="00D058B8" w:rsidP="004C5D52">
      <w:pPr>
        <w:pStyle w:val="LineTop"/>
      </w:pPr>
    </w:p>
    <w:p w:rsidR="00680577" w:rsidRPr="009F5C0D" w:rsidRDefault="00EB4D77" w:rsidP="00680577">
      <w:pPr>
        <w:pStyle w:val="EPBodyTA1"/>
      </w:pPr>
      <w:r w:rsidRPr="009F5C0D">
        <w:t>VASTUVÕETUD TEKSTID</w:t>
      </w:r>
    </w:p>
    <w:p w:rsidR="00D058B8" w:rsidRPr="009F5C0D" w:rsidRDefault="00D058B8" w:rsidP="00D058B8">
      <w:pPr>
        <w:pStyle w:val="LineBottom"/>
      </w:pPr>
    </w:p>
    <w:p w:rsidR="00EB4D77" w:rsidRPr="009F5C0D" w:rsidRDefault="00EB4D77" w:rsidP="00EB4D77">
      <w:pPr>
        <w:pStyle w:val="ATHeading1"/>
      </w:pPr>
      <w:bookmarkStart w:id="0" w:name="TANumber"/>
      <w:r w:rsidRPr="009F5C0D">
        <w:t>P10_TA(2024)000</w:t>
      </w:r>
      <w:r w:rsidR="006A0402" w:rsidRPr="009F5C0D">
        <w:t>7</w:t>
      </w:r>
      <w:bookmarkEnd w:id="0"/>
    </w:p>
    <w:p w:rsidR="00EB4D77" w:rsidRPr="009F5C0D" w:rsidRDefault="00EB4D77" w:rsidP="00EB4D77">
      <w:pPr>
        <w:pStyle w:val="ATHeading2"/>
      </w:pPr>
      <w:bookmarkStart w:id="1" w:name="title"/>
      <w:r w:rsidRPr="009F5C0D">
        <w:t xml:space="preserve">Vastuväide </w:t>
      </w:r>
      <w:r w:rsidR="00A440EC" w:rsidRPr="009F5C0D">
        <w:t>rakendusaktile</w:t>
      </w:r>
      <w:r w:rsidRPr="009F5C0D">
        <w:t xml:space="preserve">: </w:t>
      </w:r>
      <w:proofErr w:type="spellStart"/>
      <w:r w:rsidRPr="009F5C0D">
        <w:t>tsüprokonasooli</w:t>
      </w:r>
      <w:proofErr w:type="spellEnd"/>
      <w:r w:rsidRPr="009F5C0D">
        <w:t xml:space="preserve"> jääkide piirnormid</w:t>
      </w:r>
      <w:bookmarkEnd w:id="1"/>
    </w:p>
    <w:p w:rsidR="00EB4D77" w:rsidRPr="009F5C0D" w:rsidRDefault="00EB4D77" w:rsidP="00EB4D77">
      <w:pPr>
        <w:rPr>
          <w:i/>
          <w:vanish/>
        </w:rPr>
      </w:pPr>
      <w:r w:rsidRPr="009F5C0D">
        <w:rPr>
          <w:i/>
        </w:rPr>
        <w:fldChar w:fldCharType="begin"/>
      </w:r>
      <w:r w:rsidRPr="009F5C0D">
        <w:rPr>
          <w:i/>
        </w:rPr>
        <w:instrText xml:space="preserve"> TC"(</w:instrText>
      </w:r>
      <w:bookmarkStart w:id="2" w:name="DocNumber"/>
      <w:r w:rsidRPr="009F5C0D">
        <w:rPr>
          <w:i/>
        </w:rPr>
        <w:instrText>B10-0021/2024</w:instrText>
      </w:r>
      <w:bookmarkEnd w:id="2"/>
      <w:r w:rsidRPr="009F5C0D">
        <w:rPr>
          <w:i/>
        </w:rPr>
        <w:instrText xml:space="preserve">)"\l3 \n&gt; \* MERGEFORMAT </w:instrText>
      </w:r>
      <w:r w:rsidRPr="009F5C0D">
        <w:rPr>
          <w:i/>
        </w:rPr>
        <w:fldChar w:fldCharType="end"/>
      </w:r>
    </w:p>
    <w:p w:rsidR="00EB4D77" w:rsidRPr="009F5C0D" w:rsidRDefault="00EB4D77" w:rsidP="00EB4D77">
      <w:pPr>
        <w:rPr>
          <w:vanish/>
        </w:rPr>
      </w:pPr>
      <w:bookmarkStart w:id="3" w:name="PE"/>
      <w:r w:rsidRPr="009F5C0D">
        <w:rPr>
          <w:vanish/>
        </w:rPr>
        <w:t>PE763.091</w:t>
      </w:r>
      <w:bookmarkEnd w:id="3"/>
    </w:p>
    <w:p w:rsidR="00EB4D77" w:rsidRPr="009F5C0D" w:rsidRDefault="00A440EC" w:rsidP="00EB4D77">
      <w:pPr>
        <w:pStyle w:val="ATHeading3"/>
      </w:pPr>
      <w:bookmarkStart w:id="4" w:name="Sujet"/>
      <w:r w:rsidRPr="009F5C0D">
        <w:t>Euroopa Parlamendi 18</w:t>
      </w:r>
      <w:r w:rsidR="00EB4D77" w:rsidRPr="009F5C0D">
        <w:t>.</w:t>
      </w:r>
      <w:r w:rsidRPr="009F5C0D">
        <w:t> septembri 2024. </w:t>
      </w:r>
      <w:r w:rsidR="00EB4D77" w:rsidRPr="009F5C0D">
        <w:t>aasta resolutsioon komisjoni määruse eelnõu kohta, millega muudetakse Euroopa Parlamendi ja nõuk</w:t>
      </w:r>
      <w:r w:rsidRPr="009F5C0D">
        <w:t>ogu määruse (EÜ) nr 396/2005 II </w:t>
      </w:r>
      <w:r w:rsidR="00EB4D77" w:rsidRPr="009F5C0D">
        <w:t xml:space="preserve">ja III lisa seoses teatavates toodetes või nende pinnal esinevate </w:t>
      </w:r>
      <w:proofErr w:type="spellStart"/>
      <w:r w:rsidR="00EB4D77" w:rsidRPr="009F5C0D">
        <w:t>tsüprokonasooli</w:t>
      </w:r>
      <w:proofErr w:type="spellEnd"/>
      <w:r w:rsidR="00EB4D77" w:rsidRPr="009F5C0D">
        <w:t xml:space="preserve"> ja </w:t>
      </w:r>
      <w:proofErr w:type="spellStart"/>
      <w:r w:rsidR="00EB4D77" w:rsidRPr="009F5C0D">
        <w:t>spirodiklofeeni</w:t>
      </w:r>
      <w:proofErr w:type="spellEnd"/>
      <w:r w:rsidR="00EB4D77" w:rsidRPr="009F5C0D">
        <w:t xml:space="preserve"> jääkide piirnormidega</w:t>
      </w:r>
      <w:bookmarkEnd w:id="4"/>
      <w:r w:rsidR="00EB4D77" w:rsidRPr="009F5C0D">
        <w:t xml:space="preserve"> </w:t>
      </w:r>
      <w:bookmarkStart w:id="5" w:name="References"/>
      <w:r w:rsidR="00EB4D77" w:rsidRPr="009F5C0D">
        <w:t>(D091952/05 – 2024/2759(RPS))</w:t>
      </w:r>
      <w:bookmarkEnd w:id="5"/>
    </w:p>
    <w:p w:rsidR="003E6CDF" w:rsidRPr="009F5C0D" w:rsidRDefault="003E6CDF" w:rsidP="003E6CDF">
      <w:pPr>
        <w:pStyle w:val="EPComma"/>
      </w:pPr>
      <w:bookmarkStart w:id="6" w:name="TextBodyBegin"/>
      <w:bookmarkEnd w:id="6"/>
      <w:r w:rsidRPr="009F5C0D">
        <w:rPr>
          <w:i/>
          <w:iCs/>
        </w:rPr>
        <w:t>Euroopa Parlament</w:t>
      </w:r>
      <w:r w:rsidRPr="009F5C0D">
        <w:t>,</w:t>
      </w:r>
    </w:p>
    <w:p w:rsidR="003E6CDF" w:rsidRPr="009F5C0D" w:rsidRDefault="003E6CDF" w:rsidP="003E6CDF">
      <w:pPr>
        <w:pStyle w:val="NormalHanging12a"/>
      </w:pPr>
      <w:r w:rsidRPr="009F5C0D">
        <w:t>–</w:t>
      </w:r>
      <w:r w:rsidRPr="009F5C0D">
        <w:tab/>
        <w:t>võttes arvesse komisjoni määruse eelnõu, millega muudetakse Euroopa Parl</w:t>
      </w:r>
      <w:bookmarkStart w:id="7" w:name="_GoBack"/>
      <w:bookmarkEnd w:id="7"/>
      <w:r w:rsidRPr="009F5C0D">
        <w:t>amendi ja nõuk</w:t>
      </w:r>
      <w:r w:rsidR="00A440EC" w:rsidRPr="009F5C0D">
        <w:t>ogu määruse (EÜ) nr 396/2005 II </w:t>
      </w:r>
      <w:r w:rsidRPr="009F5C0D">
        <w:t xml:space="preserve">ja III lisa seoses teatavates toodetes või nende pinnal esinevate </w:t>
      </w:r>
      <w:proofErr w:type="spellStart"/>
      <w:r w:rsidRPr="009F5C0D">
        <w:t>tsüprokonasooli</w:t>
      </w:r>
      <w:proofErr w:type="spellEnd"/>
      <w:r w:rsidRPr="009F5C0D">
        <w:t xml:space="preserve"> ja </w:t>
      </w:r>
      <w:proofErr w:type="spellStart"/>
      <w:r w:rsidRPr="009F5C0D">
        <w:t>spirodiklofeeni</w:t>
      </w:r>
      <w:proofErr w:type="spellEnd"/>
      <w:r w:rsidRPr="009F5C0D">
        <w:t xml:space="preserve"> jääkide piirnormidega (D091952/05),</w:t>
      </w:r>
    </w:p>
    <w:p w:rsidR="003E6CDF" w:rsidRPr="009F5C0D" w:rsidRDefault="003E6CDF" w:rsidP="003E6CDF">
      <w:pPr>
        <w:pStyle w:val="NormalHanging12a"/>
        <w:rPr>
          <w:szCs w:val="24"/>
        </w:rPr>
      </w:pPr>
      <w:r w:rsidRPr="009F5C0D">
        <w:t>–</w:t>
      </w:r>
      <w:r w:rsidRPr="009F5C0D">
        <w:tab/>
        <w:t>võttes arvesse Euroopa Parlamendi ja nõukogu 23. veebruari 2005. aasta määrust (EÜ) nr 396/2005 taimses ja loomses toidus ja söödas või nende pinnal esinevate pestitsiidide jääkide piirnormide ja nõukogu direktiivi 91/414/EMÜ muutmise kohta</w:t>
      </w:r>
      <w:r w:rsidRPr="009F5C0D">
        <w:rPr>
          <w:rStyle w:val="FootnoteReference"/>
        </w:rPr>
        <w:footnoteReference w:id="1"/>
      </w:r>
      <w:r w:rsidRPr="009F5C0D">
        <w:t>, eriti selle artikli 14 lõike 1 punkti a ja artikli 49 lõiget 2,</w:t>
      </w:r>
    </w:p>
    <w:p w:rsidR="003E6CDF" w:rsidRPr="009F5C0D" w:rsidRDefault="003E6CDF" w:rsidP="003E6CDF">
      <w:pPr>
        <w:pStyle w:val="NormalHanging12a"/>
        <w:rPr>
          <w:szCs w:val="24"/>
        </w:rPr>
      </w:pPr>
      <w:r w:rsidRPr="009F5C0D">
        <w:t>–</w:t>
      </w:r>
      <w:r w:rsidRPr="009F5C0D">
        <w:tab/>
        <w:t xml:space="preserve">võttes arvesse Euroopa Parlamendi ja nõukogu 21. oktoobri 2009. aasta määrust (EÜ) nr 1107/2009 taimekaitsevahendite </w:t>
      </w:r>
      <w:proofErr w:type="spellStart"/>
      <w:r w:rsidRPr="009F5C0D">
        <w:t>turulelaskmise</w:t>
      </w:r>
      <w:proofErr w:type="spellEnd"/>
      <w:r w:rsidRPr="009F5C0D">
        <w:t xml:space="preserve"> ja nõukogu direktiivide 79/117/EMÜ ja 91/414/EMÜ kehtetuks tunnistamise kohta</w:t>
      </w:r>
      <w:r w:rsidRPr="009F5C0D">
        <w:rPr>
          <w:rStyle w:val="FootnoteReference"/>
          <w:szCs w:val="24"/>
        </w:rPr>
        <w:footnoteReference w:id="2"/>
      </w:r>
      <w:r w:rsidR="00A440EC" w:rsidRPr="009F5C0D">
        <w:t>, eriti selle artikli 4 lõiget </w:t>
      </w:r>
      <w:r w:rsidRPr="009F5C0D">
        <w:t>1, artikli 4 lõike 2 esimese lõigu punkti a ja II lisa punkti 3.6.4,</w:t>
      </w:r>
    </w:p>
    <w:p w:rsidR="003E6CDF" w:rsidRPr="009F5C0D" w:rsidRDefault="003E6CDF" w:rsidP="003E6CDF">
      <w:pPr>
        <w:pStyle w:val="NormalHanging12a"/>
        <w:rPr>
          <w:szCs w:val="24"/>
        </w:rPr>
      </w:pPr>
      <w:r w:rsidRPr="009F5C0D">
        <w:t>–</w:t>
      </w:r>
      <w:r w:rsidRPr="009F5C0D">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9F5C0D">
        <w:rPr>
          <w:rStyle w:val="FootnoteReference"/>
          <w:szCs w:val="24"/>
        </w:rPr>
        <w:footnoteReference w:id="3"/>
      </w:r>
      <w:r w:rsidRPr="009F5C0D">
        <w:t>, eriti selle artikli 5 lõiget 1,</w:t>
      </w:r>
    </w:p>
    <w:p w:rsidR="003E6CDF" w:rsidRPr="009F5C0D" w:rsidRDefault="003E6CDF" w:rsidP="003E6CDF">
      <w:pPr>
        <w:pStyle w:val="NormalHanging12a"/>
        <w:rPr>
          <w:szCs w:val="24"/>
        </w:rPr>
      </w:pPr>
      <w:r w:rsidRPr="009F5C0D">
        <w:t>–</w:t>
      </w:r>
      <w:r w:rsidRPr="009F5C0D">
        <w:tab/>
        <w:t>võttes arvesse Euroopa Liidu toimimise lepingu (ELi toimimise leping) artikleid 11, 13, 168 ja 191,</w:t>
      </w:r>
    </w:p>
    <w:p w:rsidR="003E6CDF" w:rsidRPr="009F5C0D" w:rsidRDefault="003E6CDF" w:rsidP="003E6CDF">
      <w:pPr>
        <w:pStyle w:val="NormalHanging12a"/>
      </w:pPr>
      <w:r w:rsidRPr="009F5C0D">
        <w:t>–</w:t>
      </w:r>
      <w:r w:rsidRPr="009F5C0D">
        <w:tab/>
        <w:t xml:space="preserve">võttes arvesse Euroopa Toiduohutusameti (EFSA) 19. veebruaril 2021. aastal vastu </w:t>
      </w:r>
      <w:r w:rsidRPr="009F5C0D">
        <w:lastRenderedPageBreak/>
        <w:t>võetud ja 22. märtsil 2021. aastal avaldatud põhjendatud arvamust</w:t>
      </w:r>
      <w:r w:rsidRPr="009F5C0D">
        <w:rPr>
          <w:rStyle w:val="FootnoteReference"/>
          <w:szCs w:val="24"/>
        </w:rPr>
        <w:footnoteReference w:id="4"/>
      </w:r>
      <w:r w:rsidRPr="009F5C0D">
        <w:t>,</w:t>
      </w:r>
    </w:p>
    <w:p w:rsidR="003E6CDF" w:rsidRPr="009F5C0D" w:rsidRDefault="003E6CDF" w:rsidP="003E6CDF">
      <w:pPr>
        <w:pStyle w:val="NormalHanging12a"/>
        <w:rPr>
          <w:szCs w:val="24"/>
        </w:rPr>
      </w:pPr>
      <w:r w:rsidRPr="009F5C0D">
        <w:t>–</w:t>
      </w:r>
      <w:r w:rsidRPr="009F5C0D">
        <w:tab/>
        <w:t>võttes arvesse EFSA 8. novembril 2010. aastal vastu võetud ja 25. novembril 2010. aastal avaldatud järeldusi</w:t>
      </w:r>
      <w:r w:rsidRPr="009F5C0D">
        <w:rPr>
          <w:rStyle w:val="FootnoteReference"/>
        </w:rPr>
        <w:footnoteReference w:id="5"/>
      </w:r>
      <w:r w:rsidRPr="009F5C0D">
        <w:t xml:space="preserve"> pestitsiide käsitleva vastastikuse eksperdiarvamuse kohta,</w:t>
      </w:r>
    </w:p>
    <w:p w:rsidR="003E6CDF" w:rsidRPr="009F5C0D" w:rsidRDefault="003E6CDF" w:rsidP="003E6CDF">
      <w:pPr>
        <w:pStyle w:val="NormalHanging12a"/>
        <w:rPr>
          <w:szCs w:val="24"/>
        </w:rPr>
      </w:pPr>
      <w:r w:rsidRPr="009F5C0D">
        <w:t>–</w:t>
      </w:r>
      <w:r w:rsidRPr="009F5C0D">
        <w:tab/>
        <w:t>võttes arvesse Euroopa Kemikaaliameti riskihindamise komitee (RAC) 11. septembril 2015. aastal vastu võetud arvamust</w:t>
      </w:r>
      <w:r w:rsidRPr="009F5C0D">
        <w:rPr>
          <w:rStyle w:val="FootnoteReference"/>
          <w:szCs w:val="24"/>
        </w:rPr>
        <w:footnoteReference w:id="6"/>
      </w:r>
      <w:r w:rsidRPr="009F5C0D">
        <w:t>,</w:t>
      </w:r>
    </w:p>
    <w:p w:rsidR="003E6CDF" w:rsidRPr="009F5C0D" w:rsidRDefault="003E6CDF" w:rsidP="003E6CDF">
      <w:pPr>
        <w:pStyle w:val="NormalHanging12a"/>
      </w:pPr>
      <w:r w:rsidRPr="009F5C0D">
        <w:t>–</w:t>
      </w:r>
      <w:r w:rsidRPr="009F5C0D">
        <w:tab/>
        <w:t>võttes arvesse nõukogu 28. juuni 1999. aasta otsuse 1999/468/EÜ (millega kehtestatakse komisjoni rakendusvolituste kasutamise menetlused)</w:t>
      </w:r>
      <w:r w:rsidRPr="009F5C0D">
        <w:rPr>
          <w:rStyle w:val="FootnoteReference"/>
        </w:rPr>
        <w:footnoteReference w:id="7"/>
      </w:r>
      <w:r w:rsidRPr="009F5C0D">
        <w:t xml:space="preserve"> artikli 5a lõike 3 punkti b ja artikli 5a lõiget 5,</w:t>
      </w:r>
    </w:p>
    <w:p w:rsidR="003E6CDF" w:rsidRPr="009F5C0D" w:rsidRDefault="003E6CDF" w:rsidP="003E6CDF">
      <w:pPr>
        <w:pStyle w:val="NormalHanging12a"/>
      </w:pPr>
      <w:r w:rsidRPr="009F5C0D">
        <w:t>–</w:t>
      </w:r>
      <w:r w:rsidRPr="009F5C0D">
        <w:tab/>
        <w:t>võttes arvesse kodukorra artikli 115 lõikeid 2 ja 3 ning lõike 4 punkti c,</w:t>
      </w:r>
    </w:p>
    <w:p w:rsidR="003E6CDF" w:rsidRPr="009F5C0D" w:rsidRDefault="003E6CDF" w:rsidP="003E6CDF">
      <w:pPr>
        <w:pStyle w:val="NormalHanging12a"/>
      </w:pPr>
      <w:r w:rsidRPr="009F5C0D">
        <w:t>–</w:t>
      </w:r>
      <w:r w:rsidRPr="009F5C0D">
        <w:tab/>
        <w:t>võttes arvesse keskkonna-, rahvatervise ja toiduohutuse komisjoni resolutsiooni ettepanekut,</w:t>
      </w:r>
    </w:p>
    <w:p w:rsidR="003E6CDF" w:rsidRPr="009F5C0D" w:rsidRDefault="003E6CDF" w:rsidP="003E6CDF">
      <w:pPr>
        <w:pStyle w:val="NormalHanging12a"/>
      </w:pPr>
      <w:r w:rsidRPr="009F5C0D">
        <w:t>A.</w:t>
      </w:r>
      <w:r w:rsidRPr="009F5C0D">
        <w:tab/>
        <w:t>arvestades, et 2024. aasta esimesel poolel toimunud põllumajandustootjate meeleavalduste üks põhinõudmistest oli, et kolmandatest riikidest imporditud tooteid koheldaks õiglaselt ja võrdselt, ning et need peaksid vastama samadele standarditele kui liidus toodetud tooted;</w:t>
      </w:r>
    </w:p>
    <w:p w:rsidR="003E6CDF" w:rsidRPr="009F5C0D" w:rsidRDefault="003E6CDF" w:rsidP="003E6CDF">
      <w:pPr>
        <w:pStyle w:val="NormalHanging12a"/>
      </w:pPr>
      <w:r w:rsidRPr="009F5C0D">
        <w:t>B.</w:t>
      </w:r>
      <w:r w:rsidRPr="009F5C0D">
        <w:tab/>
        <w:t>arvestades, et komisjoni määruse eelnõu vastuvõtmine võimaldaks jätkata selliste toodete liitu importimist, mis ei vasta standarditele, mida liidu põllumajandustootjad järgivad;</w:t>
      </w:r>
    </w:p>
    <w:p w:rsidR="003E6CDF" w:rsidRPr="009F5C0D" w:rsidRDefault="003E6CDF" w:rsidP="003E6CDF">
      <w:pPr>
        <w:pStyle w:val="NormalHanging12a"/>
      </w:pPr>
      <w:r w:rsidRPr="009F5C0D">
        <w:t>C.</w:t>
      </w:r>
      <w:r w:rsidRPr="009F5C0D">
        <w:tab/>
        <w:t>arvestades, et selline olukord seaks liidu põllumajandustootjad ebasoodsasse konkurentsiolukorda;</w:t>
      </w:r>
    </w:p>
    <w:p w:rsidR="003E6CDF" w:rsidRPr="009F5C0D" w:rsidRDefault="003E6CDF" w:rsidP="003E6CDF">
      <w:pPr>
        <w:pStyle w:val="NormalHanging12a"/>
      </w:pPr>
      <w:r w:rsidRPr="009F5C0D">
        <w:t>D.</w:t>
      </w:r>
      <w:r w:rsidRPr="009F5C0D">
        <w:tab/>
        <w:t xml:space="preserve">arvestades, et </w:t>
      </w:r>
      <w:proofErr w:type="spellStart"/>
      <w:r w:rsidRPr="009F5C0D">
        <w:t>tsüprokonasool</w:t>
      </w:r>
      <w:proofErr w:type="spellEnd"/>
      <w:r w:rsidRPr="009F5C0D">
        <w:t xml:space="preserve"> on </w:t>
      </w:r>
      <w:proofErr w:type="spellStart"/>
      <w:r w:rsidRPr="009F5C0D">
        <w:t>asoolide</w:t>
      </w:r>
      <w:proofErr w:type="spellEnd"/>
      <w:r w:rsidRPr="009F5C0D">
        <w:t xml:space="preserve"> klassi kuuluv </w:t>
      </w:r>
      <w:proofErr w:type="spellStart"/>
      <w:r w:rsidRPr="009F5C0D">
        <w:t>fungitsiid</w:t>
      </w:r>
      <w:proofErr w:type="spellEnd"/>
      <w:r w:rsidRPr="009F5C0D">
        <w:t>, mida kasutatakse peamiselt teravilja, kohvi, suhkrupeedi, õunte ja viinamarjade ning maapähklite puhul;</w:t>
      </w:r>
    </w:p>
    <w:p w:rsidR="003E6CDF" w:rsidRPr="009F5C0D" w:rsidRDefault="003E6CDF" w:rsidP="003E6CDF">
      <w:pPr>
        <w:pStyle w:val="NormalHanging12a"/>
      </w:pPr>
      <w:r w:rsidRPr="009F5C0D">
        <w:t>E.</w:t>
      </w:r>
      <w:r w:rsidRPr="009F5C0D">
        <w:tab/>
        <w:t xml:space="preserve">arvestades, et toimeaine </w:t>
      </w:r>
      <w:proofErr w:type="spellStart"/>
      <w:r w:rsidRPr="009F5C0D">
        <w:t>tsüprokon</w:t>
      </w:r>
      <w:r w:rsidR="00A440EC" w:rsidRPr="009F5C0D">
        <w:t>asooli</w:t>
      </w:r>
      <w:proofErr w:type="spellEnd"/>
      <w:r w:rsidR="00A440EC" w:rsidRPr="009F5C0D">
        <w:t xml:space="preserve"> heakskiit aegus 31. mail </w:t>
      </w:r>
      <w:r w:rsidRPr="009F5C0D">
        <w:t xml:space="preserve">2021; arvestades, et pikendamistaotlus esitati 2018. aasta septembris, kuid see võeti 2018. aasta detsembris tagasi; arvestades, et kõik </w:t>
      </w:r>
      <w:proofErr w:type="spellStart"/>
      <w:r w:rsidRPr="009F5C0D">
        <w:t>tsüprokonasooli</w:t>
      </w:r>
      <w:proofErr w:type="spellEnd"/>
      <w:r w:rsidRPr="009F5C0D">
        <w:t xml:space="preserve"> sisaldavate taimekaitsevahendite load on kehtetuks tunnistatud;</w:t>
      </w:r>
    </w:p>
    <w:p w:rsidR="003E6CDF" w:rsidRPr="009F5C0D" w:rsidRDefault="003E6CDF" w:rsidP="003E6CDF">
      <w:pPr>
        <w:pStyle w:val="NormalHanging12a"/>
      </w:pPr>
      <w:r w:rsidRPr="009F5C0D">
        <w:lastRenderedPageBreak/>
        <w:t>F.</w:t>
      </w:r>
      <w:r w:rsidRPr="009F5C0D">
        <w:tab/>
        <w:t xml:space="preserve">arvestades, et </w:t>
      </w:r>
      <w:proofErr w:type="spellStart"/>
      <w:r w:rsidRPr="009F5C0D">
        <w:t>tsüprokonasool</w:t>
      </w:r>
      <w:proofErr w:type="spellEnd"/>
      <w:r w:rsidRPr="009F5C0D">
        <w:t xml:space="preserve"> on vastavalt Euroopa Parla</w:t>
      </w:r>
      <w:r w:rsidR="00A440EC" w:rsidRPr="009F5C0D">
        <w:t xml:space="preserve">mendi ja nõukogu määrusele (EÜ) </w:t>
      </w:r>
      <w:r w:rsidRPr="009F5C0D">
        <w:t>nr 1272/2008</w:t>
      </w:r>
      <w:r w:rsidRPr="009F5C0D">
        <w:rPr>
          <w:rStyle w:val="FootnoteReference"/>
        </w:rPr>
        <w:footnoteReference w:id="8"/>
      </w:r>
      <w:r w:rsidR="00A440EC" w:rsidRPr="009F5C0D">
        <w:t xml:space="preserve"> klassifitseeritud kui 1B </w:t>
      </w:r>
      <w:r w:rsidRPr="009F5C0D">
        <w:t xml:space="preserve">kategooria reproduktiivtoksiline aine, mis on </w:t>
      </w:r>
      <w:proofErr w:type="spellStart"/>
      <w:r w:rsidRPr="009F5C0D">
        <w:t>allaneelamisel</w:t>
      </w:r>
      <w:proofErr w:type="spellEnd"/>
      <w:r w:rsidRPr="009F5C0D">
        <w:t xml:space="preserve"> mürgine (äge mürgisus, 3. ohukategooria</w:t>
      </w:r>
      <w:r w:rsidR="00A440EC" w:rsidRPr="009F5C0D">
        <w:t>), mürgine maksa jaoks (STOT RE </w:t>
      </w:r>
      <w:r w:rsidRPr="009F5C0D">
        <w:t>2) ja väga mürgine veeorganismidele (vesikeskkonnale ohtliku ägeda mürgisuse 1. ohukategooria) ja väga mürgine veeorganismidele, pikaajalise toimega (vesikonnale ohtliku kroonilise mürgisuse 1. ohukategooria)</w:t>
      </w:r>
      <w:r w:rsidRPr="009F5C0D">
        <w:rPr>
          <w:rStyle w:val="FootnoteReference"/>
        </w:rPr>
        <w:footnoteReference w:id="9"/>
      </w:r>
      <w:r w:rsidRPr="009F5C0D">
        <w:t>;</w:t>
      </w:r>
    </w:p>
    <w:p w:rsidR="003E6CDF" w:rsidRPr="009F5C0D" w:rsidRDefault="003E6CDF" w:rsidP="003E6CDF">
      <w:pPr>
        <w:pStyle w:val="NormalHanging12a"/>
      </w:pPr>
      <w:r w:rsidRPr="009F5C0D">
        <w:t>G.</w:t>
      </w:r>
      <w:r w:rsidRPr="009F5C0D">
        <w:tab/>
        <w:t xml:space="preserve">arvestades, et </w:t>
      </w:r>
      <w:proofErr w:type="spellStart"/>
      <w:r w:rsidRPr="009F5C0D">
        <w:t>tsüprokonasool</w:t>
      </w:r>
      <w:proofErr w:type="spellEnd"/>
      <w:r w:rsidRPr="009F5C0D">
        <w:t xml:space="preserve"> kuulub </w:t>
      </w:r>
      <w:proofErr w:type="spellStart"/>
      <w:r w:rsidRPr="009F5C0D">
        <w:t>ergosterool-biosünteesi</w:t>
      </w:r>
      <w:proofErr w:type="spellEnd"/>
      <w:r w:rsidRPr="009F5C0D">
        <w:t xml:space="preserve"> inhibiitorite </w:t>
      </w:r>
      <w:proofErr w:type="spellStart"/>
      <w:r w:rsidRPr="009F5C0D">
        <w:t>triasoolirühma</w:t>
      </w:r>
      <w:proofErr w:type="spellEnd"/>
      <w:r w:rsidRPr="009F5C0D">
        <w:t xml:space="preserve"> ja võib seega põhjustada endokriinseid häireid</w:t>
      </w:r>
      <w:r w:rsidRPr="009F5C0D">
        <w:rPr>
          <w:rStyle w:val="FootnoteReference"/>
        </w:rPr>
        <w:footnoteReference w:id="10"/>
      </w:r>
      <w:r w:rsidRPr="009F5C0D">
        <w:t xml:space="preserve">; arvestades, et EFSA ei ole hinnanud </w:t>
      </w:r>
      <w:proofErr w:type="spellStart"/>
      <w:r w:rsidRPr="009F5C0D">
        <w:t>tsüprokonasooli</w:t>
      </w:r>
      <w:proofErr w:type="spellEnd"/>
      <w:r w:rsidRPr="009F5C0D">
        <w:t xml:space="preserve"> endokriinseid häireid põhjustavaid omadusi vastavalt endokriinseid häireid põhjustavate omaduste kindlakstegemise teaduslikele kriteeriumidele, mis on sätestatud komisjoni määruses (EL) 2018/605</w:t>
      </w:r>
      <w:r w:rsidRPr="009F5C0D">
        <w:rPr>
          <w:rStyle w:val="FootnoteReference"/>
        </w:rPr>
        <w:footnoteReference w:id="11"/>
      </w:r>
      <w:r w:rsidRPr="009F5C0D">
        <w:t>, mida koh</w:t>
      </w:r>
      <w:r w:rsidR="00A440EC" w:rsidRPr="009F5C0D">
        <w:t>aldatakse alates 10. novembrist </w:t>
      </w:r>
      <w:r w:rsidRPr="009F5C0D">
        <w:t>2018; arvestades, et endokriinfunktsiooniga seotud mõju avaldub sageli juba väikeste annuste puhul ja endokriinfunktsiooni kahjustavatel ainetel puudub sageli ohutuskünnis</w:t>
      </w:r>
      <w:r w:rsidRPr="009F5C0D">
        <w:rPr>
          <w:rStyle w:val="FootnoteReference"/>
        </w:rPr>
        <w:footnoteReference w:id="12"/>
      </w:r>
      <w:r w:rsidRPr="009F5C0D">
        <w:t>;</w:t>
      </w:r>
    </w:p>
    <w:p w:rsidR="003E6CDF" w:rsidRPr="009F5C0D" w:rsidRDefault="003E6CDF" w:rsidP="003E6CDF">
      <w:pPr>
        <w:pStyle w:val="NormalHanging12a"/>
      </w:pPr>
      <w:r w:rsidRPr="009F5C0D">
        <w:t>H.</w:t>
      </w:r>
      <w:r w:rsidRPr="009F5C0D">
        <w:tab/>
        <w:t xml:space="preserve">arvestades, et aina enamates teadusartiklites toonitatakse, et </w:t>
      </w:r>
      <w:proofErr w:type="spellStart"/>
      <w:r w:rsidRPr="009F5C0D">
        <w:t>asool-fungitsiidid</w:t>
      </w:r>
      <w:proofErr w:type="spellEnd"/>
      <w:r w:rsidRPr="009F5C0D">
        <w:t xml:space="preserve"> põhjustavad keskkonnas leiduva </w:t>
      </w:r>
      <w:proofErr w:type="spellStart"/>
      <w:r w:rsidRPr="009F5C0D">
        <w:rPr>
          <w:i/>
        </w:rPr>
        <w:t>Aspergillus</w:t>
      </w:r>
      <w:proofErr w:type="spellEnd"/>
      <w:r w:rsidRPr="009F5C0D">
        <w:rPr>
          <w:i/>
        </w:rPr>
        <w:t xml:space="preserve"> </w:t>
      </w:r>
      <w:proofErr w:type="spellStart"/>
      <w:r w:rsidRPr="009F5C0D">
        <w:rPr>
          <w:i/>
        </w:rPr>
        <w:t>spp</w:t>
      </w:r>
      <w:proofErr w:type="spellEnd"/>
      <w:r w:rsidRPr="009F5C0D">
        <w:t xml:space="preserve"> üha suurenevat resistentsust</w:t>
      </w:r>
      <w:r w:rsidRPr="009F5C0D">
        <w:rPr>
          <w:rStyle w:val="FootnoteReference"/>
        </w:rPr>
        <w:footnoteReference w:id="13"/>
      </w:r>
      <w:r w:rsidRPr="009F5C0D">
        <w:t>; arvestad</w:t>
      </w:r>
      <w:r w:rsidR="00A440EC" w:rsidRPr="009F5C0D">
        <w:t>es, et komisjon on palunud EFSA</w:t>
      </w:r>
      <w:r w:rsidR="00A440EC" w:rsidRPr="009F5C0D">
        <w:noBreakHyphen/>
      </w:r>
      <w:r w:rsidRPr="009F5C0D">
        <w:t xml:space="preserve">l hinnata (välja arvatud inimeste ravimiseks kasutatavate) </w:t>
      </w:r>
      <w:proofErr w:type="spellStart"/>
      <w:r w:rsidRPr="009F5C0D">
        <w:t>asool-fungitsiidide</w:t>
      </w:r>
      <w:proofErr w:type="spellEnd"/>
      <w:r w:rsidRPr="009F5C0D">
        <w:t xml:space="preserve"> mõju </w:t>
      </w:r>
      <w:proofErr w:type="spellStart"/>
      <w:r w:rsidRPr="009F5C0D">
        <w:t>asooliresistentse</w:t>
      </w:r>
      <w:proofErr w:type="spellEnd"/>
      <w:r w:rsidRPr="009F5C0D">
        <w:t xml:space="preserve"> </w:t>
      </w:r>
      <w:proofErr w:type="spellStart"/>
      <w:r w:rsidRPr="009F5C0D">
        <w:rPr>
          <w:i/>
        </w:rPr>
        <w:t>Aspergillus</w:t>
      </w:r>
      <w:proofErr w:type="spellEnd"/>
      <w:r w:rsidRPr="009F5C0D">
        <w:rPr>
          <w:i/>
        </w:rPr>
        <w:t xml:space="preserve"> </w:t>
      </w:r>
      <w:proofErr w:type="spellStart"/>
      <w:r w:rsidRPr="009F5C0D">
        <w:rPr>
          <w:i/>
        </w:rPr>
        <w:t>spp</w:t>
      </w:r>
      <w:proofErr w:type="spellEnd"/>
      <w:r w:rsidRPr="009F5C0D">
        <w:t xml:space="preserve"> väljakujunemisele; arvestades, et seda teaduslikku aruannet ei ole veel avaldatud ja see peaks valmima alles 2024. aasta detsembris</w:t>
      </w:r>
      <w:r w:rsidRPr="009F5C0D">
        <w:rPr>
          <w:rStyle w:val="FootnoteReference"/>
        </w:rPr>
        <w:footnoteReference w:id="14"/>
      </w:r>
      <w:r w:rsidRPr="009F5C0D">
        <w:t>;</w:t>
      </w:r>
    </w:p>
    <w:p w:rsidR="003E6CDF" w:rsidRPr="009F5C0D" w:rsidRDefault="003E6CDF" w:rsidP="003E6CDF">
      <w:pPr>
        <w:pStyle w:val="NormalHanging12a"/>
      </w:pPr>
      <w:r w:rsidRPr="009F5C0D">
        <w:rPr>
          <w:color w:val="000000" w:themeColor="text1"/>
        </w:rPr>
        <w:t>I.</w:t>
      </w:r>
      <w:r w:rsidRPr="009F5C0D">
        <w:rPr>
          <w:color w:val="000000" w:themeColor="text1"/>
        </w:rPr>
        <w:tab/>
        <w:t>arvestades,</w:t>
      </w:r>
      <w:r w:rsidRPr="009F5C0D">
        <w:t xml:space="preserve"> et seepärast on vastavalt kõnealuse määruse artiklile 17 asjakohane jä</w:t>
      </w:r>
      <w:r w:rsidR="00A440EC" w:rsidRPr="009F5C0D">
        <w:t>tta määruse (EÜ) nr 396/2005 II </w:t>
      </w:r>
      <w:r w:rsidRPr="009F5C0D">
        <w:t xml:space="preserve">lisast välja </w:t>
      </w:r>
      <w:proofErr w:type="spellStart"/>
      <w:r w:rsidRPr="009F5C0D">
        <w:t>tsüprokonasooli</w:t>
      </w:r>
      <w:proofErr w:type="spellEnd"/>
      <w:r w:rsidRPr="009F5C0D">
        <w:t xml:space="preserve"> jääkide kehtivad piirnormid, kuna uue mää</w:t>
      </w:r>
      <w:r w:rsidR="00A440EC" w:rsidRPr="009F5C0D">
        <w:t>ruse kohaselt jätab komisjon II ja III </w:t>
      </w:r>
      <w:r w:rsidRPr="009F5C0D">
        <w:t>lisast välja kõik sellised jääkide piirnormid, mille vaikeväärtuseks oli määratud 0,01 mg/kg või asjakohane määramispiir, küsimata EFSA arvamust toimeaine kohta, kui selle heakskiit on tühistatud;</w:t>
      </w:r>
    </w:p>
    <w:p w:rsidR="003E6CDF" w:rsidRPr="009F5C0D" w:rsidRDefault="003E6CDF" w:rsidP="003E6CDF">
      <w:pPr>
        <w:pStyle w:val="NormalHanging12a"/>
      </w:pPr>
      <w:r w:rsidRPr="009F5C0D">
        <w:t>J.</w:t>
      </w:r>
      <w:r w:rsidRPr="009F5C0D">
        <w:tab/>
        <w:t xml:space="preserve">arvestades, et komisjoni määruse eelnõus teeb komisjon siiski ettepaneku suure koguse toodete (teravili, seemned, liha, maks ja neerud) puhul säilitada jääkide piirnormid üle asjakohase määramispiiri või </w:t>
      </w:r>
      <w:proofErr w:type="spellStart"/>
      <w:r w:rsidRPr="009F5C0D">
        <w:rPr>
          <w:i/>
          <w:iCs/>
        </w:rPr>
        <w:t>codex</w:t>
      </w:r>
      <w:proofErr w:type="spellEnd"/>
      <w:r w:rsidRPr="009F5C0D">
        <w:rPr>
          <w:i/>
          <w:iCs/>
        </w:rPr>
        <w:t xml:space="preserve"> </w:t>
      </w:r>
      <w:proofErr w:type="spellStart"/>
      <w:r w:rsidRPr="009F5C0D">
        <w:rPr>
          <w:i/>
          <w:iCs/>
        </w:rPr>
        <w:t>alimentarius</w:t>
      </w:r>
      <w:r w:rsidRPr="009F5C0D">
        <w:t>’e</w:t>
      </w:r>
      <w:proofErr w:type="spellEnd"/>
      <w:r w:rsidRPr="009F5C0D">
        <w:t xml:space="preserve"> komisjoni (CXL) kehtestatud jääkide piirnormi vaikeväärtuse 0,01 mg/kg;</w:t>
      </w:r>
    </w:p>
    <w:p w:rsidR="003E6CDF" w:rsidRPr="009F5C0D" w:rsidRDefault="003E6CDF" w:rsidP="003E6CDF">
      <w:pPr>
        <w:pStyle w:val="NormalHanging12a"/>
      </w:pPr>
      <w:r w:rsidRPr="009F5C0D">
        <w:t>K.</w:t>
      </w:r>
      <w:r w:rsidRPr="009F5C0D">
        <w:tab/>
      </w:r>
      <w:r w:rsidRPr="009F5C0D">
        <w:rPr>
          <w:color w:val="000000" w:themeColor="text1"/>
        </w:rPr>
        <w:t xml:space="preserve">arvestades, et komisjon teeb ettepaneku kehtestada herneste (kaunadeta ja kaunadega), ubade, odra, tatra ja muude ebateraviljade, maisi, maisi, hariliku hirsi, kaera, rukki, nisu, kohviubade ja suhkrupeedi juurte, sigade, veiste, lammaste, kitsede ja hobuste lihaskoe ja rasvkoe ning kodulindude lihaskoe, rasvkoe ja maksa, veiste, lammaste, kitsede ja hobuste lihaskoe, rasvkoe ja maksa ning linnumunade puhul jääkide piirnormid </w:t>
      </w:r>
      <w:proofErr w:type="spellStart"/>
      <w:r w:rsidRPr="009F5C0D">
        <w:rPr>
          <w:i/>
          <w:iCs/>
          <w:color w:val="000000" w:themeColor="text1"/>
        </w:rPr>
        <w:t>codex</w:t>
      </w:r>
      <w:proofErr w:type="spellEnd"/>
      <w:r w:rsidRPr="009F5C0D">
        <w:rPr>
          <w:i/>
          <w:iCs/>
          <w:color w:val="000000" w:themeColor="text1"/>
        </w:rPr>
        <w:t xml:space="preserve"> </w:t>
      </w:r>
      <w:proofErr w:type="spellStart"/>
      <w:r w:rsidRPr="009F5C0D">
        <w:rPr>
          <w:i/>
          <w:iCs/>
          <w:color w:val="000000" w:themeColor="text1"/>
        </w:rPr>
        <w:t>alimentarius</w:t>
      </w:r>
      <w:r w:rsidRPr="009F5C0D">
        <w:rPr>
          <w:color w:val="000000" w:themeColor="text1"/>
        </w:rPr>
        <w:t>’e</w:t>
      </w:r>
      <w:proofErr w:type="spellEnd"/>
      <w:r w:rsidRPr="009F5C0D">
        <w:rPr>
          <w:color w:val="000000" w:themeColor="text1"/>
        </w:rPr>
        <w:t xml:space="preserve"> jääkide piirnormide tasemel; arvestades, et see tähendab, et sigade, veiste, lammaste, kitsede ja hobuste maksa ja neerude jääkide piirnormid säilitatakse kehtival tasemel 0,5 mg/kg, rapsiseemnete puhul 0,4 mg/kg ja sojaubade puhul 0,07 mg/kg; arvestades, et kõigi muude toodete puhul, mille suhtes ei ole kehtestatud </w:t>
      </w:r>
      <w:proofErr w:type="spellStart"/>
      <w:r w:rsidRPr="009F5C0D">
        <w:rPr>
          <w:i/>
          <w:iCs/>
          <w:color w:val="000000" w:themeColor="text1"/>
        </w:rPr>
        <w:t>codex</w:t>
      </w:r>
      <w:proofErr w:type="spellEnd"/>
      <w:r w:rsidRPr="009F5C0D">
        <w:rPr>
          <w:i/>
          <w:iCs/>
          <w:color w:val="000000" w:themeColor="text1"/>
        </w:rPr>
        <w:t xml:space="preserve"> </w:t>
      </w:r>
      <w:proofErr w:type="spellStart"/>
      <w:r w:rsidRPr="009F5C0D">
        <w:rPr>
          <w:i/>
          <w:iCs/>
          <w:color w:val="000000" w:themeColor="text1"/>
        </w:rPr>
        <w:t>alimentarius</w:t>
      </w:r>
      <w:r w:rsidRPr="009F5C0D">
        <w:rPr>
          <w:color w:val="000000" w:themeColor="text1"/>
        </w:rPr>
        <w:t>’es</w:t>
      </w:r>
      <w:proofErr w:type="spellEnd"/>
      <w:r w:rsidRPr="009F5C0D">
        <w:rPr>
          <w:color w:val="000000" w:themeColor="text1"/>
        </w:rPr>
        <w:t xml:space="preserve"> ega impordi puhul kohaldatavaid jääkide piirnorme, vähendatakse jääkide piirnorme tootepõhiste määramispiirideni,</w:t>
      </w:r>
      <w:r w:rsidR="00A440EC" w:rsidRPr="009F5C0D">
        <w:rPr>
          <w:color w:val="000000" w:themeColor="text1"/>
        </w:rPr>
        <w:t xml:space="preserve"> mis jäävad vahemikku 0,01–0,05 </w:t>
      </w:r>
      <w:r w:rsidRPr="009F5C0D">
        <w:rPr>
          <w:color w:val="000000" w:themeColor="text1"/>
        </w:rPr>
        <w:t>mg/kg;</w:t>
      </w:r>
    </w:p>
    <w:p w:rsidR="003E6CDF" w:rsidRPr="009F5C0D" w:rsidRDefault="00A440EC" w:rsidP="003E6CDF">
      <w:pPr>
        <w:pStyle w:val="NormalHanging12a"/>
      </w:pPr>
      <w:r w:rsidRPr="009F5C0D">
        <w:t>L.</w:t>
      </w:r>
      <w:r w:rsidRPr="009F5C0D">
        <w:tab/>
        <w:t>arvestades, et 2024. aastal vähendas komisjon 1B </w:t>
      </w:r>
      <w:r w:rsidR="003E6CDF" w:rsidRPr="009F5C0D">
        <w:t xml:space="preserve">kategooria reproduktiivtoksiliseks aineks klassifitseeritud </w:t>
      </w:r>
      <w:proofErr w:type="spellStart"/>
      <w:r w:rsidR="003E6CDF" w:rsidRPr="009F5C0D">
        <w:t>tiaklopriidi</w:t>
      </w:r>
      <w:proofErr w:type="spellEnd"/>
      <w:r w:rsidR="003E6CDF" w:rsidRPr="009F5C0D">
        <w:t xml:space="preserve"> jääkide piirnorme asjakohase määramispiiri tasemele, väites, et „kuni ameti selle täiendava riskihindamise [endokriinfunktsiooniga seotud mõju kohta] järelduse tegemiseni ja võttes arvesse kättesaadavat asjakohast teavet võimaliku kahjuliku mõju kohta inimeste tervisele, on asjakohane jääkide piirnorme [nende toodet</w:t>
      </w:r>
      <w:r w:rsidRPr="009F5C0D">
        <w:t>e puhul] ajutiselt vähendada …</w:t>
      </w:r>
      <w:r w:rsidR="003E6CDF" w:rsidRPr="009F5C0D">
        <w:t>“</w:t>
      </w:r>
      <w:r w:rsidR="003E6CDF" w:rsidRPr="009F5C0D">
        <w:rPr>
          <w:rStyle w:val="FootnoteReference"/>
        </w:rPr>
        <w:footnoteReference w:id="15"/>
      </w:r>
      <w:r w:rsidR="003E6CDF" w:rsidRPr="009F5C0D">
        <w:t>;</w:t>
      </w:r>
    </w:p>
    <w:p w:rsidR="003E6CDF" w:rsidRPr="009F5C0D" w:rsidRDefault="003E6CDF" w:rsidP="003E6CDF">
      <w:pPr>
        <w:pStyle w:val="NormalHanging12a"/>
      </w:pPr>
      <w:r w:rsidRPr="009F5C0D">
        <w:t>M.</w:t>
      </w:r>
      <w:r w:rsidRPr="009F5C0D">
        <w:tab/>
        <w:t>arvestades, et määru</w:t>
      </w:r>
      <w:r w:rsidR="00A440EC" w:rsidRPr="009F5C0D">
        <w:t>se (EÜ) nr 396/2005 põhjenduses </w:t>
      </w:r>
      <w:r w:rsidRPr="009F5C0D">
        <w:t xml:space="preserve">5 nähakse ette, et jääke ei tohiks esineda tasemel, mis kujutab endast vastuvõetamatut riski inimestele ja asjakohasel juhul loomadele; </w:t>
      </w:r>
    </w:p>
    <w:p w:rsidR="003E6CDF" w:rsidRPr="009F5C0D" w:rsidRDefault="003E6CDF" w:rsidP="003E6CDF">
      <w:pPr>
        <w:pStyle w:val="NormalHanging12a"/>
      </w:pPr>
      <w:r w:rsidRPr="009F5C0D">
        <w:t>N.</w:t>
      </w:r>
      <w:r w:rsidRPr="009F5C0D">
        <w:tab/>
        <w:t xml:space="preserve">arvestades, et määruse (EÜ) nr 1107/2009 artikli 4 lõike 2 esimese lõigu punktis a on sätestatud, et taimekaitsevahendite jääkidel ei tohi olla mingit kahjulikku mõju inimeste, sealhulgas vähekaitstud elanikkonnarühmade ega loomade tervisele, võttes arvesse teadaolevaid kumulatiivseid ja </w:t>
      </w:r>
      <w:proofErr w:type="spellStart"/>
      <w:r w:rsidRPr="009F5C0D">
        <w:t>koostoimelisi</w:t>
      </w:r>
      <w:proofErr w:type="spellEnd"/>
      <w:r w:rsidRPr="009F5C0D">
        <w:t xml:space="preserve"> mõjusid; arvestades, et kõnealuse määruse II lisa punktis 3.6.4 on sätestatud, et toimeaine, mis on määruse (EÜ) nr 1272/2008 kohaselt klassifitseeritud 1A või 1B kategooria reproduktiivtoksiliseks aineks, kiidetakse heaks üksnes juhul, kui „asjaomase toimeaine […] jäägid toidul või söödal ei ületa vaikimisi väärtust, mis on kehtestatud määruse (EÜ) nr 396/2005 artikli 18 lõike 1 punkti b kohaselt“; arvestades, et määruse (EÜ) nr 396/2005 artikli 18 lõike 1 punktis b on sätestatud vaikeväärtus 0,01 mg/kg;</w:t>
      </w:r>
    </w:p>
    <w:p w:rsidR="003E6CDF" w:rsidRPr="009F5C0D" w:rsidRDefault="003E6CDF" w:rsidP="003E6CDF">
      <w:pPr>
        <w:pStyle w:val="NormalHanging12a"/>
      </w:pPr>
      <w:r w:rsidRPr="009F5C0D">
        <w:t>O.</w:t>
      </w:r>
      <w:r w:rsidRPr="009F5C0D">
        <w:tab/>
        <w:t xml:space="preserve">arvestades, et määruse (EÜ) nr 396/2005 artikli 3 lõike 2 punktis g on sätestatud, et impordile kehtestatav jääkide piirnorm on imporditavatele toodetele kehtestatav jääkide piirnorm juhul, kui „toote pinnal kasutatavas taimekaitsevahendis sisalduva toimeaine kasutamine ei ole konkreetse toote ja kasutusotstarbe korral ühenduses lubatud muudel põhjustel kui rahvatervis“; arvestades, et </w:t>
      </w:r>
      <w:proofErr w:type="spellStart"/>
      <w:r w:rsidRPr="009F5C0D">
        <w:t>tsüprokonasool</w:t>
      </w:r>
      <w:proofErr w:type="spellEnd"/>
      <w:r w:rsidRPr="009F5C0D">
        <w:t xml:space="preserve"> ei vasta nendele kriteeriumidele, sest see on tervise kaalutustel keelatud, kuna see on klassifitseeritud 1B kategooria reproduktiivtoksiliseks aineks;</w:t>
      </w:r>
    </w:p>
    <w:p w:rsidR="003E6CDF" w:rsidRPr="009F5C0D" w:rsidRDefault="003E6CDF" w:rsidP="003E6CDF">
      <w:pPr>
        <w:pStyle w:val="NormalHanging12a"/>
      </w:pPr>
      <w:r w:rsidRPr="009F5C0D">
        <w:t>P.</w:t>
      </w:r>
      <w:r w:rsidRPr="009F5C0D">
        <w:tab/>
        <w:t xml:space="preserve">arvestades, et määruse (EÜ) nr 178/2002 artikli 5 lõikes 1 on sätestatud, et toidualaste õigusnormidega tuleb taotleda üht või mitut </w:t>
      </w:r>
      <w:proofErr w:type="spellStart"/>
      <w:r w:rsidRPr="009F5C0D">
        <w:t>üldeesmärki</w:t>
      </w:r>
      <w:proofErr w:type="spellEnd"/>
      <w:r w:rsidRPr="009F5C0D">
        <w:t>, milleks on inimeste elu ja tervise kõrgetasemeline kaitse ning tarbijate huvide kaitsmine, sealhulgas õiglased tavad toidukaubanduses, võttes asjakohasel juhul arvesse loomade tervise ja heaolu, taimetervise ja keskkonna kaitset;</w:t>
      </w:r>
    </w:p>
    <w:p w:rsidR="003E6CDF" w:rsidRPr="009F5C0D" w:rsidRDefault="003E6CDF" w:rsidP="003E6CDF">
      <w:pPr>
        <w:pStyle w:val="NormalHanging12a"/>
      </w:pPr>
      <w:r w:rsidRPr="009F5C0D">
        <w:t>Q.</w:t>
      </w:r>
      <w:r w:rsidRPr="009F5C0D">
        <w:tab/>
        <w:t>arvestades, et komisjon teatas oma 20. mai 2020. aasta teatises „Strateegia „Talust taldrikule“ õiglase, tervisliku ja keskkonnahoidliku toidusüsteemi edendamiseks“</w:t>
      </w:r>
      <w:r w:rsidRPr="009F5C0D">
        <w:rPr>
          <w:rStyle w:val="FootnoteReference"/>
        </w:rPr>
        <w:footnoteReference w:id="16"/>
      </w:r>
      <w:r w:rsidRPr="009F5C0D">
        <w:t xml:space="preserve">, et „EL toetab ülemaailmset üleminekut kestlikele põllumajandusliku toidutööstuse süsteemidele kooskõlas käesoleva strateegia ja kestliku arengu eesmärkidega“ ning et „ELil võib seda strateegiat rakendades olla keskne roll ülemaailmsete standardite kehtestamisel“; arvestades, et komisjon märkis strateegias sõnaselgelt, et „ELi kestlikum toidusüsteem nõuab ka meie kaubanduspartneritelt üha kestlikumaid tavasid. Selleks et edendada järkjärgulist liikumist ohutumate taimekaitsevahendite kasutamise suunas, soovib EL kooskõlas WTO </w:t>
      </w:r>
      <w:r w:rsidR="004D4E5F" w:rsidRPr="009F5C0D">
        <w:t xml:space="preserve">reeglitega </w:t>
      </w:r>
      <w:r w:rsidRPr="009F5C0D">
        <w:t>ja pärast riskihindamist vaadata läbi selliste ainete impordile kehtestatud jääkide piirnormid, mis vastavad piirkriteeriumidele, kuid kujutavad endast suurt ohtu inimeste tervisele“;</w:t>
      </w:r>
    </w:p>
    <w:p w:rsidR="003E6CDF" w:rsidRPr="009F5C0D" w:rsidRDefault="003E6CDF" w:rsidP="003E6CDF">
      <w:pPr>
        <w:pStyle w:val="NormalHanging12a"/>
      </w:pPr>
      <w:r w:rsidRPr="009F5C0D">
        <w:t>R.</w:t>
      </w:r>
      <w:r w:rsidRPr="009F5C0D">
        <w:tab/>
        <w:t xml:space="preserve">arvestades, et jääkide kõrgete piirnormide kehtestamine kujutab endast </w:t>
      </w:r>
      <w:proofErr w:type="spellStart"/>
      <w:r w:rsidRPr="009F5C0D">
        <w:t>topeltstandardit</w:t>
      </w:r>
      <w:proofErr w:type="spellEnd"/>
      <w:r w:rsidRPr="009F5C0D">
        <w:t xml:space="preserve"> liidu põllumajandustootjate ja kolmandate riikide põllumajandustootjate kohtlemisel, kuna liiduvälised põllumajandustootjad võivad jätkata asjaomase toidu tootmist </w:t>
      </w:r>
      <w:proofErr w:type="spellStart"/>
      <w:r w:rsidRPr="009F5C0D">
        <w:t>tsüprokonasooli</w:t>
      </w:r>
      <w:proofErr w:type="spellEnd"/>
      <w:r w:rsidRPr="009F5C0D">
        <w:t xml:space="preserve"> kasutades ja seda liitu eksportida, mis seab liidu põllumajandustootjad ebasoodsasse konkurentsiolukorda; arvestades, et teisest küljest ohustab selle pestitsiidi kasutamine tootjariikides põllumajandustöötajate tervist, elanikkonna tervist ja keskkonda;</w:t>
      </w:r>
    </w:p>
    <w:p w:rsidR="003E6CDF" w:rsidRPr="009F5C0D" w:rsidRDefault="003E6CDF" w:rsidP="003E6CDF">
      <w:pPr>
        <w:pStyle w:val="NormalHanging12a"/>
      </w:pPr>
      <w:r w:rsidRPr="009F5C0D">
        <w:t>S.</w:t>
      </w:r>
      <w:r w:rsidRPr="009F5C0D">
        <w:tab/>
        <w:t>arvestades, et ELi toimimise lepingu artikli 191 lõikes 2 on sätestatud ettevaatusprintsiip kui üks liidu aluspõhimõtteid;</w:t>
      </w:r>
    </w:p>
    <w:p w:rsidR="003E6CDF" w:rsidRPr="009F5C0D" w:rsidRDefault="003E6CDF" w:rsidP="003E6CDF">
      <w:pPr>
        <w:pStyle w:val="NormalHanging12a"/>
      </w:pPr>
      <w:r w:rsidRPr="009F5C0D">
        <w:t>T.</w:t>
      </w:r>
      <w:r w:rsidRPr="009F5C0D">
        <w:tab/>
        <w:t>arvestades, et komisjon peab kättesaadava teadusliku teabe alusel kaitsma keskkonda ja Euroopa kodanikke, kasutades kohustusi ja õiguslikke võimalusi, mis on sätestatud mää</w:t>
      </w:r>
      <w:r w:rsidR="00A440EC" w:rsidRPr="009F5C0D">
        <w:t xml:space="preserve">rustes (EÜ) nr 396/2005 ja (EÜ) </w:t>
      </w:r>
      <w:r w:rsidRPr="009F5C0D">
        <w:t>nr 178/2002, et tagada inimeste ja loomade tervise ning keskkonna kaitse kõrge tase;</w:t>
      </w:r>
    </w:p>
    <w:p w:rsidR="003E6CDF" w:rsidRPr="009F5C0D" w:rsidRDefault="003E6CDF" w:rsidP="003E6CDF">
      <w:pPr>
        <w:pStyle w:val="NormalHanging12a"/>
      </w:pPr>
      <w:r w:rsidRPr="009F5C0D">
        <w:t>U.</w:t>
      </w:r>
      <w:r w:rsidRPr="009F5C0D">
        <w:tab/>
        <w:t>arvestades, et kavandatud jääkide piirnormid ei kaitse Euroopa kodanike tervist ning on seetõttu vastuolus määrustega (EÜ) nr 396/2005 ja (EÜ) nr 178/2002;</w:t>
      </w:r>
    </w:p>
    <w:p w:rsidR="003E6CDF" w:rsidRPr="009F5C0D" w:rsidRDefault="003E6CDF" w:rsidP="003E6CDF">
      <w:pPr>
        <w:pStyle w:val="NormalHanging12a"/>
      </w:pPr>
      <w:r w:rsidRPr="009F5C0D">
        <w:t>V.</w:t>
      </w:r>
      <w:r w:rsidRPr="009F5C0D">
        <w:tab/>
        <w:t xml:space="preserve">arvestades, et jääkide piirnorme ei tohiks kehtestada toimeainetele, mis ei ole tervise kaalutluste tõttu liidus heaks kiidetud; arvestades, et ühtegi </w:t>
      </w:r>
      <w:proofErr w:type="spellStart"/>
      <w:r w:rsidRPr="009F5C0D">
        <w:rPr>
          <w:i/>
          <w:iCs/>
        </w:rPr>
        <w:t>codex</w:t>
      </w:r>
      <w:proofErr w:type="spellEnd"/>
      <w:r w:rsidRPr="009F5C0D">
        <w:rPr>
          <w:i/>
          <w:iCs/>
        </w:rPr>
        <w:t xml:space="preserve"> </w:t>
      </w:r>
      <w:proofErr w:type="spellStart"/>
      <w:r w:rsidRPr="009F5C0D">
        <w:rPr>
          <w:i/>
          <w:iCs/>
        </w:rPr>
        <w:t>alimentarius</w:t>
      </w:r>
      <w:r w:rsidRPr="009F5C0D">
        <w:t>’e</w:t>
      </w:r>
      <w:proofErr w:type="spellEnd"/>
      <w:r w:rsidRPr="009F5C0D">
        <w:t xml:space="preserve"> jääkide piirnormi, mis ületab asjaomast määramispiiri või vaikeväärtust 0,01 mg/kg, ei tohiks pidada tarbijatele ohutuks, kuna </w:t>
      </w:r>
      <w:proofErr w:type="spellStart"/>
      <w:r w:rsidRPr="009F5C0D">
        <w:t>tsüprokonasool</w:t>
      </w:r>
      <w:proofErr w:type="spellEnd"/>
      <w:r w:rsidRPr="009F5C0D">
        <w:t xml:space="preserve"> on</w:t>
      </w:r>
      <w:r w:rsidR="00A440EC" w:rsidRPr="009F5C0D">
        <w:t xml:space="preserve"> klassifitseeritud 1B </w:t>
      </w:r>
      <w:r w:rsidRPr="009F5C0D">
        <w:t>kategooria reproduktiivtoksiliseks aineks;</w:t>
      </w:r>
    </w:p>
    <w:p w:rsidR="003E6CDF" w:rsidRPr="009F5C0D" w:rsidRDefault="003E6CDF" w:rsidP="003E6CDF">
      <w:pPr>
        <w:pStyle w:val="NormalHanging12a"/>
      </w:pPr>
      <w:r w:rsidRPr="009F5C0D">
        <w:t>W.</w:t>
      </w:r>
      <w:r w:rsidRPr="009F5C0D">
        <w:tab/>
        <w:t xml:space="preserve"> arvestades, et jääkide piirnormide kehtestamisel tuleb arvesse võtta kumulatiivset ja koostoimelist mõju ning väga oluline on kiirendada selle hindamiseks sobivate meetodite välja töötamist;</w:t>
      </w:r>
    </w:p>
    <w:p w:rsidR="003E6CDF" w:rsidRPr="009F5C0D" w:rsidRDefault="003E6CDF" w:rsidP="003E6CDF">
      <w:pPr>
        <w:pStyle w:val="NormalHanging12a"/>
      </w:pPr>
      <w:r w:rsidRPr="009F5C0D">
        <w:t>1.</w:t>
      </w:r>
      <w:r w:rsidRPr="009F5C0D">
        <w:tab/>
        <w:t>on vastu komisjoni määruse eelnõu vastuvõtmisele;</w:t>
      </w:r>
    </w:p>
    <w:p w:rsidR="003E6CDF" w:rsidRPr="009F5C0D" w:rsidRDefault="003E6CDF" w:rsidP="003E6CDF">
      <w:pPr>
        <w:pStyle w:val="NormalHanging12a"/>
        <w:rPr>
          <w:szCs w:val="24"/>
        </w:rPr>
      </w:pPr>
      <w:r w:rsidRPr="009F5C0D">
        <w:t>2.</w:t>
      </w:r>
      <w:r w:rsidRPr="009F5C0D">
        <w:tab/>
        <w:t>on seisukohal, et komisjoni määruse eelnõu ei ole kooskõlas määruste (EÜ) nr 396/2005 ja (EÜ) nr 178/2002 eesmärgi ega sisuga, samuti määrusega (EÜ) nr 1107/2009, sealhulgas selle II lisa punktiga 3.6.4;</w:t>
      </w:r>
    </w:p>
    <w:p w:rsidR="003E6CDF" w:rsidRPr="009F5C0D" w:rsidRDefault="003E6CDF" w:rsidP="003E6CDF">
      <w:pPr>
        <w:pStyle w:val="NormalHanging12a"/>
      </w:pPr>
      <w:r w:rsidRPr="009F5C0D">
        <w:t>3.</w:t>
      </w:r>
      <w:r w:rsidRPr="009F5C0D">
        <w:tab/>
        <w:t>palub komisjonil rakendada ettevaatusprintsiipi ja määruse eelnõu tagasi võtta ning esitada komiteele uus eelnõu;</w:t>
      </w:r>
    </w:p>
    <w:p w:rsidR="003E6CDF" w:rsidRPr="009F5C0D" w:rsidRDefault="003E6CDF" w:rsidP="003E6CDF">
      <w:pPr>
        <w:pStyle w:val="NormalHanging12a"/>
      </w:pPr>
      <w:r w:rsidRPr="009F5C0D">
        <w:t>4.</w:t>
      </w:r>
      <w:r w:rsidRPr="009F5C0D">
        <w:tab/>
        <w:t xml:space="preserve">palub komisjonil esitada komiteele uue määruse eelnõu, millega vähendatakse </w:t>
      </w:r>
      <w:proofErr w:type="spellStart"/>
      <w:r w:rsidRPr="009F5C0D">
        <w:t>tsüprokonasooli</w:t>
      </w:r>
      <w:proofErr w:type="spellEnd"/>
      <w:r w:rsidRPr="009F5C0D">
        <w:t xml:space="preserve"> jääkide piirnorme kas asjakohase määramispiirini või vaikeväärtuseni 0,01 mg/kg kõigi kasutusviiside puhul, ning lükkama tagasi kõik impordile kehtestatavate jääkide piirnormide taotlused;</w:t>
      </w:r>
    </w:p>
    <w:p w:rsidR="003E6CDF" w:rsidRPr="009F5C0D" w:rsidRDefault="003E6CDF" w:rsidP="003E6CDF">
      <w:pPr>
        <w:pStyle w:val="NormalHanging12a"/>
      </w:pPr>
      <w:r w:rsidRPr="009F5C0D">
        <w:t>5.</w:t>
      </w:r>
      <w:r w:rsidRPr="009F5C0D">
        <w:tab/>
        <w:t>tunnustab seda, et EFSA töötab praegu välja kumulatiivsete riskide hindamise meetodeid, kuid märgib ka, et pestitsiidide ja jääkide kumulatiivse mõju hindamise probleem on olnud teada juba aastakümneid; palub seetõttu, et EFSA ja komisjon tegeleksid selle probleemiga absoluutselt esmajärjekorras;</w:t>
      </w:r>
    </w:p>
    <w:p w:rsidR="003E6CDF" w:rsidRPr="009F5C0D" w:rsidRDefault="003E6CDF" w:rsidP="003E6CDF">
      <w:pPr>
        <w:pStyle w:val="NormalHanging12a"/>
      </w:pPr>
      <w:r w:rsidRPr="009F5C0D">
        <w:t>6.</w:t>
      </w:r>
      <w:r w:rsidRPr="009F5C0D">
        <w:tab/>
        <w:t xml:space="preserve">teeb presidendile ülesandeks edastada käesolev resolutsioon nõukogule ja komisjonile ning liikmesriikide valitsustele ja parlamentidele. </w:t>
      </w:r>
    </w:p>
    <w:p w:rsidR="003E6CDF" w:rsidRPr="009F5C0D" w:rsidRDefault="003E6CDF" w:rsidP="003E6CDF"/>
    <w:p w:rsidR="00E365E1" w:rsidRPr="009F5C0D" w:rsidRDefault="00E365E1" w:rsidP="00EB4D77">
      <w:bookmarkStart w:id="8" w:name="TextBodyEnd"/>
      <w:bookmarkEnd w:id="8"/>
    </w:p>
    <w:sectPr w:rsidR="00E365E1" w:rsidRPr="009F5C0D" w:rsidSect="006E70C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D77" w:rsidRPr="006E70C7" w:rsidRDefault="00EB4D77">
      <w:r w:rsidRPr="006E70C7">
        <w:separator/>
      </w:r>
    </w:p>
  </w:endnote>
  <w:endnote w:type="continuationSeparator" w:id="0">
    <w:p w:rsidR="00EB4D77" w:rsidRPr="006E70C7" w:rsidRDefault="00EB4D77">
      <w:r w:rsidRPr="006E70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0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0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0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D77" w:rsidRPr="006E70C7" w:rsidRDefault="00EB4D77">
      <w:r w:rsidRPr="006E70C7">
        <w:separator/>
      </w:r>
    </w:p>
  </w:footnote>
  <w:footnote w:type="continuationSeparator" w:id="0">
    <w:p w:rsidR="00EB4D77" w:rsidRPr="006E70C7" w:rsidRDefault="00EB4D77">
      <w:r w:rsidRPr="006E70C7">
        <w:continuationSeparator/>
      </w:r>
    </w:p>
  </w:footnote>
  <w:footnote w:id="1">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ELT L 70, 16.3.2005, lk 1.</w:t>
      </w:r>
    </w:p>
  </w:footnote>
  <w:footnote w:id="2">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00A440EC">
        <w:rPr>
          <w:sz w:val="24"/>
          <w:lang w:val="et-EE"/>
        </w:rPr>
        <w:t>ELT L 309, 24.11.2009, lk </w:t>
      </w:r>
      <w:r w:rsidRPr="006E70C7">
        <w:rPr>
          <w:sz w:val="24"/>
          <w:lang w:val="et-EE"/>
        </w:rPr>
        <w:t>1.</w:t>
      </w:r>
    </w:p>
  </w:footnote>
  <w:footnote w:id="3">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EÜT L 31, 1.2.2002, lk 1.</w:t>
      </w:r>
    </w:p>
  </w:footnote>
  <w:footnote w:id="4">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EFSA põhjendatud arvamus „</w:t>
      </w:r>
      <w:proofErr w:type="spellStart"/>
      <w:r w:rsidRPr="006E70C7">
        <w:rPr>
          <w:sz w:val="24"/>
          <w:lang w:val="et-EE"/>
        </w:rPr>
        <w:t>Review</w:t>
      </w:r>
      <w:proofErr w:type="spellEnd"/>
      <w:r w:rsidRPr="006E70C7">
        <w:rPr>
          <w:sz w:val="24"/>
          <w:lang w:val="et-EE"/>
        </w:rPr>
        <w:t xml:space="preserve"> of </w:t>
      </w:r>
      <w:proofErr w:type="spellStart"/>
      <w:r w:rsidRPr="006E70C7">
        <w:rPr>
          <w:sz w:val="24"/>
          <w:lang w:val="et-EE"/>
        </w:rPr>
        <w:t>existing</w:t>
      </w:r>
      <w:proofErr w:type="spellEnd"/>
      <w:r w:rsidRPr="006E70C7">
        <w:rPr>
          <w:sz w:val="24"/>
          <w:lang w:val="et-EE"/>
        </w:rPr>
        <w:t xml:space="preserve"> </w:t>
      </w:r>
      <w:proofErr w:type="spellStart"/>
      <w:r w:rsidRPr="006E70C7">
        <w:rPr>
          <w:sz w:val="24"/>
          <w:lang w:val="et-EE"/>
        </w:rPr>
        <w:t>maximum</w:t>
      </w:r>
      <w:proofErr w:type="spellEnd"/>
      <w:r w:rsidRPr="006E70C7">
        <w:rPr>
          <w:sz w:val="24"/>
          <w:lang w:val="et-EE"/>
        </w:rPr>
        <w:t xml:space="preserve"> </w:t>
      </w:r>
      <w:proofErr w:type="spellStart"/>
      <w:r w:rsidRPr="006E70C7">
        <w:rPr>
          <w:sz w:val="24"/>
          <w:lang w:val="et-EE"/>
        </w:rPr>
        <w:t>residue</w:t>
      </w:r>
      <w:proofErr w:type="spellEnd"/>
      <w:r w:rsidRPr="006E70C7">
        <w:rPr>
          <w:sz w:val="24"/>
          <w:lang w:val="et-EE"/>
        </w:rPr>
        <w:t xml:space="preserve"> </w:t>
      </w:r>
      <w:proofErr w:type="spellStart"/>
      <w:r w:rsidRPr="006E70C7">
        <w:rPr>
          <w:sz w:val="24"/>
          <w:lang w:val="et-EE"/>
        </w:rPr>
        <w:t>levels</w:t>
      </w:r>
      <w:proofErr w:type="spellEnd"/>
      <w:r w:rsidRPr="006E70C7">
        <w:rPr>
          <w:sz w:val="24"/>
          <w:lang w:val="et-EE"/>
        </w:rPr>
        <w:t xml:space="preserve"> </w:t>
      </w:r>
      <w:proofErr w:type="spellStart"/>
      <w:r w:rsidRPr="006E70C7">
        <w:rPr>
          <w:sz w:val="24"/>
          <w:lang w:val="et-EE"/>
        </w:rPr>
        <w:t>for</w:t>
      </w:r>
      <w:proofErr w:type="spellEnd"/>
      <w:r w:rsidRPr="006E70C7">
        <w:rPr>
          <w:sz w:val="24"/>
          <w:lang w:val="et-EE"/>
        </w:rPr>
        <w:t xml:space="preserve"> </w:t>
      </w:r>
      <w:proofErr w:type="spellStart"/>
      <w:r w:rsidRPr="006E70C7">
        <w:rPr>
          <w:sz w:val="24"/>
          <w:lang w:val="et-EE"/>
        </w:rPr>
        <w:t>cyproconazole</w:t>
      </w:r>
      <w:proofErr w:type="spellEnd"/>
      <w:r w:rsidRPr="006E70C7">
        <w:rPr>
          <w:sz w:val="24"/>
          <w:lang w:val="et-EE"/>
        </w:rPr>
        <w:t xml:space="preserve"> </w:t>
      </w:r>
      <w:proofErr w:type="spellStart"/>
      <w:r w:rsidRPr="006E70C7">
        <w:rPr>
          <w:sz w:val="24"/>
          <w:lang w:val="et-EE"/>
        </w:rPr>
        <w:t>according</w:t>
      </w:r>
      <w:proofErr w:type="spellEnd"/>
      <w:r w:rsidRPr="006E70C7">
        <w:rPr>
          <w:sz w:val="24"/>
          <w:lang w:val="et-EE"/>
        </w:rPr>
        <w:t xml:space="preserve"> </w:t>
      </w:r>
      <w:proofErr w:type="spellStart"/>
      <w:r w:rsidRPr="006E70C7">
        <w:rPr>
          <w:sz w:val="24"/>
          <w:lang w:val="et-EE"/>
        </w:rPr>
        <w:t>to</w:t>
      </w:r>
      <w:proofErr w:type="spellEnd"/>
      <w:r w:rsidRPr="006E70C7">
        <w:rPr>
          <w:sz w:val="24"/>
          <w:lang w:val="et-EE"/>
        </w:rPr>
        <w:t xml:space="preserve"> </w:t>
      </w:r>
      <w:proofErr w:type="spellStart"/>
      <w:r w:rsidRPr="006E70C7">
        <w:rPr>
          <w:sz w:val="24"/>
          <w:lang w:val="et-EE"/>
        </w:rPr>
        <w:t>Article</w:t>
      </w:r>
      <w:proofErr w:type="spellEnd"/>
      <w:r w:rsidRPr="006E70C7">
        <w:rPr>
          <w:sz w:val="24"/>
          <w:lang w:val="et-EE"/>
        </w:rPr>
        <w:t xml:space="preserve"> 12 of </w:t>
      </w:r>
      <w:proofErr w:type="spellStart"/>
      <w:r w:rsidRPr="006E70C7">
        <w:rPr>
          <w:sz w:val="24"/>
          <w:lang w:val="et-EE"/>
        </w:rPr>
        <w:t>Regulation</w:t>
      </w:r>
      <w:proofErr w:type="spellEnd"/>
      <w:r w:rsidRPr="006E70C7">
        <w:rPr>
          <w:sz w:val="24"/>
          <w:lang w:val="et-EE"/>
        </w:rPr>
        <w:t xml:space="preserve"> (EC) No 396/2005“ (</w:t>
      </w:r>
      <w:proofErr w:type="spellStart"/>
      <w:r w:rsidRPr="006E70C7">
        <w:rPr>
          <w:sz w:val="24"/>
          <w:lang w:val="et-EE"/>
        </w:rPr>
        <w:t>Tsüprokonasooli</w:t>
      </w:r>
      <w:proofErr w:type="spellEnd"/>
      <w:r w:rsidRPr="006E70C7">
        <w:rPr>
          <w:sz w:val="24"/>
          <w:lang w:val="et-EE"/>
        </w:rPr>
        <w:t xml:space="preserve"> jääkide kehtivate piirnormide läbiv</w:t>
      </w:r>
      <w:r w:rsidR="00A440EC">
        <w:rPr>
          <w:sz w:val="24"/>
          <w:lang w:val="et-EE"/>
        </w:rPr>
        <w:t xml:space="preserve">aatamine kooskõlas määruse (EÜ) </w:t>
      </w:r>
      <w:r w:rsidRPr="006E70C7">
        <w:rPr>
          <w:sz w:val="24"/>
          <w:lang w:val="et-EE"/>
        </w:rPr>
        <w:t xml:space="preserve">nr 396/2005 artikliga 12), EFSA </w:t>
      </w:r>
      <w:proofErr w:type="spellStart"/>
      <w:r w:rsidRPr="006E70C7">
        <w:rPr>
          <w:sz w:val="24"/>
          <w:lang w:val="et-EE"/>
        </w:rPr>
        <w:t>Journal</w:t>
      </w:r>
      <w:proofErr w:type="spellEnd"/>
      <w:r w:rsidRPr="006E70C7">
        <w:rPr>
          <w:sz w:val="24"/>
          <w:lang w:val="et-EE"/>
        </w:rPr>
        <w:t xml:space="preserve"> 2021;19(3):e06483, </w:t>
      </w:r>
      <w:r w:rsidR="009F5C0D">
        <w:fldChar w:fldCharType="begin"/>
      </w:r>
      <w:r w:rsidR="009F5C0D" w:rsidRPr="009F5C0D">
        <w:rPr>
          <w:lang w:val="et-EE"/>
        </w:rPr>
        <w:instrText xml:space="preserve"> HYPERLINK "https://doi.org/10.2903/j.efsa.2021.6483" </w:instrText>
      </w:r>
      <w:r w:rsidR="009F5C0D">
        <w:fldChar w:fldCharType="separate"/>
      </w:r>
      <w:r w:rsidRPr="006E70C7">
        <w:rPr>
          <w:rStyle w:val="Hyperlink"/>
          <w:sz w:val="24"/>
          <w:lang w:val="et-EE"/>
        </w:rPr>
        <w:t>https://doi.org/10.2903/j.efsa.2021.6483</w:t>
      </w:r>
      <w:r w:rsidR="009F5C0D">
        <w:rPr>
          <w:rStyle w:val="Hyperlink"/>
          <w:sz w:val="24"/>
          <w:lang w:val="et-EE"/>
        </w:rPr>
        <w:fldChar w:fldCharType="end"/>
      </w:r>
      <w:r w:rsidRPr="006E70C7">
        <w:rPr>
          <w:sz w:val="24"/>
          <w:lang w:val="et-EE"/>
        </w:rPr>
        <w:t>.</w:t>
      </w:r>
    </w:p>
  </w:footnote>
  <w:footnote w:id="5">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 xml:space="preserve">„EFSA </w:t>
      </w:r>
      <w:proofErr w:type="spellStart"/>
      <w:r w:rsidRPr="006E70C7">
        <w:rPr>
          <w:sz w:val="24"/>
          <w:lang w:val="et-EE"/>
        </w:rPr>
        <w:t>conclusion</w:t>
      </w:r>
      <w:proofErr w:type="spellEnd"/>
      <w:r w:rsidRPr="006E70C7">
        <w:rPr>
          <w:sz w:val="24"/>
          <w:lang w:val="et-EE"/>
        </w:rPr>
        <w:t xml:space="preserve"> on </w:t>
      </w:r>
      <w:proofErr w:type="spellStart"/>
      <w:r w:rsidRPr="006E70C7">
        <w:rPr>
          <w:sz w:val="24"/>
          <w:lang w:val="et-EE"/>
        </w:rPr>
        <w:t>the</w:t>
      </w:r>
      <w:proofErr w:type="spellEnd"/>
      <w:r w:rsidRPr="006E70C7">
        <w:rPr>
          <w:sz w:val="24"/>
          <w:lang w:val="et-EE"/>
        </w:rPr>
        <w:t xml:space="preserve"> peer </w:t>
      </w:r>
      <w:proofErr w:type="spellStart"/>
      <w:r w:rsidRPr="006E70C7">
        <w:rPr>
          <w:sz w:val="24"/>
          <w:lang w:val="et-EE"/>
        </w:rPr>
        <w:t>review</w:t>
      </w:r>
      <w:proofErr w:type="spellEnd"/>
      <w:r w:rsidRPr="006E70C7">
        <w:rPr>
          <w:sz w:val="24"/>
          <w:lang w:val="et-EE"/>
        </w:rPr>
        <w:t xml:space="preserve"> of </w:t>
      </w:r>
      <w:proofErr w:type="spellStart"/>
      <w:r w:rsidRPr="006E70C7">
        <w:rPr>
          <w:sz w:val="24"/>
          <w:lang w:val="et-EE"/>
        </w:rPr>
        <w:t>the</w:t>
      </w:r>
      <w:proofErr w:type="spellEnd"/>
      <w:r w:rsidRPr="006E70C7">
        <w:rPr>
          <w:sz w:val="24"/>
          <w:lang w:val="et-EE"/>
        </w:rPr>
        <w:t xml:space="preserve"> </w:t>
      </w:r>
      <w:proofErr w:type="spellStart"/>
      <w:r w:rsidRPr="006E70C7">
        <w:rPr>
          <w:sz w:val="24"/>
          <w:lang w:val="et-EE"/>
        </w:rPr>
        <w:t>pesticide</w:t>
      </w:r>
      <w:proofErr w:type="spellEnd"/>
      <w:r w:rsidRPr="006E70C7">
        <w:rPr>
          <w:sz w:val="24"/>
          <w:lang w:val="et-EE"/>
        </w:rPr>
        <w:t xml:space="preserve"> risk </w:t>
      </w:r>
      <w:proofErr w:type="spellStart"/>
      <w:r w:rsidRPr="006E70C7">
        <w:rPr>
          <w:sz w:val="24"/>
          <w:lang w:val="et-EE"/>
        </w:rPr>
        <w:t>assessment</w:t>
      </w:r>
      <w:proofErr w:type="spellEnd"/>
      <w:r w:rsidRPr="006E70C7">
        <w:rPr>
          <w:sz w:val="24"/>
          <w:lang w:val="et-EE"/>
        </w:rPr>
        <w:t xml:space="preserve"> of </w:t>
      </w:r>
      <w:proofErr w:type="spellStart"/>
      <w:r w:rsidRPr="006E70C7">
        <w:rPr>
          <w:sz w:val="24"/>
          <w:lang w:val="et-EE"/>
        </w:rPr>
        <w:t>the</w:t>
      </w:r>
      <w:proofErr w:type="spellEnd"/>
      <w:r w:rsidRPr="006E70C7">
        <w:rPr>
          <w:sz w:val="24"/>
          <w:lang w:val="et-EE"/>
        </w:rPr>
        <w:t xml:space="preserve"> </w:t>
      </w:r>
      <w:proofErr w:type="spellStart"/>
      <w:r w:rsidRPr="006E70C7">
        <w:rPr>
          <w:sz w:val="24"/>
          <w:lang w:val="et-EE"/>
        </w:rPr>
        <w:t>active</w:t>
      </w:r>
      <w:proofErr w:type="spellEnd"/>
      <w:r w:rsidRPr="006E70C7">
        <w:rPr>
          <w:sz w:val="24"/>
          <w:lang w:val="et-EE"/>
        </w:rPr>
        <w:t xml:space="preserve"> </w:t>
      </w:r>
      <w:proofErr w:type="spellStart"/>
      <w:r w:rsidRPr="006E70C7">
        <w:rPr>
          <w:sz w:val="24"/>
          <w:lang w:val="et-EE"/>
        </w:rPr>
        <w:t>substance</w:t>
      </w:r>
      <w:proofErr w:type="spellEnd"/>
      <w:r w:rsidRPr="006E70C7">
        <w:rPr>
          <w:sz w:val="24"/>
          <w:lang w:val="et-EE"/>
        </w:rPr>
        <w:t xml:space="preserve"> </w:t>
      </w:r>
      <w:proofErr w:type="spellStart"/>
      <w:r w:rsidRPr="006E70C7">
        <w:rPr>
          <w:sz w:val="24"/>
          <w:lang w:val="et-EE"/>
        </w:rPr>
        <w:t>cyproconazole</w:t>
      </w:r>
      <w:proofErr w:type="spellEnd"/>
      <w:r w:rsidRPr="006E70C7">
        <w:rPr>
          <w:sz w:val="24"/>
          <w:lang w:val="et-EE"/>
        </w:rPr>
        <w:t xml:space="preserve">“ (Järeldused toimeaine </w:t>
      </w:r>
      <w:proofErr w:type="spellStart"/>
      <w:r w:rsidRPr="006E70C7">
        <w:rPr>
          <w:sz w:val="24"/>
          <w:lang w:val="et-EE"/>
        </w:rPr>
        <w:t>tsüprokonasooli</w:t>
      </w:r>
      <w:proofErr w:type="spellEnd"/>
      <w:r w:rsidRPr="006E70C7">
        <w:rPr>
          <w:sz w:val="24"/>
          <w:lang w:val="et-EE"/>
        </w:rPr>
        <w:t xml:space="preserve"> pestitsiidina kasutamise riskihindamist käsitleva vastastikuse eksperdiarvamuse kohta), EFSA </w:t>
      </w:r>
      <w:proofErr w:type="spellStart"/>
      <w:r w:rsidRPr="006E70C7">
        <w:rPr>
          <w:sz w:val="24"/>
          <w:lang w:val="et-EE"/>
        </w:rPr>
        <w:t>Journal</w:t>
      </w:r>
      <w:proofErr w:type="spellEnd"/>
      <w:r w:rsidRPr="006E70C7">
        <w:rPr>
          <w:sz w:val="24"/>
          <w:lang w:val="et-EE"/>
        </w:rPr>
        <w:t xml:space="preserve"> 2010;8(11):1897, </w:t>
      </w:r>
      <w:r w:rsidR="009F5C0D">
        <w:fldChar w:fldCharType="begin"/>
      </w:r>
      <w:r w:rsidR="009F5C0D" w:rsidRPr="009F5C0D">
        <w:rPr>
          <w:lang w:val="et-EE"/>
        </w:rPr>
        <w:instrText xml:space="preserve"> HYPERLINK "https://doi.org/10.2903/j.efsa.20</w:instrText>
      </w:r>
      <w:r w:rsidR="009F5C0D" w:rsidRPr="009F5C0D">
        <w:rPr>
          <w:lang w:val="et-EE"/>
        </w:rPr>
        <w:instrText xml:space="preserve">10.1897" </w:instrText>
      </w:r>
      <w:r w:rsidR="009F5C0D">
        <w:fldChar w:fldCharType="separate"/>
      </w:r>
      <w:r w:rsidRPr="006E70C7">
        <w:rPr>
          <w:rStyle w:val="Hyperlink"/>
          <w:sz w:val="24"/>
          <w:lang w:val="et-EE"/>
        </w:rPr>
        <w:t>https://doi.org/10.2903/j.efsa.2010.1897</w:t>
      </w:r>
      <w:r w:rsidR="009F5C0D">
        <w:rPr>
          <w:rStyle w:val="Hyperlink"/>
          <w:sz w:val="24"/>
          <w:lang w:val="et-EE"/>
        </w:rPr>
        <w:fldChar w:fldCharType="end"/>
      </w:r>
      <w:r w:rsidRPr="006E70C7">
        <w:rPr>
          <w:sz w:val="24"/>
          <w:lang w:val="et-EE"/>
        </w:rPr>
        <w:t>.</w:t>
      </w:r>
    </w:p>
  </w:footnote>
  <w:footnote w:id="6">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 xml:space="preserve">Riskihindamise komitee arvamus, milles tehakse ettepanek </w:t>
      </w:r>
      <w:proofErr w:type="spellStart"/>
      <w:r w:rsidRPr="006E70C7">
        <w:rPr>
          <w:sz w:val="24"/>
          <w:lang w:val="et-EE"/>
        </w:rPr>
        <w:t>tsüprokonasooli</w:t>
      </w:r>
      <w:proofErr w:type="spellEnd"/>
      <w:r w:rsidRPr="006E70C7">
        <w:rPr>
          <w:sz w:val="24"/>
          <w:lang w:val="et-EE"/>
        </w:rPr>
        <w:t xml:space="preserve"> ühtlustatud klassifitseerimise ja märgistamise (ISO) kohta ELi tasandil; (2RS,3RS;2RS,3SR)-2-(4-klorofenüül)-3-tsüklopropüül-1-(1H-1,2,4-triasool-1-üül)butaan-2-ool, </w:t>
      </w:r>
      <w:r w:rsidR="009F5C0D">
        <w:fldChar w:fldCharType="begin"/>
      </w:r>
      <w:r w:rsidR="009F5C0D" w:rsidRPr="009F5C0D">
        <w:rPr>
          <w:lang w:val="et-EE"/>
        </w:rPr>
        <w:instrText xml:space="preserve"> HYPERLINK "https://echa.europa.eu/documents/10162/6d98baeb-24aa-a683-28ec-d8adabee5461" </w:instrText>
      </w:r>
      <w:r w:rsidR="009F5C0D">
        <w:fldChar w:fldCharType="separate"/>
      </w:r>
      <w:r w:rsidRPr="006E70C7">
        <w:rPr>
          <w:rStyle w:val="Hyperlink"/>
          <w:sz w:val="24"/>
          <w:lang w:val="et-EE"/>
        </w:rPr>
        <w:t>https://echa.europa.eu/documents/10162/6d98baeb-24aa-a683-28ec-d8adabee5461</w:t>
      </w:r>
      <w:r w:rsidR="009F5C0D">
        <w:rPr>
          <w:rStyle w:val="Hyperlink"/>
          <w:sz w:val="24"/>
          <w:lang w:val="et-EE"/>
        </w:rPr>
        <w:fldChar w:fldCharType="end"/>
      </w:r>
      <w:r w:rsidRPr="006E70C7">
        <w:rPr>
          <w:sz w:val="24"/>
          <w:lang w:val="et-EE"/>
        </w:rPr>
        <w:t>.</w:t>
      </w:r>
    </w:p>
  </w:footnote>
  <w:footnote w:id="7">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00A440EC">
        <w:rPr>
          <w:sz w:val="24"/>
          <w:lang w:val="et-EE"/>
        </w:rPr>
        <w:t>EÜT L 184, 17.7.1999, lk </w:t>
      </w:r>
      <w:r w:rsidRPr="006E70C7">
        <w:rPr>
          <w:sz w:val="24"/>
          <w:lang w:val="et-EE"/>
        </w:rPr>
        <w:t>23.</w:t>
      </w:r>
    </w:p>
  </w:footnote>
  <w:footnote w:id="8">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Euroopa Parlamendi ja nõukogu 16. de</w:t>
      </w:r>
      <w:r w:rsidR="00A440EC">
        <w:rPr>
          <w:sz w:val="24"/>
          <w:lang w:val="et-EE"/>
        </w:rPr>
        <w:t xml:space="preserve">tsembri 2008. aasta määrus (EÜ) </w:t>
      </w:r>
      <w:r w:rsidRPr="006E70C7">
        <w:rPr>
          <w:sz w:val="24"/>
          <w:lang w:val="et-EE"/>
        </w:rPr>
        <w:t>nr 1272/2008, mis käsitleb ainete ja segude klassifitseerimist, märgistamist ja pakendamist ning millega muudetakse direktiive 67/548/EMÜ ja 1999/45/EÜ ja tunnistatakse need kehtetu</w:t>
      </w:r>
      <w:r w:rsidR="00A440EC">
        <w:rPr>
          <w:sz w:val="24"/>
          <w:lang w:val="et-EE"/>
        </w:rPr>
        <w:t>ks ning muudetakse määrust (EÜ) nr 1907/2006 (ELT </w:t>
      </w:r>
      <w:r w:rsidRPr="006E70C7">
        <w:rPr>
          <w:sz w:val="24"/>
          <w:lang w:val="et-EE"/>
        </w:rPr>
        <w:t>L 353, 31.12.2008, lk 1).</w:t>
      </w:r>
    </w:p>
  </w:footnote>
  <w:footnote w:id="9">
    <w:p w:rsidR="003E6CDF" w:rsidRPr="006E70C7" w:rsidRDefault="003E6CDF" w:rsidP="006E70C7">
      <w:pPr>
        <w:pStyle w:val="FootnoteText"/>
        <w:ind w:left="567" w:hanging="567"/>
        <w:rPr>
          <w:sz w:val="24"/>
          <w:highlight w:val="magenta"/>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009F5C0D">
        <w:fldChar w:fldCharType="begin"/>
      </w:r>
      <w:r w:rsidR="009F5C0D" w:rsidRPr="009F5C0D">
        <w:rPr>
          <w:lang w:val="et-EE"/>
        </w:rPr>
        <w:instrText xml:space="preserve"> HYPERLINK "https://www.echa.europa.eu/substance-information/-/substanceinfo/100.130.443" </w:instrText>
      </w:r>
      <w:r w:rsidR="009F5C0D">
        <w:fldChar w:fldCharType="separate"/>
      </w:r>
      <w:r w:rsidRPr="006E70C7">
        <w:rPr>
          <w:rStyle w:val="Hyperlink"/>
          <w:sz w:val="24"/>
          <w:lang w:val="et-EE"/>
        </w:rPr>
        <w:t>https://www.echa.europa.eu/substance-information/-/substanceinfo/100.130.443</w:t>
      </w:r>
      <w:r w:rsidR="009F5C0D">
        <w:rPr>
          <w:rStyle w:val="Hyperlink"/>
          <w:sz w:val="24"/>
          <w:lang w:val="et-EE"/>
        </w:rPr>
        <w:fldChar w:fldCharType="end"/>
      </w:r>
      <w:r w:rsidRPr="006E70C7">
        <w:rPr>
          <w:sz w:val="24"/>
          <w:lang w:val="et-EE"/>
        </w:rPr>
        <w:t>.</w:t>
      </w:r>
    </w:p>
  </w:footnote>
  <w:footnote w:id="10">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 xml:space="preserve">EFSA 8. novembri 2010. aasta järeldused pestitsiide käsitleva vastastikuse eksperdiarvamuse kohta; </w:t>
      </w:r>
      <w:proofErr w:type="spellStart"/>
      <w:r w:rsidRPr="006E70C7">
        <w:rPr>
          <w:sz w:val="24"/>
          <w:lang w:val="et-EE"/>
        </w:rPr>
        <w:t>Draskau</w:t>
      </w:r>
      <w:proofErr w:type="spellEnd"/>
      <w:r w:rsidRPr="006E70C7">
        <w:rPr>
          <w:sz w:val="24"/>
          <w:lang w:val="et-EE"/>
        </w:rPr>
        <w:t xml:space="preserve">, M.K. ja </w:t>
      </w:r>
      <w:proofErr w:type="spellStart"/>
      <w:r w:rsidRPr="006E70C7">
        <w:rPr>
          <w:sz w:val="24"/>
          <w:lang w:val="et-EE"/>
        </w:rPr>
        <w:t>Svingen</w:t>
      </w:r>
      <w:proofErr w:type="spellEnd"/>
      <w:r w:rsidRPr="006E70C7">
        <w:rPr>
          <w:sz w:val="24"/>
          <w:lang w:val="et-EE"/>
        </w:rPr>
        <w:t>, T., ‘</w:t>
      </w:r>
      <w:proofErr w:type="spellStart"/>
      <w:r w:rsidRPr="006E70C7">
        <w:rPr>
          <w:sz w:val="24"/>
          <w:lang w:val="et-EE"/>
        </w:rPr>
        <w:t>Azole</w:t>
      </w:r>
      <w:proofErr w:type="spellEnd"/>
      <w:r w:rsidRPr="006E70C7">
        <w:rPr>
          <w:sz w:val="24"/>
          <w:lang w:val="et-EE"/>
        </w:rPr>
        <w:t xml:space="preserve"> </w:t>
      </w:r>
      <w:proofErr w:type="spellStart"/>
      <w:r w:rsidRPr="006E70C7">
        <w:rPr>
          <w:sz w:val="24"/>
          <w:lang w:val="et-EE"/>
        </w:rPr>
        <w:t>Fungicides</w:t>
      </w:r>
      <w:proofErr w:type="spellEnd"/>
      <w:r w:rsidRPr="006E70C7">
        <w:rPr>
          <w:sz w:val="24"/>
          <w:lang w:val="et-EE"/>
        </w:rPr>
        <w:t xml:space="preserve"> and </w:t>
      </w:r>
      <w:proofErr w:type="spellStart"/>
      <w:r w:rsidRPr="006E70C7">
        <w:rPr>
          <w:sz w:val="24"/>
          <w:lang w:val="et-EE"/>
        </w:rPr>
        <w:t>Their</w:t>
      </w:r>
      <w:proofErr w:type="spellEnd"/>
      <w:r w:rsidRPr="006E70C7">
        <w:rPr>
          <w:sz w:val="24"/>
          <w:lang w:val="et-EE"/>
        </w:rPr>
        <w:t xml:space="preserve"> </w:t>
      </w:r>
      <w:proofErr w:type="spellStart"/>
      <w:r w:rsidRPr="006E70C7">
        <w:rPr>
          <w:sz w:val="24"/>
          <w:lang w:val="et-EE"/>
        </w:rPr>
        <w:t>Endocrine</w:t>
      </w:r>
      <w:proofErr w:type="spellEnd"/>
      <w:r w:rsidRPr="006E70C7">
        <w:rPr>
          <w:sz w:val="24"/>
          <w:lang w:val="et-EE"/>
        </w:rPr>
        <w:t xml:space="preserve"> </w:t>
      </w:r>
      <w:proofErr w:type="spellStart"/>
      <w:r w:rsidRPr="006E70C7">
        <w:rPr>
          <w:sz w:val="24"/>
          <w:lang w:val="et-EE"/>
        </w:rPr>
        <w:t>Disrupting</w:t>
      </w:r>
      <w:proofErr w:type="spellEnd"/>
      <w:r w:rsidRPr="006E70C7">
        <w:rPr>
          <w:sz w:val="24"/>
          <w:lang w:val="et-EE"/>
        </w:rPr>
        <w:t xml:space="preserve"> </w:t>
      </w:r>
      <w:proofErr w:type="spellStart"/>
      <w:r w:rsidRPr="006E70C7">
        <w:rPr>
          <w:sz w:val="24"/>
          <w:lang w:val="et-EE"/>
        </w:rPr>
        <w:t>Properties</w:t>
      </w:r>
      <w:proofErr w:type="spellEnd"/>
      <w:r w:rsidRPr="006E70C7">
        <w:rPr>
          <w:sz w:val="24"/>
          <w:lang w:val="et-EE"/>
        </w:rPr>
        <w:t xml:space="preserve">: </w:t>
      </w:r>
      <w:proofErr w:type="spellStart"/>
      <w:r w:rsidRPr="006E70C7">
        <w:rPr>
          <w:sz w:val="24"/>
          <w:lang w:val="et-EE"/>
        </w:rPr>
        <w:t>Perspectives</w:t>
      </w:r>
      <w:proofErr w:type="spellEnd"/>
      <w:r w:rsidRPr="006E70C7">
        <w:rPr>
          <w:sz w:val="24"/>
          <w:lang w:val="et-EE"/>
        </w:rPr>
        <w:t xml:space="preserve"> on </w:t>
      </w:r>
      <w:proofErr w:type="spellStart"/>
      <w:r w:rsidRPr="006E70C7">
        <w:rPr>
          <w:sz w:val="24"/>
          <w:lang w:val="et-EE"/>
        </w:rPr>
        <w:t>Sex</w:t>
      </w:r>
      <w:proofErr w:type="spellEnd"/>
      <w:r w:rsidRPr="006E70C7">
        <w:rPr>
          <w:sz w:val="24"/>
          <w:lang w:val="et-EE"/>
        </w:rPr>
        <w:t xml:space="preserve"> </w:t>
      </w:r>
      <w:proofErr w:type="spellStart"/>
      <w:r w:rsidRPr="006E70C7">
        <w:rPr>
          <w:sz w:val="24"/>
          <w:lang w:val="et-EE"/>
        </w:rPr>
        <w:t>Hormone-Dependent</w:t>
      </w:r>
      <w:proofErr w:type="spellEnd"/>
      <w:r w:rsidRPr="006E70C7">
        <w:rPr>
          <w:sz w:val="24"/>
          <w:lang w:val="et-EE"/>
        </w:rPr>
        <w:t xml:space="preserve"> </w:t>
      </w:r>
      <w:proofErr w:type="spellStart"/>
      <w:r w:rsidRPr="006E70C7">
        <w:rPr>
          <w:sz w:val="24"/>
          <w:lang w:val="et-EE"/>
        </w:rPr>
        <w:t>Reproductive</w:t>
      </w:r>
      <w:proofErr w:type="spellEnd"/>
      <w:r w:rsidRPr="006E70C7">
        <w:rPr>
          <w:sz w:val="24"/>
          <w:lang w:val="et-EE"/>
        </w:rPr>
        <w:t xml:space="preserve"> </w:t>
      </w:r>
      <w:proofErr w:type="spellStart"/>
      <w:r w:rsidRPr="006E70C7">
        <w:rPr>
          <w:sz w:val="24"/>
          <w:lang w:val="et-EE"/>
        </w:rPr>
        <w:t>Development</w:t>
      </w:r>
      <w:proofErr w:type="spellEnd"/>
      <w:r w:rsidRPr="006E70C7">
        <w:rPr>
          <w:sz w:val="24"/>
          <w:lang w:val="et-EE"/>
        </w:rPr>
        <w:t>’ (</w:t>
      </w:r>
      <w:proofErr w:type="spellStart"/>
      <w:r w:rsidRPr="006E70C7">
        <w:rPr>
          <w:sz w:val="24"/>
          <w:lang w:val="et-EE"/>
        </w:rPr>
        <w:t>Asool-fungitsiidid</w:t>
      </w:r>
      <w:proofErr w:type="spellEnd"/>
      <w:r w:rsidRPr="006E70C7">
        <w:rPr>
          <w:sz w:val="24"/>
          <w:lang w:val="et-EE"/>
        </w:rPr>
        <w:t xml:space="preserve"> ja nende endokriinseid häireid põhjustavad omadused: suguhormoonidest olenev </w:t>
      </w:r>
      <w:r w:rsidR="00A440EC">
        <w:rPr>
          <w:sz w:val="24"/>
          <w:lang w:val="et-EE"/>
        </w:rPr>
        <w:t xml:space="preserve">reproduktiivne areng), </w:t>
      </w:r>
      <w:proofErr w:type="spellStart"/>
      <w:r w:rsidRPr="006E70C7">
        <w:rPr>
          <w:sz w:val="24"/>
          <w:lang w:val="et-EE"/>
        </w:rPr>
        <w:t>Frontiers</w:t>
      </w:r>
      <w:proofErr w:type="spellEnd"/>
      <w:r w:rsidRPr="006E70C7">
        <w:rPr>
          <w:sz w:val="24"/>
          <w:lang w:val="et-EE"/>
        </w:rPr>
        <w:t xml:space="preserve"> in </w:t>
      </w:r>
      <w:proofErr w:type="spellStart"/>
      <w:r w:rsidRPr="006E70C7">
        <w:rPr>
          <w:sz w:val="24"/>
          <w:lang w:val="et-EE"/>
        </w:rPr>
        <w:t>Toxicology</w:t>
      </w:r>
      <w:proofErr w:type="spellEnd"/>
      <w:r w:rsidRPr="006E70C7">
        <w:rPr>
          <w:sz w:val="24"/>
          <w:lang w:val="et-EE"/>
        </w:rPr>
        <w:t xml:space="preserve"> 2022, 4:883254, </w:t>
      </w:r>
      <w:r w:rsidR="009F5C0D">
        <w:fldChar w:fldCharType="begin"/>
      </w:r>
      <w:r w:rsidR="009F5C0D" w:rsidRPr="009F5C0D">
        <w:rPr>
          <w:lang w:val="et-EE"/>
        </w:rPr>
        <w:instrText xml:space="preserve"> HYPERLINK "https://doi.org/10.3389/ftox.2022.883254" </w:instrText>
      </w:r>
      <w:r w:rsidR="009F5C0D">
        <w:fldChar w:fldCharType="separate"/>
      </w:r>
      <w:r w:rsidRPr="006E70C7">
        <w:rPr>
          <w:rStyle w:val="Hyperlink"/>
          <w:color w:val="0000FF"/>
          <w:sz w:val="24"/>
          <w:shd w:val="clear" w:color="auto" w:fill="F7F7F7"/>
          <w:lang w:val="et-EE"/>
        </w:rPr>
        <w:t>https://doi.org/10.3389/ftox.2022.883254</w:t>
      </w:r>
      <w:r w:rsidR="009F5C0D">
        <w:rPr>
          <w:rStyle w:val="Hyperlink"/>
          <w:color w:val="0000FF"/>
          <w:sz w:val="24"/>
          <w:shd w:val="clear" w:color="auto" w:fill="F7F7F7"/>
          <w:lang w:val="et-EE"/>
        </w:rPr>
        <w:fldChar w:fldCharType="end"/>
      </w:r>
      <w:r w:rsidRPr="006E70C7">
        <w:rPr>
          <w:sz w:val="24"/>
          <w:lang w:val="et-EE"/>
        </w:rPr>
        <w:t>.</w:t>
      </w:r>
    </w:p>
  </w:footnote>
  <w:footnote w:id="11">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Komisjoni 19. aprilli 2018. aasta määrus (EL) 2018/605, millega muudetakse määruse (EÜ) nr 1107/2009 II lisa ja sätestatakse teaduslikud kriteeriumid endokriinsüsteemi häireid põhjustavate omaduste kindlakstegemiseks (ELT L 101, 20.4.2018, lk 33).</w:t>
      </w:r>
    </w:p>
  </w:footnote>
  <w:footnote w:id="12">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Pr="006E70C7">
        <w:rPr>
          <w:sz w:val="24"/>
          <w:lang w:val="et-EE"/>
        </w:rPr>
        <w:t xml:space="preserve">EFSA endokriinse toimega kemikaalide töörühma teaduslik aruanne, EFSA </w:t>
      </w:r>
      <w:proofErr w:type="spellStart"/>
      <w:r w:rsidRPr="006E70C7">
        <w:rPr>
          <w:sz w:val="24"/>
          <w:lang w:val="et-EE"/>
        </w:rPr>
        <w:t>Journal</w:t>
      </w:r>
      <w:proofErr w:type="spellEnd"/>
      <w:r w:rsidRPr="006E70C7">
        <w:rPr>
          <w:sz w:val="24"/>
          <w:lang w:val="et-EE"/>
        </w:rPr>
        <w:t xml:space="preserve"> 2010; 8(11):1932, </w:t>
      </w:r>
      <w:r w:rsidR="009F5C0D">
        <w:fldChar w:fldCharType="begin"/>
      </w:r>
      <w:r w:rsidR="009F5C0D" w:rsidRPr="009F5C0D">
        <w:rPr>
          <w:lang w:val="et-EE"/>
        </w:rPr>
        <w:instrText xml:space="preserve"> HYPERLINK "https://doi.org/10.2903/j.efsa.2010.1932" </w:instrText>
      </w:r>
      <w:r w:rsidR="009F5C0D">
        <w:fldChar w:fldCharType="separate"/>
      </w:r>
      <w:r w:rsidRPr="006E70C7">
        <w:rPr>
          <w:rStyle w:val="Hyperlink"/>
          <w:sz w:val="24"/>
          <w:lang w:val="et-EE"/>
        </w:rPr>
        <w:t>https://doi.org/10.2903/j.efsa.2010.1932</w:t>
      </w:r>
      <w:r w:rsidR="009F5C0D">
        <w:rPr>
          <w:rStyle w:val="Hyperlink"/>
          <w:sz w:val="24"/>
          <w:lang w:val="et-EE"/>
        </w:rPr>
        <w:fldChar w:fldCharType="end"/>
      </w:r>
      <w:r w:rsidRPr="006E70C7">
        <w:rPr>
          <w:sz w:val="24"/>
          <w:lang w:val="et-EE"/>
        </w:rPr>
        <w:t xml:space="preserve">. </w:t>
      </w:r>
    </w:p>
  </w:footnote>
  <w:footnote w:id="13">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proofErr w:type="spellStart"/>
      <w:r w:rsidRPr="006E70C7">
        <w:rPr>
          <w:sz w:val="24"/>
          <w:lang w:val="et-EE"/>
        </w:rPr>
        <w:t>Zhang</w:t>
      </w:r>
      <w:proofErr w:type="spellEnd"/>
      <w:r w:rsidRPr="006E70C7">
        <w:rPr>
          <w:sz w:val="24"/>
          <w:lang w:val="et-EE"/>
        </w:rPr>
        <w:t xml:space="preserve">, J., </w:t>
      </w:r>
      <w:proofErr w:type="spellStart"/>
      <w:r w:rsidRPr="006E70C7">
        <w:rPr>
          <w:sz w:val="24"/>
          <w:lang w:val="et-EE"/>
        </w:rPr>
        <w:t>Jimenez</w:t>
      </w:r>
      <w:proofErr w:type="spellEnd"/>
      <w:r w:rsidRPr="006E70C7">
        <w:rPr>
          <w:sz w:val="24"/>
          <w:lang w:val="et-EE"/>
        </w:rPr>
        <w:t xml:space="preserve">, L.L., </w:t>
      </w:r>
      <w:proofErr w:type="spellStart"/>
      <w:r w:rsidRPr="006E70C7">
        <w:rPr>
          <w:sz w:val="24"/>
          <w:lang w:val="et-EE"/>
        </w:rPr>
        <w:t>Snelders</w:t>
      </w:r>
      <w:proofErr w:type="spellEnd"/>
      <w:r w:rsidRPr="006E70C7">
        <w:rPr>
          <w:sz w:val="24"/>
          <w:lang w:val="et-EE"/>
        </w:rPr>
        <w:t xml:space="preserve">, E., </w:t>
      </w:r>
      <w:proofErr w:type="spellStart"/>
      <w:r w:rsidRPr="006E70C7">
        <w:rPr>
          <w:sz w:val="24"/>
          <w:lang w:val="et-EE"/>
        </w:rPr>
        <w:t>Debets</w:t>
      </w:r>
      <w:proofErr w:type="spellEnd"/>
      <w:r w:rsidRPr="006E70C7">
        <w:rPr>
          <w:sz w:val="24"/>
          <w:lang w:val="et-EE"/>
        </w:rPr>
        <w:t xml:space="preserve">, A.J.M., </w:t>
      </w:r>
      <w:proofErr w:type="spellStart"/>
      <w:r w:rsidRPr="006E70C7">
        <w:rPr>
          <w:sz w:val="24"/>
          <w:lang w:val="et-EE"/>
        </w:rPr>
        <w:t>Rietveld</w:t>
      </w:r>
      <w:proofErr w:type="spellEnd"/>
      <w:r w:rsidRPr="006E70C7">
        <w:rPr>
          <w:sz w:val="24"/>
          <w:lang w:val="et-EE"/>
        </w:rPr>
        <w:t xml:space="preserve">, A.G., </w:t>
      </w:r>
      <w:proofErr w:type="spellStart"/>
      <w:r w:rsidRPr="006E70C7">
        <w:rPr>
          <w:sz w:val="24"/>
          <w:lang w:val="et-EE"/>
        </w:rPr>
        <w:t>Zwaan</w:t>
      </w:r>
      <w:proofErr w:type="spellEnd"/>
      <w:r w:rsidRPr="006E70C7">
        <w:rPr>
          <w:sz w:val="24"/>
          <w:lang w:val="et-EE"/>
        </w:rPr>
        <w:t xml:space="preserve">, B.J., </w:t>
      </w:r>
      <w:proofErr w:type="spellStart"/>
      <w:r w:rsidRPr="006E70C7">
        <w:rPr>
          <w:sz w:val="24"/>
          <w:lang w:val="et-EE"/>
        </w:rPr>
        <w:t>Verweij</w:t>
      </w:r>
      <w:proofErr w:type="spellEnd"/>
      <w:r w:rsidRPr="006E70C7">
        <w:rPr>
          <w:sz w:val="24"/>
          <w:lang w:val="et-EE"/>
        </w:rPr>
        <w:t xml:space="preserve">, P.E., </w:t>
      </w:r>
      <w:proofErr w:type="spellStart"/>
      <w:r w:rsidRPr="006E70C7">
        <w:rPr>
          <w:sz w:val="24"/>
          <w:lang w:val="et-EE"/>
        </w:rPr>
        <w:t>Schoustra</w:t>
      </w:r>
      <w:proofErr w:type="spellEnd"/>
      <w:r w:rsidRPr="006E70C7">
        <w:rPr>
          <w:sz w:val="24"/>
          <w:lang w:val="et-EE"/>
        </w:rPr>
        <w:t xml:space="preserve">, S.E., ‘Dynamics of </w:t>
      </w:r>
      <w:proofErr w:type="spellStart"/>
      <w:r w:rsidRPr="006E70C7">
        <w:rPr>
          <w:i/>
          <w:sz w:val="24"/>
          <w:lang w:val="et-EE"/>
        </w:rPr>
        <w:t>Aspergillus</w:t>
      </w:r>
      <w:proofErr w:type="spellEnd"/>
      <w:r w:rsidRPr="006E70C7">
        <w:rPr>
          <w:i/>
          <w:sz w:val="24"/>
          <w:lang w:val="et-EE"/>
        </w:rPr>
        <w:t xml:space="preserve"> </w:t>
      </w:r>
      <w:proofErr w:type="spellStart"/>
      <w:r w:rsidRPr="006E70C7">
        <w:rPr>
          <w:i/>
          <w:sz w:val="24"/>
          <w:lang w:val="et-EE"/>
        </w:rPr>
        <w:t>fumigatus</w:t>
      </w:r>
      <w:proofErr w:type="spellEnd"/>
      <w:r w:rsidRPr="006E70C7">
        <w:rPr>
          <w:sz w:val="24"/>
          <w:lang w:val="et-EE"/>
        </w:rPr>
        <w:t xml:space="preserve"> in </w:t>
      </w:r>
      <w:proofErr w:type="spellStart"/>
      <w:r w:rsidRPr="006E70C7">
        <w:rPr>
          <w:sz w:val="24"/>
          <w:lang w:val="et-EE"/>
        </w:rPr>
        <w:t>Azole</w:t>
      </w:r>
      <w:proofErr w:type="spellEnd"/>
      <w:r w:rsidRPr="006E70C7">
        <w:rPr>
          <w:sz w:val="24"/>
          <w:lang w:val="et-EE"/>
        </w:rPr>
        <w:t xml:space="preserve"> </w:t>
      </w:r>
      <w:proofErr w:type="spellStart"/>
      <w:r w:rsidRPr="006E70C7">
        <w:rPr>
          <w:sz w:val="24"/>
          <w:lang w:val="et-EE"/>
        </w:rPr>
        <w:t>Fungicide-Containing</w:t>
      </w:r>
      <w:proofErr w:type="spellEnd"/>
      <w:r w:rsidRPr="006E70C7">
        <w:rPr>
          <w:sz w:val="24"/>
          <w:lang w:val="et-EE"/>
        </w:rPr>
        <w:t xml:space="preserve"> </w:t>
      </w:r>
      <w:proofErr w:type="spellStart"/>
      <w:r w:rsidRPr="006E70C7">
        <w:rPr>
          <w:sz w:val="24"/>
          <w:lang w:val="et-EE"/>
        </w:rPr>
        <w:t>Plant</w:t>
      </w:r>
      <w:proofErr w:type="spellEnd"/>
      <w:r w:rsidR="00A440EC">
        <w:rPr>
          <w:sz w:val="24"/>
          <w:lang w:val="et-EE"/>
        </w:rPr>
        <w:t xml:space="preserve"> </w:t>
      </w:r>
      <w:proofErr w:type="spellStart"/>
      <w:r w:rsidR="00A440EC">
        <w:rPr>
          <w:sz w:val="24"/>
          <w:lang w:val="et-EE"/>
        </w:rPr>
        <w:t>Waste</w:t>
      </w:r>
      <w:proofErr w:type="spellEnd"/>
      <w:r w:rsidR="00A440EC">
        <w:rPr>
          <w:sz w:val="24"/>
          <w:lang w:val="et-EE"/>
        </w:rPr>
        <w:t xml:space="preserve"> in </w:t>
      </w:r>
      <w:proofErr w:type="spellStart"/>
      <w:r w:rsidR="00A440EC">
        <w:rPr>
          <w:sz w:val="24"/>
          <w:lang w:val="et-EE"/>
        </w:rPr>
        <w:t>the</w:t>
      </w:r>
      <w:proofErr w:type="spellEnd"/>
      <w:r w:rsidR="00A440EC">
        <w:rPr>
          <w:sz w:val="24"/>
          <w:lang w:val="et-EE"/>
        </w:rPr>
        <w:t xml:space="preserve"> </w:t>
      </w:r>
      <w:proofErr w:type="spellStart"/>
      <w:r w:rsidR="00A440EC">
        <w:rPr>
          <w:sz w:val="24"/>
          <w:lang w:val="et-EE"/>
        </w:rPr>
        <w:t>Netherlands</w:t>
      </w:r>
      <w:proofErr w:type="spellEnd"/>
      <w:r w:rsidR="00A440EC">
        <w:rPr>
          <w:sz w:val="24"/>
          <w:lang w:val="et-EE"/>
        </w:rPr>
        <w:t xml:space="preserve"> (2016</w:t>
      </w:r>
      <w:r w:rsidR="00A440EC">
        <w:rPr>
          <w:sz w:val="24"/>
          <w:lang w:val="et-EE"/>
        </w:rPr>
        <w:noBreakHyphen/>
      </w:r>
      <w:r w:rsidRPr="006E70C7">
        <w:rPr>
          <w:sz w:val="24"/>
          <w:lang w:val="et-EE"/>
        </w:rPr>
        <w:t>2017)’(</w:t>
      </w:r>
      <w:proofErr w:type="spellStart"/>
      <w:r w:rsidRPr="006E70C7">
        <w:rPr>
          <w:i/>
          <w:sz w:val="24"/>
          <w:lang w:val="et-EE"/>
        </w:rPr>
        <w:t>Aspergillus</w:t>
      </w:r>
      <w:proofErr w:type="spellEnd"/>
      <w:r w:rsidRPr="006E70C7">
        <w:rPr>
          <w:i/>
          <w:sz w:val="24"/>
          <w:lang w:val="et-EE"/>
        </w:rPr>
        <w:t xml:space="preserve"> </w:t>
      </w:r>
      <w:proofErr w:type="spellStart"/>
      <w:r w:rsidRPr="006E70C7">
        <w:rPr>
          <w:i/>
          <w:sz w:val="24"/>
          <w:lang w:val="et-EE"/>
        </w:rPr>
        <w:t>fumigatus</w:t>
      </w:r>
      <w:r w:rsidRPr="006E70C7">
        <w:rPr>
          <w:sz w:val="24"/>
          <w:lang w:val="et-EE"/>
        </w:rPr>
        <w:t>’e</w:t>
      </w:r>
      <w:proofErr w:type="spellEnd"/>
      <w:r w:rsidRPr="006E70C7">
        <w:rPr>
          <w:sz w:val="24"/>
          <w:lang w:val="et-EE"/>
        </w:rPr>
        <w:t xml:space="preserve"> dünaamika </w:t>
      </w:r>
      <w:proofErr w:type="spellStart"/>
      <w:r w:rsidRPr="006E70C7">
        <w:rPr>
          <w:sz w:val="24"/>
          <w:lang w:val="et-EE"/>
        </w:rPr>
        <w:t>fungitsiide</w:t>
      </w:r>
      <w:proofErr w:type="spellEnd"/>
      <w:r w:rsidRPr="006E70C7">
        <w:rPr>
          <w:sz w:val="24"/>
          <w:lang w:val="et-EE"/>
        </w:rPr>
        <w:t xml:space="preserve"> sisaldavates taimsetes jäätmetes Madalmaades), </w:t>
      </w:r>
      <w:proofErr w:type="spellStart"/>
      <w:r w:rsidRPr="006E70C7">
        <w:rPr>
          <w:sz w:val="24"/>
          <w:lang w:val="et-EE"/>
        </w:rPr>
        <w:t>Applied</w:t>
      </w:r>
      <w:proofErr w:type="spellEnd"/>
      <w:r w:rsidRPr="006E70C7">
        <w:rPr>
          <w:sz w:val="24"/>
          <w:lang w:val="et-EE"/>
        </w:rPr>
        <w:t xml:space="preserve"> and </w:t>
      </w:r>
      <w:proofErr w:type="spellStart"/>
      <w:r w:rsidRPr="006E70C7">
        <w:rPr>
          <w:sz w:val="24"/>
          <w:lang w:val="et-EE"/>
        </w:rPr>
        <w:t>Environment</w:t>
      </w:r>
      <w:r w:rsidR="00A440EC">
        <w:rPr>
          <w:sz w:val="24"/>
          <w:lang w:val="et-EE"/>
        </w:rPr>
        <w:t>al</w:t>
      </w:r>
      <w:proofErr w:type="spellEnd"/>
      <w:r w:rsidR="00A440EC">
        <w:rPr>
          <w:sz w:val="24"/>
          <w:lang w:val="et-EE"/>
        </w:rPr>
        <w:t xml:space="preserve"> </w:t>
      </w:r>
      <w:proofErr w:type="spellStart"/>
      <w:r w:rsidR="00A440EC">
        <w:rPr>
          <w:sz w:val="24"/>
          <w:lang w:val="et-EE"/>
        </w:rPr>
        <w:t>Microbiology</w:t>
      </w:r>
      <w:proofErr w:type="spellEnd"/>
      <w:r w:rsidR="00A440EC">
        <w:rPr>
          <w:sz w:val="24"/>
          <w:lang w:val="et-EE"/>
        </w:rPr>
        <w:t xml:space="preserve"> 2021, 87:e02295</w:t>
      </w:r>
      <w:r w:rsidR="00A440EC">
        <w:rPr>
          <w:sz w:val="24"/>
          <w:lang w:val="et-EE"/>
        </w:rPr>
        <w:noBreakHyphen/>
      </w:r>
      <w:r w:rsidRPr="006E70C7">
        <w:rPr>
          <w:sz w:val="24"/>
          <w:lang w:val="et-EE"/>
        </w:rPr>
        <w:t xml:space="preserve">20, </w:t>
      </w:r>
      <w:hyperlink r:id="rId1" w:history="1">
        <w:r w:rsidRPr="006E70C7">
          <w:rPr>
            <w:rStyle w:val="Hyperlink"/>
            <w:sz w:val="24"/>
            <w:lang w:val="et-EE"/>
          </w:rPr>
          <w:t>https://doi.org/10.1128/AEM.02295-20</w:t>
        </w:r>
      </w:hyperlink>
      <w:r w:rsidRPr="006E70C7">
        <w:rPr>
          <w:color w:val="000000"/>
          <w:sz w:val="24"/>
          <w:lang w:val="et-EE"/>
        </w:rPr>
        <w:t xml:space="preserve">; Taani keskkonna- ja toidukomisjon, mis käsitleb </w:t>
      </w:r>
      <w:proofErr w:type="spellStart"/>
      <w:r w:rsidRPr="006E70C7">
        <w:rPr>
          <w:color w:val="000000"/>
          <w:sz w:val="24"/>
          <w:lang w:val="et-EE"/>
        </w:rPr>
        <w:t>asooliresistentsust</w:t>
      </w:r>
      <w:proofErr w:type="spellEnd"/>
      <w:r w:rsidRPr="006E70C7">
        <w:rPr>
          <w:color w:val="000000"/>
          <w:sz w:val="24"/>
          <w:lang w:val="et-EE"/>
        </w:rPr>
        <w:t xml:space="preserve">, </w:t>
      </w:r>
      <w:hyperlink r:id="rId2" w:history="1">
        <w:r w:rsidRPr="006E70C7">
          <w:rPr>
            <w:rStyle w:val="Hyperlink"/>
            <w:sz w:val="24"/>
            <w:lang w:val="et-EE"/>
          </w:rPr>
          <w:t>https://www.ft.dk/samling/20181/almdel/MOF/bilag/407/2016336.pdf</w:t>
        </w:r>
      </w:hyperlink>
      <w:r w:rsidRPr="006E70C7">
        <w:rPr>
          <w:color w:val="000000"/>
          <w:sz w:val="24"/>
          <w:lang w:val="et-EE"/>
        </w:rPr>
        <w:t xml:space="preserve">; </w:t>
      </w:r>
      <w:proofErr w:type="spellStart"/>
      <w:r w:rsidRPr="006E70C7">
        <w:rPr>
          <w:color w:val="000000"/>
          <w:sz w:val="24"/>
          <w:lang w:val="et-EE"/>
        </w:rPr>
        <w:t>Snelders</w:t>
      </w:r>
      <w:proofErr w:type="spellEnd"/>
      <w:r w:rsidRPr="006E70C7">
        <w:rPr>
          <w:color w:val="000000"/>
          <w:sz w:val="24"/>
          <w:lang w:val="et-EE"/>
        </w:rPr>
        <w:t xml:space="preserve">, E., </w:t>
      </w:r>
      <w:proofErr w:type="spellStart"/>
      <w:r w:rsidRPr="006E70C7">
        <w:rPr>
          <w:color w:val="000000"/>
          <w:sz w:val="24"/>
          <w:lang w:val="et-EE"/>
        </w:rPr>
        <w:t>Camps</w:t>
      </w:r>
      <w:proofErr w:type="spellEnd"/>
      <w:r w:rsidRPr="006E70C7">
        <w:rPr>
          <w:color w:val="000000"/>
          <w:sz w:val="24"/>
          <w:lang w:val="et-EE"/>
        </w:rPr>
        <w:t xml:space="preserve">, S.M.T., </w:t>
      </w:r>
      <w:proofErr w:type="spellStart"/>
      <w:r w:rsidRPr="006E70C7">
        <w:rPr>
          <w:color w:val="000000"/>
          <w:sz w:val="24"/>
          <w:lang w:val="et-EE"/>
        </w:rPr>
        <w:t>Karawajczyk</w:t>
      </w:r>
      <w:proofErr w:type="spellEnd"/>
      <w:r w:rsidRPr="006E70C7">
        <w:rPr>
          <w:color w:val="000000"/>
          <w:sz w:val="24"/>
          <w:lang w:val="et-EE"/>
        </w:rPr>
        <w:t xml:space="preserve">, A., </w:t>
      </w:r>
      <w:proofErr w:type="spellStart"/>
      <w:r w:rsidRPr="006E70C7">
        <w:rPr>
          <w:color w:val="000000"/>
          <w:sz w:val="24"/>
          <w:lang w:val="et-EE"/>
        </w:rPr>
        <w:t>Schaftenaar</w:t>
      </w:r>
      <w:proofErr w:type="spellEnd"/>
      <w:r w:rsidRPr="006E70C7">
        <w:rPr>
          <w:color w:val="000000"/>
          <w:sz w:val="24"/>
          <w:lang w:val="et-EE"/>
        </w:rPr>
        <w:t xml:space="preserve">, G., </w:t>
      </w:r>
      <w:proofErr w:type="spellStart"/>
      <w:r w:rsidRPr="006E70C7">
        <w:rPr>
          <w:color w:val="000000"/>
          <w:sz w:val="24"/>
          <w:lang w:val="et-EE"/>
        </w:rPr>
        <w:t>Kema</w:t>
      </w:r>
      <w:proofErr w:type="spellEnd"/>
      <w:r w:rsidRPr="006E70C7">
        <w:rPr>
          <w:color w:val="000000"/>
          <w:sz w:val="24"/>
          <w:lang w:val="et-EE"/>
        </w:rPr>
        <w:t xml:space="preserve">, G.H.J., van </w:t>
      </w:r>
      <w:proofErr w:type="spellStart"/>
      <w:r w:rsidRPr="006E70C7">
        <w:rPr>
          <w:color w:val="000000"/>
          <w:sz w:val="24"/>
          <w:lang w:val="et-EE"/>
        </w:rPr>
        <w:t>der</w:t>
      </w:r>
      <w:proofErr w:type="spellEnd"/>
      <w:r w:rsidRPr="006E70C7">
        <w:rPr>
          <w:color w:val="000000"/>
          <w:sz w:val="24"/>
          <w:lang w:val="et-EE"/>
        </w:rPr>
        <w:t xml:space="preserve"> Lee, H.A., et </w:t>
      </w:r>
      <w:proofErr w:type="spellStart"/>
      <w:r w:rsidRPr="006E70C7">
        <w:rPr>
          <w:color w:val="000000"/>
          <w:sz w:val="24"/>
          <w:lang w:val="et-EE"/>
        </w:rPr>
        <w:t>al</w:t>
      </w:r>
      <w:proofErr w:type="spellEnd"/>
      <w:r w:rsidRPr="006E70C7">
        <w:rPr>
          <w:color w:val="000000"/>
          <w:sz w:val="24"/>
          <w:lang w:val="et-EE"/>
        </w:rPr>
        <w:t>., „</w:t>
      </w:r>
      <w:proofErr w:type="spellStart"/>
      <w:r w:rsidRPr="006E70C7">
        <w:rPr>
          <w:color w:val="000000"/>
          <w:sz w:val="24"/>
          <w:lang w:val="et-EE"/>
        </w:rPr>
        <w:t>Triazole</w:t>
      </w:r>
      <w:proofErr w:type="spellEnd"/>
      <w:r w:rsidRPr="006E70C7">
        <w:rPr>
          <w:color w:val="000000"/>
          <w:sz w:val="24"/>
          <w:lang w:val="et-EE"/>
        </w:rPr>
        <w:t xml:space="preserve"> </w:t>
      </w:r>
      <w:proofErr w:type="spellStart"/>
      <w:r w:rsidRPr="006E70C7">
        <w:rPr>
          <w:color w:val="000000"/>
          <w:sz w:val="24"/>
          <w:lang w:val="et-EE"/>
        </w:rPr>
        <w:t>Fungicides</w:t>
      </w:r>
      <w:proofErr w:type="spellEnd"/>
      <w:r w:rsidRPr="006E70C7">
        <w:rPr>
          <w:color w:val="000000"/>
          <w:sz w:val="24"/>
          <w:lang w:val="et-EE"/>
        </w:rPr>
        <w:t xml:space="preserve"> </w:t>
      </w:r>
      <w:proofErr w:type="spellStart"/>
      <w:r w:rsidRPr="006E70C7">
        <w:rPr>
          <w:color w:val="000000"/>
          <w:sz w:val="24"/>
          <w:lang w:val="et-EE"/>
        </w:rPr>
        <w:t>Can</w:t>
      </w:r>
      <w:proofErr w:type="spellEnd"/>
      <w:r w:rsidRPr="006E70C7">
        <w:rPr>
          <w:color w:val="000000"/>
          <w:sz w:val="24"/>
          <w:lang w:val="et-EE"/>
        </w:rPr>
        <w:t xml:space="preserve"> </w:t>
      </w:r>
      <w:proofErr w:type="spellStart"/>
      <w:r w:rsidRPr="006E70C7">
        <w:rPr>
          <w:color w:val="000000"/>
          <w:sz w:val="24"/>
          <w:lang w:val="et-EE"/>
        </w:rPr>
        <w:t>Induce</w:t>
      </w:r>
      <w:proofErr w:type="spellEnd"/>
      <w:r w:rsidRPr="006E70C7">
        <w:rPr>
          <w:color w:val="000000"/>
          <w:sz w:val="24"/>
          <w:lang w:val="et-EE"/>
        </w:rPr>
        <w:t xml:space="preserve"> </w:t>
      </w:r>
      <w:proofErr w:type="spellStart"/>
      <w:r w:rsidRPr="006E70C7">
        <w:rPr>
          <w:color w:val="000000"/>
          <w:sz w:val="24"/>
          <w:lang w:val="et-EE"/>
        </w:rPr>
        <w:t>Cross-Resistance</w:t>
      </w:r>
      <w:proofErr w:type="spellEnd"/>
      <w:r w:rsidRPr="006E70C7">
        <w:rPr>
          <w:color w:val="000000"/>
          <w:sz w:val="24"/>
          <w:lang w:val="et-EE"/>
        </w:rPr>
        <w:t xml:space="preserve"> </w:t>
      </w:r>
      <w:proofErr w:type="spellStart"/>
      <w:r w:rsidRPr="006E70C7">
        <w:rPr>
          <w:color w:val="000000"/>
          <w:sz w:val="24"/>
          <w:lang w:val="et-EE"/>
        </w:rPr>
        <w:t>to</w:t>
      </w:r>
      <w:proofErr w:type="spellEnd"/>
      <w:r w:rsidRPr="006E70C7">
        <w:rPr>
          <w:color w:val="000000"/>
          <w:sz w:val="24"/>
          <w:lang w:val="et-EE"/>
        </w:rPr>
        <w:t xml:space="preserve"> Medical </w:t>
      </w:r>
      <w:proofErr w:type="spellStart"/>
      <w:r w:rsidRPr="006E70C7">
        <w:rPr>
          <w:color w:val="000000"/>
          <w:sz w:val="24"/>
          <w:lang w:val="et-EE"/>
        </w:rPr>
        <w:t>Triazoles</w:t>
      </w:r>
      <w:proofErr w:type="spellEnd"/>
      <w:r w:rsidRPr="006E70C7">
        <w:rPr>
          <w:color w:val="000000"/>
          <w:sz w:val="24"/>
          <w:lang w:val="et-EE"/>
        </w:rPr>
        <w:t xml:space="preserve"> in </w:t>
      </w:r>
      <w:proofErr w:type="spellStart"/>
      <w:r w:rsidRPr="006E70C7">
        <w:rPr>
          <w:i/>
          <w:color w:val="000000"/>
          <w:sz w:val="24"/>
          <w:lang w:val="et-EE"/>
        </w:rPr>
        <w:t>Aspergillus</w:t>
      </w:r>
      <w:proofErr w:type="spellEnd"/>
      <w:r w:rsidRPr="006E70C7">
        <w:rPr>
          <w:i/>
          <w:color w:val="000000"/>
          <w:sz w:val="24"/>
          <w:lang w:val="et-EE"/>
        </w:rPr>
        <w:t xml:space="preserve"> </w:t>
      </w:r>
      <w:proofErr w:type="spellStart"/>
      <w:r w:rsidRPr="006E70C7">
        <w:rPr>
          <w:i/>
          <w:color w:val="000000"/>
          <w:sz w:val="24"/>
          <w:lang w:val="et-EE"/>
        </w:rPr>
        <w:t>fumigatus</w:t>
      </w:r>
      <w:proofErr w:type="spellEnd"/>
      <w:r w:rsidRPr="006E70C7">
        <w:rPr>
          <w:i/>
          <w:color w:val="000000"/>
          <w:sz w:val="24"/>
          <w:lang w:val="et-EE"/>
        </w:rPr>
        <w:t>“</w:t>
      </w:r>
      <w:r w:rsidRPr="006E70C7">
        <w:rPr>
          <w:color w:val="000000"/>
          <w:sz w:val="24"/>
          <w:lang w:val="et-EE"/>
        </w:rPr>
        <w:t xml:space="preserve"> (</w:t>
      </w:r>
      <w:proofErr w:type="spellStart"/>
      <w:r w:rsidRPr="006E70C7">
        <w:rPr>
          <w:color w:val="000000"/>
          <w:sz w:val="24"/>
          <w:lang w:val="et-EE"/>
        </w:rPr>
        <w:t>Triasool-fungitsiidid</w:t>
      </w:r>
      <w:proofErr w:type="spellEnd"/>
      <w:r w:rsidRPr="006E70C7">
        <w:rPr>
          <w:color w:val="000000"/>
          <w:sz w:val="24"/>
          <w:lang w:val="et-EE"/>
        </w:rPr>
        <w:t xml:space="preserve"> võivad põhjustada </w:t>
      </w:r>
      <w:proofErr w:type="spellStart"/>
      <w:r w:rsidRPr="006E70C7">
        <w:rPr>
          <w:i/>
          <w:color w:val="000000"/>
          <w:sz w:val="24"/>
          <w:lang w:val="et-EE"/>
        </w:rPr>
        <w:t>Aspergillus</w:t>
      </w:r>
      <w:proofErr w:type="spellEnd"/>
      <w:r w:rsidRPr="006E70C7">
        <w:rPr>
          <w:i/>
          <w:color w:val="000000"/>
          <w:sz w:val="24"/>
          <w:lang w:val="et-EE"/>
        </w:rPr>
        <w:t xml:space="preserve"> </w:t>
      </w:r>
      <w:proofErr w:type="spellStart"/>
      <w:r w:rsidRPr="006E70C7">
        <w:rPr>
          <w:i/>
          <w:color w:val="000000"/>
          <w:sz w:val="24"/>
          <w:lang w:val="et-EE"/>
        </w:rPr>
        <w:t>fumigatus’</w:t>
      </w:r>
      <w:r w:rsidRPr="006E70C7">
        <w:rPr>
          <w:color w:val="000000"/>
          <w:sz w:val="24"/>
          <w:lang w:val="et-EE"/>
        </w:rPr>
        <w:t>e</w:t>
      </w:r>
      <w:proofErr w:type="spellEnd"/>
      <w:r w:rsidRPr="006E70C7">
        <w:rPr>
          <w:color w:val="000000"/>
          <w:sz w:val="24"/>
          <w:lang w:val="et-EE"/>
        </w:rPr>
        <w:t xml:space="preserve"> ristresistentsust meditsiinis kasutatavate </w:t>
      </w:r>
      <w:proofErr w:type="spellStart"/>
      <w:r w:rsidRPr="006E70C7">
        <w:rPr>
          <w:color w:val="000000"/>
          <w:sz w:val="24"/>
          <w:lang w:val="et-EE"/>
        </w:rPr>
        <w:t>asoolide</w:t>
      </w:r>
      <w:proofErr w:type="spellEnd"/>
      <w:r w:rsidRPr="006E70C7">
        <w:rPr>
          <w:color w:val="000000"/>
          <w:sz w:val="24"/>
          <w:lang w:val="et-EE"/>
        </w:rPr>
        <w:t xml:space="preserve"> suhtes), </w:t>
      </w:r>
      <w:proofErr w:type="spellStart"/>
      <w:r w:rsidRPr="006E70C7">
        <w:rPr>
          <w:color w:val="000000"/>
          <w:sz w:val="24"/>
          <w:lang w:val="et-EE"/>
        </w:rPr>
        <w:t>PLoS</w:t>
      </w:r>
      <w:proofErr w:type="spellEnd"/>
      <w:r w:rsidRPr="006E70C7">
        <w:rPr>
          <w:color w:val="000000"/>
          <w:sz w:val="24"/>
          <w:lang w:val="et-EE"/>
        </w:rPr>
        <w:t xml:space="preserve"> ONE 2012, 7(3): e31801. </w:t>
      </w:r>
      <w:hyperlink r:id="rId3" w:history="1">
        <w:r w:rsidR="00A440EC" w:rsidRPr="009110C9">
          <w:rPr>
            <w:rStyle w:val="Hyperlink"/>
            <w:sz w:val="24"/>
            <w:lang w:val="et-EE"/>
          </w:rPr>
          <w:t>https://doi.org/10.1371/journal.pone.0031801</w:t>
        </w:r>
      </w:hyperlink>
      <w:r w:rsidRPr="006E70C7">
        <w:rPr>
          <w:color w:val="000000"/>
          <w:sz w:val="24"/>
          <w:lang w:val="et-EE"/>
        </w:rPr>
        <w:t>.</w:t>
      </w:r>
    </w:p>
  </w:footnote>
  <w:footnote w:id="14">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hyperlink r:id="rId4" w:history="1">
        <w:r w:rsidRPr="006E70C7">
          <w:rPr>
            <w:rStyle w:val="Hyperlink"/>
            <w:sz w:val="24"/>
            <w:lang w:val="et-EE"/>
          </w:rPr>
          <w:t>https://open.efsa.europa.eu/question/EFSA-Q-2022-00040</w:t>
        </w:r>
      </w:hyperlink>
      <w:r w:rsidRPr="006E70C7">
        <w:rPr>
          <w:sz w:val="24"/>
          <w:lang w:val="et-EE"/>
        </w:rPr>
        <w:t>.</w:t>
      </w:r>
    </w:p>
  </w:footnote>
  <w:footnote w:id="15">
    <w:p w:rsidR="003E6CDF" w:rsidRPr="006E70C7" w:rsidRDefault="003E6CDF" w:rsidP="006E70C7">
      <w:pPr>
        <w:pStyle w:val="FootnoteText"/>
        <w:ind w:left="567" w:hanging="567"/>
        <w:rPr>
          <w:sz w:val="24"/>
          <w:lang w:val="et-EE"/>
        </w:rPr>
      </w:pPr>
      <w:r w:rsidRPr="006E70C7">
        <w:rPr>
          <w:rStyle w:val="FootnoteReference"/>
          <w:sz w:val="24"/>
          <w:lang w:val="et-EE"/>
        </w:rPr>
        <w:footnoteRef/>
      </w:r>
      <w:r w:rsidR="006E70C7" w:rsidRPr="006E70C7">
        <w:rPr>
          <w:sz w:val="24"/>
          <w:lang w:val="et-EE"/>
        </w:rPr>
        <w:t xml:space="preserve"> </w:t>
      </w:r>
      <w:r w:rsidR="006E70C7" w:rsidRPr="006E70C7">
        <w:rPr>
          <w:sz w:val="24"/>
          <w:lang w:val="et-EE"/>
        </w:rPr>
        <w:tab/>
      </w:r>
      <w:r w:rsidR="009F5C0D">
        <w:fldChar w:fldCharType="begin"/>
      </w:r>
      <w:r w:rsidR="009F5C0D" w:rsidRPr="009F5C0D">
        <w:rPr>
          <w:lang w:val="et-EE"/>
        </w:rPr>
        <w:instrText xml:space="preserve"> HYPERLINK "https://ec</w:instrText>
      </w:r>
      <w:r w:rsidR="009F5C0D" w:rsidRPr="009F5C0D">
        <w:rPr>
          <w:lang w:val="et-EE"/>
        </w:rPr>
        <w:instrText xml:space="preserve">.europa.eu/transparency/comitology-register/screen/documents/089880/5/consult?lang=en" </w:instrText>
      </w:r>
      <w:r w:rsidR="009F5C0D">
        <w:fldChar w:fldCharType="separate"/>
      </w:r>
      <w:r w:rsidRPr="006E70C7">
        <w:rPr>
          <w:rStyle w:val="Hyperlink"/>
          <w:sz w:val="24"/>
          <w:lang w:val="et-EE"/>
        </w:rPr>
        <w:t>https://ec.europa.eu/transparency/comitology-register/screen/documents/089880/5/consult?lang=et</w:t>
      </w:r>
      <w:r w:rsidR="009F5C0D">
        <w:rPr>
          <w:rStyle w:val="Hyperlink"/>
          <w:sz w:val="24"/>
          <w:lang w:val="et-EE"/>
        </w:rPr>
        <w:fldChar w:fldCharType="end"/>
      </w:r>
      <w:r w:rsidRPr="006E70C7">
        <w:rPr>
          <w:sz w:val="24"/>
          <w:lang w:val="et-EE"/>
        </w:rPr>
        <w:t xml:space="preserve">. </w:t>
      </w:r>
    </w:p>
  </w:footnote>
  <w:footnote w:id="16">
    <w:p w:rsidR="003E6CDF" w:rsidRPr="006E70C7" w:rsidRDefault="003E6CDF" w:rsidP="006E70C7">
      <w:pPr>
        <w:pStyle w:val="FootnoteText"/>
        <w:ind w:left="567" w:hanging="567"/>
        <w:rPr>
          <w:sz w:val="24"/>
          <w:lang w:val="et-EE"/>
        </w:rPr>
      </w:pPr>
      <w:r w:rsidRPr="006E70C7">
        <w:rPr>
          <w:sz w:val="24"/>
          <w:vertAlign w:val="superscript"/>
          <w:lang w:val="et-EE"/>
        </w:rPr>
        <w:footnoteRef/>
      </w:r>
      <w:r w:rsidR="006E70C7" w:rsidRPr="006E70C7">
        <w:rPr>
          <w:sz w:val="24"/>
          <w:lang w:val="et-EE"/>
        </w:rPr>
        <w:t xml:space="preserve"> </w:t>
      </w:r>
      <w:r w:rsidR="006E70C7" w:rsidRPr="006E70C7">
        <w:rPr>
          <w:sz w:val="24"/>
          <w:lang w:val="et-EE"/>
        </w:rPr>
        <w:tab/>
      </w:r>
      <w:r w:rsidRPr="006E70C7">
        <w:rPr>
          <w:sz w:val="24"/>
          <w:lang w:val="et-EE"/>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0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0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0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ET"/>
    <w:docVar w:name="dvnumam" w:val="0"/>
    <w:docVar w:name="dvpe" w:val="763.091"/>
    <w:docVar w:name="dvtitre" w:val="Euroopa Parlamendi .... 2024. aasta resolutsioon komisjoni määruse eelnõu kohta, millega muudetakse Euroopa Parlamendi ja nõukogu määruse (EÜ) nr 396/2005 II ja III lisa seoses teatavates toodetes või nende pinnal esinevate tsüprokonasooli ja spirodiklofeeni jääkide piirnormidega(D091952/05 – 2024/2759(RPS))"/>
  </w:docVars>
  <w:rsids>
    <w:rsidRoot w:val="00EB4D7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6CDF"/>
    <w:rsid w:val="00411CCE"/>
    <w:rsid w:val="0041666E"/>
    <w:rsid w:val="00421060"/>
    <w:rsid w:val="00471C19"/>
    <w:rsid w:val="004867E3"/>
    <w:rsid w:val="00494A28"/>
    <w:rsid w:val="004C0004"/>
    <w:rsid w:val="004C5D52"/>
    <w:rsid w:val="004D4E5F"/>
    <w:rsid w:val="0050519A"/>
    <w:rsid w:val="005072A1"/>
    <w:rsid w:val="00514517"/>
    <w:rsid w:val="00545827"/>
    <w:rsid w:val="00560270"/>
    <w:rsid w:val="005C2568"/>
    <w:rsid w:val="005F1B17"/>
    <w:rsid w:val="006037C0"/>
    <w:rsid w:val="006631B6"/>
    <w:rsid w:val="00680577"/>
    <w:rsid w:val="006A0402"/>
    <w:rsid w:val="006E70C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C0D"/>
    <w:rsid w:val="00A1687D"/>
    <w:rsid w:val="00A43E52"/>
    <w:rsid w:val="00A440EC"/>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4D7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8F4B7A-55EA-417D-9FB6-E9A2C5683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6CDF"/>
    <w:pPr>
      <w:spacing w:before="480" w:after="240"/>
    </w:pPr>
  </w:style>
  <w:style w:type="paragraph" w:customStyle="1" w:styleId="NormalHanging12a">
    <w:name w:val="NormalHanging12a"/>
    <w:basedOn w:val="Normal"/>
    <w:uiPriority w:val="99"/>
    <w:rsid w:val="003E6CDF"/>
    <w:pPr>
      <w:spacing w:after="240"/>
      <w:ind w:left="567" w:hanging="567"/>
    </w:pPr>
  </w:style>
  <w:style w:type="character" w:styleId="Hyperlink">
    <w:name w:val="Hyperlink"/>
    <w:basedOn w:val="DefaultParagraphFont"/>
    <w:uiPriority w:val="99"/>
    <w:rsid w:val="003E6CDF"/>
    <w:rPr>
      <w:color w:val="0563C1" w:themeColor="hyperlink"/>
      <w:u w:val="single"/>
    </w:rPr>
  </w:style>
  <w:style w:type="paragraph" w:styleId="BalloonText">
    <w:name w:val="Balloon Text"/>
    <w:basedOn w:val="Normal"/>
    <w:link w:val="BalloonTextChar"/>
    <w:rsid w:val="00A440EC"/>
    <w:rPr>
      <w:rFonts w:ascii="Segoe UI" w:hAnsi="Segoe UI" w:cs="Segoe UI"/>
      <w:sz w:val="18"/>
      <w:szCs w:val="18"/>
    </w:rPr>
  </w:style>
  <w:style w:type="character" w:customStyle="1" w:styleId="BalloonTextChar">
    <w:name w:val="Balloon Text Char"/>
    <w:basedOn w:val="DefaultParagraphFont"/>
    <w:link w:val="BalloonText"/>
    <w:rsid w:val="00A440E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371/journal.pone.0031801" TargetMode="External"/><Relationship Id="rId2" Type="http://schemas.openxmlformats.org/officeDocument/2006/relationships/hyperlink" Target="https://www.ft.dk/samling/20181/almdel/MOF/bilag/407/2016336.pdf" TargetMode="External"/><Relationship Id="rId1" Type="http://schemas.openxmlformats.org/officeDocument/2006/relationships/hyperlink" Target="https://doi.org/10.1128/AEM.02295-20" TargetMode="External"/><Relationship Id="rId4"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40374-4864-4572-8210-E66F79AD8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1612</Words>
  <Characters>11323</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2024-09-18T12:29:00Z</dcterms:created>
  <dcterms:modified xsi:type="dcterms:W3CDTF">2024-09-18T12:29:00Z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B10-0021/2024</vt:lpwstr>
  </property>
  <property fmtid="{D5CDD505-2E9C-101B-9397-08002B2CF9AE}" pid="4" name="&lt;Type&gt;">
    <vt:lpwstr>RR</vt:lpwstr>
  </property>
</Properties>
</file>