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714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57149" w:rsidRDefault="00795B26" w:rsidP="0010095E">
            <w:pPr>
              <w:pStyle w:val="EPName"/>
            </w:pPr>
            <w:r w:rsidRPr="00B57149">
              <w:t>Europski parlament</w:t>
            </w:r>
          </w:p>
          <w:p w:rsidR="00751A4A" w:rsidRPr="00B5714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7149">
              <w:t>2024</w:t>
            </w:r>
            <w:r w:rsidR="00817416" w:rsidRPr="00B57149">
              <w:t>-202</w:t>
            </w:r>
            <w:r w:rsidRPr="00B5714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57149" w:rsidRDefault="00187494" w:rsidP="0010095E">
            <w:pPr>
              <w:pStyle w:val="EPLogo"/>
            </w:pPr>
            <w:r w:rsidRPr="00B57149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57149" w:rsidRDefault="00D058B8" w:rsidP="004C5D52">
      <w:pPr>
        <w:pStyle w:val="LineTop"/>
      </w:pPr>
    </w:p>
    <w:p w:rsidR="00680577" w:rsidRPr="00B57149" w:rsidRDefault="00795B26" w:rsidP="00680577">
      <w:pPr>
        <w:pStyle w:val="EPBodyTA1"/>
      </w:pPr>
      <w:r w:rsidRPr="00B57149">
        <w:t>USVOJENI TEKSTOVI</w:t>
      </w:r>
    </w:p>
    <w:p w:rsidR="00D058B8" w:rsidRPr="00B57149" w:rsidRDefault="00D058B8" w:rsidP="00D058B8">
      <w:pPr>
        <w:pStyle w:val="LineBottom"/>
      </w:pPr>
    </w:p>
    <w:p w:rsidR="00795B26" w:rsidRPr="00B57149" w:rsidRDefault="00795B26" w:rsidP="00795B26">
      <w:pPr>
        <w:pStyle w:val="ATHeading1"/>
      </w:pPr>
      <w:bookmarkStart w:id="0" w:name="TANumber"/>
      <w:r w:rsidRPr="00B57149">
        <w:t>P10_TA(2024)000</w:t>
      </w:r>
      <w:r w:rsidR="001D0B88">
        <w:t>7</w:t>
      </w:r>
      <w:bookmarkEnd w:id="0"/>
    </w:p>
    <w:p w:rsidR="00795B26" w:rsidRPr="00B57149" w:rsidRDefault="00795B26" w:rsidP="00795B26">
      <w:pPr>
        <w:pStyle w:val="ATHeading2"/>
      </w:pPr>
      <w:bookmarkStart w:id="1" w:name="title"/>
      <w:r w:rsidRPr="00B57149">
        <w:t xml:space="preserve">Prigovor </w:t>
      </w:r>
      <w:r w:rsidR="00B57149">
        <w:t>na provedbeni akt</w:t>
      </w:r>
      <w:r w:rsidRPr="00B57149">
        <w:t xml:space="preserve">: maksimalne razine ostataka za </w:t>
      </w:r>
      <w:proofErr w:type="spellStart"/>
      <w:r w:rsidRPr="00B57149">
        <w:t>ciprokonazol</w:t>
      </w:r>
      <w:bookmarkEnd w:id="1"/>
      <w:proofErr w:type="spellEnd"/>
    </w:p>
    <w:p w:rsidR="00795B26" w:rsidRPr="00B57149" w:rsidRDefault="00795B26" w:rsidP="00795B26">
      <w:pPr>
        <w:rPr>
          <w:i/>
          <w:vanish/>
        </w:rPr>
      </w:pPr>
      <w:r w:rsidRPr="00B57149">
        <w:rPr>
          <w:i/>
        </w:rPr>
        <w:fldChar w:fldCharType="begin"/>
      </w:r>
      <w:r w:rsidRPr="00B57149">
        <w:rPr>
          <w:i/>
        </w:rPr>
        <w:instrText xml:space="preserve"> TC"(</w:instrText>
      </w:r>
      <w:bookmarkStart w:id="2" w:name="DocNumber"/>
      <w:r w:rsidRPr="00B57149">
        <w:rPr>
          <w:i/>
        </w:rPr>
        <w:instrText>B10-0021/2024</w:instrText>
      </w:r>
      <w:bookmarkEnd w:id="2"/>
      <w:r w:rsidRPr="00B57149">
        <w:rPr>
          <w:i/>
        </w:rPr>
        <w:instrText xml:space="preserve">)"\l3 \n&gt; \* MERGEFORMAT </w:instrText>
      </w:r>
      <w:r w:rsidRPr="00B57149">
        <w:rPr>
          <w:i/>
        </w:rPr>
        <w:fldChar w:fldCharType="end"/>
      </w:r>
    </w:p>
    <w:p w:rsidR="00795B26" w:rsidRPr="00B57149" w:rsidRDefault="00795B26" w:rsidP="00795B26">
      <w:pPr>
        <w:rPr>
          <w:vanish/>
        </w:rPr>
      </w:pPr>
      <w:bookmarkStart w:id="3" w:name="PE"/>
      <w:r w:rsidRPr="00B57149">
        <w:rPr>
          <w:vanish/>
        </w:rPr>
        <w:t>PE763.091</w:t>
      </w:r>
      <w:bookmarkEnd w:id="3"/>
    </w:p>
    <w:p w:rsidR="00795B26" w:rsidRPr="00B57149" w:rsidRDefault="00795B26" w:rsidP="00795B26">
      <w:pPr>
        <w:pStyle w:val="ATHeading3"/>
      </w:pPr>
      <w:bookmarkStart w:id="4" w:name="Sujet"/>
      <w:r w:rsidRPr="00B57149">
        <w:t>Rezolu</w:t>
      </w:r>
      <w:r w:rsidR="00B57149" w:rsidRPr="00B57149">
        <w:t>cija Europskog parlamenta od 18</w:t>
      </w:r>
      <w:r w:rsidRPr="00B57149">
        <w:t xml:space="preserve">. </w:t>
      </w:r>
      <w:r w:rsidR="00B57149" w:rsidRPr="00B57149">
        <w:t xml:space="preserve">rujna </w:t>
      </w:r>
      <w:r w:rsidRPr="00B57149">
        <w:t xml:space="preserve">2024. o Nacrtu uredbe Komisije o izmjeni priloga II. i III. Uredbi (EZ) br. 396/2005 Europskog parlamenta i Vijeća u pogledu maksimalnih razina ostataka za </w:t>
      </w:r>
      <w:proofErr w:type="spellStart"/>
      <w:r w:rsidRPr="00B57149">
        <w:t>ciprokonazol</w:t>
      </w:r>
      <w:proofErr w:type="spellEnd"/>
      <w:r w:rsidRPr="00B57149">
        <w:t xml:space="preserve"> i </w:t>
      </w:r>
      <w:proofErr w:type="spellStart"/>
      <w:r w:rsidRPr="00B57149">
        <w:t>spirodiklofen</w:t>
      </w:r>
      <w:proofErr w:type="spellEnd"/>
      <w:r w:rsidRPr="00B57149">
        <w:t xml:space="preserve"> u ili na određenim proizvodima</w:t>
      </w:r>
      <w:bookmarkEnd w:id="4"/>
      <w:r w:rsidRPr="00B57149">
        <w:t xml:space="preserve"> </w:t>
      </w:r>
      <w:bookmarkStart w:id="5" w:name="References"/>
      <w:r w:rsidRPr="00B57149">
        <w:t>(D091952/05 – 2024/2759(RPS))</w:t>
      </w:r>
      <w:bookmarkEnd w:id="5"/>
    </w:p>
    <w:p w:rsidR="00D14AFD" w:rsidRPr="00B57149" w:rsidRDefault="00D14AFD" w:rsidP="00D14AFD">
      <w:pPr>
        <w:pStyle w:val="EPComma"/>
      </w:pPr>
      <w:bookmarkStart w:id="6" w:name="TextBodyBegin"/>
      <w:bookmarkEnd w:id="6"/>
      <w:r w:rsidRPr="00B57149">
        <w:rPr>
          <w:i/>
          <w:iCs/>
        </w:rPr>
        <w:t>Europski parlament,</w:t>
      </w:r>
    </w:p>
    <w:p w:rsidR="00D14AFD" w:rsidRPr="00B57149" w:rsidRDefault="00D14AFD" w:rsidP="00D14AFD">
      <w:pPr>
        <w:pStyle w:val="NormalHanging12a"/>
      </w:pPr>
      <w:r w:rsidRPr="00B57149">
        <w:t>–</w:t>
      </w:r>
      <w:r w:rsidRPr="00B57149">
        <w:tab/>
        <w:t xml:space="preserve">uzimajući u obzir Nacrt uredbe Komisije o izmjeni priloga II. i III. Uredbi (EZ) br. 396/2005 Europskog parlamenta i Vijeća u pogledu maksimalnih razina ostataka za </w:t>
      </w:r>
      <w:proofErr w:type="spellStart"/>
      <w:r w:rsidRPr="00B57149">
        <w:t>ciprokonazol</w:t>
      </w:r>
      <w:proofErr w:type="spellEnd"/>
      <w:r w:rsidRPr="00B57149">
        <w:t xml:space="preserve"> i </w:t>
      </w:r>
      <w:proofErr w:type="spellStart"/>
      <w:r w:rsidRPr="00B57149">
        <w:t>spirodiklofen</w:t>
      </w:r>
      <w:proofErr w:type="spellEnd"/>
      <w:r w:rsidRPr="00B57149">
        <w:t xml:space="preserve"> u ili na određenim proizvodima (D091952/05),</w:t>
      </w:r>
    </w:p>
    <w:p w:rsidR="00D14AFD" w:rsidRPr="00B57149" w:rsidRDefault="00D14AFD" w:rsidP="00D14AFD">
      <w:pPr>
        <w:pStyle w:val="NormalHanging12a"/>
        <w:rPr>
          <w:szCs w:val="24"/>
        </w:rPr>
      </w:pPr>
      <w:r w:rsidRPr="00B57149">
        <w:t>–</w:t>
      </w:r>
      <w:r w:rsidRPr="00B57149">
        <w:tab/>
        <w:t>uzimajući u obzir Uredbu (EZ) br. 396/2005 Europskog parlamenta i Vijeća od 23. veljače 2005. o maksimalnim razinama ostataka pesticida u ili na hrani i hrani za životinje biljnog i životinjskog podrijetla i o izmjeni Direktive Vijeća 91/414/EEZ</w:t>
      </w:r>
      <w:r w:rsidRPr="00B57149">
        <w:rPr>
          <w:rStyle w:val="FootnoteReference"/>
        </w:rPr>
        <w:footnoteReference w:id="1"/>
      </w:r>
      <w:r w:rsidRPr="00B57149">
        <w:t>, a posebno njezin članak 14. stavak 1. točku (a) i članak 49. stavak 2.,</w:t>
      </w:r>
    </w:p>
    <w:p w:rsidR="00D14AFD" w:rsidRPr="00B57149" w:rsidRDefault="00D14AFD" w:rsidP="00D14AFD">
      <w:pPr>
        <w:pStyle w:val="NormalHanging12a"/>
        <w:rPr>
          <w:szCs w:val="24"/>
        </w:rPr>
      </w:pPr>
      <w:r w:rsidRPr="00B57149">
        <w:t>–</w:t>
      </w:r>
      <w:r w:rsidRPr="00B57149">
        <w:tab/>
        <w:t>uzimajući u obzir Uredbu (EZ) br. 1107/2009 Europskog parlamenta i Vijeća od 21. listopada 2009. o stavljanju na tržište sredstava za zaštitu bilja i stavljanju izvan snage direktiva Vijeća 79/117/EEZ i 91/414/EEZ</w:t>
      </w:r>
      <w:r w:rsidRPr="00B57149">
        <w:rPr>
          <w:rStyle w:val="FootnoteReference"/>
          <w:szCs w:val="24"/>
        </w:rPr>
        <w:footnoteReference w:id="2"/>
      </w:r>
      <w:r w:rsidR="00B57149">
        <w:t xml:space="preserve">, a posebno </w:t>
      </w:r>
      <w:r w:rsidRPr="00B57149">
        <w:t>članak 4. stavak 1., članak 4. stavak 2. prvi podstavak točku (a) i točku 3.6.4. Priloga II.,</w:t>
      </w:r>
    </w:p>
    <w:p w:rsidR="00D14AFD" w:rsidRPr="00B57149" w:rsidRDefault="00D14AFD" w:rsidP="00D14AFD">
      <w:pPr>
        <w:pStyle w:val="NormalHanging12a"/>
        <w:rPr>
          <w:szCs w:val="24"/>
        </w:rPr>
      </w:pPr>
      <w:r w:rsidRPr="00B57149">
        <w:t>–</w:t>
      </w:r>
      <w:r w:rsidRPr="00B57149">
        <w:tab/>
        <w:t>uzimajući u obzir Uredbu (EZ) br. 178/2002 Europskog parlamenta i Vijeća od 28. siječnja 2002. o utvrđivanju općih načela i uvjeta zakona o hrani, osnivanju Europske agencije za sigurnost hrane te utvrđivanju postupaka u područjima sigurnosti hrane</w:t>
      </w:r>
      <w:r w:rsidRPr="00B57149">
        <w:rPr>
          <w:rStyle w:val="FootnoteReference"/>
          <w:szCs w:val="24"/>
        </w:rPr>
        <w:footnoteReference w:id="3"/>
      </w:r>
      <w:r w:rsidRPr="00B57149">
        <w:t>, a posebno njezin članak 5. stavak 1.,</w:t>
      </w:r>
    </w:p>
    <w:p w:rsidR="00D14AFD" w:rsidRPr="00B57149" w:rsidRDefault="00D14AFD" w:rsidP="00D14AFD">
      <w:pPr>
        <w:pStyle w:val="NormalHanging12a"/>
        <w:rPr>
          <w:szCs w:val="24"/>
        </w:rPr>
      </w:pPr>
      <w:r w:rsidRPr="00B57149">
        <w:t>–</w:t>
      </w:r>
      <w:r w:rsidRPr="00B57149">
        <w:tab/>
        <w:t>uzimajući u obzir članke 11., 13., 168 i 191. Ugovora o funkcioniranju Europske unije (UFEU),</w:t>
      </w:r>
    </w:p>
    <w:p w:rsidR="00D14AFD" w:rsidRPr="00B57149" w:rsidRDefault="00D14AFD" w:rsidP="00D14AFD">
      <w:pPr>
        <w:pStyle w:val="NormalHanging12a"/>
      </w:pPr>
      <w:r w:rsidRPr="00B57149">
        <w:t>–</w:t>
      </w:r>
      <w:r w:rsidRPr="00B57149">
        <w:tab/>
        <w:t xml:space="preserve">uzimajući u obzir obrazloženo mišljenje EFSA-e (Europska agencija za sigurnost hrane) </w:t>
      </w:r>
      <w:r w:rsidRPr="00B57149">
        <w:lastRenderedPageBreak/>
        <w:t>doneseno 19. veljače 2021. i objavljeno 22. ožujka 2021.</w:t>
      </w:r>
      <w:r w:rsidRPr="00B57149">
        <w:rPr>
          <w:rStyle w:val="FootnoteReference"/>
          <w:szCs w:val="24"/>
        </w:rPr>
        <w:footnoteReference w:id="4"/>
      </w:r>
      <w:r w:rsidRPr="00B57149">
        <w:t>,</w:t>
      </w:r>
    </w:p>
    <w:p w:rsidR="00D14AFD" w:rsidRPr="00B57149" w:rsidRDefault="00D14AFD" w:rsidP="00D14AFD">
      <w:pPr>
        <w:pStyle w:val="NormalHanging12a"/>
        <w:rPr>
          <w:szCs w:val="24"/>
        </w:rPr>
      </w:pPr>
      <w:r w:rsidRPr="00B57149">
        <w:t>–</w:t>
      </w:r>
      <w:r w:rsidRPr="00B57149">
        <w:tab/>
        <w:t>uzimajući u obzir zaključak stručne recenzije pesticida koju je EFSA usvojila 8. studenog 2010. i koja je objavljena 25. studenog 2010.</w:t>
      </w:r>
      <w:r w:rsidRPr="00B57149">
        <w:rPr>
          <w:rStyle w:val="FootnoteReference"/>
        </w:rPr>
        <w:footnoteReference w:id="5"/>
      </w:r>
      <w:r w:rsidRPr="00B57149">
        <w:t>,</w:t>
      </w:r>
    </w:p>
    <w:p w:rsidR="00D14AFD" w:rsidRPr="00B57149" w:rsidRDefault="00D14AFD" w:rsidP="00D14AFD">
      <w:pPr>
        <w:pStyle w:val="NormalHanging12a"/>
        <w:rPr>
          <w:szCs w:val="24"/>
        </w:rPr>
      </w:pPr>
      <w:r w:rsidRPr="00B57149">
        <w:t>–</w:t>
      </w:r>
      <w:r w:rsidRPr="00B57149">
        <w:tab/>
        <w:t>uzimajući u obzir mišljenje koje je Odbor za procjenu rizika (RAC) pri Europskoj agenciji za kemikalije donio 11. rujna 2015.</w:t>
      </w:r>
      <w:r w:rsidRPr="00B57149">
        <w:rPr>
          <w:rStyle w:val="FootnoteReference"/>
          <w:szCs w:val="24"/>
        </w:rPr>
        <w:footnoteReference w:id="6"/>
      </w:r>
      <w:r w:rsidRPr="00B57149">
        <w:t>,</w:t>
      </w:r>
    </w:p>
    <w:p w:rsidR="00D14AFD" w:rsidRPr="00B57149" w:rsidRDefault="00D14AFD" w:rsidP="00D14AFD">
      <w:pPr>
        <w:pStyle w:val="NormalHanging12a"/>
      </w:pPr>
      <w:r w:rsidRPr="00B57149">
        <w:t>–</w:t>
      </w:r>
      <w:r w:rsidRPr="00B57149">
        <w:tab/>
        <w:t>uzimajući u obzir članak 5.a stavak 3. točku (b) i članak 5.a stavak 5. Odluke Vijeća 1999/468/EZ od 28. lipnja 1999. o utvrđivanju postupaka za izvršavanje provedbenih ovlasti dodijeljenih Komisiji</w:t>
      </w:r>
      <w:r w:rsidRPr="00B57149">
        <w:rPr>
          <w:rStyle w:val="FootnoteReference"/>
        </w:rPr>
        <w:footnoteReference w:id="7"/>
      </w:r>
      <w:r w:rsidRPr="00B57149">
        <w:t>,</w:t>
      </w:r>
    </w:p>
    <w:p w:rsidR="00D14AFD" w:rsidRPr="00B57149" w:rsidRDefault="00D14AFD" w:rsidP="00D14AFD">
      <w:pPr>
        <w:pStyle w:val="NormalHanging12a"/>
      </w:pPr>
      <w:r w:rsidRPr="00B57149">
        <w:t>–</w:t>
      </w:r>
      <w:r w:rsidRPr="00B57149">
        <w:tab/>
        <w:t>uzimajući u obzir članak 115. stavke 2. i 3. te stavak 4. točku (c) Poslovnika,</w:t>
      </w:r>
    </w:p>
    <w:p w:rsidR="00D14AFD" w:rsidRPr="00B57149" w:rsidRDefault="00D14AFD" w:rsidP="00D14AFD">
      <w:pPr>
        <w:pStyle w:val="NormalHanging12a"/>
      </w:pPr>
      <w:r w:rsidRPr="00B57149">
        <w:t>–</w:t>
      </w:r>
      <w:r w:rsidRPr="00B57149">
        <w:tab/>
        <w:t>uzimajući u obzir prijedlog rezolucije Odbora za okoliš, javno zdravlje i sigurnost hrane,</w:t>
      </w:r>
    </w:p>
    <w:p w:rsidR="00D14AFD" w:rsidRPr="00B57149" w:rsidRDefault="00D14AFD" w:rsidP="00D14AFD">
      <w:pPr>
        <w:pStyle w:val="NormalHanging12a"/>
      </w:pPr>
      <w:r w:rsidRPr="00B57149">
        <w:t>A.</w:t>
      </w:r>
      <w:r w:rsidRPr="00B57149">
        <w:tab/>
        <w:t>budući da je jedan od temeljnih zahtjeva prosvjeda poljoprivrednika koji su se održali u prvoj polovici 2024. bilo .pravedno i jednako postupanje s proizvodima uvezenim iz trećih zemalja, za koje bi trebali vrijediti isti standardi kao i za proizvode proizvedene u Uniji;</w:t>
      </w:r>
    </w:p>
    <w:p w:rsidR="00D14AFD" w:rsidRPr="00B57149" w:rsidRDefault="00D14AFD" w:rsidP="00D14AFD">
      <w:pPr>
        <w:pStyle w:val="NormalHanging12a"/>
      </w:pPr>
      <w:r w:rsidRPr="00B57149">
        <w:t>B.</w:t>
      </w:r>
      <w:r w:rsidRPr="00B57149">
        <w:tab/>
        <w:t>budući da bi donošenje Nacrta uredbe Komisije omogućilo nastavak uvoza u Uniju koji nije u skladu sa standardima koje poljoprivrednici Unije poštuju;</w:t>
      </w:r>
    </w:p>
    <w:p w:rsidR="00D14AFD" w:rsidRPr="00B57149" w:rsidRDefault="00D14AFD" w:rsidP="00D14AFD">
      <w:pPr>
        <w:pStyle w:val="NormalHanging12a"/>
      </w:pPr>
      <w:r w:rsidRPr="00B57149">
        <w:t>C.</w:t>
      </w:r>
      <w:r w:rsidRPr="00B57149">
        <w:tab/>
        <w:t>budući da bi takva situacija poljoprivrednike Unije stavila u nepovoljan položaj u odnosu na konkurenciju;</w:t>
      </w:r>
    </w:p>
    <w:p w:rsidR="00D14AFD" w:rsidRPr="00B57149" w:rsidRDefault="00D14AFD" w:rsidP="00D14AFD">
      <w:pPr>
        <w:pStyle w:val="NormalHanging12a"/>
      </w:pPr>
      <w:r w:rsidRPr="00B57149">
        <w:t>D.</w:t>
      </w:r>
      <w:r w:rsidRPr="00B57149">
        <w:tab/>
        <w:t xml:space="preserve">budući da je </w:t>
      </w:r>
      <w:proofErr w:type="spellStart"/>
      <w:r w:rsidRPr="00B57149">
        <w:t>ciprokonazol</w:t>
      </w:r>
      <w:proofErr w:type="spellEnd"/>
      <w:r w:rsidRPr="00B57149">
        <w:t xml:space="preserve"> fungicid klase </w:t>
      </w:r>
      <w:proofErr w:type="spellStart"/>
      <w:r w:rsidRPr="00B57149">
        <w:t>azola</w:t>
      </w:r>
      <w:proofErr w:type="spellEnd"/>
      <w:r w:rsidRPr="00B57149">
        <w:t xml:space="preserve"> koji se uglavnom upotrebljava na usjevima žitarica, kavi, šećernoj repi, jabukama i grožđu te kikirikiju;</w:t>
      </w:r>
    </w:p>
    <w:p w:rsidR="00D14AFD" w:rsidRPr="00B57149" w:rsidRDefault="00D14AFD" w:rsidP="00D14AFD">
      <w:pPr>
        <w:pStyle w:val="NormalHanging12a"/>
      </w:pPr>
      <w:r w:rsidRPr="00B57149">
        <w:t>E.</w:t>
      </w:r>
      <w:r w:rsidRPr="00B57149">
        <w:tab/>
        <w:t xml:space="preserve">budući da je odobrenje aktivne tvari </w:t>
      </w:r>
      <w:proofErr w:type="spellStart"/>
      <w:r w:rsidRPr="00B57149">
        <w:t>ciprokonazol</w:t>
      </w:r>
      <w:proofErr w:type="spellEnd"/>
      <w:r w:rsidRPr="00B57149">
        <w:t xml:space="preserve"> isteklo 31. svibnja 2021.; budući da je zahtjev za produljenje podnesen u rujnu 2018., ali je povučen u prosincu 2018.; budući da su sva postojeća odobrenja za sredstva za zaštitu bilja koja sadržavaju </w:t>
      </w:r>
      <w:proofErr w:type="spellStart"/>
      <w:r w:rsidRPr="00B57149">
        <w:t>ciprokonazol</w:t>
      </w:r>
      <w:proofErr w:type="spellEnd"/>
      <w:r w:rsidRPr="00B57149">
        <w:t xml:space="preserve"> ukinuta;</w:t>
      </w:r>
    </w:p>
    <w:p w:rsidR="00D14AFD" w:rsidRPr="00B57149" w:rsidRDefault="00D14AFD" w:rsidP="00D14AFD">
      <w:pPr>
        <w:pStyle w:val="NormalHanging12a"/>
      </w:pPr>
      <w:r w:rsidRPr="00B57149">
        <w:t>F.</w:t>
      </w:r>
      <w:r w:rsidRPr="00B57149">
        <w:tab/>
        <w:t xml:space="preserve">budući da je </w:t>
      </w:r>
      <w:proofErr w:type="spellStart"/>
      <w:r w:rsidRPr="00B57149">
        <w:t>ciprokonazol</w:t>
      </w:r>
      <w:proofErr w:type="spellEnd"/>
      <w:r w:rsidRPr="00B57149">
        <w:t xml:space="preserve"> u skladu s Uredbom (EZ) br. 1272/2008 Europskog </w:t>
      </w:r>
      <w:r w:rsidRPr="00B57149">
        <w:lastRenderedPageBreak/>
        <w:t>parlamenta i Vijeća</w:t>
      </w:r>
      <w:r w:rsidRPr="00B57149">
        <w:rPr>
          <w:rStyle w:val="FootnoteReference"/>
        </w:rPr>
        <w:footnoteReference w:id="8"/>
      </w:r>
      <w:r w:rsidRPr="00B57149">
        <w:t xml:space="preserve"> razvrstan kao reproduktivno toksična tvar 1.B kategorije, toksičan ako se proguta (akutna toksičnost 3), ), toksičan za jetru (STOT RE 2), kao i vrlo toksičan za vodeni okoliš (1. kategorija akutne toksičnosti) i vrlo toksičan za vodeni okoliš s dugotrajnim učinkom (1. kategorija kronične toksičnosti)</w:t>
      </w:r>
      <w:r w:rsidRPr="00B57149">
        <w:rPr>
          <w:rStyle w:val="FootnoteReference"/>
        </w:rPr>
        <w:footnoteReference w:id="9"/>
      </w:r>
      <w:r w:rsidRPr="00B57149">
        <w:t>;</w:t>
      </w:r>
    </w:p>
    <w:p w:rsidR="00D14AFD" w:rsidRPr="00B57149" w:rsidRDefault="00D14AFD" w:rsidP="00D14AFD">
      <w:pPr>
        <w:pStyle w:val="NormalHanging12a"/>
      </w:pPr>
      <w:r w:rsidRPr="00B57149">
        <w:t>G.</w:t>
      </w:r>
      <w:r w:rsidRPr="00B57149">
        <w:tab/>
        <w:t xml:space="preserve">budući da </w:t>
      </w:r>
      <w:proofErr w:type="spellStart"/>
      <w:r w:rsidRPr="00B57149">
        <w:t>ciprokonazol</w:t>
      </w:r>
      <w:proofErr w:type="spellEnd"/>
      <w:r w:rsidRPr="00B57149">
        <w:t xml:space="preserve"> pripada skupini </w:t>
      </w:r>
      <w:proofErr w:type="spellStart"/>
      <w:r w:rsidRPr="00B57149">
        <w:t>triazola</w:t>
      </w:r>
      <w:proofErr w:type="spellEnd"/>
      <w:r w:rsidRPr="00B57149">
        <w:t xml:space="preserve"> </w:t>
      </w:r>
      <w:proofErr w:type="spellStart"/>
      <w:r w:rsidRPr="00B57149">
        <w:t>inhibitora</w:t>
      </w:r>
      <w:proofErr w:type="spellEnd"/>
      <w:r w:rsidRPr="00B57149">
        <w:t xml:space="preserve"> </w:t>
      </w:r>
      <w:proofErr w:type="spellStart"/>
      <w:r w:rsidRPr="00B57149">
        <w:t>ergosterol-biosinteze</w:t>
      </w:r>
      <w:proofErr w:type="spellEnd"/>
      <w:r w:rsidRPr="00B57149">
        <w:t xml:space="preserve"> te bi stoga mogao uzrokovati poremećaje endokrinog sustava</w:t>
      </w:r>
      <w:r w:rsidRPr="00B57149">
        <w:rPr>
          <w:rStyle w:val="FootnoteReference"/>
        </w:rPr>
        <w:footnoteReference w:id="10"/>
      </w:r>
      <w:r w:rsidRPr="00B57149">
        <w:t>; budući da EFSA nije procijenila njegov štetni učinak na endokrinu žlijezdu u skladu sa znanstvenim kriterijima za određivanje svojstava tvari koje štetno djeluju na endokrinu žlijezdu utvrđenima u Uredbi Komisije (EU) 2018/605</w:t>
      </w:r>
      <w:r w:rsidRPr="00B57149">
        <w:rPr>
          <w:rStyle w:val="FootnoteReference"/>
        </w:rPr>
        <w:footnoteReference w:id="11"/>
      </w:r>
      <w:r w:rsidRPr="00B57149">
        <w:t xml:space="preserve"> koja je na snazi od 10. studenoga 2018.; budući da se endokrini učinci često javljaju već kod niskih doza, a tvari koje štetno djeluju na endokrinu žlijezdu često nemaju siguran prag</w:t>
      </w:r>
      <w:r w:rsidRPr="00B57149">
        <w:rPr>
          <w:rStyle w:val="FootnoteReference"/>
        </w:rPr>
        <w:footnoteReference w:id="12"/>
      </w:r>
      <w:r w:rsidRPr="00B57149">
        <w:t>;</w:t>
      </w:r>
    </w:p>
    <w:p w:rsidR="00D14AFD" w:rsidRPr="00B57149" w:rsidRDefault="00D14AFD" w:rsidP="00D14AFD">
      <w:pPr>
        <w:pStyle w:val="NormalHanging12a"/>
      </w:pPr>
      <w:r w:rsidRPr="00B57149">
        <w:t>H.</w:t>
      </w:r>
      <w:r w:rsidRPr="00B57149">
        <w:tab/>
        <w:t xml:space="preserve">budući da se u sve većem broju publikacija ističe da su </w:t>
      </w:r>
      <w:proofErr w:type="spellStart"/>
      <w:r w:rsidRPr="00B57149">
        <w:t>azolni</w:t>
      </w:r>
      <w:proofErr w:type="spellEnd"/>
      <w:r w:rsidRPr="00B57149">
        <w:t xml:space="preserve"> fungicidi značajan izvor sve veće otpornosti okoliša na </w:t>
      </w:r>
      <w:proofErr w:type="spellStart"/>
      <w:r w:rsidRPr="00B57149">
        <w:t>Aspergillus</w:t>
      </w:r>
      <w:proofErr w:type="spellEnd"/>
      <w:r w:rsidRPr="00B57149">
        <w:t xml:space="preserve"> </w:t>
      </w:r>
      <w:proofErr w:type="spellStart"/>
      <w:r w:rsidRPr="00B57149">
        <w:t>spp</w:t>
      </w:r>
      <w:proofErr w:type="spellEnd"/>
      <w:r w:rsidRPr="00B57149">
        <w:rPr>
          <w:rStyle w:val="FootnoteReference"/>
        </w:rPr>
        <w:footnoteReference w:id="13"/>
      </w:r>
      <w:r w:rsidRPr="00B57149">
        <w:t xml:space="preserve">; budući da je Komisija zatražila od EFSA-e da procijeni učinak uporabe </w:t>
      </w:r>
      <w:proofErr w:type="spellStart"/>
      <w:r w:rsidRPr="00B57149">
        <w:t>azolnih</w:t>
      </w:r>
      <w:proofErr w:type="spellEnd"/>
      <w:r w:rsidRPr="00B57149">
        <w:t xml:space="preserve"> </w:t>
      </w:r>
      <w:proofErr w:type="spellStart"/>
      <w:r w:rsidRPr="00B57149">
        <w:t>fugicida</w:t>
      </w:r>
      <w:proofErr w:type="spellEnd"/>
      <w:r w:rsidRPr="00B57149">
        <w:t xml:space="preserve">, osim kao lijekova za humanu primjenu, na razvoj </w:t>
      </w:r>
      <w:proofErr w:type="spellStart"/>
      <w:r w:rsidRPr="00B57149">
        <w:t>Aspergillus</w:t>
      </w:r>
      <w:proofErr w:type="spellEnd"/>
      <w:r w:rsidRPr="00B57149">
        <w:t xml:space="preserve"> </w:t>
      </w:r>
      <w:proofErr w:type="spellStart"/>
      <w:r w:rsidRPr="00B57149">
        <w:t>spp</w:t>
      </w:r>
      <w:proofErr w:type="spellEnd"/>
      <w:r w:rsidRPr="00B57149">
        <w:t xml:space="preserve">. otpornih na </w:t>
      </w:r>
      <w:proofErr w:type="spellStart"/>
      <w:r w:rsidRPr="00B57149">
        <w:t>azol</w:t>
      </w:r>
      <w:proofErr w:type="spellEnd"/>
      <w:r w:rsidRPr="00B57149">
        <w:t>; budući da zatraženo znanstveno izvješće još nije objavljeno i očekuje se da će biti dovršeno tek u prosincu 2024.</w:t>
      </w:r>
      <w:r w:rsidRPr="00B57149">
        <w:rPr>
          <w:rStyle w:val="FootnoteReference"/>
        </w:rPr>
        <w:footnoteReference w:id="14"/>
      </w:r>
      <w:r w:rsidRPr="00B57149">
        <w:t>;</w:t>
      </w:r>
    </w:p>
    <w:p w:rsidR="00D14AFD" w:rsidRPr="00B57149" w:rsidRDefault="00D14AFD" w:rsidP="00D14AFD">
      <w:pPr>
        <w:pStyle w:val="NormalHanging12a"/>
      </w:pPr>
      <w:r w:rsidRPr="00B57149">
        <w:rPr>
          <w:color w:val="000000" w:themeColor="text1"/>
        </w:rPr>
        <w:t>I.</w:t>
      </w:r>
      <w:r w:rsidRPr="00B57149">
        <w:rPr>
          <w:color w:val="000000" w:themeColor="text1"/>
        </w:rPr>
        <w:tab/>
      </w:r>
      <w:r w:rsidRPr="00B57149">
        <w:t>budući da je stoga primjereno izbrisati postojeće mak</w:t>
      </w:r>
      <w:bookmarkStart w:id="7" w:name="_GoBack"/>
      <w:bookmarkEnd w:id="7"/>
      <w:r w:rsidRPr="00B57149">
        <w:t xml:space="preserve">simalne razine ostataka utvrđene za </w:t>
      </w:r>
      <w:proofErr w:type="spellStart"/>
      <w:r w:rsidRPr="00B57149">
        <w:t>ciprokonazol</w:t>
      </w:r>
      <w:proofErr w:type="spellEnd"/>
      <w:r w:rsidRPr="00B57149">
        <w:t xml:space="preserve"> u Prilogu II. Uredbi (EZ) br. 396/2005 u skladu s člankom 17. te Uredbe prema kojem Komisija briše maksimalne razine ostataka utvrđene u prilozima II. i III. toj Uredbi do zadane vrijednosti od 0,01 mg/kg ili relevantne granice određivanja bez traženja mišljenja EFSA-e za aktivnu tvar ako je njezino odobrenje opozvano;</w:t>
      </w:r>
    </w:p>
    <w:p w:rsidR="00D14AFD" w:rsidRPr="00B57149" w:rsidRDefault="00D14AFD" w:rsidP="00D14AFD">
      <w:pPr>
        <w:pStyle w:val="NormalHanging12a"/>
      </w:pPr>
      <w:r w:rsidRPr="00B57149">
        <w:lastRenderedPageBreak/>
        <w:t>J.</w:t>
      </w:r>
      <w:r w:rsidRPr="00B57149">
        <w:tab/>
        <w:t xml:space="preserve">budući da, međutim, Komisija u Nacrtu uredbe Komisije predlaže zadržavanje maksimalnih razina ostataka za veliku količinu proizvoda (žitarice, sjemenke, meso, jetra i bubrezi) iznad relevantne granice određivanja ili zadane vrijednosti maksimalne razine ostataka od 0,01 mg/kg na temelju maksimalnih razina ostataka koje je utvrdila Komisija za </w:t>
      </w:r>
      <w:proofErr w:type="spellStart"/>
      <w:r w:rsidRPr="00B57149">
        <w:t>Codex</w:t>
      </w:r>
      <w:proofErr w:type="spellEnd"/>
      <w:r w:rsidRPr="00B57149">
        <w:t xml:space="preserve"> </w:t>
      </w:r>
      <w:proofErr w:type="spellStart"/>
      <w:r w:rsidRPr="00B57149">
        <w:t>Alimentarius</w:t>
      </w:r>
      <w:proofErr w:type="spellEnd"/>
      <w:r w:rsidRPr="00B57149">
        <w:t xml:space="preserve"> (CXL);</w:t>
      </w:r>
    </w:p>
    <w:p w:rsidR="00D14AFD" w:rsidRPr="00B57149" w:rsidRDefault="00D14AFD" w:rsidP="00D14AFD">
      <w:pPr>
        <w:pStyle w:val="NormalHanging12a"/>
      </w:pPr>
      <w:r w:rsidRPr="00B57149">
        <w:t>K.</w:t>
      </w:r>
      <w:r w:rsidRPr="00B57149">
        <w:tab/>
      </w:r>
      <w:r w:rsidRPr="00B57149">
        <w:rPr>
          <w:color w:val="000000" w:themeColor="text1"/>
        </w:rPr>
        <w:t xml:space="preserve">budući da Komisija predlaže da se maksimalne razine ostataka utvrde na razinama CXL-a za grašak (bez mahuna), grah, grašak, ječam, heljdu i druge </w:t>
      </w:r>
      <w:proofErr w:type="spellStart"/>
      <w:r w:rsidRPr="00B57149">
        <w:rPr>
          <w:color w:val="000000" w:themeColor="text1"/>
        </w:rPr>
        <w:t>pseudožitarice</w:t>
      </w:r>
      <w:proofErr w:type="spellEnd"/>
      <w:r w:rsidRPr="00B57149">
        <w:rPr>
          <w:color w:val="000000" w:themeColor="text1"/>
        </w:rPr>
        <w:t xml:space="preserve">, kukuruz, obično proso, zob, raž, pšenicu, zrna kave i korijen šećerne repe, mišiće i masno tkivo svinja, goveda, ovaca, koza i konja te mišiće, masno tkivo i jetra peradi, kravlje, ovčje, kozje i konjsko mlijeko te ptičja jaja; budući da to znači da bi se maksimalne razine ostataka za jetru i bubrege svinja, goveda, ovaca, koza i konja zadržale na postojećim razinama od 0,5 mg/kg, za sjemenke uljane repice od 0,4 mg/kg i na soju 0,07 mg/kg; budući da se za sve ostale proizvode za koje ne postoje CXL-i ili uvozne </w:t>
      </w:r>
      <w:proofErr w:type="spellStart"/>
      <w:r w:rsidRPr="00B57149">
        <w:rPr>
          <w:color w:val="000000" w:themeColor="text1"/>
        </w:rPr>
        <w:t>tolerance</w:t>
      </w:r>
      <w:proofErr w:type="spellEnd"/>
      <w:r w:rsidRPr="00B57149">
        <w:rPr>
          <w:color w:val="000000" w:themeColor="text1"/>
        </w:rPr>
        <w:t xml:space="preserve"> maksimalne razine ostataka snižavaju na granice određivanja specifične za proizvod u rasponu od 0,01 do 0,05 mg/kg;</w:t>
      </w:r>
    </w:p>
    <w:p w:rsidR="00D14AFD" w:rsidRPr="00B57149" w:rsidRDefault="00D14AFD" w:rsidP="00D14AFD">
      <w:pPr>
        <w:pStyle w:val="NormalHanging12a"/>
      </w:pPr>
      <w:r w:rsidRPr="00B57149">
        <w:t>L.</w:t>
      </w:r>
      <w:r w:rsidRPr="00B57149">
        <w:tab/>
        <w:t xml:space="preserve">budući da je Komisija 2024. snizila maksimalnu razinu ostataka za </w:t>
      </w:r>
      <w:proofErr w:type="spellStart"/>
      <w:r w:rsidRPr="00B57149">
        <w:t>tiakloprid</w:t>
      </w:r>
      <w:proofErr w:type="spellEnd"/>
      <w:r w:rsidRPr="00B57149">
        <w:t xml:space="preserve">, aktivnu tvar razvrstanu kao reproduktivno toksična tvar 1.B kategorije, na relevantnu </w:t>
      </w:r>
      <w:r w:rsidR="00B57149">
        <w:t xml:space="preserve">granicu određivanja tvrdeći da „dok Agencija </w:t>
      </w:r>
      <w:r w:rsidRPr="00B57149">
        <w:t>ne završi tu dodatnu procjenu rizika [o učincima povezanima s endokrinim sustavom] i s obzirom na dostupne relevantne informacije o potencijalno štetnim učincima na zdravlje ljudi, primjereno je privremeno smanjiti maksimalnu razinu ostataka...[za te proizvode]”</w:t>
      </w:r>
      <w:r w:rsidRPr="00B57149">
        <w:rPr>
          <w:rStyle w:val="FootnoteReference"/>
        </w:rPr>
        <w:footnoteReference w:id="15"/>
      </w:r>
      <w:r w:rsidRPr="00B57149">
        <w:t>;</w:t>
      </w:r>
    </w:p>
    <w:p w:rsidR="00D14AFD" w:rsidRPr="00B57149" w:rsidRDefault="00D14AFD" w:rsidP="00D14AFD">
      <w:pPr>
        <w:pStyle w:val="NormalHanging12a"/>
      </w:pPr>
      <w:r w:rsidRPr="00B57149">
        <w:t>M.</w:t>
      </w:r>
      <w:r w:rsidRPr="00B57149">
        <w:tab/>
        <w:t xml:space="preserve">budući da se u uvodnoj izjavi 5. Uredbe (EZ) br. 396/2005 predviđa da ostaci ne bi trebali biti prisutni na razinama koje predstavljaju neprihvatljiv rizik za ljude i, prema potrebi, životinje; </w:t>
      </w:r>
    </w:p>
    <w:p w:rsidR="00D14AFD" w:rsidRPr="00B57149" w:rsidRDefault="00D14AFD" w:rsidP="00D14AFD">
      <w:pPr>
        <w:pStyle w:val="NormalHanging12a"/>
      </w:pPr>
      <w:r w:rsidRPr="00B57149">
        <w:t>N.</w:t>
      </w:r>
      <w:r w:rsidRPr="00B57149">
        <w:tab/>
        <w:t xml:space="preserve">budući da </w:t>
      </w:r>
      <w:r w:rsidR="00B57149">
        <w:t xml:space="preserve">se člankom 4. stavkom 2. prvim </w:t>
      </w:r>
      <w:r w:rsidRPr="00B57149">
        <w:t>podstavkom točkom (a) Uredbe (EZ) br. 1107/2009 predviđa da ostaci sredstava za zaštitu bilja ne smiju imati štetne učinke na zdravlje ljudi, uključujući ranjive skupine, ili zdravlje životinja, uzimajući u obzir poznate kumulativne i sinergijske učinke; budući da je točkom 3.6.4. Priloga II. toj uredbi predviđeno da se aktivna tvar razvrstana u skladu s Uredbom (EZ) br. 1272/2008 kao reproduktivno toksična tvar kategorije 1.A ili 1.B odobrava samo ako „ostaci dotične aktivne tvari [...] u hrani i hrani za životinje ne prelaze standardne vrijednosti utvrđene prema točki (b) članka 18. stavka 1. Uredbe (EZ) br. 396/2005”; budući da je člankom 18. stavkom 1. točkom (b) Uredbe (EZ) br. 396/2005 utvrđena standardna vrijednost od 0,01 mg/kg;</w:t>
      </w:r>
    </w:p>
    <w:p w:rsidR="00D14AFD" w:rsidRPr="00B57149" w:rsidRDefault="00D14AFD" w:rsidP="00D14AFD">
      <w:pPr>
        <w:pStyle w:val="NormalHanging12a"/>
      </w:pPr>
      <w:r w:rsidRPr="00B57149">
        <w:t>O.</w:t>
      </w:r>
      <w:r w:rsidRPr="00B57149">
        <w:tab/>
        <w:t xml:space="preserve">budući da se člankom 3. stavkom 2. točkom (g) Uredbe (EZ) br. 396/2005 predviđa da je uvozna </w:t>
      </w:r>
      <w:proofErr w:type="spellStart"/>
      <w:r w:rsidRPr="00B57149">
        <w:t>toleranca</w:t>
      </w:r>
      <w:proofErr w:type="spellEnd"/>
      <w:r w:rsidRPr="00B57149">
        <w:t xml:space="preserve"> maksimalna razina ostataka utvrđena za uvezene proizvode ako „uporaba aktivnih tvari u sredstvu za zaštitu bilja na određenom proizvodu nije odobrena u Zajednici iz razloga koji su drugačiji od razloga javnog zdravlja za određeni proizvod i određenu uporabu”; budući da </w:t>
      </w:r>
      <w:proofErr w:type="spellStart"/>
      <w:r w:rsidRPr="00B57149">
        <w:t>ciprokonazol</w:t>
      </w:r>
      <w:proofErr w:type="spellEnd"/>
      <w:r w:rsidRPr="00B57149">
        <w:t xml:space="preserve"> ne ispunjava te kriterije jer je zabranjen zbog zdravstvenih razloga s obzirom na to da je razvrstan kao reproduktivno toksična tvar kategorije 1.B;</w:t>
      </w:r>
    </w:p>
    <w:p w:rsidR="00D14AFD" w:rsidRPr="00B57149" w:rsidRDefault="00D14AFD" w:rsidP="00D14AFD">
      <w:pPr>
        <w:pStyle w:val="NormalHanging12a"/>
      </w:pPr>
      <w:r w:rsidRPr="00B57149">
        <w:t>P.</w:t>
      </w:r>
      <w:r w:rsidRPr="00B57149">
        <w:tab/>
        <w:t xml:space="preserve">budući da se člankom 5. stavkom 1. Uredbe (EZ) br. 178/2002 određuje da se propisima </w:t>
      </w:r>
      <w:r w:rsidRPr="00B57149">
        <w:lastRenderedPageBreak/>
        <w:t>o hrani ostvaruju jedan ili više općih ciljeva visoke razine zaštite života i zdravlja ljudi te zaštite interesa potrošača, uključujući pravednu praksu u trgovini hranom, uzimajući u obzir, tamo gdje je to moguće, zaštitu zdravlja i dobrobit životinja, zdravlje biljaka i okoliš;</w:t>
      </w:r>
    </w:p>
    <w:p w:rsidR="00D14AFD" w:rsidRPr="00B57149" w:rsidRDefault="00D14AFD" w:rsidP="00D14AFD">
      <w:pPr>
        <w:pStyle w:val="NormalHanging12a"/>
      </w:pPr>
      <w:r w:rsidRPr="00B57149">
        <w:t>Q.</w:t>
      </w:r>
      <w:r w:rsidRPr="00B57149">
        <w:tab/>
        <w:t>budući da je Komisija u svojoj komunikaciji od 20. svibnja 2020. naslovljenoj „Strategija ‚od polja do stola’ za pravedan, zdrav i ekološki prihvatljiv prehrambeni sustav”</w:t>
      </w:r>
      <w:r w:rsidRPr="00B57149">
        <w:rPr>
          <w:rStyle w:val="FootnoteReference"/>
        </w:rPr>
        <w:footnoteReference w:id="16"/>
      </w:r>
      <w:r w:rsidRPr="00B57149">
        <w:t xml:space="preserve"> objavila da će „EU u skladu s ciljevima ove strategije i ciljevima održivog razvoja podupirati globalni prelazak na održive poljoprivredno-prehrambene sustave” i da „EU može imati ključnu ulogu u utvrđivanju globalnih standarda”; budući da je Komisija u strategiji izričito navela kako „[da] bi se povećala održivost </w:t>
      </w:r>
      <w:proofErr w:type="spellStart"/>
      <w:r w:rsidRPr="00B57149">
        <w:t>Unijina</w:t>
      </w:r>
      <w:proofErr w:type="spellEnd"/>
      <w:r w:rsidRPr="00B57149">
        <w:t xml:space="preserve"> prehrambenog sustava, i prakse naših trgovinskih partnera moraju postajati sve održivije. U cilju promicanja postupnog prelaska na upotrebu sigurnijih sredstava za zaštitu bilja, EU će razmotriti, u skladu s pravilima WTO-a i nakon procjene rizika, preispitivanje uvoznih </w:t>
      </w:r>
      <w:proofErr w:type="spellStart"/>
      <w:r w:rsidRPr="00B57149">
        <w:t>toleranci</w:t>
      </w:r>
      <w:proofErr w:type="spellEnd"/>
      <w:r w:rsidRPr="00B57149">
        <w:t xml:space="preserve"> za tvari koje ispunjavaju ‚granične kriterije’ i predstavljaju visok stupanj rizika za ljudsko zdravlje”;</w:t>
      </w:r>
    </w:p>
    <w:p w:rsidR="00D14AFD" w:rsidRPr="00B57149" w:rsidRDefault="00D14AFD" w:rsidP="00D14AFD">
      <w:pPr>
        <w:pStyle w:val="NormalHanging12a"/>
      </w:pPr>
      <w:r w:rsidRPr="00B57149">
        <w:t>R.</w:t>
      </w:r>
      <w:r w:rsidRPr="00B57149">
        <w:tab/>
        <w:t xml:space="preserve">budući da se praksom utvrđivanja visokih maksimalnih razina ostataka promiče dvostruki standard koji se primjenjuje na poljoprivrednike iz Unije i poljoprivrednike iz trećih zemlja jer poljoprivrednici izvan Unije mogu nastaviti proizvoditi predmetnu hranu upotrebom </w:t>
      </w:r>
      <w:proofErr w:type="spellStart"/>
      <w:r w:rsidRPr="00B57149">
        <w:t>ciprokonazola</w:t>
      </w:r>
      <w:proofErr w:type="spellEnd"/>
      <w:r w:rsidRPr="00B57149">
        <w:t xml:space="preserve"> te ih izvoziti u Uniju, što poljoprivrednike iz Unije stavlja u nepovoljan položaj u odnosu na konkurenciju; budući da, s druge strane, upotreba tog pesticida ugrožava zdravlje poljoprivrednih radnika, zdravlje opće populacije i okoliš u zemljama proizvođačima;</w:t>
      </w:r>
    </w:p>
    <w:p w:rsidR="00D14AFD" w:rsidRPr="00B57149" w:rsidRDefault="00D14AFD" w:rsidP="00D14AFD">
      <w:pPr>
        <w:pStyle w:val="NormalHanging12a"/>
      </w:pPr>
      <w:r w:rsidRPr="00B57149">
        <w:t>S.</w:t>
      </w:r>
      <w:r w:rsidRPr="00B57149">
        <w:tab/>
        <w:t>budući da je u članku 191. stavku 2. Ugovora o funkcioniranju Europske unije (UFEU) kao jedno od temeljnih načela Unije navedeno načelo predostrožnosti;</w:t>
      </w:r>
    </w:p>
    <w:p w:rsidR="00D14AFD" w:rsidRPr="00B57149" w:rsidRDefault="00D14AFD" w:rsidP="00D14AFD">
      <w:pPr>
        <w:pStyle w:val="NormalHanging12a"/>
      </w:pPr>
      <w:r w:rsidRPr="00B57149">
        <w:t>T.</w:t>
      </w:r>
      <w:r w:rsidRPr="00B57149">
        <w:tab/>
        <w:t>budući da Komisija mora zaštititi okoliš i europske građane na temelju dostupnih znanstvenih informacija, koristeći se obvezama i pravnim mogućnostima koje su predviđene Uredbom (EZ) br. 396/2005 i Uredbom (EZ) br. 178/2002 kako bi se osigurala visoka razina zaštite zdravlja ljudi i životinja te okoliša;</w:t>
      </w:r>
    </w:p>
    <w:p w:rsidR="00D14AFD" w:rsidRPr="00B57149" w:rsidRDefault="00D14AFD" w:rsidP="00D14AFD">
      <w:pPr>
        <w:pStyle w:val="NormalHanging12a"/>
      </w:pPr>
      <w:r w:rsidRPr="00B57149">
        <w:t>U.</w:t>
      </w:r>
      <w:r w:rsidRPr="00B57149">
        <w:tab/>
        <w:t>budući da predložene maksimalne razine ostataka ne štite zdravlje europskih građana te su stoga u suprotnosti s Uredbom (EZ) br. 396/2005 i Uredbom (EZ) br. 178/2002;</w:t>
      </w:r>
    </w:p>
    <w:p w:rsidR="00D14AFD" w:rsidRPr="00B57149" w:rsidRDefault="00D14AFD" w:rsidP="00D14AFD">
      <w:pPr>
        <w:pStyle w:val="NormalHanging12a"/>
      </w:pPr>
      <w:r w:rsidRPr="00B57149">
        <w:t>V.</w:t>
      </w:r>
      <w:r w:rsidRPr="00B57149">
        <w:tab/>
        <w:t xml:space="preserve">budući da ne bi trebalo određivati maksimalne razine ostataka za aktivne tvari koje nisu odobrene u Uniji zbog zdravstvenih pitanja; budući da se stoga ni jedan CXL koji premašuje relevantnu granicu određivanja ili zadanu vrijednost od 0,01 mg/kg ne bi trebao smatrati sigurnim za potrošače jer je </w:t>
      </w:r>
      <w:proofErr w:type="spellStart"/>
      <w:r w:rsidRPr="00B57149">
        <w:t>ciprokonazol</w:t>
      </w:r>
      <w:proofErr w:type="spellEnd"/>
      <w:r w:rsidRPr="00B57149">
        <w:t xml:space="preserve"> svrstan kao reproduktivno toksična tvar kategorije 1.B;</w:t>
      </w:r>
    </w:p>
    <w:p w:rsidR="00D14AFD" w:rsidRPr="00B57149" w:rsidRDefault="00D14AFD" w:rsidP="00D14AFD">
      <w:pPr>
        <w:pStyle w:val="NormalHanging12a"/>
      </w:pPr>
      <w:r w:rsidRPr="00B57149">
        <w:t>W.</w:t>
      </w:r>
      <w:r w:rsidRPr="00B57149">
        <w:tab/>
        <w:t xml:space="preserve"> budući da je pri određivanju maksimalnih razina ostataka potrebno uzeti u obzir kumulativne i sinergijske učinke te da je iznimno važno hitno izraditi odgovarajuće metode za tu procjenu;</w:t>
      </w:r>
    </w:p>
    <w:p w:rsidR="00D14AFD" w:rsidRPr="00B57149" w:rsidRDefault="00D14AFD" w:rsidP="00D14AFD">
      <w:pPr>
        <w:pStyle w:val="NormalHanging12a"/>
      </w:pPr>
      <w:r w:rsidRPr="00B57149">
        <w:t>1.</w:t>
      </w:r>
      <w:r w:rsidRPr="00B57149">
        <w:tab/>
        <w:t>protivi se prihvaćanju Nacrta uredbe Komisije;</w:t>
      </w:r>
    </w:p>
    <w:p w:rsidR="00D14AFD" w:rsidRPr="00B57149" w:rsidRDefault="00D14AFD" w:rsidP="00D14AFD">
      <w:pPr>
        <w:pStyle w:val="NormalHanging12a"/>
        <w:rPr>
          <w:szCs w:val="24"/>
        </w:rPr>
      </w:pPr>
      <w:r w:rsidRPr="00B57149">
        <w:t>2.</w:t>
      </w:r>
      <w:r w:rsidRPr="00B57149">
        <w:tab/>
        <w:t xml:space="preserve">smatra da Komisijin Nacrt uredbe nije u skladu s ciljem i sadržajem </w:t>
      </w:r>
      <w:r w:rsidRPr="00B57149">
        <w:lastRenderedPageBreak/>
        <w:t>Uredbe (EZ) br. 396/2005 i Uredbe (EZ) br. 178/2002, kao i s Uredbom (EZ) br. 1107/2009, uključujući točku 3.6.4. njezina Priloga II.;</w:t>
      </w:r>
    </w:p>
    <w:p w:rsidR="00D14AFD" w:rsidRPr="00B57149" w:rsidRDefault="00D14AFD" w:rsidP="00D14AFD">
      <w:pPr>
        <w:pStyle w:val="NormalHanging12a"/>
      </w:pPr>
      <w:r w:rsidRPr="00B57149">
        <w:t>3.</w:t>
      </w:r>
      <w:r w:rsidRPr="00B57149">
        <w:tab/>
        <w:t>traži od Komisije da primijeni načelo predostrožnosti i da povuče svoj Nacrt uredbe i odboru podnese novi:</w:t>
      </w:r>
    </w:p>
    <w:p w:rsidR="00D14AFD" w:rsidRPr="00B57149" w:rsidRDefault="00D14AFD" w:rsidP="00D14AFD">
      <w:pPr>
        <w:pStyle w:val="NormalHanging12a"/>
      </w:pPr>
      <w:r w:rsidRPr="00B57149">
        <w:t>4.</w:t>
      </w:r>
      <w:r w:rsidRPr="00B57149">
        <w:tab/>
        <w:t xml:space="preserve">poziva Komisiju da odboru podnese novi Nacrt uredbe u kojem se sve maksimalne razine ostataka za </w:t>
      </w:r>
      <w:proofErr w:type="spellStart"/>
      <w:r w:rsidRPr="00B57149">
        <w:t>ciprokonazol</w:t>
      </w:r>
      <w:proofErr w:type="spellEnd"/>
      <w:r w:rsidRPr="00B57149">
        <w:t xml:space="preserve"> snižavaju do granice određivanja ili do zadane vrijednosti od 0,01 mg/kg za sve uporabe te da odbije sve zahtjeve za uvozne </w:t>
      </w:r>
      <w:proofErr w:type="spellStart"/>
      <w:r w:rsidRPr="00B57149">
        <w:t>tolerance</w:t>
      </w:r>
      <w:proofErr w:type="spellEnd"/>
      <w:r w:rsidRPr="00B57149">
        <w:t>;</w:t>
      </w:r>
    </w:p>
    <w:p w:rsidR="00D14AFD" w:rsidRPr="00B57149" w:rsidRDefault="00D14AFD" w:rsidP="00D14AFD">
      <w:pPr>
        <w:pStyle w:val="NormalHanging12a"/>
      </w:pPr>
      <w:r w:rsidRPr="00B57149">
        <w:t>5.</w:t>
      </w:r>
      <w:r w:rsidRPr="00B57149">
        <w:tab/>
        <w:t>svjestan je da EFSA radi na metodama procjene kumulativnih rizika, ali napominje i da je problem procjene kumulativnih rizika pesticida i ostataka poznat već desetljećima; stoga traži od EFSA-e i Komisije da hitno riješe taj problem;</w:t>
      </w:r>
    </w:p>
    <w:p w:rsidR="00D14AFD" w:rsidRPr="00B57149" w:rsidRDefault="00D14AFD" w:rsidP="00B57149">
      <w:pPr>
        <w:ind w:left="567" w:hanging="567"/>
      </w:pPr>
      <w:r w:rsidRPr="00B57149">
        <w:t>6.</w:t>
      </w:r>
      <w:r w:rsidRPr="00B57149">
        <w:tab/>
        <w:t>nalaže svojoj predsjednici da ovu Rezoluciju proslijedi Vijeću i Komisiji te vladama i parlamentima država članica.</w:t>
      </w:r>
    </w:p>
    <w:sectPr w:rsidR="00D14AFD" w:rsidRPr="00B57149" w:rsidSect="00E851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B26" w:rsidRPr="00E851AE" w:rsidRDefault="00795B26">
      <w:r w:rsidRPr="00E851AE">
        <w:separator/>
      </w:r>
    </w:p>
  </w:endnote>
  <w:endnote w:type="continuationSeparator" w:id="0">
    <w:p w:rsidR="00795B26" w:rsidRPr="00E851AE" w:rsidRDefault="00795B26">
      <w:r w:rsidRPr="00E851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51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51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51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B26" w:rsidRPr="00E851AE" w:rsidRDefault="00795B26">
      <w:r w:rsidRPr="00E851AE">
        <w:separator/>
      </w:r>
    </w:p>
  </w:footnote>
  <w:footnote w:type="continuationSeparator" w:id="0">
    <w:p w:rsidR="00795B26" w:rsidRPr="00E851AE" w:rsidRDefault="00795B26">
      <w:r w:rsidRPr="00E851AE">
        <w:continuationSeparator/>
      </w:r>
    </w:p>
  </w:footnote>
  <w:footnote w:id="1">
    <w:p w:rsidR="00D14AFD" w:rsidRPr="009D1390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rStyle w:val="FootnoteReference"/>
          <w:sz w:val="24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r w:rsidRPr="009D1390">
        <w:rPr>
          <w:sz w:val="24"/>
          <w:lang w:val="hr-HR"/>
        </w:rPr>
        <w:t>SL L 70, 16.3.2005., str. 1.</w:t>
      </w:r>
    </w:p>
  </w:footnote>
  <w:footnote w:id="2">
    <w:p w:rsidR="00D14AFD" w:rsidRPr="009D1390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rStyle w:val="FootnoteReference"/>
          <w:sz w:val="24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r w:rsidRPr="009D1390">
        <w:rPr>
          <w:sz w:val="24"/>
          <w:lang w:val="hr-HR"/>
        </w:rPr>
        <w:t>SL L 309, 24.11.2009., str. 1.</w:t>
      </w:r>
    </w:p>
  </w:footnote>
  <w:footnote w:id="3">
    <w:p w:rsidR="00D14AFD" w:rsidRPr="009D1390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rStyle w:val="FootnoteReference"/>
          <w:sz w:val="24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r w:rsidRPr="009D1390">
        <w:rPr>
          <w:sz w:val="24"/>
          <w:lang w:val="hr-HR"/>
        </w:rPr>
        <w:t>SL L 31, 1.2.2002., str. 1.</w:t>
      </w:r>
    </w:p>
  </w:footnote>
  <w:footnote w:id="4">
    <w:p w:rsidR="00D14AFD" w:rsidRPr="009D1390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rStyle w:val="FootnoteReference"/>
          <w:sz w:val="24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r w:rsidRPr="009D1390">
        <w:rPr>
          <w:sz w:val="24"/>
          <w:lang w:val="hr-HR"/>
        </w:rPr>
        <w:t xml:space="preserve">EFSA, Obrazloženo mišljenje o reviziji postojećih maksimalnih razina ostataka za </w:t>
      </w:r>
      <w:proofErr w:type="spellStart"/>
      <w:r w:rsidRPr="009D1390">
        <w:rPr>
          <w:sz w:val="24"/>
          <w:lang w:val="hr-HR"/>
        </w:rPr>
        <w:t>ciprokonazol</w:t>
      </w:r>
      <w:proofErr w:type="spellEnd"/>
      <w:r w:rsidRPr="009D1390">
        <w:rPr>
          <w:sz w:val="24"/>
          <w:lang w:val="hr-HR"/>
        </w:rPr>
        <w:t xml:space="preserve"> u skladu s člankom 12. Uredbe (EZ) br. </w:t>
      </w:r>
      <w:r w:rsidRPr="009D1390">
        <w:rPr>
          <w:sz w:val="24"/>
          <w:lang w:val="hr-HR"/>
        </w:rPr>
        <w:t xml:space="preserve">396/2005, EFSA Journal, 2021.,19(3):e06483, </w:t>
      </w:r>
      <w:hyperlink r:id="rId1" w:history="1">
        <w:r w:rsidRPr="009D1390">
          <w:rPr>
            <w:rStyle w:val="Hyperlink"/>
            <w:sz w:val="24"/>
            <w:lang w:val="hr-HR"/>
          </w:rPr>
          <w:t>https://doi.org/10.2903/j.efsa.2021.6483</w:t>
        </w:r>
      </w:hyperlink>
      <w:r w:rsidRPr="009D1390">
        <w:rPr>
          <w:sz w:val="24"/>
          <w:lang w:val="hr-HR"/>
        </w:rPr>
        <w:t>.</w:t>
      </w:r>
    </w:p>
  </w:footnote>
  <w:footnote w:id="5">
    <w:p w:rsidR="00D14AFD" w:rsidRPr="009D1390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rStyle w:val="FootnoteReference"/>
          <w:sz w:val="24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r w:rsidRPr="009D1390">
        <w:rPr>
          <w:sz w:val="24"/>
          <w:lang w:val="hr-HR"/>
        </w:rPr>
        <w:t xml:space="preserve">Zaključak EFSA-e o stručnoj recenziji procjene rizika od pesticida koji sadržavaju aktivnu tvar </w:t>
      </w:r>
      <w:proofErr w:type="spellStart"/>
      <w:r w:rsidRPr="009D1390">
        <w:rPr>
          <w:sz w:val="24"/>
          <w:lang w:val="hr-HR"/>
        </w:rPr>
        <w:t>ciprokonazol</w:t>
      </w:r>
      <w:proofErr w:type="spellEnd"/>
      <w:r w:rsidRPr="009D1390">
        <w:rPr>
          <w:sz w:val="24"/>
          <w:lang w:val="hr-HR"/>
        </w:rPr>
        <w:t xml:space="preserve">, EFSA Journal 2010.;8(11):1897, </w:t>
      </w:r>
      <w:hyperlink r:id="rId2" w:history="1">
        <w:r w:rsidRPr="009D1390">
          <w:rPr>
            <w:rStyle w:val="Hyperlink"/>
            <w:sz w:val="24"/>
            <w:lang w:val="hr-HR"/>
          </w:rPr>
          <w:t>https://doi.org/10.2903/j.efsa.2010.1897</w:t>
        </w:r>
      </w:hyperlink>
      <w:r w:rsidRPr="009D1390">
        <w:rPr>
          <w:sz w:val="24"/>
          <w:lang w:val="hr-HR"/>
        </w:rPr>
        <w:t>.</w:t>
      </w:r>
    </w:p>
  </w:footnote>
  <w:footnote w:id="6">
    <w:p w:rsidR="00D14AFD" w:rsidRPr="009D1390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rStyle w:val="FootnoteReference"/>
          <w:sz w:val="24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r w:rsidRPr="009D1390">
        <w:rPr>
          <w:sz w:val="24"/>
          <w:lang w:val="hr-HR"/>
        </w:rPr>
        <w:t xml:space="preserve">Mišljenje RAC-a u kojem se predlaže usklađeno razvrstavanje i označivanje </w:t>
      </w:r>
      <w:proofErr w:type="spellStart"/>
      <w:r w:rsidRPr="009D1390">
        <w:rPr>
          <w:sz w:val="24"/>
          <w:lang w:val="hr-HR"/>
        </w:rPr>
        <w:t>ciprokonazola</w:t>
      </w:r>
      <w:proofErr w:type="spellEnd"/>
      <w:r w:rsidRPr="009D1390">
        <w:rPr>
          <w:sz w:val="24"/>
          <w:lang w:val="hr-HR"/>
        </w:rPr>
        <w:t xml:space="preserve"> (ISO) na razini EU-a; (2RS,3RS;2RS,3SR)-2-(4-klorfenil)-3-ciklopropil-1-(1H-1,2,4-triazol-1-il)butan-2-ol, </w:t>
      </w:r>
      <w:hyperlink r:id="rId3" w:history="1">
        <w:r w:rsidRPr="009D1390">
          <w:rPr>
            <w:rStyle w:val="Hyperlink"/>
            <w:sz w:val="24"/>
            <w:lang w:val="hr-HR"/>
          </w:rPr>
          <w:t>https://echa.europa.eu/documents/10162/6d98baeb-24aa-a683-28ec-d8adabee5461</w:t>
        </w:r>
      </w:hyperlink>
      <w:r w:rsidRPr="009D1390">
        <w:rPr>
          <w:sz w:val="24"/>
          <w:lang w:val="hr-HR"/>
        </w:rPr>
        <w:t>.</w:t>
      </w:r>
    </w:p>
  </w:footnote>
  <w:footnote w:id="7">
    <w:p w:rsidR="00D14AFD" w:rsidRPr="009D1390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rStyle w:val="FootnoteReference"/>
          <w:sz w:val="24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r w:rsidRPr="009D1390">
        <w:rPr>
          <w:sz w:val="24"/>
          <w:lang w:val="hr-HR"/>
        </w:rPr>
        <w:t>SL L 184, 17.7.1999., str. 23.</w:t>
      </w:r>
    </w:p>
  </w:footnote>
  <w:footnote w:id="8">
    <w:p w:rsidR="00D14AFD" w:rsidRPr="009D1390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rStyle w:val="FootnoteReference"/>
          <w:sz w:val="24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r w:rsidRPr="009D1390">
        <w:rPr>
          <w:sz w:val="24"/>
          <w:lang w:val="hr-HR"/>
        </w:rPr>
        <w:t>Uredba (EZ) br. 1272/2008 Europskog parlamenta i Vijeća od 16. prosinca 2008. o razvrstavanju, označivanju i pakiranju tvari i smjesa, o izmjeni i stavljanju izvan snage Direktive 67/548/EEZ i Direktive 1999/45/EZ i o izmjeni Uredbe (EZ) br. 1907/2006 (SL L 353, 31.12.2008., str. 1.).</w:t>
      </w:r>
    </w:p>
  </w:footnote>
  <w:footnote w:id="9">
    <w:p w:rsidR="00D14AFD" w:rsidRPr="009D1390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rStyle w:val="FootnoteReference"/>
          <w:sz w:val="24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hyperlink r:id="rId4" w:history="1">
        <w:r w:rsidRPr="009D1390">
          <w:rPr>
            <w:rStyle w:val="Hyperlink"/>
            <w:sz w:val="24"/>
            <w:lang w:val="hr-HR"/>
          </w:rPr>
          <w:t>https://www.echa.europa.eu/substance-information/-/substanceinfo/100.130.443</w:t>
        </w:r>
      </w:hyperlink>
      <w:r w:rsidRPr="009D1390">
        <w:rPr>
          <w:sz w:val="24"/>
          <w:lang w:val="hr-HR"/>
        </w:rPr>
        <w:t>.</w:t>
      </w:r>
    </w:p>
  </w:footnote>
  <w:footnote w:id="10">
    <w:p w:rsidR="00D14AFD" w:rsidRPr="009D1390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rStyle w:val="FootnoteReference"/>
          <w:sz w:val="24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r w:rsidRPr="009D1390">
        <w:rPr>
          <w:sz w:val="24"/>
          <w:lang w:val="hr-HR"/>
        </w:rPr>
        <w:t xml:space="preserve">Zaključak EFSA-e o stručnoj recenziji pesticida od 8. </w:t>
      </w:r>
      <w:r w:rsidRPr="009D1390">
        <w:rPr>
          <w:sz w:val="24"/>
          <w:lang w:val="hr-HR"/>
        </w:rPr>
        <w:t>studenoga 2010.</w:t>
      </w:r>
      <w:r w:rsidRPr="009D1390">
        <w:rPr>
          <w:rStyle w:val="Hyperlink"/>
          <w:color w:val="auto"/>
          <w:sz w:val="24"/>
          <w:u w:val="none"/>
          <w:lang w:val="hr-HR"/>
        </w:rPr>
        <w:t>;</w:t>
      </w:r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Draskau</w:t>
      </w:r>
      <w:proofErr w:type="spellEnd"/>
      <w:r w:rsidRPr="009D1390">
        <w:rPr>
          <w:sz w:val="24"/>
          <w:lang w:val="hr-HR"/>
        </w:rPr>
        <w:t xml:space="preserve">, M.K., i </w:t>
      </w:r>
      <w:proofErr w:type="spellStart"/>
      <w:r w:rsidRPr="009D1390">
        <w:rPr>
          <w:sz w:val="24"/>
          <w:lang w:val="hr-HR"/>
        </w:rPr>
        <w:t>Svingen</w:t>
      </w:r>
      <w:proofErr w:type="spellEnd"/>
      <w:r w:rsidRPr="009D1390">
        <w:rPr>
          <w:sz w:val="24"/>
          <w:lang w:val="hr-HR"/>
        </w:rPr>
        <w:t>, T., ‘</w:t>
      </w:r>
      <w:proofErr w:type="spellStart"/>
      <w:r w:rsidRPr="009D1390">
        <w:rPr>
          <w:sz w:val="24"/>
          <w:lang w:val="hr-HR"/>
        </w:rPr>
        <w:t>Azole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Fungicides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and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Their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Endocrine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Disrupting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Properties</w:t>
      </w:r>
      <w:proofErr w:type="spellEnd"/>
      <w:r w:rsidRPr="009D1390">
        <w:rPr>
          <w:sz w:val="24"/>
          <w:lang w:val="hr-HR"/>
        </w:rPr>
        <w:t xml:space="preserve">: </w:t>
      </w:r>
      <w:proofErr w:type="spellStart"/>
      <w:r w:rsidRPr="009D1390">
        <w:rPr>
          <w:sz w:val="24"/>
          <w:lang w:val="hr-HR"/>
        </w:rPr>
        <w:t>Perspectives</w:t>
      </w:r>
      <w:proofErr w:type="spellEnd"/>
      <w:r w:rsidRPr="009D1390">
        <w:rPr>
          <w:sz w:val="24"/>
          <w:lang w:val="hr-HR"/>
        </w:rPr>
        <w:t xml:space="preserve"> on Sex Hormone-</w:t>
      </w:r>
      <w:proofErr w:type="spellStart"/>
      <w:r w:rsidRPr="009D1390">
        <w:rPr>
          <w:sz w:val="24"/>
          <w:lang w:val="hr-HR"/>
        </w:rPr>
        <w:t>Dependent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Reproductive</w:t>
      </w:r>
      <w:proofErr w:type="spellEnd"/>
      <w:r w:rsidRPr="009D1390">
        <w:rPr>
          <w:sz w:val="24"/>
          <w:lang w:val="hr-HR"/>
        </w:rPr>
        <w:t xml:space="preserve"> Development’, </w:t>
      </w:r>
      <w:proofErr w:type="spellStart"/>
      <w:r w:rsidRPr="009D1390">
        <w:rPr>
          <w:sz w:val="24"/>
          <w:lang w:val="hr-HR"/>
        </w:rPr>
        <w:t>Frontiers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in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Toxicology</w:t>
      </w:r>
      <w:proofErr w:type="spellEnd"/>
      <w:r w:rsidRPr="009D1390">
        <w:rPr>
          <w:sz w:val="24"/>
          <w:lang w:val="hr-HR"/>
        </w:rPr>
        <w:t xml:space="preserve"> 2022., 4:883254, </w:t>
      </w:r>
      <w:hyperlink r:id="rId5" w:history="1">
        <w:r w:rsidRPr="009D1390">
          <w:rPr>
            <w:rStyle w:val="Hyperlink"/>
            <w:color w:val="0000FF"/>
            <w:sz w:val="24"/>
            <w:shd w:val="clear" w:color="auto" w:fill="F7F7F7"/>
            <w:lang w:val="hr-HR"/>
          </w:rPr>
          <w:t>https://doi.org/10.3389/ftox.2022.883254</w:t>
        </w:r>
      </w:hyperlink>
      <w:r w:rsidRPr="009D1390">
        <w:rPr>
          <w:sz w:val="24"/>
          <w:lang w:val="hr-HR"/>
        </w:rPr>
        <w:t>.</w:t>
      </w:r>
    </w:p>
  </w:footnote>
  <w:footnote w:id="11">
    <w:p w:rsidR="00D14AFD" w:rsidRPr="009D1390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rStyle w:val="FootnoteReference"/>
          <w:sz w:val="24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r w:rsidRPr="009D1390">
        <w:rPr>
          <w:sz w:val="24"/>
          <w:lang w:val="hr-HR"/>
        </w:rPr>
        <w:t xml:space="preserve">Uredba Komisije (EU) 2018/605 </w:t>
      </w:r>
      <w:proofErr w:type="spellStart"/>
      <w:r w:rsidRPr="009D1390">
        <w:rPr>
          <w:sz w:val="24"/>
          <w:lang w:val="hr-HR"/>
        </w:rPr>
        <w:t>оd</w:t>
      </w:r>
      <w:proofErr w:type="spellEnd"/>
      <w:r w:rsidRPr="009D1390">
        <w:rPr>
          <w:sz w:val="24"/>
          <w:lang w:val="hr-HR"/>
        </w:rPr>
        <w:t xml:space="preserve"> 19. travnja 2018. o izmjeni Priloga II. Uredbi (EZ) br. 1107/2009 utvrđivanjem znanstvenih kriterija za određivanje svojstava endokrine </w:t>
      </w:r>
      <w:proofErr w:type="spellStart"/>
      <w:r w:rsidRPr="009D1390">
        <w:rPr>
          <w:sz w:val="24"/>
          <w:lang w:val="hr-HR"/>
        </w:rPr>
        <w:t>disrupcije</w:t>
      </w:r>
      <w:proofErr w:type="spellEnd"/>
      <w:r w:rsidRPr="009D1390">
        <w:rPr>
          <w:sz w:val="24"/>
          <w:lang w:val="hr-HR"/>
        </w:rPr>
        <w:t xml:space="preserve"> (SL L 101, 20.4.2018., str. 33.).</w:t>
      </w:r>
    </w:p>
  </w:footnote>
  <w:footnote w:id="12">
    <w:p w:rsidR="00D14AFD" w:rsidRPr="009D1390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rStyle w:val="FootnoteReference"/>
          <w:sz w:val="24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r w:rsidRPr="009D1390">
        <w:rPr>
          <w:sz w:val="24"/>
          <w:lang w:val="hr-HR"/>
        </w:rPr>
        <w:t>Znanstveno izvješće Radne skup</w:t>
      </w:r>
      <w:r w:rsidR="00B57149" w:rsidRPr="009D1390">
        <w:rPr>
          <w:sz w:val="24"/>
          <w:lang w:val="hr-HR"/>
        </w:rPr>
        <w:t xml:space="preserve">ine za endokrine aktivne tvari </w:t>
      </w:r>
      <w:r w:rsidRPr="009D1390">
        <w:rPr>
          <w:sz w:val="24"/>
          <w:lang w:val="hr-HR"/>
        </w:rPr>
        <w:t xml:space="preserve">EFSA-e, EFSA Journal 2010.;8(11):1932, </w:t>
      </w:r>
      <w:hyperlink r:id="rId6" w:history="1">
        <w:r w:rsidRPr="009D1390">
          <w:rPr>
            <w:rStyle w:val="Hyperlink"/>
            <w:sz w:val="24"/>
            <w:lang w:val="hr-HR"/>
          </w:rPr>
          <w:t>https://doi.org/10.2903/j.efsa.2010.1932</w:t>
        </w:r>
      </w:hyperlink>
      <w:r w:rsidRPr="009D1390">
        <w:rPr>
          <w:sz w:val="24"/>
          <w:lang w:val="hr-HR"/>
        </w:rPr>
        <w:t xml:space="preserve">. </w:t>
      </w:r>
    </w:p>
  </w:footnote>
  <w:footnote w:id="13">
    <w:p w:rsidR="00D14AFD" w:rsidRPr="009D1390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rStyle w:val="FootnoteReference"/>
          <w:sz w:val="24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proofErr w:type="spellStart"/>
      <w:r w:rsidRPr="009D1390">
        <w:rPr>
          <w:sz w:val="24"/>
          <w:lang w:val="hr-HR"/>
        </w:rPr>
        <w:t>Zhang</w:t>
      </w:r>
      <w:proofErr w:type="spellEnd"/>
      <w:r w:rsidRPr="009D1390">
        <w:rPr>
          <w:sz w:val="24"/>
          <w:lang w:val="hr-HR"/>
        </w:rPr>
        <w:t xml:space="preserve">, J., </w:t>
      </w:r>
      <w:proofErr w:type="spellStart"/>
      <w:r w:rsidRPr="009D1390">
        <w:rPr>
          <w:sz w:val="24"/>
          <w:lang w:val="hr-HR"/>
        </w:rPr>
        <w:t>Jimenez</w:t>
      </w:r>
      <w:proofErr w:type="spellEnd"/>
      <w:r w:rsidRPr="009D1390">
        <w:rPr>
          <w:sz w:val="24"/>
          <w:lang w:val="hr-HR"/>
        </w:rPr>
        <w:t xml:space="preserve">, L.L., </w:t>
      </w:r>
      <w:proofErr w:type="spellStart"/>
      <w:r w:rsidRPr="009D1390">
        <w:rPr>
          <w:sz w:val="24"/>
          <w:lang w:val="hr-HR"/>
        </w:rPr>
        <w:t>Snelders</w:t>
      </w:r>
      <w:proofErr w:type="spellEnd"/>
      <w:r w:rsidRPr="009D1390">
        <w:rPr>
          <w:sz w:val="24"/>
          <w:lang w:val="hr-HR"/>
        </w:rPr>
        <w:t xml:space="preserve">, E., </w:t>
      </w:r>
      <w:proofErr w:type="spellStart"/>
      <w:r w:rsidRPr="009D1390">
        <w:rPr>
          <w:sz w:val="24"/>
          <w:lang w:val="hr-HR"/>
        </w:rPr>
        <w:t>Debets</w:t>
      </w:r>
      <w:proofErr w:type="spellEnd"/>
      <w:r w:rsidRPr="009D1390">
        <w:rPr>
          <w:sz w:val="24"/>
          <w:lang w:val="hr-HR"/>
        </w:rPr>
        <w:t xml:space="preserve">, A.J.M., </w:t>
      </w:r>
      <w:proofErr w:type="spellStart"/>
      <w:r w:rsidRPr="009D1390">
        <w:rPr>
          <w:sz w:val="24"/>
          <w:lang w:val="hr-HR"/>
        </w:rPr>
        <w:t>Rietveld</w:t>
      </w:r>
      <w:proofErr w:type="spellEnd"/>
      <w:r w:rsidRPr="009D1390">
        <w:rPr>
          <w:sz w:val="24"/>
          <w:lang w:val="hr-HR"/>
        </w:rPr>
        <w:t xml:space="preserve">, A.G., </w:t>
      </w:r>
      <w:proofErr w:type="spellStart"/>
      <w:r w:rsidRPr="009D1390">
        <w:rPr>
          <w:sz w:val="24"/>
          <w:lang w:val="hr-HR"/>
        </w:rPr>
        <w:t>Zwaan</w:t>
      </w:r>
      <w:proofErr w:type="spellEnd"/>
      <w:r w:rsidRPr="009D1390">
        <w:rPr>
          <w:sz w:val="24"/>
          <w:lang w:val="hr-HR"/>
        </w:rPr>
        <w:t xml:space="preserve">, B.J., </w:t>
      </w:r>
      <w:proofErr w:type="spellStart"/>
      <w:r w:rsidRPr="009D1390">
        <w:rPr>
          <w:sz w:val="24"/>
          <w:lang w:val="hr-HR"/>
        </w:rPr>
        <w:t>Verweij</w:t>
      </w:r>
      <w:proofErr w:type="spellEnd"/>
      <w:r w:rsidRPr="009D1390">
        <w:rPr>
          <w:sz w:val="24"/>
          <w:lang w:val="hr-HR"/>
        </w:rPr>
        <w:t xml:space="preserve">, P.E., </w:t>
      </w:r>
      <w:proofErr w:type="spellStart"/>
      <w:r w:rsidRPr="009D1390">
        <w:rPr>
          <w:sz w:val="24"/>
          <w:lang w:val="hr-HR"/>
        </w:rPr>
        <w:t>Schoustra</w:t>
      </w:r>
      <w:proofErr w:type="spellEnd"/>
      <w:r w:rsidRPr="009D1390">
        <w:rPr>
          <w:sz w:val="24"/>
          <w:lang w:val="hr-HR"/>
        </w:rPr>
        <w:t xml:space="preserve">, S.E., ‘Dynamics </w:t>
      </w:r>
      <w:proofErr w:type="spellStart"/>
      <w:r w:rsidRPr="009D1390">
        <w:rPr>
          <w:sz w:val="24"/>
          <w:lang w:val="hr-HR"/>
        </w:rPr>
        <w:t>of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i/>
          <w:sz w:val="24"/>
          <w:lang w:val="hr-HR"/>
        </w:rPr>
        <w:t>Aspergillus</w:t>
      </w:r>
      <w:proofErr w:type="spellEnd"/>
      <w:r w:rsidRPr="009D1390">
        <w:rPr>
          <w:i/>
          <w:sz w:val="24"/>
          <w:lang w:val="hr-HR"/>
        </w:rPr>
        <w:t xml:space="preserve"> </w:t>
      </w:r>
      <w:proofErr w:type="spellStart"/>
      <w:r w:rsidRPr="009D1390">
        <w:rPr>
          <w:i/>
          <w:sz w:val="24"/>
          <w:lang w:val="hr-HR"/>
        </w:rPr>
        <w:t>fumigatus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in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Azole</w:t>
      </w:r>
      <w:proofErr w:type="spellEnd"/>
      <w:r w:rsidRPr="009D1390">
        <w:rPr>
          <w:sz w:val="24"/>
          <w:lang w:val="hr-HR"/>
        </w:rPr>
        <w:t xml:space="preserve"> Fungicide-</w:t>
      </w:r>
      <w:proofErr w:type="spellStart"/>
      <w:r w:rsidRPr="009D1390">
        <w:rPr>
          <w:sz w:val="24"/>
          <w:lang w:val="hr-HR"/>
        </w:rPr>
        <w:t>Containing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Plant</w:t>
      </w:r>
      <w:proofErr w:type="spellEnd"/>
      <w:r w:rsidRPr="009D1390">
        <w:rPr>
          <w:sz w:val="24"/>
          <w:lang w:val="hr-HR"/>
        </w:rPr>
        <w:t xml:space="preserve"> Waste </w:t>
      </w:r>
      <w:proofErr w:type="spellStart"/>
      <w:r w:rsidRPr="009D1390">
        <w:rPr>
          <w:sz w:val="24"/>
          <w:lang w:val="hr-HR"/>
        </w:rPr>
        <w:t>in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the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Netherlands</w:t>
      </w:r>
      <w:proofErr w:type="spellEnd"/>
      <w:r w:rsidRPr="009D1390">
        <w:rPr>
          <w:sz w:val="24"/>
          <w:lang w:val="hr-HR"/>
        </w:rPr>
        <w:t xml:space="preserve"> (2016. - 2017.)</w:t>
      </w:r>
      <w:r w:rsidRPr="009D1390">
        <w:rPr>
          <w:sz w:val="24"/>
          <w:lang w:val="hr-HR"/>
        </w:rPr>
        <w:t xml:space="preserve">’, Applied </w:t>
      </w:r>
      <w:proofErr w:type="spellStart"/>
      <w:r w:rsidRPr="009D1390">
        <w:rPr>
          <w:sz w:val="24"/>
          <w:lang w:val="hr-HR"/>
        </w:rPr>
        <w:t>and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Environmental</w:t>
      </w:r>
      <w:proofErr w:type="spellEnd"/>
      <w:r w:rsidRPr="009D1390">
        <w:rPr>
          <w:sz w:val="24"/>
          <w:lang w:val="hr-HR"/>
        </w:rPr>
        <w:t xml:space="preserve"> </w:t>
      </w:r>
      <w:proofErr w:type="spellStart"/>
      <w:r w:rsidRPr="009D1390">
        <w:rPr>
          <w:sz w:val="24"/>
          <w:lang w:val="hr-HR"/>
        </w:rPr>
        <w:t>Microbiology</w:t>
      </w:r>
      <w:proofErr w:type="spellEnd"/>
      <w:r w:rsidRPr="009D1390">
        <w:rPr>
          <w:sz w:val="24"/>
          <w:lang w:val="hr-HR"/>
        </w:rPr>
        <w:t xml:space="preserve"> 2021, 87:e02295-20, </w:t>
      </w:r>
      <w:hyperlink r:id="rId7" w:history="1">
        <w:r w:rsidRPr="009D1390">
          <w:rPr>
            <w:rStyle w:val="Hyperlink"/>
            <w:sz w:val="24"/>
            <w:lang w:val="hr-HR"/>
          </w:rPr>
          <w:t>https://doi.org/10.1128/AEM.02295-20</w:t>
        </w:r>
      </w:hyperlink>
      <w:r w:rsidRPr="009D1390">
        <w:rPr>
          <w:color w:val="000000"/>
          <w:sz w:val="24"/>
          <w:lang w:val="hr-HR"/>
        </w:rPr>
        <w:t xml:space="preserve">; </w:t>
      </w:r>
      <w:r w:rsidRPr="009D1390">
        <w:rPr>
          <w:sz w:val="24"/>
          <w:lang w:val="hr-HR"/>
        </w:rPr>
        <w:t xml:space="preserve">Danski odbor za okoliš i hranu o otpornosti na </w:t>
      </w:r>
      <w:proofErr w:type="spellStart"/>
      <w:r w:rsidRPr="009D1390">
        <w:rPr>
          <w:sz w:val="24"/>
          <w:lang w:val="hr-HR"/>
        </w:rPr>
        <w:t>azole</w:t>
      </w:r>
      <w:proofErr w:type="spellEnd"/>
      <w:r w:rsidRPr="009D1390">
        <w:rPr>
          <w:sz w:val="24"/>
          <w:lang w:val="hr-HR"/>
        </w:rPr>
        <w:t xml:space="preserve">, </w:t>
      </w:r>
      <w:hyperlink r:id="rId8" w:history="1">
        <w:r w:rsidRPr="009D1390">
          <w:rPr>
            <w:rStyle w:val="Hyperlink"/>
            <w:sz w:val="24"/>
            <w:lang w:val="hr-HR"/>
          </w:rPr>
          <w:t>https://www.ft.dk/samling/20181/almdel/MOF/bilag/407/2016336.pdf</w:t>
        </w:r>
      </w:hyperlink>
      <w:r w:rsidRPr="009D1390">
        <w:rPr>
          <w:color w:val="000000"/>
          <w:sz w:val="24"/>
          <w:lang w:val="hr-HR"/>
        </w:rPr>
        <w:t xml:space="preserve">; </w:t>
      </w:r>
      <w:proofErr w:type="spellStart"/>
      <w:r w:rsidRPr="009D1390">
        <w:rPr>
          <w:color w:val="000000"/>
          <w:sz w:val="24"/>
          <w:lang w:val="hr-HR"/>
        </w:rPr>
        <w:t>Snelders</w:t>
      </w:r>
      <w:proofErr w:type="spellEnd"/>
      <w:r w:rsidRPr="009D1390">
        <w:rPr>
          <w:color w:val="000000"/>
          <w:sz w:val="24"/>
          <w:lang w:val="hr-HR"/>
        </w:rPr>
        <w:t xml:space="preserve">, E., </w:t>
      </w:r>
      <w:proofErr w:type="spellStart"/>
      <w:r w:rsidRPr="009D1390">
        <w:rPr>
          <w:color w:val="000000"/>
          <w:sz w:val="24"/>
          <w:lang w:val="hr-HR"/>
        </w:rPr>
        <w:t>Camps</w:t>
      </w:r>
      <w:proofErr w:type="spellEnd"/>
      <w:r w:rsidRPr="009D1390">
        <w:rPr>
          <w:color w:val="000000"/>
          <w:sz w:val="24"/>
          <w:lang w:val="hr-HR"/>
        </w:rPr>
        <w:t xml:space="preserve">, S.M.T., </w:t>
      </w:r>
      <w:proofErr w:type="spellStart"/>
      <w:r w:rsidRPr="009D1390">
        <w:rPr>
          <w:color w:val="000000"/>
          <w:sz w:val="24"/>
          <w:lang w:val="hr-HR"/>
        </w:rPr>
        <w:t>Karawajczyk</w:t>
      </w:r>
      <w:proofErr w:type="spellEnd"/>
      <w:r w:rsidRPr="009D1390">
        <w:rPr>
          <w:color w:val="000000"/>
          <w:sz w:val="24"/>
          <w:lang w:val="hr-HR"/>
        </w:rPr>
        <w:t xml:space="preserve">, A., </w:t>
      </w:r>
      <w:proofErr w:type="spellStart"/>
      <w:r w:rsidRPr="009D1390">
        <w:rPr>
          <w:color w:val="000000"/>
          <w:sz w:val="24"/>
          <w:lang w:val="hr-HR"/>
        </w:rPr>
        <w:t>Schaftenaar</w:t>
      </w:r>
      <w:proofErr w:type="spellEnd"/>
      <w:r w:rsidRPr="009D1390">
        <w:rPr>
          <w:color w:val="000000"/>
          <w:sz w:val="24"/>
          <w:lang w:val="hr-HR"/>
        </w:rPr>
        <w:t xml:space="preserve">, G., </w:t>
      </w:r>
      <w:proofErr w:type="spellStart"/>
      <w:r w:rsidRPr="009D1390">
        <w:rPr>
          <w:color w:val="000000"/>
          <w:sz w:val="24"/>
          <w:lang w:val="hr-HR"/>
        </w:rPr>
        <w:t>Kema</w:t>
      </w:r>
      <w:proofErr w:type="spellEnd"/>
      <w:r w:rsidRPr="009D1390">
        <w:rPr>
          <w:color w:val="000000"/>
          <w:sz w:val="24"/>
          <w:lang w:val="hr-HR"/>
        </w:rPr>
        <w:t xml:space="preserve">, G. H. J., van </w:t>
      </w:r>
      <w:proofErr w:type="spellStart"/>
      <w:r w:rsidRPr="009D1390">
        <w:rPr>
          <w:color w:val="000000"/>
          <w:sz w:val="24"/>
          <w:lang w:val="hr-HR"/>
        </w:rPr>
        <w:t>der</w:t>
      </w:r>
      <w:proofErr w:type="spellEnd"/>
      <w:r w:rsidRPr="009D1390">
        <w:rPr>
          <w:color w:val="000000"/>
          <w:sz w:val="24"/>
          <w:lang w:val="hr-HR"/>
        </w:rPr>
        <w:t xml:space="preserve"> Lee, H.A. i dr., „</w:t>
      </w:r>
      <w:proofErr w:type="spellStart"/>
      <w:r w:rsidRPr="009D1390">
        <w:rPr>
          <w:color w:val="000000"/>
          <w:sz w:val="24"/>
          <w:lang w:val="hr-HR"/>
        </w:rPr>
        <w:t>Triazole</w:t>
      </w:r>
      <w:proofErr w:type="spellEnd"/>
      <w:r w:rsidRPr="009D1390">
        <w:rPr>
          <w:color w:val="000000"/>
          <w:sz w:val="24"/>
          <w:lang w:val="hr-HR"/>
        </w:rPr>
        <w:t xml:space="preserve"> </w:t>
      </w:r>
      <w:proofErr w:type="spellStart"/>
      <w:r w:rsidRPr="009D1390">
        <w:rPr>
          <w:color w:val="000000"/>
          <w:sz w:val="24"/>
          <w:lang w:val="hr-HR"/>
        </w:rPr>
        <w:t>Fungicides</w:t>
      </w:r>
      <w:proofErr w:type="spellEnd"/>
      <w:r w:rsidRPr="009D1390">
        <w:rPr>
          <w:color w:val="000000"/>
          <w:sz w:val="24"/>
          <w:lang w:val="hr-HR"/>
        </w:rPr>
        <w:t xml:space="preserve"> </w:t>
      </w:r>
      <w:proofErr w:type="spellStart"/>
      <w:r w:rsidRPr="009D1390">
        <w:rPr>
          <w:color w:val="000000"/>
          <w:sz w:val="24"/>
          <w:lang w:val="hr-HR"/>
        </w:rPr>
        <w:t>Can</w:t>
      </w:r>
      <w:proofErr w:type="spellEnd"/>
      <w:r w:rsidRPr="009D1390">
        <w:rPr>
          <w:color w:val="000000"/>
          <w:sz w:val="24"/>
          <w:lang w:val="hr-HR"/>
        </w:rPr>
        <w:t xml:space="preserve"> </w:t>
      </w:r>
      <w:proofErr w:type="spellStart"/>
      <w:r w:rsidRPr="009D1390">
        <w:rPr>
          <w:color w:val="000000"/>
          <w:sz w:val="24"/>
          <w:lang w:val="hr-HR"/>
        </w:rPr>
        <w:t>Induce</w:t>
      </w:r>
      <w:proofErr w:type="spellEnd"/>
      <w:r w:rsidRPr="009D1390">
        <w:rPr>
          <w:color w:val="000000"/>
          <w:sz w:val="24"/>
          <w:lang w:val="hr-HR"/>
        </w:rPr>
        <w:t xml:space="preserve"> </w:t>
      </w:r>
      <w:proofErr w:type="spellStart"/>
      <w:r w:rsidRPr="009D1390">
        <w:rPr>
          <w:color w:val="000000"/>
          <w:sz w:val="24"/>
          <w:lang w:val="hr-HR"/>
        </w:rPr>
        <w:t>Cross-Resistance</w:t>
      </w:r>
      <w:proofErr w:type="spellEnd"/>
      <w:r w:rsidRPr="009D1390">
        <w:rPr>
          <w:color w:val="000000"/>
          <w:sz w:val="24"/>
          <w:lang w:val="hr-HR"/>
        </w:rPr>
        <w:t xml:space="preserve"> to </w:t>
      </w:r>
      <w:proofErr w:type="spellStart"/>
      <w:r w:rsidRPr="009D1390">
        <w:rPr>
          <w:color w:val="000000"/>
          <w:sz w:val="24"/>
          <w:lang w:val="hr-HR"/>
        </w:rPr>
        <w:t>Medical</w:t>
      </w:r>
      <w:proofErr w:type="spellEnd"/>
      <w:r w:rsidRPr="009D1390">
        <w:rPr>
          <w:color w:val="000000"/>
          <w:sz w:val="24"/>
          <w:lang w:val="hr-HR"/>
        </w:rPr>
        <w:t xml:space="preserve"> </w:t>
      </w:r>
      <w:proofErr w:type="spellStart"/>
      <w:r w:rsidRPr="009D1390">
        <w:rPr>
          <w:color w:val="000000"/>
          <w:sz w:val="24"/>
          <w:lang w:val="hr-HR"/>
        </w:rPr>
        <w:t>Triazoles</w:t>
      </w:r>
      <w:proofErr w:type="spellEnd"/>
      <w:r w:rsidRPr="009D1390">
        <w:rPr>
          <w:color w:val="000000"/>
          <w:sz w:val="24"/>
          <w:lang w:val="hr-HR"/>
        </w:rPr>
        <w:t xml:space="preserve"> </w:t>
      </w:r>
      <w:proofErr w:type="spellStart"/>
      <w:r w:rsidRPr="009D1390">
        <w:rPr>
          <w:color w:val="000000"/>
          <w:sz w:val="24"/>
          <w:lang w:val="hr-HR"/>
        </w:rPr>
        <w:t>in</w:t>
      </w:r>
      <w:proofErr w:type="spellEnd"/>
      <w:r w:rsidRPr="009D1390">
        <w:rPr>
          <w:color w:val="000000"/>
          <w:sz w:val="24"/>
          <w:lang w:val="hr-HR"/>
        </w:rPr>
        <w:t xml:space="preserve"> </w:t>
      </w:r>
      <w:proofErr w:type="spellStart"/>
      <w:r w:rsidRPr="009D1390">
        <w:rPr>
          <w:i/>
          <w:iCs/>
          <w:color w:val="000000"/>
          <w:sz w:val="24"/>
          <w:lang w:val="hr-HR"/>
        </w:rPr>
        <w:t>Aspergillus</w:t>
      </w:r>
      <w:proofErr w:type="spellEnd"/>
      <w:r w:rsidRPr="009D1390">
        <w:rPr>
          <w:i/>
          <w:iCs/>
          <w:color w:val="000000"/>
          <w:sz w:val="24"/>
          <w:lang w:val="hr-HR"/>
        </w:rPr>
        <w:t xml:space="preserve"> </w:t>
      </w:r>
      <w:proofErr w:type="spellStart"/>
      <w:r w:rsidRPr="009D1390">
        <w:rPr>
          <w:i/>
          <w:iCs/>
          <w:color w:val="000000"/>
          <w:sz w:val="24"/>
          <w:lang w:val="hr-HR"/>
        </w:rPr>
        <w:t>fumigatus</w:t>
      </w:r>
      <w:proofErr w:type="spellEnd"/>
      <w:r w:rsidRPr="009D1390">
        <w:rPr>
          <w:color w:val="000000"/>
          <w:sz w:val="24"/>
          <w:lang w:val="hr-HR"/>
        </w:rPr>
        <w:t xml:space="preserve">”. </w:t>
      </w:r>
      <w:proofErr w:type="spellStart"/>
      <w:r w:rsidRPr="009D1390">
        <w:rPr>
          <w:color w:val="000000"/>
          <w:sz w:val="24"/>
          <w:lang w:val="hr-HR"/>
        </w:rPr>
        <w:t>PLoS</w:t>
      </w:r>
      <w:proofErr w:type="spellEnd"/>
      <w:r w:rsidRPr="009D1390">
        <w:rPr>
          <w:color w:val="000000"/>
          <w:sz w:val="24"/>
          <w:lang w:val="hr-HR"/>
        </w:rPr>
        <w:t xml:space="preserve"> ONE 2012, 7(3): e31801. https://doi.org/10.1371/journal.pone.0031801.</w:t>
      </w:r>
    </w:p>
  </w:footnote>
  <w:footnote w:id="14">
    <w:p w:rsidR="00D14AFD" w:rsidRPr="009D1390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rStyle w:val="FootnoteReference"/>
          <w:sz w:val="24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hyperlink r:id="rId9" w:history="1">
        <w:r w:rsidRPr="009D1390">
          <w:rPr>
            <w:rStyle w:val="Hyperlink"/>
            <w:sz w:val="24"/>
            <w:lang w:val="hr-HR"/>
          </w:rPr>
          <w:t>https://open.efsa.europa.eu/question/EFSA-Q-2022-00040</w:t>
        </w:r>
      </w:hyperlink>
      <w:r w:rsidRPr="009D1390">
        <w:rPr>
          <w:sz w:val="24"/>
          <w:lang w:val="hr-HR"/>
        </w:rPr>
        <w:t>.</w:t>
      </w:r>
    </w:p>
  </w:footnote>
  <w:footnote w:id="15">
    <w:p w:rsidR="00D14AFD" w:rsidRPr="009D1390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rStyle w:val="FootnoteReference"/>
          <w:sz w:val="24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hyperlink r:id="rId10" w:history="1">
        <w:r w:rsidRPr="009D1390">
          <w:rPr>
            <w:rStyle w:val="Hyperlink"/>
            <w:sz w:val="24"/>
            <w:lang w:val="hr-HR"/>
          </w:rPr>
          <w:t>https://ec.europa.eu/transparency/comitology-register/screen/documents/089880/5/consult?lang=hr</w:t>
        </w:r>
      </w:hyperlink>
      <w:r w:rsidRPr="009D1390">
        <w:rPr>
          <w:rStyle w:val="Hyperlink"/>
          <w:sz w:val="24"/>
          <w:lang w:val="hr-HR"/>
        </w:rPr>
        <w:t>.</w:t>
      </w:r>
      <w:r w:rsidRPr="009D1390">
        <w:rPr>
          <w:sz w:val="24"/>
          <w:lang w:val="hr-HR"/>
        </w:rPr>
        <w:t xml:space="preserve"> </w:t>
      </w:r>
    </w:p>
  </w:footnote>
  <w:footnote w:id="16">
    <w:p w:rsidR="00D14AFD" w:rsidRPr="00E851AE" w:rsidRDefault="00D14AFD" w:rsidP="00E851AE">
      <w:pPr>
        <w:pStyle w:val="FootnoteText"/>
        <w:ind w:left="567" w:hanging="567"/>
        <w:rPr>
          <w:sz w:val="24"/>
          <w:lang w:val="hr-HR"/>
        </w:rPr>
      </w:pPr>
      <w:r w:rsidRPr="009D1390">
        <w:rPr>
          <w:sz w:val="24"/>
          <w:vertAlign w:val="superscript"/>
          <w:lang w:val="hr-HR"/>
        </w:rPr>
        <w:footnoteRef/>
      </w:r>
      <w:r w:rsidR="00E851AE" w:rsidRPr="009D1390">
        <w:rPr>
          <w:sz w:val="24"/>
          <w:lang w:val="hr-HR"/>
        </w:rPr>
        <w:t xml:space="preserve"> </w:t>
      </w:r>
      <w:r w:rsidR="00E851AE" w:rsidRPr="009D1390">
        <w:rPr>
          <w:sz w:val="24"/>
          <w:lang w:val="hr-HR"/>
        </w:rPr>
        <w:tab/>
      </w:r>
      <w:r w:rsidRPr="009D1390">
        <w:rPr>
          <w:sz w:val="24"/>
          <w:lang w:val="hr-HR"/>
        </w:rPr>
        <w:t>COM(2020)0381.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51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51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51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1/2024"/>
    <w:docVar w:name="dvlangue" w:val="HR"/>
    <w:docVar w:name="dvnumam" w:val="0"/>
    <w:docVar w:name="dvpe" w:val="763.091"/>
    <w:docVar w:name="dvtitre" w:val="Rezolucija Europskog parlamenta od .... 2024. o Nacrtu uredbe Komisije o izmjeni priloga II. i III. Uredbi (EZ) br. 396/2005 Europskog parlamenta i Vijeća u pogledu maksimalnih razina ostataka za ciprokonazol i spirodiklofen u ili na određenim proizvodima(D091952/05 – 2024/2759(RPS))"/>
  </w:docVars>
  <w:rsids>
    <w:rsidRoot w:val="00795B2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0B8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B2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139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14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AFD"/>
    <w:rsid w:val="00D56C11"/>
    <w:rsid w:val="00D834A0"/>
    <w:rsid w:val="00D872DF"/>
    <w:rsid w:val="00D91E21"/>
    <w:rsid w:val="00DA7FCD"/>
    <w:rsid w:val="00E365E1"/>
    <w:rsid w:val="00E820A4"/>
    <w:rsid w:val="00E851A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676C3-4EB3-4F93-89BF-F7247CD01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4AFD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D14AF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D14AF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1D0B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D0B88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t.dk/samling/20181/almdel/MOF/bilag/407/2016336.pdf" TargetMode="External"/><Relationship Id="rId3" Type="http://schemas.openxmlformats.org/officeDocument/2006/relationships/hyperlink" Target="https://echa.europa.eu/documents/10162/6d98baeb-24aa-a683-28ec-d8adabee5461" TargetMode="External"/><Relationship Id="rId7" Type="http://schemas.openxmlformats.org/officeDocument/2006/relationships/hyperlink" Target="https://doi.org/10.1128/AEM.02295-20" TargetMode="External"/><Relationship Id="rId2" Type="http://schemas.openxmlformats.org/officeDocument/2006/relationships/hyperlink" Target="https://doi.org/10.2903/j.efsa.2010.1897" TargetMode="External"/><Relationship Id="rId1" Type="http://schemas.openxmlformats.org/officeDocument/2006/relationships/hyperlink" Target="https://doi.org/10.2903/j.efsa.2021.6483" TargetMode="External"/><Relationship Id="rId6" Type="http://schemas.openxmlformats.org/officeDocument/2006/relationships/hyperlink" Target="https://doi.org/10.2903/j.efsa.2010.1932" TargetMode="External"/><Relationship Id="rId5" Type="http://schemas.openxmlformats.org/officeDocument/2006/relationships/hyperlink" Target="https://doi.org/10.3389/ftox.2022.883254" TargetMode="External"/><Relationship Id="rId10" Type="http://schemas.openxmlformats.org/officeDocument/2006/relationships/hyperlink" Target="https://ec.europa.eu/transparency/comitology-register/screen/documents/089880/5/consult?lang=hr" TargetMode="External"/><Relationship Id="rId4" Type="http://schemas.openxmlformats.org/officeDocument/2006/relationships/hyperlink" Target="https://www.echa.europa.eu/substance-information/-/substanceinfo/100.130.443" TargetMode="External"/><Relationship Id="rId9" Type="http://schemas.openxmlformats.org/officeDocument/2006/relationships/hyperlink" Target="https://open.efsa.europa.eu/question/EFSA-Q-2022-000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BB0F6-90D6-4966-AB99-A9C7B9664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1888</Words>
  <Characters>10627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2024-09-18T11:50:00Z</dcterms:created>
  <dcterms:modified xsi:type="dcterms:W3CDTF">2024-09-18T11:50:00Z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B10-0021/2024</vt:lpwstr>
  </property>
  <property fmtid="{D5CDD505-2E9C-101B-9397-08002B2CF9AE}" pid="4" name="&lt;Type&gt;">
    <vt:lpwstr>RR</vt:lpwstr>
  </property>
</Properties>
</file>